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E28" w:rsidRPr="00A90E28" w:rsidRDefault="00AF35D2" w:rsidP="00A90E28">
      <w:pPr>
        <w:jc w:val="center"/>
        <w:rPr>
          <w:sz w:val="24"/>
          <w:szCs w:val="24"/>
          <w:highlight w:val="white"/>
        </w:rPr>
      </w:pPr>
      <w:r w:rsidRPr="00A90E28">
        <w:rPr>
          <w:sz w:val="24"/>
          <w:szCs w:val="24"/>
          <w:lang w:val="en-CA"/>
        </w:rPr>
        <w:fldChar w:fldCharType="begin"/>
      </w:r>
      <w:r w:rsidRPr="00A90E28">
        <w:rPr>
          <w:sz w:val="24"/>
          <w:szCs w:val="24"/>
          <w:lang w:val="en-CA"/>
        </w:rPr>
        <w:instrText xml:space="preserve"> SEQ CHAPTER \h \r 1</w:instrText>
      </w:r>
      <w:r w:rsidRPr="00A90E28">
        <w:rPr>
          <w:sz w:val="24"/>
          <w:szCs w:val="24"/>
          <w:lang w:val="en-CA"/>
        </w:rPr>
        <w:fldChar w:fldCharType="end"/>
      </w:r>
      <w:r w:rsidRPr="00A90E28">
        <w:rPr>
          <w:sz w:val="24"/>
          <w:szCs w:val="24"/>
          <w:highlight w:val="white"/>
        </w:rPr>
        <w:t xml:space="preserve">SUPPORTING STATEMENT </w:t>
      </w:r>
    </w:p>
    <w:p w:rsidR="008A6559" w:rsidRPr="00A90E28" w:rsidRDefault="00AF35D2" w:rsidP="00A90E28">
      <w:pPr>
        <w:jc w:val="center"/>
        <w:rPr>
          <w:sz w:val="24"/>
          <w:szCs w:val="24"/>
          <w:highlight w:val="white"/>
        </w:rPr>
      </w:pPr>
      <w:r w:rsidRPr="00A90E28">
        <w:rPr>
          <w:sz w:val="24"/>
          <w:szCs w:val="24"/>
          <w:highlight w:val="white"/>
        </w:rPr>
        <w:t>UNITED STATES INTERNATIONAL</w:t>
      </w:r>
      <w:r w:rsidR="00A90E28" w:rsidRPr="00A90E28">
        <w:rPr>
          <w:sz w:val="24"/>
          <w:szCs w:val="24"/>
          <w:highlight w:val="white"/>
        </w:rPr>
        <w:t xml:space="preserve"> TRADE COMMISSION QUESTIONNAIRE</w:t>
      </w:r>
    </w:p>
    <w:p w:rsidR="00AF35D2" w:rsidRPr="00A90E28" w:rsidRDefault="00D665B6" w:rsidP="00A90E28">
      <w:pPr>
        <w:jc w:val="center"/>
        <w:rPr>
          <w:sz w:val="24"/>
          <w:szCs w:val="24"/>
          <w:highlight w:val="white"/>
        </w:rPr>
      </w:pPr>
      <w:r w:rsidRPr="00A90E28">
        <w:rPr>
          <w:bCs/>
          <w:sz w:val="24"/>
          <w:szCs w:val="24"/>
          <w:highlight w:val="white"/>
        </w:rPr>
        <w:t>Used Electronic Products: An Examination of U.S. Exports</w:t>
      </w:r>
    </w:p>
    <w:p w:rsidR="00AF35D2" w:rsidRPr="00A90E28" w:rsidRDefault="00AF35D2" w:rsidP="00A90E28">
      <w:pPr>
        <w:rPr>
          <w:sz w:val="24"/>
          <w:szCs w:val="24"/>
          <w:highlight w:val="white"/>
        </w:rPr>
      </w:pPr>
    </w:p>
    <w:p w:rsidR="00A90E28" w:rsidRPr="00A90E28" w:rsidRDefault="00A90E28" w:rsidP="00A90E28">
      <w:pPr>
        <w:jc w:val="center"/>
        <w:rPr>
          <w:sz w:val="24"/>
          <w:szCs w:val="24"/>
          <w:highlight w:val="white"/>
        </w:rPr>
      </w:pPr>
      <w:r w:rsidRPr="00A90E28">
        <w:rPr>
          <w:sz w:val="24"/>
          <w:szCs w:val="24"/>
          <w:highlight w:val="white"/>
        </w:rPr>
        <w:t xml:space="preserve">Part </w:t>
      </w:r>
      <w:bookmarkStart w:id="0" w:name="_GoBack"/>
      <w:bookmarkEnd w:id="0"/>
      <w:r w:rsidRPr="00A90E28">
        <w:rPr>
          <w:sz w:val="24"/>
          <w:szCs w:val="24"/>
          <w:highlight w:val="white"/>
        </w:rPr>
        <w:t>B—</w:t>
      </w:r>
      <w:r w:rsidRPr="00A90E28">
        <w:rPr>
          <w:bCs/>
          <w:sz w:val="24"/>
          <w:szCs w:val="24"/>
          <w:highlight w:val="white"/>
        </w:rPr>
        <w:t>Collection of Information Employing Statistical Methods</w:t>
      </w:r>
    </w:p>
    <w:p w:rsidR="00AF35D2" w:rsidRPr="00A90E28" w:rsidRDefault="00AF35D2" w:rsidP="00A90E28">
      <w:pPr>
        <w:rPr>
          <w:sz w:val="24"/>
          <w:szCs w:val="24"/>
          <w:highlight w:val="white"/>
        </w:rPr>
      </w:pPr>
    </w:p>
    <w:p w:rsidR="00AF35D2" w:rsidRPr="00A90E28" w:rsidRDefault="00AF35D2" w:rsidP="00A90E28">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highlight w:val="white"/>
        </w:rPr>
      </w:pPr>
      <w:r w:rsidRPr="00A90E28">
        <w:rPr>
          <w:b/>
          <w:bCs/>
          <w:sz w:val="24"/>
          <w:szCs w:val="24"/>
          <w:highlight w:val="white"/>
        </w:rPr>
        <w:t>1.</w:t>
      </w:r>
      <w:r w:rsidRPr="00A90E28">
        <w:rPr>
          <w:b/>
          <w:bCs/>
          <w:sz w:val="24"/>
          <w:szCs w:val="24"/>
          <w:highlight w:val="white"/>
        </w:rPr>
        <w:tab/>
        <w:t>Re</w:t>
      </w:r>
      <w:r w:rsidR="00AB699E" w:rsidRPr="00A90E28">
        <w:rPr>
          <w:b/>
          <w:bCs/>
          <w:sz w:val="24"/>
          <w:szCs w:val="24"/>
          <w:highlight w:val="white"/>
        </w:rPr>
        <w:t>sponse universe</w:t>
      </w:r>
      <w:r w:rsidR="00E50A84" w:rsidRPr="00A90E28">
        <w:rPr>
          <w:b/>
          <w:bCs/>
          <w:sz w:val="24"/>
          <w:szCs w:val="24"/>
          <w:highlight w:val="white"/>
        </w:rPr>
        <w:t>, sample sources,</w:t>
      </w:r>
      <w:r w:rsidR="00AB699E" w:rsidRPr="00A90E28">
        <w:rPr>
          <w:b/>
          <w:bCs/>
          <w:sz w:val="24"/>
          <w:szCs w:val="24"/>
          <w:highlight w:val="white"/>
        </w:rPr>
        <w:t xml:space="preserve"> and sampling strata</w:t>
      </w:r>
    </w:p>
    <w:p w:rsidR="00484DD7" w:rsidRPr="00A90E28" w:rsidRDefault="00484DD7" w:rsidP="00A90E28">
      <w:pPr>
        <w:rPr>
          <w:sz w:val="24"/>
          <w:szCs w:val="24"/>
        </w:rPr>
      </w:pPr>
    </w:p>
    <w:p w:rsidR="0093197A" w:rsidRPr="00A90E28" w:rsidRDefault="00717630" w:rsidP="00A90E28">
      <w:pPr>
        <w:rPr>
          <w:sz w:val="24"/>
          <w:szCs w:val="24"/>
        </w:rPr>
      </w:pPr>
      <w:r w:rsidRPr="00A90E28">
        <w:rPr>
          <w:sz w:val="24"/>
          <w:szCs w:val="24"/>
        </w:rPr>
        <w:t>The potential respondent universe includes all companies that conduct business in the United States and</w:t>
      </w:r>
      <w:r w:rsidR="003B56FA" w:rsidRPr="00A90E28">
        <w:rPr>
          <w:sz w:val="24"/>
          <w:szCs w:val="24"/>
        </w:rPr>
        <w:t xml:space="preserve"> </w:t>
      </w:r>
      <w:r w:rsidRPr="00A90E28">
        <w:rPr>
          <w:sz w:val="24"/>
          <w:szCs w:val="24"/>
        </w:rPr>
        <w:t xml:space="preserve">have primary NAICS </w:t>
      </w:r>
      <w:r w:rsidR="0093197A" w:rsidRPr="00A90E28">
        <w:rPr>
          <w:sz w:val="24"/>
          <w:szCs w:val="24"/>
        </w:rPr>
        <w:t>categories</w:t>
      </w:r>
      <w:r w:rsidR="0015273B" w:rsidRPr="00A90E28">
        <w:rPr>
          <w:sz w:val="24"/>
          <w:szCs w:val="24"/>
        </w:rPr>
        <w:t xml:space="preserve"> </w:t>
      </w:r>
      <w:r w:rsidR="00BF4029" w:rsidRPr="00A90E28">
        <w:rPr>
          <w:sz w:val="24"/>
          <w:szCs w:val="24"/>
        </w:rPr>
        <w:t>corresponding to</w:t>
      </w:r>
      <w:r w:rsidR="00637E08" w:rsidRPr="00A90E28">
        <w:rPr>
          <w:sz w:val="24"/>
          <w:szCs w:val="24"/>
        </w:rPr>
        <w:t xml:space="preserve"> industries </w:t>
      </w:r>
      <w:r w:rsidR="002C3202" w:rsidRPr="00A90E28">
        <w:rPr>
          <w:sz w:val="24"/>
          <w:szCs w:val="24"/>
        </w:rPr>
        <w:t xml:space="preserve">that </w:t>
      </w:r>
      <w:r w:rsidR="002A75B7" w:rsidRPr="00A90E28">
        <w:rPr>
          <w:sz w:val="24"/>
          <w:szCs w:val="24"/>
        </w:rPr>
        <w:t>US</w:t>
      </w:r>
      <w:r w:rsidRPr="00A90E28">
        <w:rPr>
          <w:sz w:val="24"/>
          <w:szCs w:val="24"/>
        </w:rPr>
        <w:t xml:space="preserve">ITC </w:t>
      </w:r>
      <w:r w:rsidR="006F1B2A" w:rsidRPr="00A90E28">
        <w:rPr>
          <w:sz w:val="24"/>
          <w:szCs w:val="24"/>
        </w:rPr>
        <w:t xml:space="preserve">staff </w:t>
      </w:r>
      <w:r w:rsidR="00484DD7" w:rsidRPr="00A90E28">
        <w:rPr>
          <w:sz w:val="24"/>
          <w:szCs w:val="24"/>
        </w:rPr>
        <w:t xml:space="preserve">and industry experts </w:t>
      </w:r>
      <w:r w:rsidR="00BF4029" w:rsidRPr="00A90E28">
        <w:rPr>
          <w:sz w:val="24"/>
          <w:szCs w:val="24"/>
        </w:rPr>
        <w:t xml:space="preserve">identified </w:t>
      </w:r>
      <w:r w:rsidR="00484DD7" w:rsidRPr="00A90E28">
        <w:rPr>
          <w:sz w:val="24"/>
          <w:szCs w:val="24"/>
        </w:rPr>
        <w:t xml:space="preserve">as containing the highest concentration of firms that </w:t>
      </w:r>
      <w:r w:rsidR="00576ACC" w:rsidRPr="00A90E28">
        <w:rPr>
          <w:sz w:val="24"/>
          <w:szCs w:val="24"/>
        </w:rPr>
        <w:t>handle and export used electronic</w:t>
      </w:r>
      <w:r w:rsidR="00484DD7" w:rsidRPr="00A90E28">
        <w:rPr>
          <w:sz w:val="24"/>
          <w:szCs w:val="24"/>
        </w:rPr>
        <w:t xml:space="preserve"> products.</w:t>
      </w:r>
      <w:r w:rsidR="00F94574" w:rsidRPr="00A90E28">
        <w:rPr>
          <w:sz w:val="24"/>
          <w:szCs w:val="24"/>
        </w:rPr>
        <w:t xml:space="preserve"> </w:t>
      </w:r>
      <w:r w:rsidR="00846C93">
        <w:rPr>
          <w:sz w:val="24"/>
          <w:szCs w:val="24"/>
        </w:rPr>
        <w:t>The sampling unit is the firm, rather than the establishment.</w:t>
      </w:r>
      <w:r w:rsidR="001C205A">
        <w:rPr>
          <w:sz w:val="24"/>
          <w:szCs w:val="24"/>
        </w:rPr>
        <w:t xml:space="preserve"> </w:t>
      </w:r>
    </w:p>
    <w:p w:rsidR="0093197A" w:rsidRPr="00A90E28" w:rsidRDefault="0093197A" w:rsidP="00A90E28">
      <w:pPr>
        <w:rPr>
          <w:sz w:val="24"/>
          <w:szCs w:val="24"/>
        </w:rPr>
      </w:pPr>
    </w:p>
    <w:p w:rsidR="00717630" w:rsidRPr="00A90E28" w:rsidRDefault="00F94574" w:rsidP="00A90E28">
      <w:pPr>
        <w:rPr>
          <w:sz w:val="24"/>
          <w:szCs w:val="24"/>
        </w:rPr>
      </w:pPr>
      <w:r w:rsidRPr="00A90E28">
        <w:rPr>
          <w:sz w:val="24"/>
          <w:szCs w:val="24"/>
        </w:rPr>
        <w:t>The potential respondent universe represents the sum of firms, net of duplicative records, identified in the</w:t>
      </w:r>
      <w:r w:rsidR="0093197A" w:rsidRPr="00A90E28">
        <w:rPr>
          <w:sz w:val="24"/>
          <w:szCs w:val="24"/>
        </w:rPr>
        <w:t>se</w:t>
      </w:r>
      <w:r w:rsidRPr="00A90E28">
        <w:rPr>
          <w:sz w:val="24"/>
          <w:szCs w:val="24"/>
        </w:rPr>
        <w:t xml:space="preserve"> </w:t>
      </w:r>
      <w:r w:rsidR="00405E20" w:rsidRPr="00A90E28">
        <w:rPr>
          <w:sz w:val="24"/>
          <w:szCs w:val="24"/>
        </w:rPr>
        <w:t xml:space="preserve">data </w:t>
      </w:r>
      <w:r w:rsidRPr="00A90E28">
        <w:rPr>
          <w:sz w:val="24"/>
          <w:szCs w:val="24"/>
        </w:rPr>
        <w:t>sources</w:t>
      </w:r>
      <w:r w:rsidR="0093197A" w:rsidRPr="00A90E28">
        <w:rPr>
          <w:sz w:val="24"/>
          <w:szCs w:val="24"/>
        </w:rPr>
        <w:t>:</w:t>
      </w:r>
    </w:p>
    <w:p w:rsidR="009A265D" w:rsidRPr="00A90E28" w:rsidRDefault="009A265D" w:rsidP="00A90E28">
      <w:pPr>
        <w:pStyle w:val="ListParagraph"/>
        <w:spacing w:line="240" w:lineRule="auto"/>
        <w:ind w:left="0"/>
        <w:rPr>
          <w:rFonts w:ascii="Times New Roman" w:hAnsi="Times New Roman"/>
          <w:sz w:val="24"/>
          <w:szCs w:val="24"/>
        </w:rPr>
      </w:pPr>
    </w:p>
    <w:p w:rsidR="00D665B6" w:rsidRPr="00A90E28" w:rsidRDefault="009A265D" w:rsidP="00A90E28">
      <w:pPr>
        <w:pStyle w:val="ListParagraph"/>
        <w:numPr>
          <w:ilvl w:val="0"/>
          <w:numId w:val="12"/>
        </w:numPr>
        <w:spacing w:line="240" w:lineRule="auto"/>
        <w:ind w:left="360"/>
        <w:rPr>
          <w:rFonts w:ascii="Times New Roman" w:hAnsi="Times New Roman"/>
          <w:sz w:val="24"/>
          <w:szCs w:val="24"/>
        </w:rPr>
      </w:pPr>
      <w:r w:rsidRPr="00A90E28">
        <w:rPr>
          <w:rFonts w:ascii="Times New Roman" w:hAnsi="Times New Roman"/>
          <w:sz w:val="24"/>
          <w:szCs w:val="24"/>
        </w:rPr>
        <w:t xml:space="preserve">A database </w:t>
      </w:r>
      <w:r w:rsidR="00D665B6" w:rsidRPr="00A90E28">
        <w:rPr>
          <w:rFonts w:ascii="Times New Roman" w:hAnsi="Times New Roman"/>
          <w:sz w:val="24"/>
          <w:szCs w:val="24"/>
        </w:rPr>
        <w:t>derived from industry associations and industry directories, including</w:t>
      </w:r>
    </w:p>
    <w:p w:rsidR="00D665B6" w:rsidRPr="00A90E28" w:rsidRDefault="00D665B6" w:rsidP="00A90E28">
      <w:pPr>
        <w:pStyle w:val="ListParagraph"/>
        <w:numPr>
          <w:ilvl w:val="1"/>
          <w:numId w:val="12"/>
        </w:numPr>
        <w:spacing w:after="0" w:line="240" w:lineRule="auto"/>
        <w:ind w:left="1080"/>
        <w:rPr>
          <w:rFonts w:ascii="Times New Roman" w:hAnsi="Times New Roman"/>
          <w:sz w:val="24"/>
          <w:szCs w:val="24"/>
        </w:rPr>
      </w:pPr>
      <w:r w:rsidRPr="00A90E28">
        <w:rPr>
          <w:rFonts w:ascii="Times New Roman" w:hAnsi="Times New Roman"/>
          <w:sz w:val="24"/>
          <w:szCs w:val="24"/>
        </w:rPr>
        <w:t>Members of industry associations, members of certified electronic recycling programs, and subscribers to industry publications and newsletters</w:t>
      </w:r>
    </w:p>
    <w:p w:rsidR="00D665B6" w:rsidRPr="00A90E28" w:rsidRDefault="00D665B6" w:rsidP="00A90E28">
      <w:pPr>
        <w:pStyle w:val="ListParagraph"/>
        <w:numPr>
          <w:ilvl w:val="1"/>
          <w:numId w:val="12"/>
        </w:numPr>
        <w:spacing w:after="0" w:line="240" w:lineRule="auto"/>
        <w:ind w:left="1080"/>
        <w:rPr>
          <w:rFonts w:ascii="Times New Roman" w:hAnsi="Times New Roman"/>
          <w:sz w:val="24"/>
          <w:szCs w:val="24"/>
        </w:rPr>
      </w:pPr>
      <w:r w:rsidRPr="00A90E28">
        <w:rPr>
          <w:rFonts w:ascii="Times New Roman" w:hAnsi="Times New Roman"/>
          <w:sz w:val="24"/>
          <w:szCs w:val="24"/>
        </w:rPr>
        <w:t xml:space="preserve">Companies in recycling and refurbishing directories maintained by third parties </w:t>
      </w:r>
    </w:p>
    <w:p w:rsidR="00D665B6" w:rsidRPr="00A90E28" w:rsidRDefault="00D665B6" w:rsidP="00A90E28">
      <w:pPr>
        <w:pStyle w:val="ListParagraph"/>
        <w:numPr>
          <w:ilvl w:val="1"/>
          <w:numId w:val="12"/>
        </w:numPr>
        <w:spacing w:after="0" w:line="240" w:lineRule="auto"/>
        <w:ind w:left="1080"/>
        <w:rPr>
          <w:rFonts w:ascii="Times New Roman" w:hAnsi="Times New Roman"/>
          <w:sz w:val="24"/>
          <w:szCs w:val="24"/>
        </w:rPr>
      </w:pPr>
      <w:r w:rsidRPr="00A90E28">
        <w:rPr>
          <w:rFonts w:ascii="Times New Roman" w:hAnsi="Times New Roman"/>
          <w:sz w:val="24"/>
          <w:szCs w:val="24"/>
        </w:rPr>
        <w:t>Companies in local, state, and federal government directories (e.g., companies approved by the EPA to export cathode-ray tubes)</w:t>
      </w:r>
    </w:p>
    <w:p w:rsidR="008F7E8C" w:rsidRDefault="00D665B6" w:rsidP="008F7E8C">
      <w:pPr>
        <w:pStyle w:val="ListParagraph"/>
        <w:numPr>
          <w:ilvl w:val="1"/>
          <w:numId w:val="12"/>
        </w:numPr>
        <w:spacing w:line="240" w:lineRule="auto"/>
        <w:ind w:left="1080"/>
        <w:rPr>
          <w:rFonts w:ascii="Times New Roman" w:hAnsi="Times New Roman"/>
          <w:sz w:val="24"/>
          <w:szCs w:val="24"/>
        </w:rPr>
      </w:pPr>
      <w:r w:rsidRPr="00A90E28">
        <w:rPr>
          <w:rFonts w:ascii="Times New Roman" w:hAnsi="Times New Roman"/>
          <w:sz w:val="24"/>
          <w:szCs w:val="24"/>
        </w:rPr>
        <w:t>Companies reporting sales of used electronics in online markets</w:t>
      </w:r>
    </w:p>
    <w:p w:rsidR="008F7E8C" w:rsidRPr="008F7E8C" w:rsidRDefault="008F7E8C" w:rsidP="008F7E8C">
      <w:pPr>
        <w:pStyle w:val="ListParagraph"/>
        <w:spacing w:line="240" w:lineRule="auto"/>
        <w:ind w:left="1080"/>
        <w:rPr>
          <w:rFonts w:ascii="Times New Roman" w:hAnsi="Times New Roman"/>
          <w:sz w:val="24"/>
          <w:szCs w:val="24"/>
        </w:rPr>
      </w:pPr>
    </w:p>
    <w:p w:rsidR="008F7E8C" w:rsidRPr="00A90E28" w:rsidRDefault="008F7E8C" w:rsidP="008F7E8C">
      <w:pPr>
        <w:pStyle w:val="ListParagraph"/>
        <w:numPr>
          <w:ilvl w:val="0"/>
          <w:numId w:val="15"/>
        </w:numPr>
        <w:spacing w:line="240" w:lineRule="auto"/>
        <w:rPr>
          <w:rFonts w:ascii="Times New Roman" w:hAnsi="Times New Roman"/>
          <w:sz w:val="24"/>
          <w:szCs w:val="24"/>
        </w:rPr>
      </w:pPr>
      <w:r>
        <w:rPr>
          <w:rFonts w:ascii="Times New Roman" w:hAnsi="Times New Roman"/>
          <w:sz w:val="24"/>
          <w:szCs w:val="24"/>
        </w:rPr>
        <w:t xml:space="preserve">Exporters of electronics goods </w:t>
      </w:r>
      <w:r w:rsidR="00FA0A4A">
        <w:rPr>
          <w:rFonts w:ascii="Times New Roman" w:hAnsi="Times New Roman"/>
          <w:sz w:val="24"/>
          <w:szCs w:val="24"/>
        </w:rPr>
        <w:t xml:space="preserve">with low unit values </w:t>
      </w:r>
      <w:r>
        <w:rPr>
          <w:rFonts w:ascii="Times New Roman" w:hAnsi="Times New Roman"/>
          <w:sz w:val="24"/>
          <w:szCs w:val="24"/>
        </w:rPr>
        <w:t>identified by the U.S. Census</w:t>
      </w:r>
      <w:r w:rsidR="00FA0A4A">
        <w:rPr>
          <w:rFonts w:ascii="Times New Roman" w:hAnsi="Times New Roman"/>
          <w:sz w:val="24"/>
          <w:szCs w:val="24"/>
        </w:rPr>
        <w:t xml:space="preserve"> Bureau</w:t>
      </w:r>
      <w:r w:rsidR="00B64761">
        <w:rPr>
          <w:rFonts w:ascii="Times New Roman" w:hAnsi="Times New Roman"/>
          <w:sz w:val="24"/>
          <w:szCs w:val="24"/>
        </w:rPr>
        <w:t xml:space="preserve">. </w:t>
      </w:r>
    </w:p>
    <w:p w:rsidR="006B0044" w:rsidRPr="00A90E28" w:rsidRDefault="006B0044" w:rsidP="00A90E28">
      <w:pPr>
        <w:pStyle w:val="ListParagraph"/>
        <w:spacing w:line="240" w:lineRule="auto"/>
        <w:ind w:left="1080"/>
        <w:rPr>
          <w:rFonts w:ascii="Times New Roman" w:hAnsi="Times New Roman"/>
          <w:sz w:val="24"/>
          <w:szCs w:val="24"/>
        </w:rPr>
      </w:pPr>
    </w:p>
    <w:p w:rsidR="00031238" w:rsidRPr="00A90E28" w:rsidRDefault="00484DD7" w:rsidP="00A90E28">
      <w:pPr>
        <w:pStyle w:val="ListParagraph"/>
        <w:numPr>
          <w:ilvl w:val="0"/>
          <w:numId w:val="12"/>
        </w:numPr>
        <w:spacing w:line="240" w:lineRule="auto"/>
        <w:ind w:left="360"/>
        <w:rPr>
          <w:rFonts w:ascii="Times New Roman" w:hAnsi="Times New Roman"/>
          <w:sz w:val="24"/>
          <w:szCs w:val="24"/>
        </w:rPr>
      </w:pPr>
      <w:r w:rsidRPr="00A90E28">
        <w:rPr>
          <w:rFonts w:ascii="Times New Roman" w:hAnsi="Times New Roman"/>
          <w:sz w:val="24"/>
          <w:szCs w:val="24"/>
        </w:rPr>
        <w:t>F</w:t>
      </w:r>
      <w:r w:rsidR="00C12BF7" w:rsidRPr="00A90E28">
        <w:rPr>
          <w:rFonts w:ascii="Times New Roman" w:hAnsi="Times New Roman"/>
          <w:sz w:val="24"/>
          <w:szCs w:val="24"/>
        </w:rPr>
        <w:t xml:space="preserve">irms </w:t>
      </w:r>
      <w:r w:rsidR="00C44159" w:rsidRPr="00A90E28">
        <w:rPr>
          <w:rFonts w:ascii="Times New Roman" w:hAnsi="Times New Roman"/>
          <w:sz w:val="24"/>
          <w:szCs w:val="24"/>
        </w:rPr>
        <w:t xml:space="preserve">obtained from </w:t>
      </w:r>
      <w:r w:rsidRPr="00A90E28">
        <w:rPr>
          <w:rFonts w:ascii="Times New Roman" w:hAnsi="Times New Roman"/>
          <w:sz w:val="24"/>
          <w:szCs w:val="24"/>
        </w:rPr>
        <w:t>Bureau van Dijk’s Orbis</w:t>
      </w:r>
      <w:r w:rsidR="00C44159" w:rsidRPr="00A90E28">
        <w:rPr>
          <w:rFonts w:ascii="Times New Roman" w:hAnsi="Times New Roman"/>
          <w:sz w:val="24"/>
          <w:szCs w:val="24"/>
        </w:rPr>
        <w:t xml:space="preserve"> database</w:t>
      </w:r>
      <w:r w:rsidR="00096351" w:rsidRPr="00A90E28">
        <w:rPr>
          <w:rFonts w:ascii="Times New Roman" w:hAnsi="Times New Roman"/>
          <w:sz w:val="24"/>
          <w:szCs w:val="24"/>
        </w:rPr>
        <w:t xml:space="preserve"> belonging to </w:t>
      </w:r>
      <w:r w:rsidR="00126399" w:rsidRPr="00A90E28">
        <w:rPr>
          <w:rFonts w:ascii="Times New Roman" w:hAnsi="Times New Roman"/>
          <w:sz w:val="24"/>
          <w:szCs w:val="24"/>
        </w:rPr>
        <w:t xml:space="preserve">seven </w:t>
      </w:r>
      <w:r w:rsidR="00096351" w:rsidRPr="00A90E28">
        <w:rPr>
          <w:rFonts w:ascii="Times New Roman" w:hAnsi="Times New Roman"/>
          <w:sz w:val="24"/>
          <w:szCs w:val="24"/>
        </w:rPr>
        <w:t>industries</w:t>
      </w:r>
      <w:r w:rsidRPr="00A90E28">
        <w:rPr>
          <w:rFonts w:ascii="Times New Roman" w:hAnsi="Times New Roman"/>
          <w:sz w:val="24"/>
          <w:szCs w:val="24"/>
        </w:rPr>
        <w:t xml:space="preserve"> most likely to </w:t>
      </w:r>
      <w:r w:rsidR="00576ACC" w:rsidRPr="00A90E28">
        <w:rPr>
          <w:rFonts w:ascii="Times New Roman" w:hAnsi="Times New Roman"/>
          <w:sz w:val="24"/>
          <w:szCs w:val="24"/>
        </w:rPr>
        <w:t>handle and export used electronic products</w:t>
      </w:r>
      <w:r w:rsidR="00ED5829" w:rsidRPr="00A90E28">
        <w:rPr>
          <w:rFonts w:ascii="Times New Roman" w:hAnsi="Times New Roman"/>
          <w:sz w:val="24"/>
          <w:szCs w:val="24"/>
        </w:rPr>
        <w:t>.</w:t>
      </w:r>
      <w:r w:rsidR="00D665B6" w:rsidRPr="00A90E28">
        <w:rPr>
          <w:rStyle w:val="FootnoteReference"/>
          <w:rFonts w:ascii="Times New Roman" w:hAnsi="Times New Roman"/>
          <w:sz w:val="24"/>
          <w:szCs w:val="24"/>
        </w:rPr>
        <w:footnoteReference w:id="1"/>
      </w:r>
      <w:r w:rsidRPr="00A90E28">
        <w:rPr>
          <w:rFonts w:ascii="Times New Roman" w:hAnsi="Times New Roman"/>
          <w:sz w:val="24"/>
          <w:szCs w:val="24"/>
        </w:rPr>
        <w:t xml:space="preserve"> </w:t>
      </w:r>
      <w:r w:rsidR="00B86EA5" w:rsidRPr="00A90E28">
        <w:rPr>
          <w:rFonts w:ascii="Times New Roman" w:hAnsi="Times New Roman"/>
          <w:sz w:val="24"/>
          <w:szCs w:val="24"/>
        </w:rPr>
        <w:t>These industries include</w:t>
      </w:r>
      <w:r w:rsidR="00096351" w:rsidRPr="00A90E28">
        <w:rPr>
          <w:rFonts w:ascii="Times New Roman" w:hAnsi="Times New Roman"/>
          <w:sz w:val="24"/>
          <w:szCs w:val="24"/>
        </w:rPr>
        <w:t>:</w:t>
      </w:r>
    </w:p>
    <w:p w:rsidR="00B86EA5" w:rsidRPr="00A90E28" w:rsidRDefault="00576ACC" w:rsidP="00A90E28">
      <w:pPr>
        <w:pStyle w:val="ListParagraph"/>
        <w:numPr>
          <w:ilvl w:val="1"/>
          <w:numId w:val="12"/>
        </w:numPr>
        <w:spacing w:line="240" w:lineRule="auto"/>
        <w:ind w:left="1080"/>
        <w:rPr>
          <w:rFonts w:ascii="Times New Roman" w:hAnsi="Times New Roman"/>
          <w:sz w:val="24"/>
          <w:szCs w:val="24"/>
        </w:rPr>
      </w:pPr>
      <w:r w:rsidRPr="00A90E28">
        <w:rPr>
          <w:rFonts w:ascii="Times New Roman" w:hAnsi="Times New Roman"/>
          <w:sz w:val="24"/>
          <w:szCs w:val="24"/>
        </w:rPr>
        <w:t>Waste management</w:t>
      </w:r>
      <w:r w:rsidR="00096351" w:rsidRPr="00A90E28">
        <w:rPr>
          <w:rFonts w:ascii="Times New Roman" w:hAnsi="Times New Roman"/>
          <w:sz w:val="24"/>
          <w:szCs w:val="24"/>
        </w:rPr>
        <w:t xml:space="preserve"> and </w:t>
      </w:r>
      <w:r w:rsidRPr="00A90E28">
        <w:rPr>
          <w:rFonts w:ascii="Times New Roman" w:hAnsi="Times New Roman"/>
          <w:sz w:val="24"/>
          <w:szCs w:val="24"/>
        </w:rPr>
        <w:t>remediation (NAICS 562)</w:t>
      </w:r>
    </w:p>
    <w:p w:rsidR="00B86EA5" w:rsidRPr="00A90E28" w:rsidRDefault="00B86EA5" w:rsidP="00A90E28">
      <w:pPr>
        <w:pStyle w:val="ListParagraph"/>
        <w:numPr>
          <w:ilvl w:val="1"/>
          <w:numId w:val="12"/>
        </w:numPr>
        <w:spacing w:line="240" w:lineRule="auto"/>
        <w:ind w:left="1080"/>
        <w:rPr>
          <w:rFonts w:ascii="Times New Roman" w:hAnsi="Times New Roman"/>
          <w:sz w:val="24"/>
          <w:szCs w:val="24"/>
        </w:rPr>
      </w:pPr>
      <w:r w:rsidRPr="00A90E28">
        <w:rPr>
          <w:rFonts w:ascii="Times New Roman" w:hAnsi="Times New Roman"/>
          <w:sz w:val="24"/>
          <w:szCs w:val="24"/>
        </w:rPr>
        <w:t>Smelting</w:t>
      </w:r>
      <w:r w:rsidR="00576ACC" w:rsidRPr="00A90E28">
        <w:rPr>
          <w:rFonts w:ascii="Times New Roman" w:hAnsi="Times New Roman"/>
          <w:sz w:val="24"/>
          <w:szCs w:val="24"/>
        </w:rPr>
        <w:t xml:space="preserve"> of nonferrous materials (selected industries in NAICS 3314)</w:t>
      </w:r>
    </w:p>
    <w:p w:rsidR="00B86EA5" w:rsidRPr="00A90E28" w:rsidRDefault="00576ACC" w:rsidP="00A90E28">
      <w:pPr>
        <w:pStyle w:val="ListParagraph"/>
        <w:numPr>
          <w:ilvl w:val="1"/>
          <w:numId w:val="12"/>
        </w:numPr>
        <w:spacing w:line="240" w:lineRule="auto"/>
        <w:ind w:left="1080"/>
        <w:rPr>
          <w:rFonts w:ascii="Times New Roman" w:hAnsi="Times New Roman"/>
          <w:sz w:val="24"/>
          <w:szCs w:val="24"/>
        </w:rPr>
      </w:pPr>
      <w:r w:rsidRPr="00A90E28">
        <w:rPr>
          <w:rFonts w:ascii="Times New Roman" w:hAnsi="Times New Roman"/>
          <w:sz w:val="24"/>
          <w:szCs w:val="24"/>
        </w:rPr>
        <w:t xml:space="preserve">Electronics manufacturing (selected </w:t>
      </w:r>
      <w:r w:rsidR="0093197A" w:rsidRPr="00A90E28">
        <w:rPr>
          <w:rFonts w:ascii="Times New Roman" w:hAnsi="Times New Roman"/>
          <w:sz w:val="24"/>
          <w:szCs w:val="24"/>
        </w:rPr>
        <w:t>industries in NAICS 333 and 334</w:t>
      </w:r>
      <w:r w:rsidRPr="00A90E28">
        <w:rPr>
          <w:rFonts w:ascii="Times New Roman" w:hAnsi="Times New Roman"/>
          <w:sz w:val="24"/>
          <w:szCs w:val="24"/>
        </w:rPr>
        <w:t>)</w:t>
      </w:r>
    </w:p>
    <w:p w:rsidR="00B86EA5" w:rsidRPr="00A90E28" w:rsidRDefault="00B86EA5" w:rsidP="00A90E28">
      <w:pPr>
        <w:pStyle w:val="ListParagraph"/>
        <w:numPr>
          <w:ilvl w:val="1"/>
          <w:numId w:val="12"/>
        </w:numPr>
        <w:spacing w:line="240" w:lineRule="auto"/>
        <w:ind w:left="1080"/>
        <w:rPr>
          <w:rFonts w:ascii="Times New Roman" w:hAnsi="Times New Roman"/>
          <w:sz w:val="24"/>
          <w:szCs w:val="24"/>
        </w:rPr>
      </w:pPr>
      <w:r w:rsidRPr="00A90E28">
        <w:rPr>
          <w:rFonts w:ascii="Times New Roman" w:hAnsi="Times New Roman"/>
          <w:sz w:val="24"/>
          <w:szCs w:val="24"/>
        </w:rPr>
        <w:t>Wholesaling and brokering</w:t>
      </w:r>
      <w:r w:rsidR="00576ACC" w:rsidRPr="00A90E28">
        <w:rPr>
          <w:rFonts w:ascii="Times New Roman" w:hAnsi="Times New Roman"/>
          <w:sz w:val="24"/>
          <w:szCs w:val="24"/>
        </w:rPr>
        <w:t xml:space="preserve"> of electronics and of recyclable materials (selected industries in NAICS 423)</w:t>
      </w:r>
    </w:p>
    <w:p w:rsidR="00B86EA5" w:rsidRPr="00A90E28" w:rsidRDefault="00B86EA5" w:rsidP="00A90E28">
      <w:pPr>
        <w:pStyle w:val="ListParagraph"/>
        <w:numPr>
          <w:ilvl w:val="1"/>
          <w:numId w:val="12"/>
        </w:numPr>
        <w:spacing w:line="240" w:lineRule="auto"/>
        <w:ind w:left="1080"/>
        <w:rPr>
          <w:rFonts w:ascii="Times New Roman" w:hAnsi="Times New Roman"/>
          <w:sz w:val="24"/>
          <w:szCs w:val="24"/>
        </w:rPr>
      </w:pPr>
      <w:r w:rsidRPr="00A90E28">
        <w:rPr>
          <w:rFonts w:ascii="Times New Roman" w:hAnsi="Times New Roman"/>
          <w:sz w:val="24"/>
          <w:szCs w:val="24"/>
        </w:rPr>
        <w:t>Repair and refurbishing</w:t>
      </w:r>
      <w:r w:rsidR="00576ACC" w:rsidRPr="00A90E28">
        <w:rPr>
          <w:rFonts w:ascii="Times New Roman" w:hAnsi="Times New Roman"/>
          <w:sz w:val="24"/>
          <w:szCs w:val="24"/>
        </w:rPr>
        <w:t xml:space="preserve"> of electronics products (selected industries in NAICS </w:t>
      </w:r>
      <w:r w:rsidR="00096351" w:rsidRPr="00A90E28">
        <w:rPr>
          <w:rFonts w:ascii="Times New Roman" w:hAnsi="Times New Roman"/>
          <w:sz w:val="24"/>
          <w:szCs w:val="24"/>
        </w:rPr>
        <w:t>811</w:t>
      </w:r>
      <w:r w:rsidR="00576ACC" w:rsidRPr="00A90E28">
        <w:rPr>
          <w:rFonts w:ascii="Times New Roman" w:hAnsi="Times New Roman"/>
          <w:sz w:val="24"/>
          <w:szCs w:val="24"/>
        </w:rPr>
        <w:t>)</w:t>
      </w:r>
    </w:p>
    <w:p w:rsidR="00096351" w:rsidRPr="00A90E28" w:rsidRDefault="00405E20" w:rsidP="00A90E28">
      <w:pPr>
        <w:pStyle w:val="ListParagraph"/>
        <w:numPr>
          <w:ilvl w:val="1"/>
          <w:numId w:val="12"/>
        </w:numPr>
        <w:spacing w:line="240" w:lineRule="auto"/>
        <w:ind w:left="1080"/>
        <w:rPr>
          <w:rFonts w:ascii="Times New Roman" w:hAnsi="Times New Roman"/>
          <w:sz w:val="24"/>
          <w:szCs w:val="24"/>
        </w:rPr>
      </w:pPr>
      <w:r w:rsidRPr="00A90E28">
        <w:rPr>
          <w:rFonts w:ascii="Times New Roman" w:hAnsi="Times New Roman"/>
          <w:sz w:val="24"/>
          <w:szCs w:val="24"/>
        </w:rPr>
        <w:t>Other services</w:t>
      </w:r>
      <w:r w:rsidR="00096351" w:rsidRPr="00A90E28">
        <w:rPr>
          <w:rFonts w:ascii="Times New Roman" w:hAnsi="Times New Roman"/>
          <w:sz w:val="24"/>
          <w:szCs w:val="24"/>
        </w:rPr>
        <w:t xml:space="preserve"> (selected industries in</w:t>
      </w:r>
      <w:r w:rsidR="0093197A" w:rsidRPr="00A90E28">
        <w:rPr>
          <w:rFonts w:ascii="Times New Roman" w:hAnsi="Times New Roman"/>
          <w:sz w:val="24"/>
          <w:szCs w:val="24"/>
        </w:rPr>
        <w:t xml:space="preserve"> NAICS 541, 561, 624, and 813)</w:t>
      </w:r>
      <w:r w:rsidR="00096351" w:rsidRPr="00A90E28">
        <w:rPr>
          <w:rFonts w:ascii="Times New Roman" w:hAnsi="Times New Roman"/>
          <w:sz w:val="24"/>
          <w:szCs w:val="24"/>
        </w:rPr>
        <w:t xml:space="preserve">. </w:t>
      </w:r>
      <w:r w:rsidRPr="00A90E28">
        <w:rPr>
          <w:rFonts w:ascii="Times New Roman" w:hAnsi="Times New Roman"/>
          <w:sz w:val="24"/>
          <w:szCs w:val="24"/>
        </w:rPr>
        <w:t>Because of the breadth of these</w:t>
      </w:r>
      <w:r w:rsidR="00096351" w:rsidRPr="00A90E28">
        <w:rPr>
          <w:rFonts w:ascii="Times New Roman" w:hAnsi="Times New Roman"/>
          <w:sz w:val="24"/>
          <w:szCs w:val="24"/>
        </w:rPr>
        <w:t xml:space="preserve"> industries and the limited number of relevant firms in them, a keyword search was used to identify relevant firms, such as companies that dispose of</w:t>
      </w:r>
      <w:r w:rsidR="00A57BD0">
        <w:rPr>
          <w:rFonts w:ascii="Times New Roman" w:hAnsi="Times New Roman"/>
          <w:sz w:val="24"/>
          <w:szCs w:val="24"/>
        </w:rPr>
        <w:t xml:space="preserve"> </w:t>
      </w:r>
      <w:r w:rsidR="00096351" w:rsidRPr="00A90E28">
        <w:rPr>
          <w:rFonts w:ascii="Times New Roman" w:hAnsi="Times New Roman"/>
          <w:sz w:val="24"/>
          <w:szCs w:val="24"/>
        </w:rPr>
        <w:t>IT assets or charitable organizations that send used computers abroad.</w:t>
      </w:r>
    </w:p>
    <w:p w:rsidR="00573741" w:rsidRDefault="00573741" w:rsidP="00A90E28">
      <w:pPr>
        <w:pStyle w:val="ListParagraph"/>
        <w:spacing w:line="240" w:lineRule="auto"/>
        <w:ind w:left="0"/>
        <w:rPr>
          <w:rFonts w:ascii="Times New Roman" w:hAnsi="Times New Roman"/>
          <w:sz w:val="24"/>
          <w:szCs w:val="24"/>
        </w:rPr>
      </w:pPr>
    </w:p>
    <w:p w:rsidR="00C12BF7" w:rsidRPr="00A90E28" w:rsidRDefault="00573741" w:rsidP="00A90E28">
      <w:pPr>
        <w:rPr>
          <w:sz w:val="24"/>
          <w:szCs w:val="24"/>
        </w:rPr>
      </w:pPr>
      <w:r w:rsidRPr="00A90E28">
        <w:rPr>
          <w:sz w:val="24"/>
          <w:szCs w:val="24"/>
        </w:rPr>
        <w:t>The</w:t>
      </w:r>
      <w:r w:rsidR="00B658A3" w:rsidRPr="00A90E28">
        <w:rPr>
          <w:sz w:val="24"/>
          <w:szCs w:val="24"/>
        </w:rPr>
        <w:t xml:space="preserve"> firms </w:t>
      </w:r>
      <w:r w:rsidR="006B0044" w:rsidRPr="00A90E28">
        <w:rPr>
          <w:sz w:val="24"/>
          <w:szCs w:val="24"/>
        </w:rPr>
        <w:t xml:space="preserve">identified </w:t>
      </w:r>
      <w:r w:rsidRPr="00A90E28">
        <w:rPr>
          <w:sz w:val="24"/>
          <w:szCs w:val="24"/>
        </w:rPr>
        <w:t xml:space="preserve">in </w:t>
      </w:r>
      <w:r w:rsidR="00096351" w:rsidRPr="00A90E28">
        <w:rPr>
          <w:sz w:val="24"/>
          <w:szCs w:val="24"/>
        </w:rPr>
        <w:t>Orbis</w:t>
      </w:r>
      <w:r w:rsidRPr="00A90E28">
        <w:rPr>
          <w:sz w:val="24"/>
          <w:szCs w:val="24"/>
        </w:rPr>
        <w:t xml:space="preserve"> </w:t>
      </w:r>
      <w:r w:rsidR="00B658A3" w:rsidRPr="00A90E28">
        <w:rPr>
          <w:sz w:val="24"/>
          <w:szCs w:val="24"/>
        </w:rPr>
        <w:t xml:space="preserve">are </w:t>
      </w:r>
      <w:r w:rsidR="009C71CE" w:rsidRPr="00A90E28">
        <w:rPr>
          <w:sz w:val="24"/>
          <w:szCs w:val="24"/>
        </w:rPr>
        <w:t xml:space="preserve">thought to be </w:t>
      </w:r>
      <w:r w:rsidR="00B658A3" w:rsidRPr="00A90E28">
        <w:rPr>
          <w:sz w:val="24"/>
          <w:szCs w:val="24"/>
        </w:rPr>
        <w:t>less likely</w:t>
      </w:r>
      <w:r w:rsidR="00953CCB" w:rsidRPr="00A90E28">
        <w:rPr>
          <w:sz w:val="24"/>
          <w:szCs w:val="24"/>
        </w:rPr>
        <w:t xml:space="preserve"> </w:t>
      </w:r>
      <w:r w:rsidR="00CD222B" w:rsidRPr="00A90E28">
        <w:rPr>
          <w:sz w:val="24"/>
          <w:szCs w:val="24"/>
        </w:rPr>
        <w:t>engaged</w:t>
      </w:r>
      <w:r w:rsidR="00C44159" w:rsidRPr="00A90E28">
        <w:rPr>
          <w:sz w:val="24"/>
          <w:szCs w:val="24"/>
        </w:rPr>
        <w:t xml:space="preserve"> in </w:t>
      </w:r>
      <w:r w:rsidR="00A90E28" w:rsidRPr="00A90E28">
        <w:rPr>
          <w:sz w:val="24"/>
          <w:szCs w:val="24"/>
        </w:rPr>
        <w:t xml:space="preserve">used electronics </w:t>
      </w:r>
      <w:r w:rsidR="00C44159" w:rsidRPr="00A90E28">
        <w:rPr>
          <w:sz w:val="24"/>
          <w:szCs w:val="24"/>
        </w:rPr>
        <w:t>activities</w:t>
      </w:r>
      <w:r w:rsidR="009C71CE" w:rsidRPr="00A90E28">
        <w:rPr>
          <w:sz w:val="24"/>
          <w:szCs w:val="24"/>
        </w:rPr>
        <w:t xml:space="preserve"> than firms identified </w:t>
      </w:r>
      <w:r w:rsidR="00096351" w:rsidRPr="00A90E28">
        <w:rPr>
          <w:sz w:val="24"/>
          <w:szCs w:val="24"/>
        </w:rPr>
        <w:t>through industry associations</w:t>
      </w:r>
      <w:r w:rsidR="0078105A">
        <w:rPr>
          <w:sz w:val="24"/>
          <w:szCs w:val="24"/>
        </w:rPr>
        <w:t xml:space="preserve"> and Census</w:t>
      </w:r>
      <w:r w:rsidR="00C44159" w:rsidRPr="00A90E28">
        <w:rPr>
          <w:sz w:val="24"/>
          <w:szCs w:val="24"/>
        </w:rPr>
        <w:t xml:space="preserve">, </w:t>
      </w:r>
      <w:r w:rsidR="00B658A3" w:rsidRPr="00A90E28">
        <w:rPr>
          <w:sz w:val="24"/>
          <w:szCs w:val="24"/>
        </w:rPr>
        <w:t xml:space="preserve">but will </w:t>
      </w:r>
      <w:r w:rsidR="00C44159" w:rsidRPr="00A90E28">
        <w:rPr>
          <w:sz w:val="24"/>
          <w:szCs w:val="24"/>
        </w:rPr>
        <w:t xml:space="preserve">nevertheless </w:t>
      </w:r>
      <w:r w:rsidR="00B658A3" w:rsidRPr="00A90E28">
        <w:rPr>
          <w:sz w:val="24"/>
          <w:szCs w:val="24"/>
        </w:rPr>
        <w:t xml:space="preserve">enable the USITC to </w:t>
      </w:r>
      <w:r w:rsidR="009C71CE" w:rsidRPr="00A90E28">
        <w:rPr>
          <w:sz w:val="24"/>
          <w:szCs w:val="24"/>
        </w:rPr>
        <w:t xml:space="preserve">capture responses from a greater number of firms potentially </w:t>
      </w:r>
      <w:r w:rsidR="0093197A" w:rsidRPr="00A90E28">
        <w:rPr>
          <w:sz w:val="24"/>
          <w:szCs w:val="24"/>
        </w:rPr>
        <w:t>exporting used electronic products</w:t>
      </w:r>
      <w:r w:rsidR="00C44159" w:rsidRPr="00A90E28">
        <w:rPr>
          <w:sz w:val="24"/>
          <w:szCs w:val="24"/>
        </w:rPr>
        <w:t>.</w:t>
      </w:r>
      <w:r w:rsidR="00637E08" w:rsidRPr="00A90E28">
        <w:rPr>
          <w:sz w:val="24"/>
          <w:szCs w:val="24"/>
        </w:rPr>
        <w:t xml:space="preserve"> </w:t>
      </w:r>
    </w:p>
    <w:p w:rsidR="00405E20" w:rsidRPr="00A90E28" w:rsidRDefault="00405E20" w:rsidP="00A90E28">
      <w:pPr>
        <w:rPr>
          <w:sz w:val="24"/>
          <w:szCs w:val="24"/>
        </w:rPr>
      </w:pPr>
    </w:p>
    <w:p w:rsidR="00405E20" w:rsidRDefault="00B54209" w:rsidP="00A90E28">
      <w:pPr>
        <w:rPr>
          <w:sz w:val="24"/>
          <w:szCs w:val="24"/>
        </w:rPr>
      </w:pPr>
      <w:r w:rsidRPr="00A90E28">
        <w:rPr>
          <w:sz w:val="24"/>
          <w:szCs w:val="24"/>
        </w:rPr>
        <w:t xml:space="preserve">Firms </w:t>
      </w:r>
      <w:r w:rsidR="00CD222B" w:rsidRPr="00A90E28">
        <w:rPr>
          <w:sz w:val="24"/>
          <w:szCs w:val="24"/>
        </w:rPr>
        <w:t>are stratified</w:t>
      </w:r>
      <w:r w:rsidR="0044101B" w:rsidRPr="00A90E28">
        <w:rPr>
          <w:sz w:val="24"/>
          <w:szCs w:val="24"/>
        </w:rPr>
        <w:t xml:space="preserve"> </w:t>
      </w:r>
      <w:r w:rsidR="00405E20" w:rsidRPr="00A90E28">
        <w:rPr>
          <w:sz w:val="24"/>
          <w:szCs w:val="24"/>
        </w:rPr>
        <w:t xml:space="preserve">along three dimensions: (1) </w:t>
      </w:r>
      <w:r w:rsidR="00126399" w:rsidRPr="00A90E28">
        <w:rPr>
          <w:sz w:val="24"/>
          <w:szCs w:val="24"/>
        </w:rPr>
        <w:t xml:space="preserve">data source, (2) </w:t>
      </w:r>
      <w:r w:rsidR="00405E20" w:rsidRPr="00A90E28">
        <w:rPr>
          <w:sz w:val="24"/>
          <w:szCs w:val="24"/>
        </w:rPr>
        <w:t>industry,</w:t>
      </w:r>
      <w:r w:rsidR="00126399" w:rsidRPr="00A90E28">
        <w:rPr>
          <w:sz w:val="24"/>
          <w:szCs w:val="24"/>
        </w:rPr>
        <w:t xml:space="preserve"> and (3</w:t>
      </w:r>
      <w:r w:rsidR="00405E20" w:rsidRPr="00A90E28">
        <w:rPr>
          <w:sz w:val="24"/>
          <w:szCs w:val="24"/>
        </w:rPr>
        <w:t>) size</w:t>
      </w:r>
      <w:r w:rsidR="0044101B" w:rsidRPr="00A90E28">
        <w:rPr>
          <w:sz w:val="24"/>
          <w:szCs w:val="24"/>
        </w:rPr>
        <w:t>.</w:t>
      </w:r>
      <w:r w:rsidR="00637E08" w:rsidRPr="00A90E28">
        <w:rPr>
          <w:sz w:val="24"/>
          <w:szCs w:val="24"/>
        </w:rPr>
        <w:t xml:space="preserve"> </w:t>
      </w:r>
    </w:p>
    <w:p w:rsidR="00A90E28" w:rsidRPr="00A90E28" w:rsidRDefault="00A90E28" w:rsidP="00A90E28">
      <w:pPr>
        <w:rPr>
          <w:sz w:val="24"/>
          <w:szCs w:val="24"/>
        </w:rPr>
      </w:pPr>
    </w:p>
    <w:p w:rsidR="00126399" w:rsidRDefault="00126399" w:rsidP="00154DE5">
      <w:pPr>
        <w:pStyle w:val="ListParagraph"/>
        <w:numPr>
          <w:ilvl w:val="0"/>
          <w:numId w:val="9"/>
        </w:numPr>
        <w:spacing w:after="0" w:line="240" w:lineRule="auto"/>
        <w:rPr>
          <w:rFonts w:ascii="Times New Roman" w:hAnsi="Times New Roman"/>
          <w:sz w:val="24"/>
          <w:szCs w:val="24"/>
        </w:rPr>
      </w:pPr>
      <w:r w:rsidRPr="00A90E28">
        <w:rPr>
          <w:rFonts w:ascii="Times New Roman" w:hAnsi="Times New Roman"/>
          <w:sz w:val="24"/>
          <w:szCs w:val="24"/>
        </w:rPr>
        <w:t>The data source is either the industry association list</w:t>
      </w:r>
      <w:r w:rsidR="008F7E8C">
        <w:rPr>
          <w:rFonts w:ascii="Times New Roman" w:hAnsi="Times New Roman"/>
          <w:sz w:val="24"/>
          <w:szCs w:val="24"/>
        </w:rPr>
        <w:t>, the Census list,</w:t>
      </w:r>
      <w:r w:rsidRPr="00A90E28">
        <w:rPr>
          <w:rFonts w:ascii="Times New Roman" w:hAnsi="Times New Roman"/>
          <w:sz w:val="24"/>
          <w:szCs w:val="24"/>
        </w:rPr>
        <w:t xml:space="preserve"> or the Orbis-based list, as given above.</w:t>
      </w:r>
      <w:r w:rsidR="006B0044" w:rsidRPr="00A90E28">
        <w:rPr>
          <w:rFonts w:ascii="Times New Roman" w:hAnsi="Times New Roman"/>
          <w:sz w:val="24"/>
          <w:szCs w:val="24"/>
        </w:rPr>
        <w:t xml:space="preserve"> Stratifying by source is used to reflect the higher incidence of used electronics exporters in the </w:t>
      </w:r>
      <w:r w:rsidR="008F7E8C">
        <w:rPr>
          <w:rFonts w:ascii="Times New Roman" w:hAnsi="Times New Roman"/>
          <w:sz w:val="24"/>
          <w:szCs w:val="24"/>
        </w:rPr>
        <w:t xml:space="preserve">Census and </w:t>
      </w:r>
      <w:r w:rsidR="006B0044" w:rsidRPr="00A90E28">
        <w:rPr>
          <w:rFonts w:ascii="Times New Roman" w:hAnsi="Times New Roman"/>
          <w:sz w:val="24"/>
          <w:szCs w:val="24"/>
        </w:rPr>
        <w:t>industry association list</w:t>
      </w:r>
      <w:r w:rsidR="008F7E8C">
        <w:rPr>
          <w:rFonts w:ascii="Times New Roman" w:hAnsi="Times New Roman"/>
          <w:sz w:val="24"/>
          <w:szCs w:val="24"/>
        </w:rPr>
        <w:t>s than in the Orbis list</w:t>
      </w:r>
      <w:r w:rsidR="006B0044" w:rsidRPr="00A90E28">
        <w:rPr>
          <w:rFonts w:ascii="Times New Roman" w:hAnsi="Times New Roman"/>
          <w:sz w:val="24"/>
          <w:szCs w:val="24"/>
        </w:rPr>
        <w:t>.</w:t>
      </w:r>
    </w:p>
    <w:p w:rsidR="00154DE5" w:rsidRPr="00A90E28" w:rsidRDefault="00154DE5" w:rsidP="00154DE5">
      <w:pPr>
        <w:pStyle w:val="ListParagraph"/>
        <w:spacing w:after="0" w:line="240" w:lineRule="auto"/>
        <w:rPr>
          <w:rFonts w:ascii="Times New Roman" w:hAnsi="Times New Roman"/>
          <w:sz w:val="24"/>
          <w:szCs w:val="24"/>
        </w:rPr>
      </w:pPr>
    </w:p>
    <w:p w:rsidR="00154DE5" w:rsidRDefault="00126399" w:rsidP="00154DE5">
      <w:pPr>
        <w:pStyle w:val="ListParagraph"/>
        <w:numPr>
          <w:ilvl w:val="0"/>
          <w:numId w:val="9"/>
        </w:numPr>
        <w:spacing w:after="0" w:line="240" w:lineRule="auto"/>
        <w:rPr>
          <w:rFonts w:ascii="Times New Roman" w:hAnsi="Times New Roman"/>
          <w:sz w:val="24"/>
          <w:szCs w:val="24"/>
        </w:rPr>
      </w:pPr>
      <w:r w:rsidRPr="00A90E28">
        <w:rPr>
          <w:rFonts w:ascii="Times New Roman" w:hAnsi="Times New Roman"/>
          <w:sz w:val="24"/>
          <w:szCs w:val="24"/>
        </w:rPr>
        <w:t>Industries include the s</w:t>
      </w:r>
      <w:r w:rsidR="0043347E" w:rsidRPr="00A90E28">
        <w:rPr>
          <w:rFonts w:ascii="Times New Roman" w:hAnsi="Times New Roman"/>
          <w:sz w:val="24"/>
          <w:szCs w:val="24"/>
        </w:rPr>
        <w:t>ix</w:t>
      </w:r>
      <w:r w:rsidRPr="00A90E28">
        <w:rPr>
          <w:rFonts w:ascii="Times New Roman" w:hAnsi="Times New Roman"/>
          <w:sz w:val="24"/>
          <w:szCs w:val="24"/>
        </w:rPr>
        <w:t xml:space="preserve"> sectors</w:t>
      </w:r>
      <w:r w:rsidR="00405E20" w:rsidRPr="00A90E28">
        <w:rPr>
          <w:rFonts w:ascii="Times New Roman" w:hAnsi="Times New Roman"/>
          <w:sz w:val="24"/>
          <w:szCs w:val="24"/>
        </w:rPr>
        <w:t xml:space="preserve"> </w:t>
      </w:r>
      <w:r w:rsidRPr="00A90E28">
        <w:rPr>
          <w:rFonts w:ascii="Times New Roman" w:hAnsi="Times New Roman"/>
          <w:sz w:val="24"/>
          <w:szCs w:val="24"/>
        </w:rPr>
        <w:t xml:space="preserve">given above, </w:t>
      </w:r>
      <w:r w:rsidR="00405E20" w:rsidRPr="00A90E28">
        <w:rPr>
          <w:rFonts w:ascii="Times New Roman" w:hAnsi="Times New Roman"/>
          <w:sz w:val="24"/>
          <w:szCs w:val="24"/>
        </w:rPr>
        <w:t>such as w</w:t>
      </w:r>
      <w:r w:rsidRPr="00A90E28">
        <w:rPr>
          <w:rFonts w:ascii="Times New Roman" w:hAnsi="Times New Roman"/>
          <w:sz w:val="24"/>
          <w:szCs w:val="24"/>
        </w:rPr>
        <w:t>aste management and remediation</w:t>
      </w:r>
      <w:r w:rsidR="006B0044" w:rsidRPr="00A90E28">
        <w:rPr>
          <w:rFonts w:ascii="Times New Roman" w:hAnsi="Times New Roman"/>
          <w:sz w:val="24"/>
          <w:szCs w:val="24"/>
        </w:rPr>
        <w:t>, smelting of nonferrous metals, and</w:t>
      </w:r>
      <w:r w:rsidR="00405E20" w:rsidRPr="00A90E28">
        <w:rPr>
          <w:rFonts w:ascii="Times New Roman" w:hAnsi="Times New Roman"/>
          <w:sz w:val="24"/>
          <w:szCs w:val="24"/>
        </w:rPr>
        <w:t xml:space="preserve"> </w:t>
      </w:r>
      <w:r w:rsidRPr="00A90E28">
        <w:rPr>
          <w:rFonts w:ascii="Times New Roman" w:hAnsi="Times New Roman"/>
          <w:sz w:val="24"/>
          <w:szCs w:val="24"/>
        </w:rPr>
        <w:t>electronics manufacturing.</w:t>
      </w:r>
    </w:p>
    <w:p w:rsidR="00154DE5" w:rsidRPr="00154DE5" w:rsidRDefault="00154DE5" w:rsidP="00154DE5">
      <w:pPr>
        <w:rPr>
          <w:sz w:val="24"/>
          <w:szCs w:val="24"/>
        </w:rPr>
      </w:pPr>
    </w:p>
    <w:p w:rsidR="006C2F09" w:rsidRPr="00A90E28" w:rsidRDefault="00405E20" w:rsidP="00154DE5">
      <w:pPr>
        <w:pStyle w:val="ListParagraph"/>
        <w:numPr>
          <w:ilvl w:val="0"/>
          <w:numId w:val="9"/>
        </w:numPr>
        <w:spacing w:after="0" w:line="240" w:lineRule="auto"/>
        <w:rPr>
          <w:rFonts w:ascii="Times New Roman" w:hAnsi="Times New Roman"/>
          <w:sz w:val="24"/>
          <w:szCs w:val="24"/>
        </w:rPr>
      </w:pPr>
      <w:r w:rsidRPr="00A90E28">
        <w:rPr>
          <w:rFonts w:ascii="Times New Roman" w:hAnsi="Times New Roman"/>
          <w:sz w:val="24"/>
          <w:szCs w:val="24"/>
        </w:rPr>
        <w:t xml:space="preserve">Size is defined by employment. </w:t>
      </w:r>
      <w:r w:rsidR="00B02E0A" w:rsidRPr="00A90E28">
        <w:rPr>
          <w:rFonts w:ascii="Times New Roman" w:hAnsi="Times New Roman"/>
          <w:sz w:val="24"/>
          <w:szCs w:val="24"/>
        </w:rPr>
        <w:t>Although the main variable of interest is exports, there are no firm-level export data available prior to sampling.</w:t>
      </w:r>
      <w:r w:rsidR="00A57BD0">
        <w:rPr>
          <w:rFonts w:ascii="Times New Roman" w:hAnsi="Times New Roman"/>
          <w:sz w:val="24"/>
          <w:szCs w:val="24"/>
        </w:rPr>
        <w:t xml:space="preserve"> </w:t>
      </w:r>
      <w:r w:rsidR="00B02E0A" w:rsidRPr="00A90E28">
        <w:rPr>
          <w:rFonts w:ascii="Times New Roman" w:hAnsi="Times New Roman"/>
          <w:sz w:val="24"/>
          <w:szCs w:val="24"/>
        </w:rPr>
        <w:t>Employment is the most available measure of firm size in the Orbis data and is known to be highly correlated with exports.</w:t>
      </w:r>
    </w:p>
    <w:p w:rsidR="00B02E0A" w:rsidRPr="00A90E28" w:rsidRDefault="00B02E0A" w:rsidP="00154DE5">
      <w:pPr>
        <w:pStyle w:val="ListParagraph"/>
        <w:numPr>
          <w:ilvl w:val="1"/>
          <w:numId w:val="9"/>
        </w:numPr>
        <w:spacing w:after="0" w:line="240" w:lineRule="auto"/>
        <w:rPr>
          <w:rFonts w:ascii="Times New Roman" w:hAnsi="Times New Roman"/>
          <w:sz w:val="24"/>
          <w:szCs w:val="24"/>
        </w:rPr>
      </w:pPr>
      <w:r w:rsidRPr="00A90E28">
        <w:rPr>
          <w:rFonts w:ascii="Times New Roman" w:hAnsi="Times New Roman"/>
          <w:sz w:val="24"/>
          <w:szCs w:val="24"/>
        </w:rPr>
        <w:t>The smallest firms in each stratum are not sampled to reduce respondent burden and to improve the statistical properties of the remaining estimates.</w:t>
      </w:r>
      <w:r w:rsidRPr="00A90E28">
        <w:rPr>
          <w:rStyle w:val="FootnoteReference"/>
          <w:rFonts w:ascii="Times New Roman" w:hAnsi="Times New Roman"/>
          <w:sz w:val="24"/>
          <w:szCs w:val="24"/>
        </w:rPr>
        <w:footnoteReference w:id="2"/>
      </w:r>
    </w:p>
    <w:p w:rsidR="006C2F09" w:rsidRPr="00A90E28" w:rsidRDefault="00405E20" w:rsidP="00154DE5">
      <w:pPr>
        <w:pStyle w:val="ListParagraph"/>
        <w:numPr>
          <w:ilvl w:val="1"/>
          <w:numId w:val="9"/>
        </w:numPr>
        <w:spacing w:after="0" w:line="240" w:lineRule="auto"/>
        <w:rPr>
          <w:rFonts w:ascii="Times New Roman" w:hAnsi="Times New Roman"/>
          <w:sz w:val="24"/>
          <w:szCs w:val="24"/>
        </w:rPr>
      </w:pPr>
      <w:r w:rsidRPr="00A90E28">
        <w:rPr>
          <w:rFonts w:ascii="Times New Roman" w:hAnsi="Times New Roman"/>
          <w:sz w:val="24"/>
          <w:szCs w:val="24"/>
        </w:rPr>
        <w:t>Small firms are defined as firms</w:t>
      </w:r>
      <w:r w:rsidR="006C2F09" w:rsidRPr="00A90E28">
        <w:rPr>
          <w:rFonts w:ascii="Times New Roman" w:hAnsi="Times New Roman"/>
          <w:sz w:val="24"/>
          <w:szCs w:val="24"/>
        </w:rPr>
        <w:t xml:space="preserve"> with fewer than 100 employees</w:t>
      </w:r>
    </w:p>
    <w:p w:rsidR="00B02E0A" w:rsidRPr="00A90E28" w:rsidRDefault="006C2F09" w:rsidP="00154DE5">
      <w:pPr>
        <w:pStyle w:val="ListParagraph"/>
        <w:numPr>
          <w:ilvl w:val="1"/>
          <w:numId w:val="9"/>
        </w:numPr>
        <w:spacing w:after="0" w:line="240" w:lineRule="auto"/>
        <w:rPr>
          <w:rFonts w:ascii="Times New Roman" w:hAnsi="Times New Roman"/>
          <w:sz w:val="24"/>
          <w:szCs w:val="24"/>
        </w:rPr>
      </w:pPr>
      <w:r w:rsidRPr="00A90E28">
        <w:rPr>
          <w:rFonts w:ascii="Times New Roman" w:hAnsi="Times New Roman"/>
          <w:sz w:val="24"/>
          <w:szCs w:val="24"/>
        </w:rPr>
        <w:t>L</w:t>
      </w:r>
      <w:r w:rsidR="00405E20" w:rsidRPr="00A90E28">
        <w:rPr>
          <w:rFonts w:ascii="Times New Roman" w:hAnsi="Times New Roman"/>
          <w:sz w:val="24"/>
          <w:szCs w:val="24"/>
        </w:rPr>
        <w:t>arge firms are defined as fi</w:t>
      </w:r>
      <w:r w:rsidR="006B0044" w:rsidRPr="00A90E28">
        <w:rPr>
          <w:rFonts w:ascii="Times New Roman" w:hAnsi="Times New Roman"/>
          <w:sz w:val="24"/>
          <w:szCs w:val="24"/>
        </w:rPr>
        <w:t xml:space="preserve">rms with 100 or more employees. </w:t>
      </w:r>
    </w:p>
    <w:p w:rsidR="006C2F09" w:rsidRDefault="006B0044" w:rsidP="00154DE5">
      <w:pPr>
        <w:pStyle w:val="ListParagraph"/>
        <w:numPr>
          <w:ilvl w:val="1"/>
          <w:numId w:val="9"/>
        </w:numPr>
        <w:spacing w:after="0" w:line="240" w:lineRule="auto"/>
        <w:rPr>
          <w:rFonts w:ascii="Times New Roman" w:hAnsi="Times New Roman"/>
          <w:sz w:val="24"/>
          <w:szCs w:val="24"/>
        </w:rPr>
      </w:pPr>
      <w:r w:rsidRPr="00A90E28">
        <w:rPr>
          <w:rFonts w:ascii="Times New Roman" w:hAnsi="Times New Roman"/>
          <w:sz w:val="24"/>
          <w:szCs w:val="24"/>
        </w:rPr>
        <w:t xml:space="preserve">Two industries had very heterogeneous </w:t>
      </w:r>
      <w:r w:rsidR="00B02E0A" w:rsidRPr="00A90E28">
        <w:rPr>
          <w:rFonts w:ascii="Times New Roman" w:hAnsi="Times New Roman"/>
          <w:sz w:val="24"/>
          <w:szCs w:val="24"/>
        </w:rPr>
        <w:t>large firms,</w:t>
      </w:r>
      <w:r w:rsidRPr="00A90E28">
        <w:rPr>
          <w:rFonts w:ascii="Times New Roman" w:hAnsi="Times New Roman"/>
          <w:sz w:val="24"/>
          <w:szCs w:val="24"/>
        </w:rPr>
        <w:t xml:space="preserve"> so a separate stratum for very large firms with more than 1,000 </w:t>
      </w:r>
      <w:r w:rsidR="006F6387" w:rsidRPr="00A90E28">
        <w:rPr>
          <w:rFonts w:ascii="Times New Roman" w:hAnsi="Times New Roman"/>
          <w:sz w:val="24"/>
          <w:szCs w:val="24"/>
        </w:rPr>
        <w:t>employees</w:t>
      </w:r>
      <w:r w:rsidRPr="00A90E28">
        <w:rPr>
          <w:rFonts w:ascii="Times New Roman" w:hAnsi="Times New Roman"/>
          <w:sz w:val="24"/>
          <w:szCs w:val="24"/>
        </w:rPr>
        <w:t xml:space="preserve"> </w:t>
      </w:r>
      <w:r w:rsidR="00B02E0A" w:rsidRPr="00A90E28">
        <w:rPr>
          <w:rFonts w:ascii="Times New Roman" w:hAnsi="Times New Roman"/>
          <w:sz w:val="24"/>
          <w:szCs w:val="24"/>
        </w:rPr>
        <w:t>was introduced in the</w:t>
      </w:r>
      <w:r w:rsidR="002A058A">
        <w:rPr>
          <w:rFonts w:ascii="Times New Roman" w:hAnsi="Times New Roman"/>
          <w:sz w:val="24"/>
          <w:szCs w:val="24"/>
        </w:rPr>
        <w:t xml:space="preserve"> electronics</w:t>
      </w:r>
      <w:r w:rsidR="00B02E0A" w:rsidRPr="00A90E28">
        <w:rPr>
          <w:rFonts w:ascii="Times New Roman" w:hAnsi="Times New Roman"/>
          <w:sz w:val="24"/>
          <w:szCs w:val="24"/>
        </w:rPr>
        <w:t xml:space="preserve"> manufacturing and “other services”</w:t>
      </w:r>
      <w:r w:rsidRPr="00A90E28">
        <w:rPr>
          <w:rFonts w:ascii="Times New Roman" w:hAnsi="Times New Roman"/>
          <w:sz w:val="24"/>
          <w:szCs w:val="24"/>
        </w:rPr>
        <w:t xml:space="preserve"> sectors.</w:t>
      </w:r>
    </w:p>
    <w:p w:rsidR="00154DE5" w:rsidRDefault="00154DE5" w:rsidP="00724165">
      <w:pPr>
        <w:rPr>
          <w:sz w:val="24"/>
          <w:szCs w:val="24"/>
        </w:rPr>
      </w:pPr>
    </w:p>
    <w:p w:rsidR="00724165" w:rsidRDefault="00724165" w:rsidP="00724165">
      <w:pPr>
        <w:rPr>
          <w:sz w:val="24"/>
          <w:szCs w:val="24"/>
        </w:rPr>
      </w:pPr>
      <w:r w:rsidRPr="00A90E28">
        <w:rPr>
          <w:sz w:val="24"/>
          <w:szCs w:val="24"/>
        </w:rPr>
        <w:t>T</w:t>
      </w:r>
      <w:r>
        <w:rPr>
          <w:sz w:val="24"/>
          <w:szCs w:val="24"/>
        </w:rPr>
        <w:t>able 1 presents t</w:t>
      </w:r>
      <w:r w:rsidRPr="00A90E28">
        <w:rPr>
          <w:sz w:val="24"/>
          <w:szCs w:val="24"/>
        </w:rPr>
        <w:t>he number of firms in e</w:t>
      </w:r>
      <w:r>
        <w:rPr>
          <w:sz w:val="24"/>
          <w:szCs w:val="24"/>
        </w:rPr>
        <w:t>ach stratum and the sample size, selected following the methodology described below.</w:t>
      </w:r>
      <w:r w:rsidR="00B64761">
        <w:rPr>
          <w:sz w:val="24"/>
          <w:szCs w:val="24"/>
        </w:rPr>
        <w:t xml:space="preserve"> </w:t>
      </w:r>
    </w:p>
    <w:p w:rsidR="00B64761" w:rsidRDefault="00B64761" w:rsidP="00724165">
      <w:pPr>
        <w:rPr>
          <w:sz w:val="24"/>
          <w:szCs w:val="24"/>
        </w:rPr>
      </w:pPr>
    </w:p>
    <w:p w:rsidR="00B64761" w:rsidRDefault="00B64761" w:rsidP="00724165">
      <w:pPr>
        <w:rPr>
          <w:sz w:val="24"/>
          <w:szCs w:val="24"/>
        </w:rPr>
      </w:pPr>
      <w:r>
        <w:rPr>
          <w:sz w:val="24"/>
          <w:szCs w:val="24"/>
        </w:rPr>
        <w:t>Table 1 does not include the population or sample size for firms on the Census list.</w:t>
      </w:r>
      <w:r w:rsidR="00905A71">
        <w:rPr>
          <w:sz w:val="24"/>
          <w:szCs w:val="24"/>
        </w:rPr>
        <w:t xml:space="preserve"> </w:t>
      </w:r>
      <w:r w:rsidR="009D1C21">
        <w:rPr>
          <w:sz w:val="24"/>
          <w:szCs w:val="24"/>
        </w:rPr>
        <w:t xml:space="preserve"> The Census Bureau has determined that the release of confidential firm-level export data for use in this study is in the national interest. </w:t>
      </w:r>
      <w:r>
        <w:rPr>
          <w:sz w:val="24"/>
          <w:szCs w:val="24"/>
        </w:rPr>
        <w:t>The</w:t>
      </w:r>
      <w:r w:rsidR="009D1C21">
        <w:rPr>
          <w:sz w:val="24"/>
          <w:szCs w:val="24"/>
        </w:rPr>
        <w:t xml:space="preserve">y will provide data on firms that export products with </w:t>
      </w:r>
      <w:r w:rsidR="00FA0A4A">
        <w:rPr>
          <w:sz w:val="24"/>
          <w:szCs w:val="24"/>
        </w:rPr>
        <w:t xml:space="preserve">low unit values </w:t>
      </w:r>
      <w:r w:rsidR="009D1C21">
        <w:rPr>
          <w:sz w:val="24"/>
          <w:szCs w:val="24"/>
        </w:rPr>
        <w:t>in HTS chapters 84 and 85. These HTS codes include the majority of electronics products relevant to this study</w:t>
      </w:r>
      <w:r>
        <w:rPr>
          <w:sz w:val="24"/>
          <w:szCs w:val="24"/>
        </w:rPr>
        <w:t>.</w:t>
      </w:r>
      <w:r w:rsidR="00905A71">
        <w:rPr>
          <w:sz w:val="24"/>
          <w:szCs w:val="24"/>
        </w:rPr>
        <w:t xml:space="preserve"> </w:t>
      </w:r>
      <w:r w:rsidR="009D1C21">
        <w:rPr>
          <w:sz w:val="24"/>
          <w:szCs w:val="24"/>
        </w:rPr>
        <w:t>Because the</w:t>
      </w:r>
      <w:r>
        <w:rPr>
          <w:sz w:val="24"/>
          <w:szCs w:val="24"/>
        </w:rPr>
        <w:t xml:space="preserve"> data are not yet available to staff at the USITC, they have not been included in the total number of firms in the population </w:t>
      </w:r>
      <w:r w:rsidR="009D1C21">
        <w:rPr>
          <w:sz w:val="24"/>
          <w:szCs w:val="24"/>
        </w:rPr>
        <w:t>or sample in table 1</w:t>
      </w:r>
      <w:r>
        <w:rPr>
          <w:sz w:val="24"/>
          <w:szCs w:val="24"/>
        </w:rPr>
        <w:t>.</w:t>
      </w:r>
      <w:r w:rsidR="00905A71">
        <w:rPr>
          <w:sz w:val="24"/>
          <w:szCs w:val="24"/>
        </w:rPr>
        <w:t xml:space="preserve"> </w:t>
      </w:r>
      <w:r>
        <w:rPr>
          <w:sz w:val="24"/>
          <w:szCs w:val="24"/>
        </w:rPr>
        <w:t>If the Census list become available in time, the USITC will include 300 of these firms in the sample.</w:t>
      </w:r>
      <w:r w:rsidR="00905A71">
        <w:rPr>
          <w:sz w:val="24"/>
          <w:szCs w:val="24"/>
        </w:rPr>
        <w:t xml:space="preserve"> </w:t>
      </w:r>
      <w:r>
        <w:rPr>
          <w:sz w:val="24"/>
          <w:szCs w:val="24"/>
        </w:rPr>
        <w:t>The industry distribution of firms on this list is not known, but these firms are unlikely to come from the waste management or smelting industries, which generally do not export products in cha</w:t>
      </w:r>
      <w:r w:rsidR="009D1C21">
        <w:rPr>
          <w:sz w:val="24"/>
          <w:szCs w:val="24"/>
        </w:rPr>
        <w:t>p</w:t>
      </w:r>
      <w:r>
        <w:rPr>
          <w:sz w:val="24"/>
          <w:szCs w:val="24"/>
        </w:rPr>
        <w:t>ters 84 and 85.</w:t>
      </w:r>
    </w:p>
    <w:p w:rsidR="00604780" w:rsidRPr="00A90E28" w:rsidRDefault="00604780" w:rsidP="00604780">
      <w:pPr>
        <w:rPr>
          <w:sz w:val="24"/>
          <w:szCs w:val="24"/>
        </w:rPr>
      </w:pPr>
    </w:p>
    <w:p w:rsidR="00604780" w:rsidRDefault="00604780" w:rsidP="00487B02">
      <w:pPr>
        <w:ind w:firstLine="720"/>
        <w:rPr>
          <w:sz w:val="24"/>
          <w:szCs w:val="24"/>
        </w:rPr>
      </w:pPr>
    </w:p>
    <w:p w:rsidR="00604780" w:rsidRDefault="00604780" w:rsidP="00604780">
      <w:pPr>
        <w:rPr>
          <w:sz w:val="24"/>
          <w:szCs w:val="24"/>
        </w:rPr>
      </w:pPr>
    </w:p>
    <w:p w:rsidR="00724165" w:rsidRDefault="00724165">
      <w:pPr>
        <w:autoSpaceDE/>
        <w:autoSpaceDN/>
        <w:adjustRightInd/>
        <w:rPr>
          <w:b/>
          <w:bCs/>
          <w:sz w:val="24"/>
          <w:szCs w:val="24"/>
          <w:highlight w:val="white"/>
        </w:rPr>
        <w:sectPr w:rsidR="00724165" w:rsidSect="00154DE5">
          <w:footerReference w:type="default" r:id="rId9"/>
          <w:pgSz w:w="12240" w:h="15840"/>
          <w:pgMar w:top="1440" w:right="1440" w:bottom="1440" w:left="1440" w:header="1440" w:footer="864" w:gutter="0"/>
          <w:cols w:space="720"/>
          <w:docGrid w:linePitch="272"/>
        </w:sectPr>
      </w:pPr>
    </w:p>
    <w:tbl>
      <w:tblPr>
        <w:tblW w:w="13410" w:type="dxa"/>
        <w:tblInd w:w="-331" w:type="dxa"/>
        <w:tblBorders>
          <w:top w:val="single" w:sz="4" w:space="0" w:color="auto"/>
          <w:bottom w:val="single" w:sz="4" w:space="0" w:color="auto"/>
        </w:tblBorders>
        <w:tblLayout w:type="fixed"/>
        <w:tblCellMar>
          <w:left w:w="29" w:type="dxa"/>
          <w:right w:w="29" w:type="dxa"/>
        </w:tblCellMar>
        <w:tblLook w:val="04A0" w:firstRow="1" w:lastRow="0" w:firstColumn="1" w:lastColumn="0" w:noHBand="0" w:noVBand="1"/>
      </w:tblPr>
      <w:tblGrid>
        <w:gridCol w:w="3423"/>
        <w:gridCol w:w="766"/>
        <w:gridCol w:w="648"/>
        <w:gridCol w:w="649"/>
        <w:gridCol w:w="216"/>
        <w:gridCol w:w="649"/>
        <w:gridCol w:w="649"/>
        <w:gridCol w:w="642"/>
        <w:gridCol w:w="721"/>
        <w:gridCol w:w="216"/>
        <w:gridCol w:w="649"/>
        <w:gridCol w:w="649"/>
        <w:gridCol w:w="649"/>
        <w:gridCol w:w="216"/>
        <w:gridCol w:w="649"/>
        <w:gridCol w:w="649"/>
        <w:gridCol w:w="649"/>
        <w:gridCol w:w="721"/>
      </w:tblGrid>
      <w:tr w:rsidR="00724165" w:rsidRPr="00923465" w:rsidTr="00FE6986">
        <w:trPr>
          <w:trHeight w:val="255"/>
        </w:trPr>
        <w:tc>
          <w:tcPr>
            <w:tcW w:w="720" w:type="dxa"/>
            <w:gridSpan w:val="18"/>
            <w:tcBorders>
              <w:top w:val="nil"/>
              <w:bottom w:val="single" w:sz="4" w:space="0" w:color="auto"/>
            </w:tcBorders>
            <w:shd w:val="clear" w:color="auto" w:fill="auto"/>
            <w:noWrap/>
            <w:vAlign w:val="bottom"/>
          </w:tcPr>
          <w:p w:rsidR="00724165" w:rsidRPr="00923465" w:rsidRDefault="00724165" w:rsidP="00724165">
            <w:pPr>
              <w:rPr>
                <w:rFonts w:ascii="Arial" w:hAnsi="Arial" w:cs="Arial"/>
                <w:bCs/>
                <w:color w:val="000000"/>
              </w:rPr>
            </w:pPr>
            <w:r w:rsidRPr="00923465">
              <w:rPr>
                <w:rFonts w:ascii="Arial" w:hAnsi="Arial" w:cs="Arial"/>
                <w:b/>
              </w:rPr>
              <w:lastRenderedPageBreak/>
              <w:t>TABLE 1</w:t>
            </w:r>
            <w:r w:rsidRPr="00923465">
              <w:rPr>
                <w:rFonts w:ascii="Arial" w:hAnsi="Arial" w:cs="Arial"/>
              </w:rPr>
              <w:t xml:space="preserve"> Used electronics: Number of firms in the population and in the sample</w:t>
            </w:r>
            <w:r w:rsidR="00CD4D97">
              <w:rPr>
                <w:rFonts w:ascii="Arial" w:hAnsi="Arial" w:cs="Arial"/>
              </w:rPr>
              <w:t>, excluding firms from the Census list.</w:t>
            </w:r>
          </w:p>
        </w:tc>
      </w:tr>
      <w:tr w:rsidR="00724165" w:rsidRPr="00923465" w:rsidTr="00FE6986">
        <w:trPr>
          <w:trHeight w:val="255"/>
        </w:trPr>
        <w:tc>
          <w:tcPr>
            <w:tcW w:w="3420" w:type="dxa"/>
            <w:vMerge w:val="restart"/>
            <w:tcBorders>
              <w:top w:val="single" w:sz="4" w:space="0" w:color="auto"/>
              <w:bottom w:val="single" w:sz="4" w:space="0" w:color="auto"/>
            </w:tcBorders>
            <w:shd w:val="clear" w:color="auto" w:fill="auto"/>
            <w:noWrap/>
            <w:vAlign w:val="bottom"/>
          </w:tcPr>
          <w:p w:rsidR="00724165" w:rsidRPr="00923465" w:rsidRDefault="00724165" w:rsidP="00724165">
            <w:pPr>
              <w:rPr>
                <w:rFonts w:ascii="Arial" w:hAnsi="Arial" w:cs="Arial"/>
                <w:color w:val="000000"/>
              </w:rPr>
            </w:pPr>
            <w:r w:rsidRPr="00923465">
              <w:rPr>
                <w:rFonts w:ascii="Arial" w:hAnsi="Arial" w:cs="Arial"/>
                <w:bCs/>
                <w:color w:val="000000"/>
              </w:rPr>
              <w:t>Industry</w:t>
            </w:r>
          </w:p>
        </w:tc>
        <w:tc>
          <w:tcPr>
            <w:tcW w:w="720" w:type="dxa"/>
            <w:gridSpan w:val="8"/>
            <w:tcBorders>
              <w:top w:val="single" w:sz="4" w:space="0" w:color="auto"/>
              <w:bottom w:val="single" w:sz="4" w:space="0" w:color="auto"/>
            </w:tcBorders>
            <w:shd w:val="clear" w:color="auto" w:fill="auto"/>
            <w:noWrap/>
            <w:vAlign w:val="bottom"/>
          </w:tcPr>
          <w:p w:rsidR="00724165" w:rsidRPr="00923465" w:rsidRDefault="00724165" w:rsidP="00724165">
            <w:pPr>
              <w:jc w:val="center"/>
              <w:rPr>
                <w:rFonts w:ascii="Arial" w:hAnsi="Arial" w:cs="Arial"/>
                <w:bCs/>
                <w:color w:val="000000"/>
              </w:rPr>
            </w:pPr>
            <w:r w:rsidRPr="00923465">
              <w:rPr>
                <w:rFonts w:ascii="Arial" w:hAnsi="Arial" w:cs="Arial"/>
                <w:bCs/>
                <w:color w:val="000000"/>
              </w:rPr>
              <w:t>Number of firms in the population</w:t>
            </w:r>
          </w:p>
        </w:tc>
        <w:tc>
          <w:tcPr>
            <w:tcW w:w="216" w:type="dxa"/>
            <w:tcBorders>
              <w:top w:val="single" w:sz="4" w:space="0" w:color="auto"/>
              <w:bottom w:val="nil"/>
              <w:right w:val="nil"/>
            </w:tcBorders>
            <w:shd w:val="clear" w:color="auto" w:fill="auto"/>
          </w:tcPr>
          <w:p w:rsidR="00724165" w:rsidRPr="00923465" w:rsidRDefault="00724165" w:rsidP="00A3675D">
            <w:pPr>
              <w:jc w:val="center"/>
              <w:rPr>
                <w:rFonts w:ascii="Arial" w:hAnsi="Arial" w:cs="Arial"/>
                <w:bCs/>
                <w:color w:val="000000"/>
              </w:rPr>
            </w:pPr>
          </w:p>
        </w:tc>
        <w:tc>
          <w:tcPr>
            <w:tcW w:w="4824" w:type="dxa"/>
            <w:gridSpan w:val="8"/>
            <w:tcBorders>
              <w:top w:val="single" w:sz="4" w:space="0" w:color="auto"/>
              <w:left w:val="nil"/>
              <w:bottom w:val="single" w:sz="4" w:space="0" w:color="auto"/>
            </w:tcBorders>
            <w:shd w:val="clear" w:color="auto" w:fill="auto"/>
            <w:noWrap/>
            <w:vAlign w:val="bottom"/>
          </w:tcPr>
          <w:p w:rsidR="00724165" w:rsidRPr="00923465" w:rsidRDefault="00724165" w:rsidP="00A3675D">
            <w:pPr>
              <w:jc w:val="center"/>
              <w:rPr>
                <w:rFonts w:ascii="Arial" w:hAnsi="Arial" w:cs="Arial"/>
                <w:bCs/>
                <w:color w:val="000000"/>
              </w:rPr>
            </w:pPr>
            <w:r w:rsidRPr="00923465">
              <w:rPr>
                <w:rFonts w:ascii="Arial" w:hAnsi="Arial" w:cs="Arial"/>
                <w:bCs/>
                <w:color w:val="000000"/>
              </w:rPr>
              <w:t>Number of firms in the sample</w:t>
            </w:r>
          </w:p>
        </w:tc>
      </w:tr>
      <w:tr w:rsidR="00A3675D" w:rsidRPr="00923465" w:rsidTr="00FE6986">
        <w:trPr>
          <w:trHeight w:val="255"/>
        </w:trPr>
        <w:tc>
          <w:tcPr>
            <w:tcW w:w="3420" w:type="dxa"/>
            <w:vMerge/>
            <w:tcBorders>
              <w:top w:val="single" w:sz="4" w:space="0" w:color="auto"/>
              <w:bottom w:val="single" w:sz="4" w:space="0" w:color="auto"/>
            </w:tcBorders>
            <w:shd w:val="clear" w:color="auto" w:fill="auto"/>
            <w:noWrap/>
            <w:vAlign w:val="bottom"/>
            <w:hideMark/>
          </w:tcPr>
          <w:p w:rsidR="00A3675D" w:rsidRPr="00923465" w:rsidRDefault="00A3675D" w:rsidP="00724165">
            <w:pPr>
              <w:rPr>
                <w:rFonts w:ascii="Arial" w:hAnsi="Arial" w:cs="Arial"/>
                <w:color w:val="000000"/>
              </w:rPr>
            </w:pPr>
          </w:p>
        </w:tc>
        <w:tc>
          <w:tcPr>
            <w:tcW w:w="2062" w:type="dxa"/>
            <w:gridSpan w:val="3"/>
            <w:tcBorders>
              <w:top w:val="single" w:sz="4" w:space="0" w:color="auto"/>
              <w:bottom w:val="single" w:sz="4" w:space="0" w:color="auto"/>
              <w:right w:val="nil"/>
            </w:tcBorders>
            <w:shd w:val="clear" w:color="auto" w:fill="auto"/>
            <w:noWrap/>
            <w:vAlign w:val="bottom"/>
            <w:hideMark/>
          </w:tcPr>
          <w:p w:rsidR="00A3675D" w:rsidRPr="00923465" w:rsidRDefault="00A3675D" w:rsidP="00724165">
            <w:pPr>
              <w:jc w:val="center"/>
              <w:rPr>
                <w:rFonts w:ascii="Arial" w:hAnsi="Arial" w:cs="Arial"/>
                <w:bCs/>
                <w:color w:val="000000"/>
              </w:rPr>
            </w:pPr>
            <w:r w:rsidRPr="00923465">
              <w:rPr>
                <w:rFonts w:ascii="Arial" w:hAnsi="Arial" w:cs="Arial"/>
                <w:bCs/>
                <w:color w:val="000000"/>
              </w:rPr>
              <w:t>From Orbis</w:t>
            </w:r>
          </w:p>
        </w:tc>
        <w:tc>
          <w:tcPr>
            <w:tcW w:w="216" w:type="dxa"/>
            <w:tcBorders>
              <w:top w:val="single" w:sz="4" w:space="0" w:color="auto"/>
              <w:left w:val="nil"/>
              <w:bottom w:val="nil"/>
              <w:right w:val="nil"/>
            </w:tcBorders>
            <w:shd w:val="clear" w:color="auto" w:fill="auto"/>
            <w:vAlign w:val="bottom"/>
          </w:tcPr>
          <w:p w:rsidR="00A3675D" w:rsidRPr="00923465" w:rsidRDefault="00A3675D" w:rsidP="00A3675D">
            <w:pPr>
              <w:jc w:val="right"/>
              <w:rPr>
                <w:rFonts w:ascii="Arial" w:hAnsi="Arial" w:cs="Arial"/>
                <w:bCs/>
                <w:color w:val="000000"/>
              </w:rPr>
            </w:pPr>
          </w:p>
        </w:tc>
        <w:tc>
          <w:tcPr>
            <w:tcW w:w="1937" w:type="dxa"/>
            <w:gridSpan w:val="3"/>
            <w:tcBorders>
              <w:top w:val="single" w:sz="4" w:space="0" w:color="auto"/>
              <w:left w:val="nil"/>
              <w:bottom w:val="single" w:sz="4" w:space="0" w:color="auto"/>
              <w:right w:val="nil"/>
            </w:tcBorders>
            <w:shd w:val="clear" w:color="auto" w:fill="auto"/>
            <w:vAlign w:val="bottom"/>
          </w:tcPr>
          <w:p w:rsidR="00A3675D" w:rsidRPr="00923465" w:rsidRDefault="00A3675D" w:rsidP="00A3675D">
            <w:pPr>
              <w:jc w:val="center"/>
              <w:rPr>
                <w:rFonts w:ascii="Arial" w:hAnsi="Arial" w:cs="Arial"/>
                <w:bCs/>
                <w:color w:val="000000"/>
              </w:rPr>
            </w:pPr>
            <w:r w:rsidRPr="00923465">
              <w:rPr>
                <w:rFonts w:ascii="Arial" w:hAnsi="Arial" w:cs="Arial"/>
                <w:bCs/>
                <w:color w:val="000000"/>
              </w:rPr>
              <w:t>Industry</w:t>
            </w:r>
            <w:r w:rsidR="001C205A">
              <w:rPr>
                <w:rFonts w:ascii="Arial" w:hAnsi="Arial" w:cs="Arial"/>
                <w:bCs/>
                <w:color w:val="000000"/>
              </w:rPr>
              <w:t xml:space="preserve"> </w:t>
            </w:r>
            <w:r w:rsidRPr="00923465">
              <w:rPr>
                <w:rFonts w:ascii="Arial" w:hAnsi="Arial" w:cs="Arial"/>
                <w:bCs/>
                <w:color w:val="000000"/>
              </w:rPr>
              <w:t>list</w:t>
            </w:r>
          </w:p>
        </w:tc>
        <w:tc>
          <w:tcPr>
            <w:tcW w:w="720" w:type="dxa"/>
            <w:vMerge w:val="restart"/>
            <w:tcBorders>
              <w:top w:val="single" w:sz="4" w:space="0" w:color="auto"/>
              <w:left w:val="nil"/>
              <w:bottom w:val="single" w:sz="4" w:space="0" w:color="auto"/>
              <w:right w:val="nil"/>
            </w:tcBorders>
            <w:shd w:val="clear" w:color="auto" w:fill="auto"/>
            <w:vAlign w:val="bottom"/>
          </w:tcPr>
          <w:p w:rsidR="00A3675D" w:rsidRPr="00923465" w:rsidRDefault="00A3675D" w:rsidP="00724165">
            <w:pPr>
              <w:jc w:val="right"/>
              <w:rPr>
                <w:rFonts w:ascii="Arial" w:hAnsi="Arial" w:cs="Arial"/>
                <w:bCs/>
                <w:color w:val="000000"/>
              </w:rPr>
            </w:pPr>
            <w:r w:rsidRPr="00923465">
              <w:rPr>
                <w:rFonts w:ascii="Arial" w:hAnsi="Arial" w:cs="Arial"/>
                <w:bCs/>
                <w:color w:val="000000"/>
              </w:rPr>
              <w:t>Total</w:t>
            </w:r>
          </w:p>
        </w:tc>
        <w:tc>
          <w:tcPr>
            <w:tcW w:w="216" w:type="dxa"/>
            <w:tcBorders>
              <w:top w:val="nil"/>
              <w:left w:val="nil"/>
              <w:bottom w:val="nil"/>
              <w:right w:val="nil"/>
            </w:tcBorders>
            <w:shd w:val="clear" w:color="auto" w:fill="auto"/>
          </w:tcPr>
          <w:p w:rsidR="00A3675D" w:rsidRPr="00923465" w:rsidRDefault="00A3675D" w:rsidP="00A3675D">
            <w:pPr>
              <w:jc w:val="center"/>
              <w:rPr>
                <w:rFonts w:ascii="Arial" w:hAnsi="Arial" w:cs="Arial"/>
                <w:bCs/>
                <w:color w:val="000000"/>
              </w:rPr>
            </w:pPr>
          </w:p>
        </w:tc>
        <w:tc>
          <w:tcPr>
            <w:tcW w:w="1944" w:type="dxa"/>
            <w:gridSpan w:val="3"/>
            <w:tcBorders>
              <w:top w:val="single" w:sz="4" w:space="0" w:color="auto"/>
              <w:left w:val="nil"/>
              <w:bottom w:val="single" w:sz="4" w:space="0" w:color="auto"/>
              <w:right w:val="nil"/>
            </w:tcBorders>
            <w:shd w:val="clear" w:color="auto" w:fill="auto"/>
            <w:noWrap/>
            <w:vAlign w:val="bottom"/>
            <w:hideMark/>
          </w:tcPr>
          <w:p w:rsidR="00A3675D" w:rsidRPr="00923465" w:rsidRDefault="00A3675D" w:rsidP="00A3675D">
            <w:pPr>
              <w:jc w:val="center"/>
              <w:rPr>
                <w:rFonts w:ascii="Arial" w:hAnsi="Arial" w:cs="Arial"/>
                <w:bCs/>
                <w:color w:val="000000"/>
              </w:rPr>
            </w:pPr>
            <w:r w:rsidRPr="00923465">
              <w:rPr>
                <w:rFonts w:ascii="Arial" w:hAnsi="Arial" w:cs="Arial"/>
                <w:bCs/>
                <w:color w:val="000000"/>
              </w:rPr>
              <w:t>From Orbis</w:t>
            </w:r>
          </w:p>
        </w:tc>
        <w:tc>
          <w:tcPr>
            <w:tcW w:w="216" w:type="dxa"/>
            <w:tcBorders>
              <w:top w:val="single" w:sz="4" w:space="0" w:color="auto"/>
              <w:left w:val="nil"/>
              <w:bottom w:val="nil"/>
              <w:right w:val="nil"/>
            </w:tcBorders>
            <w:shd w:val="clear" w:color="auto" w:fill="auto"/>
            <w:vAlign w:val="bottom"/>
          </w:tcPr>
          <w:p w:rsidR="00A3675D" w:rsidRPr="00923465" w:rsidRDefault="00A3675D" w:rsidP="00724165">
            <w:pPr>
              <w:jc w:val="right"/>
              <w:rPr>
                <w:rFonts w:ascii="Arial" w:hAnsi="Arial" w:cs="Arial"/>
                <w:bCs/>
                <w:color w:val="000000"/>
              </w:rPr>
            </w:pPr>
          </w:p>
        </w:tc>
        <w:tc>
          <w:tcPr>
            <w:tcW w:w="1944" w:type="dxa"/>
            <w:gridSpan w:val="3"/>
            <w:tcBorders>
              <w:top w:val="single" w:sz="4" w:space="0" w:color="auto"/>
              <w:left w:val="nil"/>
              <w:bottom w:val="single" w:sz="4" w:space="0" w:color="auto"/>
              <w:right w:val="nil"/>
            </w:tcBorders>
            <w:shd w:val="clear" w:color="auto" w:fill="auto"/>
            <w:vAlign w:val="bottom"/>
          </w:tcPr>
          <w:p w:rsidR="00A3675D" w:rsidRPr="00923465" w:rsidRDefault="00A3675D" w:rsidP="00A3675D">
            <w:pPr>
              <w:jc w:val="center"/>
              <w:rPr>
                <w:rFonts w:ascii="Arial" w:hAnsi="Arial" w:cs="Arial"/>
                <w:bCs/>
                <w:color w:val="000000"/>
              </w:rPr>
            </w:pPr>
            <w:r w:rsidRPr="00923465">
              <w:rPr>
                <w:rFonts w:ascii="Arial" w:hAnsi="Arial" w:cs="Arial"/>
                <w:bCs/>
                <w:color w:val="000000"/>
              </w:rPr>
              <w:t>Industry</w:t>
            </w:r>
            <w:r w:rsidR="001C205A">
              <w:rPr>
                <w:rFonts w:ascii="Arial" w:hAnsi="Arial" w:cs="Arial"/>
                <w:bCs/>
                <w:color w:val="000000"/>
              </w:rPr>
              <w:t xml:space="preserve"> </w:t>
            </w:r>
            <w:r w:rsidRPr="00923465">
              <w:rPr>
                <w:rFonts w:ascii="Arial" w:hAnsi="Arial" w:cs="Arial"/>
                <w:bCs/>
                <w:color w:val="000000"/>
              </w:rPr>
              <w:t>list</w:t>
            </w:r>
          </w:p>
        </w:tc>
        <w:tc>
          <w:tcPr>
            <w:tcW w:w="720" w:type="dxa"/>
            <w:vMerge w:val="restart"/>
            <w:tcBorders>
              <w:top w:val="single" w:sz="4" w:space="0" w:color="auto"/>
              <w:left w:val="nil"/>
              <w:bottom w:val="single" w:sz="4" w:space="0" w:color="auto"/>
            </w:tcBorders>
            <w:shd w:val="clear" w:color="auto" w:fill="auto"/>
            <w:vAlign w:val="bottom"/>
          </w:tcPr>
          <w:p w:rsidR="00A3675D" w:rsidRPr="00923465" w:rsidRDefault="00A3675D" w:rsidP="00724165">
            <w:pPr>
              <w:jc w:val="right"/>
              <w:rPr>
                <w:rFonts w:ascii="Arial" w:hAnsi="Arial" w:cs="Arial"/>
                <w:bCs/>
                <w:color w:val="000000"/>
              </w:rPr>
            </w:pPr>
            <w:r w:rsidRPr="00923465">
              <w:rPr>
                <w:rFonts w:ascii="Arial" w:hAnsi="Arial" w:cs="Arial"/>
                <w:bCs/>
                <w:color w:val="000000"/>
              </w:rPr>
              <w:t>Total</w:t>
            </w:r>
          </w:p>
        </w:tc>
      </w:tr>
      <w:tr w:rsidR="00A3675D" w:rsidRPr="00923465" w:rsidTr="00FE6986">
        <w:trPr>
          <w:trHeight w:val="255"/>
        </w:trPr>
        <w:tc>
          <w:tcPr>
            <w:tcW w:w="3420" w:type="dxa"/>
            <w:vMerge/>
            <w:tcBorders>
              <w:top w:val="single" w:sz="4" w:space="0" w:color="auto"/>
              <w:bottom w:val="single" w:sz="4" w:space="0" w:color="auto"/>
            </w:tcBorders>
            <w:shd w:val="clear" w:color="auto" w:fill="auto"/>
            <w:noWrap/>
            <w:vAlign w:val="bottom"/>
            <w:hideMark/>
          </w:tcPr>
          <w:p w:rsidR="00A3675D" w:rsidRPr="00923465" w:rsidRDefault="00A3675D" w:rsidP="00724165">
            <w:pPr>
              <w:rPr>
                <w:rFonts w:ascii="Arial" w:hAnsi="Arial" w:cs="Arial"/>
                <w:bCs/>
                <w:color w:val="000000"/>
              </w:rPr>
            </w:pPr>
          </w:p>
        </w:tc>
        <w:tc>
          <w:tcPr>
            <w:tcW w:w="766" w:type="dxa"/>
            <w:tcBorders>
              <w:top w:val="single" w:sz="4" w:space="0" w:color="auto"/>
              <w:bottom w:val="single" w:sz="4" w:space="0" w:color="auto"/>
              <w:right w:val="nil"/>
            </w:tcBorders>
            <w:shd w:val="clear" w:color="auto" w:fill="auto"/>
            <w:noWrap/>
            <w:vAlign w:val="bottom"/>
            <w:hideMark/>
          </w:tcPr>
          <w:p w:rsidR="00A3675D" w:rsidRPr="00923465" w:rsidRDefault="00A3675D" w:rsidP="00724165">
            <w:pPr>
              <w:jc w:val="right"/>
              <w:rPr>
                <w:rFonts w:ascii="Arial" w:hAnsi="Arial" w:cs="Arial"/>
                <w:bCs/>
                <w:color w:val="000000"/>
              </w:rPr>
            </w:pPr>
            <w:r w:rsidRPr="00923465">
              <w:rPr>
                <w:rFonts w:ascii="Arial" w:hAnsi="Arial" w:cs="Arial"/>
                <w:bCs/>
                <w:color w:val="000000"/>
              </w:rPr>
              <w:t>Small</w:t>
            </w:r>
          </w:p>
        </w:tc>
        <w:tc>
          <w:tcPr>
            <w:tcW w:w="648" w:type="dxa"/>
            <w:tcBorders>
              <w:top w:val="single" w:sz="4" w:space="0" w:color="auto"/>
              <w:left w:val="nil"/>
              <w:bottom w:val="single" w:sz="4" w:space="0" w:color="auto"/>
              <w:right w:val="nil"/>
            </w:tcBorders>
            <w:shd w:val="clear" w:color="auto" w:fill="auto"/>
            <w:noWrap/>
            <w:vAlign w:val="bottom"/>
            <w:hideMark/>
          </w:tcPr>
          <w:p w:rsidR="00A3675D" w:rsidRPr="00923465" w:rsidRDefault="00A3675D" w:rsidP="00724165">
            <w:pPr>
              <w:jc w:val="right"/>
              <w:rPr>
                <w:rFonts w:ascii="Arial" w:hAnsi="Arial" w:cs="Arial"/>
                <w:bCs/>
                <w:color w:val="000000"/>
              </w:rPr>
            </w:pPr>
            <w:r w:rsidRPr="00923465">
              <w:rPr>
                <w:rFonts w:ascii="Arial" w:hAnsi="Arial" w:cs="Arial"/>
                <w:bCs/>
                <w:color w:val="000000"/>
              </w:rPr>
              <w:t>Large</w:t>
            </w:r>
          </w:p>
        </w:tc>
        <w:tc>
          <w:tcPr>
            <w:tcW w:w="648" w:type="dxa"/>
            <w:tcBorders>
              <w:top w:val="single" w:sz="4" w:space="0" w:color="auto"/>
              <w:left w:val="nil"/>
              <w:bottom w:val="single" w:sz="4" w:space="0" w:color="auto"/>
              <w:right w:val="nil"/>
            </w:tcBorders>
            <w:shd w:val="clear" w:color="auto" w:fill="auto"/>
            <w:vAlign w:val="bottom"/>
          </w:tcPr>
          <w:p w:rsidR="00A3675D" w:rsidRPr="00923465" w:rsidRDefault="00A3675D" w:rsidP="00724165">
            <w:pPr>
              <w:jc w:val="right"/>
              <w:rPr>
                <w:rFonts w:ascii="Arial" w:hAnsi="Arial" w:cs="Arial"/>
                <w:bCs/>
                <w:color w:val="000000"/>
              </w:rPr>
            </w:pPr>
            <w:r w:rsidRPr="00923465">
              <w:rPr>
                <w:rFonts w:ascii="Arial" w:hAnsi="Arial" w:cs="Arial"/>
                <w:bCs/>
                <w:color w:val="000000"/>
              </w:rPr>
              <w:t>Very large</w:t>
            </w:r>
          </w:p>
        </w:tc>
        <w:tc>
          <w:tcPr>
            <w:tcW w:w="216" w:type="dxa"/>
            <w:tcBorders>
              <w:top w:val="nil"/>
              <w:left w:val="nil"/>
              <w:bottom w:val="nil"/>
              <w:right w:val="nil"/>
            </w:tcBorders>
            <w:shd w:val="clear" w:color="auto" w:fill="auto"/>
            <w:noWrap/>
            <w:vAlign w:val="bottom"/>
            <w:hideMark/>
          </w:tcPr>
          <w:p w:rsidR="00A3675D" w:rsidRPr="00923465" w:rsidRDefault="00A3675D" w:rsidP="00A3675D">
            <w:pPr>
              <w:jc w:val="right"/>
              <w:rPr>
                <w:rFonts w:ascii="Arial" w:hAnsi="Arial" w:cs="Arial"/>
                <w:bCs/>
                <w:color w:val="000000"/>
              </w:rPr>
            </w:pPr>
          </w:p>
        </w:tc>
        <w:tc>
          <w:tcPr>
            <w:tcW w:w="648" w:type="dxa"/>
            <w:tcBorders>
              <w:top w:val="nil"/>
              <w:left w:val="nil"/>
              <w:bottom w:val="single" w:sz="4" w:space="0" w:color="auto"/>
              <w:right w:val="nil"/>
            </w:tcBorders>
            <w:shd w:val="clear" w:color="auto" w:fill="auto"/>
            <w:vAlign w:val="bottom"/>
          </w:tcPr>
          <w:p w:rsidR="00A3675D" w:rsidRPr="00923465" w:rsidRDefault="00A3675D" w:rsidP="00F507ED">
            <w:pPr>
              <w:jc w:val="right"/>
              <w:rPr>
                <w:rFonts w:ascii="Arial" w:hAnsi="Arial" w:cs="Arial"/>
                <w:bCs/>
                <w:color w:val="000000"/>
              </w:rPr>
            </w:pPr>
            <w:r w:rsidRPr="00923465">
              <w:rPr>
                <w:rFonts w:ascii="Arial" w:hAnsi="Arial" w:cs="Arial"/>
                <w:bCs/>
                <w:color w:val="000000"/>
              </w:rPr>
              <w:t>Small</w:t>
            </w:r>
          </w:p>
        </w:tc>
        <w:tc>
          <w:tcPr>
            <w:tcW w:w="648" w:type="dxa"/>
            <w:tcBorders>
              <w:top w:val="nil"/>
              <w:left w:val="nil"/>
              <w:bottom w:val="single" w:sz="4" w:space="0" w:color="auto"/>
              <w:right w:val="nil"/>
            </w:tcBorders>
            <w:shd w:val="clear" w:color="auto" w:fill="auto"/>
            <w:vAlign w:val="bottom"/>
          </w:tcPr>
          <w:p w:rsidR="00A3675D" w:rsidRPr="00923465" w:rsidRDefault="00A3675D" w:rsidP="00F507ED">
            <w:pPr>
              <w:jc w:val="right"/>
              <w:rPr>
                <w:rFonts w:ascii="Arial" w:hAnsi="Arial" w:cs="Arial"/>
                <w:bCs/>
                <w:color w:val="000000"/>
              </w:rPr>
            </w:pPr>
            <w:r w:rsidRPr="00923465">
              <w:rPr>
                <w:rFonts w:ascii="Arial" w:hAnsi="Arial" w:cs="Arial"/>
                <w:bCs/>
                <w:color w:val="000000"/>
              </w:rPr>
              <w:t>Large</w:t>
            </w:r>
          </w:p>
        </w:tc>
        <w:tc>
          <w:tcPr>
            <w:tcW w:w="641" w:type="dxa"/>
            <w:tcBorders>
              <w:top w:val="nil"/>
              <w:left w:val="nil"/>
              <w:bottom w:val="single" w:sz="4" w:space="0" w:color="auto"/>
              <w:right w:val="nil"/>
            </w:tcBorders>
            <w:shd w:val="clear" w:color="auto" w:fill="auto"/>
            <w:vAlign w:val="bottom"/>
          </w:tcPr>
          <w:p w:rsidR="00A3675D" w:rsidRPr="00923465" w:rsidRDefault="00A3675D" w:rsidP="00F507ED">
            <w:pPr>
              <w:jc w:val="right"/>
              <w:rPr>
                <w:rFonts w:ascii="Arial" w:hAnsi="Arial" w:cs="Arial"/>
                <w:bCs/>
                <w:color w:val="000000"/>
              </w:rPr>
            </w:pPr>
            <w:r w:rsidRPr="00923465">
              <w:rPr>
                <w:rFonts w:ascii="Arial" w:hAnsi="Arial" w:cs="Arial"/>
                <w:bCs/>
                <w:color w:val="000000"/>
              </w:rPr>
              <w:t>Very large</w:t>
            </w:r>
          </w:p>
        </w:tc>
        <w:tc>
          <w:tcPr>
            <w:tcW w:w="720" w:type="dxa"/>
            <w:vMerge/>
            <w:tcBorders>
              <w:top w:val="nil"/>
              <w:left w:val="nil"/>
              <w:bottom w:val="single" w:sz="4" w:space="0" w:color="auto"/>
              <w:right w:val="nil"/>
            </w:tcBorders>
            <w:shd w:val="clear" w:color="auto" w:fill="auto"/>
          </w:tcPr>
          <w:p w:rsidR="00A3675D" w:rsidRPr="00923465" w:rsidRDefault="00A3675D" w:rsidP="00724165">
            <w:pPr>
              <w:jc w:val="center"/>
              <w:rPr>
                <w:rFonts w:ascii="Arial" w:hAnsi="Arial" w:cs="Arial"/>
                <w:bCs/>
                <w:color w:val="000000"/>
              </w:rPr>
            </w:pPr>
          </w:p>
        </w:tc>
        <w:tc>
          <w:tcPr>
            <w:tcW w:w="216" w:type="dxa"/>
            <w:tcBorders>
              <w:top w:val="nil"/>
              <w:left w:val="nil"/>
              <w:bottom w:val="nil"/>
              <w:right w:val="nil"/>
            </w:tcBorders>
            <w:shd w:val="clear" w:color="auto" w:fill="auto"/>
          </w:tcPr>
          <w:p w:rsidR="00A3675D" w:rsidRPr="00923465" w:rsidRDefault="00A3675D" w:rsidP="00A3675D">
            <w:pPr>
              <w:jc w:val="center"/>
              <w:rPr>
                <w:rFonts w:ascii="Arial" w:hAnsi="Arial" w:cs="Arial"/>
                <w:bCs/>
                <w:color w:val="000000"/>
              </w:rPr>
            </w:pPr>
          </w:p>
        </w:tc>
        <w:tc>
          <w:tcPr>
            <w:tcW w:w="648" w:type="dxa"/>
            <w:tcBorders>
              <w:top w:val="single" w:sz="4" w:space="0" w:color="auto"/>
              <w:left w:val="nil"/>
              <w:bottom w:val="single" w:sz="4" w:space="0" w:color="auto"/>
              <w:right w:val="nil"/>
            </w:tcBorders>
            <w:shd w:val="clear" w:color="auto" w:fill="auto"/>
            <w:noWrap/>
            <w:vAlign w:val="bottom"/>
            <w:hideMark/>
          </w:tcPr>
          <w:p w:rsidR="00A3675D" w:rsidRPr="00923465" w:rsidRDefault="00A3675D" w:rsidP="00A3675D">
            <w:pPr>
              <w:jc w:val="right"/>
              <w:rPr>
                <w:rFonts w:ascii="Arial" w:hAnsi="Arial" w:cs="Arial"/>
                <w:bCs/>
                <w:color w:val="000000"/>
              </w:rPr>
            </w:pPr>
            <w:r w:rsidRPr="00923465">
              <w:rPr>
                <w:rFonts w:ascii="Arial" w:hAnsi="Arial" w:cs="Arial"/>
                <w:bCs/>
                <w:color w:val="000000"/>
              </w:rPr>
              <w:t>Small</w:t>
            </w:r>
          </w:p>
        </w:tc>
        <w:tc>
          <w:tcPr>
            <w:tcW w:w="648" w:type="dxa"/>
            <w:tcBorders>
              <w:top w:val="single" w:sz="4" w:space="0" w:color="auto"/>
              <w:left w:val="nil"/>
              <w:bottom w:val="single" w:sz="4" w:space="0" w:color="auto"/>
              <w:right w:val="nil"/>
            </w:tcBorders>
            <w:shd w:val="clear" w:color="auto" w:fill="auto"/>
            <w:noWrap/>
            <w:vAlign w:val="bottom"/>
            <w:hideMark/>
          </w:tcPr>
          <w:p w:rsidR="00A3675D" w:rsidRPr="00923465" w:rsidRDefault="00A3675D" w:rsidP="00724165">
            <w:pPr>
              <w:jc w:val="right"/>
              <w:rPr>
                <w:rFonts w:ascii="Arial" w:hAnsi="Arial" w:cs="Arial"/>
                <w:bCs/>
                <w:color w:val="000000"/>
              </w:rPr>
            </w:pPr>
            <w:r w:rsidRPr="00923465">
              <w:rPr>
                <w:rFonts w:ascii="Arial" w:hAnsi="Arial" w:cs="Arial"/>
                <w:bCs/>
                <w:color w:val="000000"/>
              </w:rPr>
              <w:t>Large</w:t>
            </w:r>
          </w:p>
        </w:tc>
        <w:tc>
          <w:tcPr>
            <w:tcW w:w="648" w:type="dxa"/>
            <w:tcBorders>
              <w:top w:val="single" w:sz="4" w:space="0" w:color="auto"/>
              <w:left w:val="nil"/>
              <w:bottom w:val="single" w:sz="4" w:space="0" w:color="auto"/>
              <w:right w:val="nil"/>
            </w:tcBorders>
            <w:shd w:val="clear" w:color="auto" w:fill="auto"/>
            <w:vAlign w:val="bottom"/>
          </w:tcPr>
          <w:p w:rsidR="00A3675D" w:rsidRPr="00923465" w:rsidRDefault="00A3675D" w:rsidP="00724165">
            <w:pPr>
              <w:jc w:val="right"/>
              <w:rPr>
                <w:rFonts w:ascii="Arial" w:hAnsi="Arial" w:cs="Arial"/>
                <w:bCs/>
                <w:color w:val="000000"/>
              </w:rPr>
            </w:pPr>
            <w:r w:rsidRPr="00923465">
              <w:rPr>
                <w:rFonts w:ascii="Arial" w:hAnsi="Arial" w:cs="Arial"/>
                <w:bCs/>
                <w:color w:val="000000"/>
              </w:rPr>
              <w:t>Very large</w:t>
            </w:r>
          </w:p>
        </w:tc>
        <w:tc>
          <w:tcPr>
            <w:tcW w:w="216" w:type="dxa"/>
            <w:tcBorders>
              <w:top w:val="nil"/>
              <w:left w:val="nil"/>
              <w:bottom w:val="nil"/>
              <w:right w:val="nil"/>
            </w:tcBorders>
            <w:shd w:val="clear" w:color="auto" w:fill="auto"/>
            <w:noWrap/>
            <w:vAlign w:val="bottom"/>
          </w:tcPr>
          <w:p w:rsidR="00A3675D" w:rsidRPr="00923465" w:rsidRDefault="00A3675D" w:rsidP="00724165">
            <w:pPr>
              <w:jc w:val="right"/>
              <w:rPr>
                <w:rFonts w:ascii="Arial" w:hAnsi="Arial" w:cs="Arial"/>
                <w:bCs/>
                <w:color w:val="000000"/>
              </w:rPr>
            </w:pPr>
          </w:p>
        </w:tc>
        <w:tc>
          <w:tcPr>
            <w:tcW w:w="648" w:type="dxa"/>
            <w:tcBorders>
              <w:top w:val="single" w:sz="4" w:space="0" w:color="auto"/>
              <w:left w:val="nil"/>
              <w:bottom w:val="single" w:sz="4" w:space="0" w:color="auto"/>
              <w:right w:val="nil"/>
            </w:tcBorders>
            <w:shd w:val="clear" w:color="auto" w:fill="auto"/>
            <w:vAlign w:val="bottom"/>
          </w:tcPr>
          <w:p w:rsidR="00A3675D" w:rsidRPr="00923465" w:rsidRDefault="00A3675D" w:rsidP="00F507ED">
            <w:pPr>
              <w:jc w:val="right"/>
              <w:rPr>
                <w:rFonts w:ascii="Arial" w:hAnsi="Arial" w:cs="Arial"/>
                <w:bCs/>
                <w:color w:val="000000"/>
              </w:rPr>
            </w:pPr>
            <w:r w:rsidRPr="00923465">
              <w:rPr>
                <w:rFonts w:ascii="Arial" w:hAnsi="Arial" w:cs="Arial"/>
                <w:bCs/>
                <w:color w:val="000000"/>
              </w:rPr>
              <w:t>Small</w:t>
            </w:r>
          </w:p>
        </w:tc>
        <w:tc>
          <w:tcPr>
            <w:tcW w:w="648" w:type="dxa"/>
            <w:tcBorders>
              <w:top w:val="single" w:sz="4" w:space="0" w:color="auto"/>
              <w:left w:val="nil"/>
              <w:bottom w:val="single" w:sz="4" w:space="0" w:color="auto"/>
              <w:right w:val="nil"/>
            </w:tcBorders>
            <w:shd w:val="clear" w:color="auto" w:fill="auto"/>
            <w:vAlign w:val="bottom"/>
          </w:tcPr>
          <w:p w:rsidR="00A3675D" w:rsidRPr="00923465" w:rsidRDefault="00A3675D" w:rsidP="00F507ED">
            <w:pPr>
              <w:jc w:val="right"/>
              <w:rPr>
                <w:rFonts w:ascii="Arial" w:hAnsi="Arial" w:cs="Arial"/>
                <w:bCs/>
                <w:color w:val="000000"/>
              </w:rPr>
            </w:pPr>
            <w:r w:rsidRPr="00923465">
              <w:rPr>
                <w:rFonts w:ascii="Arial" w:hAnsi="Arial" w:cs="Arial"/>
                <w:bCs/>
                <w:color w:val="000000"/>
              </w:rPr>
              <w:t>Large</w:t>
            </w:r>
          </w:p>
        </w:tc>
        <w:tc>
          <w:tcPr>
            <w:tcW w:w="648" w:type="dxa"/>
            <w:tcBorders>
              <w:top w:val="single" w:sz="4" w:space="0" w:color="auto"/>
              <w:left w:val="nil"/>
              <w:bottom w:val="single" w:sz="4" w:space="0" w:color="auto"/>
              <w:right w:val="nil"/>
            </w:tcBorders>
            <w:shd w:val="clear" w:color="auto" w:fill="auto"/>
            <w:vAlign w:val="bottom"/>
          </w:tcPr>
          <w:p w:rsidR="00A3675D" w:rsidRPr="00923465" w:rsidRDefault="00A3675D" w:rsidP="00F507ED">
            <w:pPr>
              <w:jc w:val="right"/>
              <w:rPr>
                <w:rFonts w:ascii="Arial" w:hAnsi="Arial" w:cs="Arial"/>
                <w:bCs/>
                <w:color w:val="000000"/>
              </w:rPr>
            </w:pPr>
            <w:r w:rsidRPr="00923465">
              <w:rPr>
                <w:rFonts w:ascii="Arial" w:hAnsi="Arial" w:cs="Arial"/>
                <w:bCs/>
                <w:color w:val="000000"/>
              </w:rPr>
              <w:t>Very large</w:t>
            </w:r>
          </w:p>
        </w:tc>
        <w:tc>
          <w:tcPr>
            <w:tcW w:w="720" w:type="dxa"/>
            <w:vMerge/>
            <w:tcBorders>
              <w:top w:val="single" w:sz="4" w:space="0" w:color="auto"/>
              <w:left w:val="nil"/>
              <w:bottom w:val="single" w:sz="4" w:space="0" w:color="auto"/>
            </w:tcBorders>
            <w:shd w:val="clear" w:color="auto" w:fill="auto"/>
          </w:tcPr>
          <w:p w:rsidR="00A3675D" w:rsidRPr="00923465" w:rsidRDefault="00A3675D" w:rsidP="00724165">
            <w:pPr>
              <w:jc w:val="center"/>
              <w:rPr>
                <w:rFonts w:ascii="Arial" w:hAnsi="Arial" w:cs="Arial"/>
                <w:bCs/>
                <w:color w:val="000000"/>
              </w:rPr>
            </w:pPr>
          </w:p>
        </w:tc>
      </w:tr>
      <w:tr w:rsidR="006359D2" w:rsidRPr="00923465" w:rsidTr="00D93BB1">
        <w:trPr>
          <w:trHeight w:val="255"/>
        </w:trPr>
        <w:tc>
          <w:tcPr>
            <w:tcW w:w="3420" w:type="dxa"/>
            <w:tcBorders>
              <w:top w:val="single" w:sz="4" w:space="0" w:color="auto"/>
              <w:bottom w:val="nil"/>
            </w:tcBorders>
            <w:shd w:val="clear" w:color="auto" w:fill="auto"/>
            <w:noWrap/>
            <w:vAlign w:val="bottom"/>
            <w:hideMark/>
          </w:tcPr>
          <w:p w:rsidR="006359D2" w:rsidRPr="00923465" w:rsidRDefault="006359D2" w:rsidP="00724165">
            <w:pPr>
              <w:rPr>
                <w:rFonts w:ascii="Arial" w:hAnsi="Arial" w:cs="Arial"/>
                <w:color w:val="000000"/>
              </w:rPr>
            </w:pPr>
            <w:r w:rsidRPr="00923465">
              <w:rPr>
                <w:rFonts w:ascii="Arial" w:hAnsi="Arial" w:cs="Arial"/>
                <w:color w:val="000000"/>
              </w:rPr>
              <w:t>Waste management</w:t>
            </w:r>
          </w:p>
        </w:tc>
        <w:tc>
          <w:tcPr>
            <w:tcW w:w="766" w:type="dxa"/>
            <w:tcBorders>
              <w:top w:val="single" w:sz="4" w:space="0" w:color="auto"/>
              <w:bottom w:val="nil"/>
              <w:right w:val="nil"/>
            </w:tcBorders>
            <w:shd w:val="clear" w:color="auto" w:fill="auto"/>
            <w:noWrap/>
            <w:vAlign w:val="bottom"/>
          </w:tcPr>
          <w:p w:rsidR="006359D2" w:rsidRPr="00923465" w:rsidRDefault="00D93BB1" w:rsidP="00724165">
            <w:pPr>
              <w:jc w:val="right"/>
              <w:rPr>
                <w:rFonts w:ascii="Arial" w:hAnsi="Arial" w:cs="Arial"/>
                <w:color w:val="000000"/>
              </w:rPr>
            </w:pPr>
            <w:r>
              <w:rPr>
                <w:rFonts w:ascii="Arial" w:hAnsi="Arial" w:cs="Arial"/>
                <w:color w:val="000000"/>
              </w:rPr>
              <w:t>4,060</w:t>
            </w:r>
          </w:p>
        </w:tc>
        <w:tc>
          <w:tcPr>
            <w:tcW w:w="648" w:type="dxa"/>
            <w:tcBorders>
              <w:top w:val="single" w:sz="4" w:space="0" w:color="auto"/>
              <w:left w:val="nil"/>
              <w:bottom w:val="nil"/>
              <w:right w:val="nil"/>
            </w:tcBorders>
            <w:shd w:val="clear" w:color="auto" w:fill="auto"/>
            <w:noWrap/>
            <w:vAlign w:val="bottom"/>
          </w:tcPr>
          <w:p w:rsidR="006359D2" w:rsidRPr="00923465" w:rsidRDefault="00D93BB1" w:rsidP="00724165">
            <w:pPr>
              <w:jc w:val="right"/>
              <w:rPr>
                <w:rFonts w:ascii="Arial" w:hAnsi="Arial" w:cs="Arial"/>
                <w:color w:val="000000"/>
              </w:rPr>
            </w:pPr>
            <w:r>
              <w:rPr>
                <w:rFonts w:ascii="Arial" w:hAnsi="Arial" w:cs="Arial"/>
                <w:color w:val="000000"/>
              </w:rPr>
              <w:t>233</w:t>
            </w:r>
          </w:p>
        </w:tc>
        <w:tc>
          <w:tcPr>
            <w:tcW w:w="648" w:type="dxa"/>
            <w:tcBorders>
              <w:top w:val="single" w:sz="4" w:space="0" w:color="auto"/>
              <w:left w:val="nil"/>
              <w:bottom w:val="nil"/>
              <w:right w:val="nil"/>
            </w:tcBorders>
            <w:shd w:val="clear" w:color="auto" w:fill="auto"/>
            <w:vAlign w:val="bottom"/>
          </w:tcPr>
          <w:p w:rsidR="006359D2" w:rsidRPr="00923465" w:rsidRDefault="006359D2" w:rsidP="00724165">
            <w:pPr>
              <w:jc w:val="right"/>
              <w:rPr>
                <w:rFonts w:ascii="Arial" w:hAnsi="Arial" w:cs="Arial"/>
                <w:color w:val="000000"/>
              </w:rPr>
            </w:pPr>
            <w:r w:rsidRPr="00923465">
              <w:rPr>
                <w:rFonts w:ascii="Arial" w:hAnsi="Arial" w:cs="Arial"/>
                <w:color w:val="000000"/>
              </w:rPr>
              <w:t>—</w:t>
            </w:r>
            <w:r w:rsidRPr="00923465">
              <w:rPr>
                <w:rFonts w:ascii="Arial" w:hAnsi="Arial" w:cs="Arial"/>
                <w:color w:val="000000"/>
                <w:vertAlign w:val="superscript"/>
              </w:rPr>
              <w:t>a</w:t>
            </w:r>
          </w:p>
        </w:tc>
        <w:tc>
          <w:tcPr>
            <w:tcW w:w="216" w:type="dxa"/>
            <w:tcBorders>
              <w:top w:val="nil"/>
              <w:left w:val="nil"/>
              <w:bottom w:val="nil"/>
              <w:right w:val="nil"/>
            </w:tcBorders>
            <w:shd w:val="clear" w:color="auto" w:fill="auto"/>
            <w:noWrap/>
            <w:vAlign w:val="bottom"/>
          </w:tcPr>
          <w:p w:rsidR="006359D2" w:rsidRPr="00923465" w:rsidRDefault="006359D2" w:rsidP="00A3675D">
            <w:pPr>
              <w:jc w:val="right"/>
              <w:rPr>
                <w:rFonts w:ascii="Arial" w:hAnsi="Arial" w:cs="Arial"/>
                <w:color w:val="000000"/>
              </w:rPr>
            </w:pPr>
          </w:p>
        </w:tc>
        <w:tc>
          <w:tcPr>
            <w:tcW w:w="648" w:type="dxa"/>
            <w:tcBorders>
              <w:top w:val="single" w:sz="4" w:space="0" w:color="auto"/>
              <w:left w:val="nil"/>
              <w:bottom w:val="nil"/>
              <w:right w:val="nil"/>
            </w:tcBorders>
            <w:shd w:val="clear" w:color="auto" w:fill="auto"/>
            <w:vAlign w:val="bottom"/>
          </w:tcPr>
          <w:p w:rsidR="006359D2" w:rsidRPr="00923465" w:rsidRDefault="00D93BB1">
            <w:pPr>
              <w:jc w:val="right"/>
              <w:rPr>
                <w:rFonts w:ascii="Arial" w:hAnsi="Arial" w:cs="Arial"/>
                <w:color w:val="000000"/>
              </w:rPr>
            </w:pPr>
            <w:r>
              <w:rPr>
                <w:rFonts w:ascii="Arial" w:hAnsi="Arial" w:cs="Arial"/>
                <w:color w:val="000000"/>
              </w:rPr>
              <w:t>309</w:t>
            </w:r>
          </w:p>
        </w:tc>
        <w:tc>
          <w:tcPr>
            <w:tcW w:w="648" w:type="dxa"/>
            <w:tcBorders>
              <w:top w:val="single" w:sz="4" w:space="0" w:color="auto"/>
              <w:left w:val="nil"/>
              <w:bottom w:val="nil"/>
              <w:right w:val="nil"/>
            </w:tcBorders>
            <w:shd w:val="clear" w:color="auto" w:fill="auto"/>
            <w:vAlign w:val="bottom"/>
          </w:tcPr>
          <w:p w:rsidR="006359D2" w:rsidRPr="00923465" w:rsidRDefault="00D93BB1">
            <w:pPr>
              <w:jc w:val="right"/>
              <w:rPr>
                <w:rFonts w:ascii="Arial" w:hAnsi="Arial" w:cs="Arial"/>
                <w:color w:val="000000"/>
              </w:rPr>
            </w:pPr>
            <w:r>
              <w:rPr>
                <w:rFonts w:ascii="Arial" w:hAnsi="Arial" w:cs="Arial"/>
                <w:color w:val="000000"/>
              </w:rPr>
              <w:t>23</w:t>
            </w:r>
          </w:p>
        </w:tc>
        <w:tc>
          <w:tcPr>
            <w:tcW w:w="641" w:type="dxa"/>
            <w:tcBorders>
              <w:top w:val="single" w:sz="4" w:space="0" w:color="auto"/>
              <w:left w:val="nil"/>
              <w:bottom w:val="nil"/>
              <w:right w:val="nil"/>
            </w:tcBorders>
            <w:shd w:val="clear" w:color="auto" w:fill="auto"/>
            <w:vAlign w:val="bottom"/>
          </w:tcPr>
          <w:p w:rsidR="006359D2" w:rsidRPr="00923465" w:rsidRDefault="006359D2" w:rsidP="00F507ED">
            <w:pPr>
              <w:jc w:val="right"/>
              <w:rPr>
                <w:rFonts w:ascii="Arial" w:hAnsi="Arial" w:cs="Arial"/>
                <w:color w:val="000000"/>
              </w:rPr>
            </w:pPr>
            <w:r w:rsidRPr="00923465">
              <w:rPr>
                <w:rFonts w:ascii="Arial" w:hAnsi="Arial" w:cs="Arial"/>
                <w:color w:val="000000"/>
              </w:rPr>
              <w:t>—</w:t>
            </w:r>
            <w:r w:rsidRPr="00923465">
              <w:rPr>
                <w:rFonts w:ascii="Arial" w:hAnsi="Arial" w:cs="Arial"/>
                <w:color w:val="000000"/>
                <w:vertAlign w:val="superscript"/>
              </w:rPr>
              <w:t>a</w:t>
            </w:r>
          </w:p>
        </w:tc>
        <w:tc>
          <w:tcPr>
            <w:tcW w:w="720" w:type="dxa"/>
            <w:tcBorders>
              <w:top w:val="single" w:sz="4" w:space="0" w:color="auto"/>
              <w:left w:val="nil"/>
              <w:bottom w:val="nil"/>
              <w:right w:val="nil"/>
            </w:tcBorders>
            <w:shd w:val="clear" w:color="auto" w:fill="auto"/>
            <w:vAlign w:val="bottom"/>
          </w:tcPr>
          <w:p w:rsidR="006359D2" w:rsidRPr="00923465" w:rsidRDefault="00EB32F9" w:rsidP="00724165">
            <w:pPr>
              <w:jc w:val="right"/>
              <w:rPr>
                <w:rFonts w:ascii="Arial" w:hAnsi="Arial" w:cs="Arial"/>
                <w:color w:val="000000"/>
              </w:rPr>
            </w:pPr>
            <w:r>
              <w:rPr>
                <w:rFonts w:ascii="Arial" w:hAnsi="Arial" w:cs="Arial"/>
                <w:color w:val="000000"/>
              </w:rPr>
              <w:t>4,625</w:t>
            </w:r>
          </w:p>
        </w:tc>
        <w:tc>
          <w:tcPr>
            <w:tcW w:w="216" w:type="dxa"/>
            <w:tcBorders>
              <w:top w:val="nil"/>
              <w:left w:val="nil"/>
              <w:bottom w:val="nil"/>
              <w:right w:val="nil"/>
            </w:tcBorders>
            <w:shd w:val="clear" w:color="auto" w:fill="auto"/>
          </w:tcPr>
          <w:p w:rsidR="006359D2" w:rsidRPr="00923465" w:rsidRDefault="006359D2" w:rsidP="00A3675D">
            <w:pPr>
              <w:jc w:val="right"/>
              <w:rPr>
                <w:rFonts w:ascii="Arial" w:hAnsi="Arial" w:cs="Arial"/>
                <w:color w:val="000000"/>
              </w:rPr>
            </w:pPr>
          </w:p>
        </w:tc>
        <w:tc>
          <w:tcPr>
            <w:tcW w:w="648" w:type="dxa"/>
            <w:tcBorders>
              <w:top w:val="single" w:sz="4" w:space="0" w:color="auto"/>
              <w:left w:val="nil"/>
              <w:bottom w:val="nil"/>
              <w:right w:val="nil"/>
            </w:tcBorders>
            <w:shd w:val="clear" w:color="auto" w:fill="auto"/>
            <w:noWrap/>
            <w:vAlign w:val="bottom"/>
          </w:tcPr>
          <w:p w:rsidR="006359D2" w:rsidRPr="00923465" w:rsidRDefault="006909E4" w:rsidP="00A3675D">
            <w:pPr>
              <w:jc w:val="right"/>
              <w:rPr>
                <w:rFonts w:ascii="Arial" w:hAnsi="Arial" w:cs="Arial"/>
                <w:color w:val="000000"/>
              </w:rPr>
            </w:pPr>
            <w:r>
              <w:rPr>
                <w:rFonts w:ascii="Arial" w:hAnsi="Arial" w:cs="Arial"/>
                <w:color w:val="000000"/>
              </w:rPr>
              <w:t>406</w:t>
            </w:r>
          </w:p>
        </w:tc>
        <w:tc>
          <w:tcPr>
            <w:tcW w:w="648" w:type="dxa"/>
            <w:tcBorders>
              <w:top w:val="single" w:sz="4" w:space="0" w:color="auto"/>
              <w:left w:val="nil"/>
              <w:bottom w:val="nil"/>
              <w:right w:val="nil"/>
            </w:tcBorders>
            <w:shd w:val="clear" w:color="auto" w:fill="auto"/>
            <w:noWrap/>
            <w:vAlign w:val="bottom"/>
          </w:tcPr>
          <w:p w:rsidR="006359D2" w:rsidRPr="00923465" w:rsidRDefault="006909E4" w:rsidP="00724165">
            <w:pPr>
              <w:jc w:val="right"/>
              <w:rPr>
                <w:rFonts w:ascii="Arial" w:hAnsi="Arial" w:cs="Arial"/>
                <w:color w:val="000000"/>
              </w:rPr>
            </w:pPr>
            <w:r>
              <w:rPr>
                <w:rFonts w:ascii="Arial" w:hAnsi="Arial" w:cs="Arial"/>
                <w:color w:val="000000"/>
              </w:rPr>
              <w:t>233</w:t>
            </w:r>
          </w:p>
        </w:tc>
        <w:tc>
          <w:tcPr>
            <w:tcW w:w="648" w:type="dxa"/>
            <w:tcBorders>
              <w:top w:val="single" w:sz="4" w:space="0" w:color="auto"/>
              <w:left w:val="nil"/>
              <w:bottom w:val="nil"/>
              <w:right w:val="nil"/>
            </w:tcBorders>
            <w:shd w:val="clear" w:color="auto" w:fill="auto"/>
            <w:vAlign w:val="bottom"/>
          </w:tcPr>
          <w:p w:rsidR="006359D2" w:rsidRPr="00923465" w:rsidRDefault="006359D2" w:rsidP="00724165">
            <w:pPr>
              <w:jc w:val="right"/>
              <w:rPr>
                <w:rFonts w:ascii="Arial" w:hAnsi="Arial" w:cs="Arial"/>
                <w:color w:val="000000"/>
              </w:rPr>
            </w:pPr>
            <w:r w:rsidRPr="00923465">
              <w:rPr>
                <w:rFonts w:ascii="Arial" w:hAnsi="Arial" w:cs="Arial"/>
                <w:color w:val="000000"/>
              </w:rPr>
              <w:t>—</w:t>
            </w:r>
            <w:r w:rsidRPr="00923465">
              <w:rPr>
                <w:rFonts w:ascii="Arial" w:hAnsi="Arial" w:cs="Arial"/>
                <w:color w:val="000000"/>
                <w:vertAlign w:val="superscript"/>
              </w:rPr>
              <w:t>a</w:t>
            </w:r>
          </w:p>
        </w:tc>
        <w:tc>
          <w:tcPr>
            <w:tcW w:w="216" w:type="dxa"/>
            <w:tcBorders>
              <w:top w:val="nil"/>
              <w:left w:val="nil"/>
              <w:bottom w:val="nil"/>
              <w:right w:val="nil"/>
            </w:tcBorders>
            <w:shd w:val="clear" w:color="auto" w:fill="auto"/>
            <w:noWrap/>
            <w:vAlign w:val="bottom"/>
          </w:tcPr>
          <w:p w:rsidR="006359D2" w:rsidRPr="00923465" w:rsidRDefault="006359D2" w:rsidP="00724165">
            <w:pPr>
              <w:jc w:val="right"/>
              <w:rPr>
                <w:rFonts w:ascii="Arial" w:hAnsi="Arial" w:cs="Arial"/>
                <w:color w:val="000000"/>
              </w:rPr>
            </w:pPr>
          </w:p>
        </w:tc>
        <w:tc>
          <w:tcPr>
            <w:tcW w:w="648" w:type="dxa"/>
            <w:tcBorders>
              <w:top w:val="single" w:sz="4" w:space="0" w:color="auto"/>
              <w:left w:val="nil"/>
              <w:bottom w:val="nil"/>
              <w:right w:val="nil"/>
            </w:tcBorders>
            <w:shd w:val="clear" w:color="auto" w:fill="auto"/>
            <w:vAlign w:val="bottom"/>
          </w:tcPr>
          <w:p w:rsidR="006359D2" w:rsidRPr="00923465" w:rsidRDefault="005F1C01" w:rsidP="00724165">
            <w:pPr>
              <w:jc w:val="right"/>
              <w:rPr>
                <w:rFonts w:ascii="Arial" w:hAnsi="Arial" w:cs="Arial"/>
                <w:color w:val="000000"/>
              </w:rPr>
            </w:pPr>
            <w:r>
              <w:rPr>
                <w:rFonts w:ascii="Arial" w:hAnsi="Arial" w:cs="Arial"/>
                <w:color w:val="000000"/>
              </w:rPr>
              <w:t>93</w:t>
            </w:r>
          </w:p>
        </w:tc>
        <w:tc>
          <w:tcPr>
            <w:tcW w:w="648" w:type="dxa"/>
            <w:tcBorders>
              <w:top w:val="single" w:sz="4" w:space="0" w:color="auto"/>
              <w:left w:val="nil"/>
              <w:bottom w:val="nil"/>
              <w:right w:val="nil"/>
            </w:tcBorders>
            <w:shd w:val="clear" w:color="auto" w:fill="auto"/>
            <w:vAlign w:val="bottom"/>
          </w:tcPr>
          <w:p w:rsidR="006359D2" w:rsidRPr="00923465" w:rsidRDefault="005F1C01" w:rsidP="00724165">
            <w:pPr>
              <w:jc w:val="right"/>
              <w:rPr>
                <w:rFonts w:ascii="Arial" w:hAnsi="Arial" w:cs="Arial"/>
                <w:color w:val="000000"/>
              </w:rPr>
            </w:pPr>
            <w:r>
              <w:rPr>
                <w:rFonts w:ascii="Arial" w:hAnsi="Arial" w:cs="Arial"/>
                <w:color w:val="000000"/>
              </w:rPr>
              <w:t>23</w:t>
            </w:r>
          </w:p>
        </w:tc>
        <w:tc>
          <w:tcPr>
            <w:tcW w:w="648" w:type="dxa"/>
            <w:tcBorders>
              <w:top w:val="single" w:sz="4" w:space="0" w:color="auto"/>
              <w:left w:val="nil"/>
              <w:bottom w:val="nil"/>
              <w:right w:val="nil"/>
            </w:tcBorders>
            <w:shd w:val="clear" w:color="auto" w:fill="auto"/>
            <w:vAlign w:val="bottom"/>
          </w:tcPr>
          <w:p w:rsidR="006359D2" w:rsidRPr="00923465" w:rsidRDefault="006359D2" w:rsidP="00F507ED">
            <w:pPr>
              <w:jc w:val="right"/>
              <w:rPr>
                <w:rFonts w:ascii="Arial" w:hAnsi="Arial" w:cs="Arial"/>
                <w:color w:val="000000"/>
              </w:rPr>
            </w:pPr>
            <w:r w:rsidRPr="00923465">
              <w:rPr>
                <w:rFonts w:ascii="Arial" w:hAnsi="Arial" w:cs="Arial"/>
                <w:color w:val="000000"/>
              </w:rPr>
              <w:t>—</w:t>
            </w:r>
            <w:r w:rsidRPr="00923465">
              <w:rPr>
                <w:rFonts w:ascii="Arial" w:hAnsi="Arial" w:cs="Arial"/>
                <w:color w:val="000000"/>
                <w:vertAlign w:val="superscript"/>
              </w:rPr>
              <w:t>a</w:t>
            </w:r>
          </w:p>
        </w:tc>
        <w:tc>
          <w:tcPr>
            <w:tcW w:w="720" w:type="dxa"/>
            <w:tcBorders>
              <w:top w:val="single" w:sz="4" w:space="0" w:color="auto"/>
              <w:left w:val="nil"/>
              <w:bottom w:val="nil"/>
            </w:tcBorders>
            <w:shd w:val="clear" w:color="auto" w:fill="auto"/>
            <w:vAlign w:val="bottom"/>
          </w:tcPr>
          <w:p w:rsidR="006359D2" w:rsidRPr="00923465" w:rsidRDefault="003C77A4" w:rsidP="00724165">
            <w:pPr>
              <w:jc w:val="right"/>
              <w:rPr>
                <w:rFonts w:ascii="Arial" w:hAnsi="Arial" w:cs="Arial"/>
                <w:color w:val="000000"/>
              </w:rPr>
            </w:pPr>
            <w:r>
              <w:rPr>
                <w:rFonts w:ascii="Arial" w:hAnsi="Arial" w:cs="Arial"/>
                <w:color w:val="000000"/>
              </w:rPr>
              <w:t>755</w:t>
            </w:r>
          </w:p>
        </w:tc>
      </w:tr>
      <w:tr w:rsidR="006359D2" w:rsidRPr="00923465" w:rsidTr="00D93BB1">
        <w:trPr>
          <w:trHeight w:val="255"/>
        </w:trPr>
        <w:tc>
          <w:tcPr>
            <w:tcW w:w="3420" w:type="dxa"/>
            <w:tcBorders>
              <w:top w:val="nil"/>
            </w:tcBorders>
            <w:shd w:val="clear" w:color="auto" w:fill="auto"/>
            <w:noWrap/>
            <w:vAlign w:val="bottom"/>
            <w:hideMark/>
          </w:tcPr>
          <w:p w:rsidR="006359D2" w:rsidRPr="00923465" w:rsidRDefault="006359D2" w:rsidP="00724165">
            <w:pPr>
              <w:rPr>
                <w:rFonts w:ascii="Arial" w:hAnsi="Arial" w:cs="Arial"/>
                <w:color w:val="000000"/>
              </w:rPr>
            </w:pPr>
            <w:r w:rsidRPr="00923465">
              <w:rPr>
                <w:rFonts w:ascii="Arial" w:hAnsi="Arial" w:cs="Arial"/>
                <w:color w:val="000000"/>
              </w:rPr>
              <w:t>Smelting of nonferrous metals</w:t>
            </w:r>
          </w:p>
        </w:tc>
        <w:tc>
          <w:tcPr>
            <w:tcW w:w="766" w:type="dxa"/>
            <w:tcBorders>
              <w:top w:val="nil"/>
              <w:right w:val="nil"/>
            </w:tcBorders>
            <w:shd w:val="clear" w:color="auto" w:fill="auto"/>
            <w:noWrap/>
            <w:vAlign w:val="bottom"/>
          </w:tcPr>
          <w:p w:rsidR="006359D2" w:rsidRPr="00923465" w:rsidRDefault="00D93BB1" w:rsidP="00724165">
            <w:pPr>
              <w:jc w:val="right"/>
              <w:rPr>
                <w:rFonts w:ascii="Arial" w:hAnsi="Arial" w:cs="Arial"/>
                <w:color w:val="000000"/>
              </w:rPr>
            </w:pPr>
            <w:r>
              <w:rPr>
                <w:rFonts w:ascii="Arial" w:hAnsi="Arial" w:cs="Arial"/>
                <w:color w:val="000000"/>
              </w:rPr>
              <w:t>141</w:t>
            </w:r>
          </w:p>
        </w:tc>
        <w:tc>
          <w:tcPr>
            <w:tcW w:w="648" w:type="dxa"/>
            <w:tcBorders>
              <w:top w:val="nil"/>
              <w:left w:val="nil"/>
              <w:right w:val="nil"/>
            </w:tcBorders>
            <w:shd w:val="clear" w:color="auto" w:fill="auto"/>
            <w:noWrap/>
            <w:vAlign w:val="bottom"/>
          </w:tcPr>
          <w:p w:rsidR="006359D2" w:rsidRPr="00923465" w:rsidRDefault="00D93BB1" w:rsidP="00724165">
            <w:pPr>
              <w:jc w:val="right"/>
              <w:rPr>
                <w:rFonts w:ascii="Arial" w:hAnsi="Arial" w:cs="Arial"/>
                <w:color w:val="000000"/>
              </w:rPr>
            </w:pPr>
            <w:r>
              <w:rPr>
                <w:rFonts w:ascii="Arial" w:hAnsi="Arial" w:cs="Arial"/>
                <w:color w:val="000000"/>
              </w:rPr>
              <w:t>35</w:t>
            </w:r>
          </w:p>
        </w:tc>
        <w:tc>
          <w:tcPr>
            <w:tcW w:w="648" w:type="dxa"/>
            <w:tcBorders>
              <w:top w:val="nil"/>
              <w:left w:val="nil"/>
              <w:right w:val="nil"/>
            </w:tcBorders>
            <w:shd w:val="clear" w:color="auto" w:fill="auto"/>
            <w:vAlign w:val="bottom"/>
          </w:tcPr>
          <w:p w:rsidR="006359D2" w:rsidRPr="00923465" w:rsidRDefault="006359D2" w:rsidP="00724165">
            <w:pPr>
              <w:jc w:val="right"/>
              <w:rPr>
                <w:rFonts w:ascii="Arial" w:hAnsi="Arial" w:cs="Arial"/>
                <w:color w:val="000000"/>
              </w:rPr>
            </w:pPr>
            <w:r w:rsidRPr="00923465">
              <w:rPr>
                <w:rFonts w:ascii="Arial" w:hAnsi="Arial" w:cs="Arial"/>
                <w:color w:val="000000"/>
              </w:rPr>
              <w:t>—</w:t>
            </w:r>
            <w:r w:rsidRPr="00923465">
              <w:rPr>
                <w:rFonts w:ascii="Arial" w:hAnsi="Arial" w:cs="Arial"/>
                <w:color w:val="000000"/>
                <w:vertAlign w:val="superscript"/>
              </w:rPr>
              <w:t>a</w:t>
            </w:r>
          </w:p>
        </w:tc>
        <w:tc>
          <w:tcPr>
            <w:tcW w:w="216" w:type="dxa"/>
            <w:tcBorders>
              <w:top w:val="nil"/>
              <w:left w:val="nil"/>
              <w:bottom w:val="nil"/>
              <w:right w:val="nil"/>
            </w:tcBorders>
            <w:shd w:val="clear" w:color="auto" w:fill="auto"/>
            <w:noWrap/>
            <w:vAlign w:val="bottom"/>
          </w:tcPr>
          <w:p w:rsidR="006359D2" w:rsidRPr="00923465" w:rsidRDefault="006359D2" w:rsidP="00A3675D">
            <w:pPr>
              <w:jc w:val="right"/>
              <w:rPr>
                <w:rFonts w:ascii="Arial" w:hAnsi="Arial" w:cs="Arial"/>
                <w:color w:val="000000"/>
              </w:rPr>
            </w:pPr>
          </w:p>
        </w:tc>
        <w:tc>
          <w:tcPr>
            <w:tcW w:w="648" w:type="dxa"/>
            <w:tcBorders>
              <w:top w:val="nil"/>
              <w:left w:val="nil"/>
              <w:right w:val="nil"/>
            </w:tcBorders>
            <w:shd w:val="clear" w:color="auto" w:fill="auto"/>
            <w:vAlign w:val="bottom"/>
          </w:tcPr>
          <w:p w:rsidR="006359D2" w:rsidRPr="00923465" w:rsidRDefault="00D93BB1">
            <w:pPr>
              <w:jc w:val="right"/>
              <w:rPr>
                <w:rFonts w:ascii="Arial" w:hAnsi="Arial" w:cs="Arial"/>
                <w:color w:val="000000"/>
              </w:rPr>
            </w:pPr>
            <w:r>
              <w:rPr>
                <w:rFonts w:ascii="Arial" w:hAnsi="Arial" w:cs="Arial"/>
                <w:color w:val="000000"/>
              </w:rPr>
              <w:t>21</w:t>
            </w:r>
          </w:p>
        </w:tc>
        <w:tc>
          <w:tcPr>
            <w:tcW w:w="648" w:type="dxa"/>
            <w:tcBorders>
              <w:top w:val="nil"/>
              <w:left w:val="nil"/>
              <w:right w:val="nil"/>
            </w:tcBorders>
            <w:shd w:val="clear" w:color="auto" w:fill="auto"/>
            <w:vAlign w:val="bottom"/>
          </w:tcPr>
          <w:p w:rsidR="006359D2" w:rsidRPr="00923465" w:rsidRDefault="00D93BB1">
            <w:pPr>
              <w:jc w:val="right"/>
              <w:rPr>
                <w:rFonts w:ascii="Arial" w:hAnsi="Arial" w:cs="Arial"/>
                <w:color w:val="000000"/>
              </w:rPr>
            </w:pPr>
            <w:r>
              <w:rPr>
                <w:rFonts w:ascii="Arial" w:hAnsi="Arial" w:cs="Arial"/>
                <w:color w:val="000000"/>
              </w:rPr>
              <w:t>7</w:t>
            </w:r>
          </w:p>
        </w:tc>
        <w:tc>
          <w:tcPr>
            <w:tcW w:w="641" w:type="dxa"/>
            <w:tcBorders>
              <w:top w:val="nil"/>
              <w:left w:val="nil"/>
              <w:right w:val="nil"/>
            </w:tcBorders>
            <w:shd w:val="clear" w:color="auto" w:fill="auto"/>
            <w:vAlign w:val="bottom"/>
          </w:tcPr>
          <w:p w:rsidR="006359D2" w:rsidRPr="00923465" w:rsidRDefault="006359D2" w:rsidP="00F507ED">
            <w:pPr>
              <w:jc w:val="right"/>
              <w:rPr>
                <w:rFonts w:ascii="Arial" w:hAnsi="Arial" w:cs="Arial"/>
                <w:color w:val="000000"/>
              </w:rPr>
            </w:pPr>
            <w:r w:rsidRPr="00923465">
              <w:rPr>
                <w:rFonts w:ascii="Arial" w:hAnsi="Arial" w:cs="Arial"/>
                <w:color w:val="000000"/>
              </w:rPr>
              <w:t>—</w:t>
            </w:r>
            <w:r w:rsidRPr="00923465">
              <w:rPr>
                <w:rFonts w:ascii="Arial" w:hAnsi="Arial" w:cs="Arial"/>
                <w:color w:val="000000"/>
                <w:vertAlign w:val="superscript"/>
              </w:rPr>
              <w:t>a</w:t>
            </w:r>
          </w:p>
        </w:tc>
        <w:tc>
          <w:tcPr>
            <w:tcW w:w="720" w:type="dxa"/>
            <w:tcBorders>
              <w:top w:val="nil"/>
              <w:left w:val="nil"/>
              <w:right w:val="nil"/>
            </w:tcBorders>
            <w:shd w:val="clear" w:color="auto" w:fill="auto"/>
            <w:vAlign w:val="bottom"/>
          </w:tcPr>
          <w:p w:rsidR="006359D2" w:rsidRPr="00923465" w:rsidRDefault="00EB32F9" w:rsidP="00724165">
            <w:pPr>
              <w:jc w:val="right"/>
              <w:rPr>
                <w:rFonts w:ascii="Arial" w:hAnsi="Arial" w:cs="Arial"/>
                <w:color w:val="000000"/>
              </w:rPr>
            </w:pPr>
            <w:r>
              <w:rPr>
                <w:rFonts w:ascii="Arial" w:hAnsi="Arial" w:cs="Arial"/>
                <w:color w:val="000000"/>
              </w:rPr>
              <w:t>204</w:t>
            </w:r>
          </w:p>
        </w:tc>
        <w:tc>
          <w:tcPr>
            <w:tcW w:w="216" w:type="dxa"/>
            <w:tcBorders>
              <w:top w:val="nil"/>
              <w:left w:val="nil"/>
              <w:bottom w:val="nil"/>
              <w:right w:val="nil"/>
            </w:tcBorders>
            <w:shd w:val="clear" w:color="auto" w:fill="auto"/>
          </w:tcPr>
          <w:p w:rsidR="006359D2" w:rsidRPr="00923465" w:rsidRDefault="006359D2" w:rsidP="00A3675D">
            <w:pPr>
              <w:jc w:val="right"/>
              <w:rPr>
                <w:rFonts w:ascii="Arial" w:hAnsi="Arial" w:cs="Arial"/>
                <w:color w:val="000000"/>
              </w:rPr>
            </w:pPr>
          </w:p>
        </w:tc>
        <w:tc>
          <w:tcPr>
            <w:tcW w:w="648" w:type="dxa"/>
            <w:tcBorders>
              <w:top w:val="nil"/>
              <w:left w:val="nil"/>
              <w:right w:val="nil"/>
            </w:tcBorders>
            <w:shd w:val="clear" w:color="auto" w:fill="auto"/>
            <w:noWrap/>
            <w:vAlign w:val="bottom"/>
          </w:tcPr>
          <w:p w:rsidR="006359D2" w:rsidRPr="00923465" w:rsidRDefault="006909E4" w:rsidP="00A3675D">
            <w:pPr>
              <w:jc w:val="right"/>
              <w:rPr>
                <w:rFonts w:ascii="Arial" w:hAnsi="Arial" w:cs="Arial"/>
                <w:color w:val="000000"/>
              </w:rPr>
            </w:pPr>
            <w:r>
              <w:rPr>
                <w:rFonts w:ascii="Arial" w:hAnsi="Arial" w:cs="Arial"/>
                <w:color w:val="000000"/>
              </w:rPr>
              <w:t>20</w:t>
            </w:r>
          </w:p>
        </w:tc>
        <w:tc>
          <w:tcPr>
            <w:tcW w:w="648" w:type="dxa"/>
            <w:tcBorders>
              <w:top w:val="nil"/>
              <w:left w:val="nil"/>
              <w:right w:val="nil"/>
            </w:tcBorders>
            <w:shd w:val="clear" w:color="auto" w:fill="auto"/>
            <w:noWrap/>
            <w:vAlign w:val="bottom"/>
          </w:tcPr>
          <w:p w:rsidR="006359D2" w:rsidRPr="00923465" w:rsidRDefault="006909E4" w:rsidP="00724165">
            <w:pPr>
              <w:jc w:val="right"/>
              <w:rPr>
                <w:rFonts w:ascii="Arial" w:hAnsi="Arial" w:cs="Arial"/>
                <w:color w:val="000000"/>
              </w:rPr>
            </w:pPr>
            <w:r>
              <w:rPr>
                <w:rFonts w:ascii="Arial" w:hAnsi="Arial" w:cs="Arial"/>
                <w:color w:val="000000"/>
              </w:rPr>
              <w:t>35</w:t>
            </w:r>
          </w:p>
        </w:tc>
        <w:tc>
          <w:tcPr>
            <w:tcW w:w="648" w:type="dxa"/>
            <w:tcBorders>
              <w:top w:val="nil"/>
              <w:left w:val="nil"/>
              <w:right w:val="nil"/>
            </w:tcBorders>
            <w:shd w:val="clear" w:color="auto" w:fill="auto"/>
            <w:vAlign w:val="bottom"/>
          </w:tcPr>
          <w:p w:rsidR="006359D2" w:rsidRPr="00923465" w:rsidRDefault="006359D2" w:rsidP="00724165">
            <w:pPr>
              <w:jc w:val="right"/>
              <w:rPr>
                <w:rFonts w:ascii="Arial" w:hAnsi="Arial" w:cs="Arial"/>
                <w:color w:val="000000"/>
              </w:rPr>
            </w:pPr>
            <w:r w:rsidRPr="00923465">
              <w:rPr>
                <w:rFonts w:ascii="Arial" w:hAnsi="Arial" w:cs="Arial"/>
                <w:color w:val="000000"/>
              </w:rPr>
              <w:t>—</w:t>
            </w:r>
            <w:r w:rsidRPr="00923465">
              <w:rPr>
                <w:rFonts w:ascii="Arial" w:hAnsi="Arial" w:cs="Arial"/>
                <w:color w:val="000000"/>
                <w:vertAlign w:val="superscript"/>
              </w:rPr>
              <w:t>a</w:t>
            </w:r>
          </w:p>
        </w:tc>
        <w:tc>
          <w:tcPr>
            <w:tcW w:w="216" w:type="dxa"/>
            <w:tcBorders>
              <w:top w:val="nil"/>
              <w:left w:val="nil"/>
              <w:bottom w:val="nil"/>
              <w:right w:val="nil"/>
            </w:tcBorders>
            <w:shd w:val="clear" w:color="auto" w:fill="auto"/>
            <w:noWrap/>
            <w:vAlign w:val="bottom"/>
          </w:tcPr>
          <w:p w:rsidR="006359D2" w:rsidRPr="00923465" w:rsidRDefault="006359D2" w:rsidP="00724165">
            <w:pPr>
              <w:jc w:val="right"/>
              <w:rPr>
                <w:rFonts w:ascii="Arial" w:hAnsi="Arial" w:cs="Arial"/>
                <w:color w:val="000000"/>
              </w:rPr>
            </w:pPr>
          </w:p>
        </w:tc>
        <w:tc>
          <w:tcPr>
            <w:tcW w:w="648" w:type="dxa"/>
            <w:tcBorders>
              <w:top w:val="nil"/>
              <w:left w:val="nil"/>
              <w:right w:val="nil"/>
            </w:tcBorders>
            <w:shd w:val="clear" w:color="auto" w:fill="auto"/>
            <w:vAlign w:val="bottom"/>
          </w:tcPr>
          <w:p w:rsidR="006359D2" w:rsidRPr="00923465" w:rsidRDefault="005F1C01" w:rsidP="00724165">
            <w:pPr>
              <w:jc w:val="right"/>
              <w:rPr>
                <w:rFonts w:ascii="Arial" w:hAnsi="Arial" w:cs="Arial"/>
                <w:color w:val="000000"/>
              </w:rPr>
            </w:pPr>
            <w:r>
              <w:rPr>
                <w:rFonts w:ascii="Arial" w:hAnsi="Arial" w:cs="Arial"/>
                <w:color w:val="000000"/>
              </w:rPr>
              <w:t>20</w:t>
            </w:r>
          </w:p>
        </w:tc>
        <w:tc>
          <w:tcPr>
            <w:tcW w:w="648" w:type="dxa"/>
            <w:tcBorders>
              <w:top w:val="nil"/>
              <w:left w:val="nil"/>
              <w:right w:val="nil"/>
            </w:tcBorders>
            <w:shd w:val="clear" w:color="auto" w:fill="auto"/>
            <w:vAlign w:val="bottom"/>
          </w:tcPr>
          <w:p w:rsidR="006359D2" w:rsidRPr="00923465" w:rsidRDefault="005F1C01" w:rsidP="00724165">
            <w:pPr>
              <w:jc w:val="right"/>
              <w:rPr>
                <w:rFonts w:ascii="Arial" w:hAnsi="Arial" w:cs="Arial"/>
                <w:color w:val="000000"/>
              </w:rPr>
            </w:pPr>
            <w:r>
              <w:rPr>
                <w:rFonts w:ascii="Arial" w:hAnsi="Arial" w:cs="Arial"/>
                <w:color w:val="000000"/>
              </w:rPr>
              <w:t>7</w:t>
            </w:r>
          </w:p>
        </w:tc>
        <w:tc>
          <w:tcPr>
            <w:tcW w:w="648" w:type="dxa"/>
            <w:tcBorders>
              <w:top w:val="nil"/>
              <w:left w:val="nil"/>
              <w:right w:val="nil"/>
            </w:tcBorders>
            <w:shd w:val="clear" w:color="auto" w:fill="auto"/>
            <w:vAlign w:val="bottom"/>
          </w:tcPr>
          <w:p w:rsidR="006359D2" w:rsidRPr="00923465" w:rsidRDefault="006359D2" w:rsidP="00F507ED">
            <w:pPr>
              <w:jc w:val="right"/>
              <w:rPr>
                <w:rFonts w:ascii="Arial" w:hAnsi="Arial" w:cs="Arial"/>
                <w:color w:val="000000"/>
              </w:rPr>
            </w:pPr>
            <w:r w:rsidRPr="00923465">
              <w:rPr>
                <w:rFonts w:ascii="Arial" w:hAnsi="Arial" w:cs="Arial"/>
                <w:color w:val="000000"/>
              </w:rPr>
              <w:t>—</w:t>
            </w:r>
            <w:r w:rsidRPr="00923465">
              <w:rPr>
                <w:rFonts w:ascii="Arial" w:hAnsi="Arial" w:cs="Arial"/>
                <w:color w:val="000000"/>
                <w:vertAlign w:val="superscript"/>
              </w:rPr>
              <w:t>a</w:t>
            </w:r>
          </w:p>
        </w:tc>
        <w:tc>
          <w:tcPr>
            <w:tcW w:w="720" w:type="dxa"/>
            <w:tcBorders>
              <w:top w:val="nil"/>
              <w:left w:val="nil"/>
            </w:tcBorders>
            <w:shd w:val="clear" w:color="auto" w:fill="auto"/>
            <w:vAlign w:val="bottom"/>
          </w:tcPr>
          <w:p w:rsidR="006359D2" w:rsidRPr="00923465" w:rsidRDefault="003C77A4" w:rsidP="00724165">
            <w:pPr>
              <w:jc w:val="right"/>
              <w:rPr>
                <w:rFonts w:ascii="Arial" w:hAnsi="Arial" w:cs="Arial"/>
                <w:color w:val="000000"/>
              </w:rPr>
            </w:pPr>
            <w:r>
              <w:rPr>
                <w:rFonts w:ascii="Arial" w:hAnsi="Arial" w:cs="Arial"/>
                <w:color w:val="000000"/>
              </w:rPr>
              <w:t>82</w:t>
            </w:r>
          </w:p>
        </w:tc>
      </w:tr>
      <w:tr w:rsidR="006359D2" w:rsidRPr="00923465" w:rsidTr="00D93BB1">
        <w:trPr>
          <w:trHeight w:val="255"/>
        </w:trPr>
        <w:tc>
          <w:tcPr>
            <w:tcW w:w="3420" w:type="dxa"/>
            <w:shd w:val="clear" w:color="auto" w:fill="auto"/>
            <w:noWrap/>
            <w:vAlign w:val="bottom"/>
            <w:hideMark/>
          </w:tcPr>
          <w:p w:rsidR="006359D2" w:rsidRPr="00923465" w:rsidRDefault="006359D2" w:rsidP="00724165">
            <w:pPr>
              <w:rPr>
                <w:rFonts w:ascii="Arial" w:hAnsi="Arial" w:cs="Arial"/>
                <w:color w:val="000000"/>
              </w:rPr>
            </w:pPr>
            <w:r w:rsidRPr="00923465">
              <w:rPr>
                <w:rFonts w:ascii="Arial" w:hAnsi="Arial" w:cs="Arial"/>
                <w:color w:val="000000"/>
              </w:rPr>
              <w:t>Electronics manufacturing</w:t>
            </w:r>
          </w:p>
        </w:tc>
        <w:tc>
          <w:tcPr>
            <w:tcW w:w="766" w:type="dxa"/>
            <w:tcBorders>
              <w:right w:val="nil"/>
            </w:tcBorders>
            <w:shd w:val="clear" w:color="auto" w:fill="auto"/>
            <w:noWrap/>
            <w:vAlign w:val="bottom"/>
          </w:tcPr>
          <w:p w:rsidR="006359D2" w:rsidRPr="00923465" w:rsidRDefault="00D93BB1" w:rsidP="00724165">
            <w:pPr>
              <w:jc w:val="right"/>
              <w:rPr>
                <w:rFonts w:ascii="Arial" w:hAnsi="Arial" w:cs="Arial"/>
                <w:color w:val="000000"/>
              </w:rPr>
            </w:pPr>
            <w:r>
              <w:rPr>
                <w:rFonts w:ascii="Arial" w:hAnsi="Arial" w:cs="Arial"/>
                <w:color w:val="000000"/>
              </w:rPr>
              <w:t>2,207</w:t>
            </w:r>
          </w:p>
        </w:tc>
        <w:tc>
          <w:tcPr>
            <w:tcW w:w="648" w:type="dxa"/>
            <w:tcBorders>
              <w:left w:val="nil"/>
              <w:right w:val="nil"/>
            </w:tcBorders>
            <w:shd w:val="clear" w:color="auto" w:fill="auto"/>
            <w:noWrap/>
            <w:vAlign w:val="bottom"/>
          </w:tcPr>
          <w:p w:rsidR="006359D2" w:rsidRPr="00923465" w:rsidRDefault="00D93BB1" w:rsidP="00724165">
            <w:pPr>
              <w:jc w:val="right"/>
              <w:rPr>
                <w:rFonts w:ascii="Arial" w:hAnsi="Arial" w:cs="Arial"/>
                <w:color w:val="000000"/>
              </w:rPr>
            </w:pPr>
            <w:r>
              <w:rPr>
                <w:rFonts w:ascii="Arial" w:hAnsi="Arial" w:cs="Arial"/>
                <w:color w:val="000000"/>
              </w:rPr>
              <w:t>838</w:t>
            </w:r>
          </w:p>
        </w:tc>
        <w:tc>
          <w:tcPr>
            <w:tcW w:w="648" w:type="dxa"/>
            <w:tcBorders>
              <w:left w:val="nil"/>
              <w:right w:val="nil"/>
            </w:tcBorders>
            <w:shd w:val="clear" w:color="auto" w:fill="auto"/>
            <w:vAlign w:val="bottom"/>
          </w:tcPr>
          <w:p w:rsidR="006359D2" w:rsidRPr="00923465" w:rsidRDefault="00D93BB1" w:rsidP="00724165">
            <w:pPr>
              <w:jc w:val="right"/>
              <w:rPr>
                <w:rFonts w:ascii="Arial" w:hAnsi="Arial" w:cs="Arial"/>
                <w:color w:val="000000"/>
              </w:rPr>
            </w:pPr>
            <w:r>
              <w:rPr>
                <w:rFonts w:ascii="Arial" w:hAnsi="Arial" w:cs="Arial"/>
                <w:color w:val="000000"/>
              </w:rPr>
              <w:t>161</w:t>
            </w:r>
          </w:p>
        </w:tc>
        <w:tc>
          <w:tcPr>
            <w:tcW w:w="216" w:type="dxa"/>
            <w:tcBorders>
              <w:top w:val="nil"/>
              <w:left w:val="nil"/>
              <w:bottom w:val="nil"/>
              <w:right w:val="nil"/>
            </w:tcBorders>
            <w:shd w:val="clear" w:color="auto" w:fill="auto"/>
            <w:noWrap/>
            <w:vAlign w:val="bottom"/>
          </w:tcPr>
          <w:p w:rsidR="006359D2" w:rsidRPr="00923465" w:rsidRDefault="006359D2" w:rsidP="00A3675D">
            <w:pPr>
              <w:jc w:val="right"/>
              <w:rPr>
                <w:rFonts w:ascii="Arial" w:hAnsi="Arial" w:cs="Arial"/>
                <w:color w:val="000000"/>
              </w:rPr>
            </w:pPr>
          </w:p>
        </w:tc>
        <w:tc>
          <w:tcPr>
            <w:tcW w:w="648" w:type="dxa"/>
            <w:tcBorders>
              <w:left w:val="nil"/>
              <w:right w:val="nil"/>
            </w:tcBorders>
            <w:shd w:val="clear" w:color="auto" w:fill="auto"/>
            <w:vAlign w:val="bottom"/>
          </w:tcPr>
          <w:p w:rsidR="006359D2" w:rsidRPr="00923465" w:rsidRDefault="00D93BB1">
            <w:pPr>
              <w:jc w:val="right"/>
              <w:rPr>
                <w:rFonts w:ascii="Arial" w:hAnsi="Arial" w:cs="Arial"/>
                <w:color w:val="000000"/>
              </w:rPr>
            </w:pPr>
            <w:r>
              <w:rPr>
                <w:rFonts w:ascii="Arial" w:hAnsi="Arial" w:cs="Arial"/>
                <w:color w:val="000000"/>
              </w:rPr>
              <w:t>82</w:t>
            </w:r>
          </w:p>
        </w:tc>
        <w:tc>
          <w:tcPr>
            <w:tcW w:w="648" w:type="dxa"/>
            <w:tcBorders>
              <w:left w:val="nil"/>
              <w:right w:val="nil"/>
            </w:tcBorders>
            <w:shd w:val="clear" w:color="auto" w:fill="auto"/>
            <w:vAlign w:val="bottom"/>
          </w:tcPr>
          <w:p w:rsidR="006359D2" w:rsidRPr="00923465" w:rsidRDefault="00D93BB1">
            <w:pPr>
              <w:jc w:val="right"/>
              <w:rPr>
                <w:rFonts w:ascii="Arial" w:hAnsi="Arial" w:cs="Arial"/>
                <w:color w:val="000000"/>
              </w:rPr>
            </w:pPr>
            <w:r>
              <w:rPr>
                <w:rFonts w:ascii="Arial" w:hAnsi="Arial" w:cs="Arial"/>
                <w:color w:val="000000"/>
              </w:rPr>
              <w:t>16</w:t>
            </w:r>
          </w:p>
        </w:tc>
        <w:tc>
          <w:tcPr>
            <w:tcW w:w="641" w:type="dxa"/>
            <w:tcBorders>
              <w:left w:val="nil"/>
              <w:right w:val="nil"/>
            </w:tcBorders>
            <w:shd w:val="clear" w:color="auto" w:fill="auto"/>
            <w:vAlign w:val="bottom"/>
          </w:tcPr>
          <w:p w:rsidR="006359D2" w:rsidRPr="00923465" w:rsidRDefault="00D93BB1" w:rsidP="00F507ED">
            <w:pPr>
              <w:jc w:val="right"/>
              <w:rPr>
                <w:rFonts w:ascii="Arial" w:hAnsi="Arial" w:cs="Arial"/>
                <w:color w:val="000000"/>
              </w:rPr>
            </w:pPr>
            <w:r>
              <w:rPr>
                <w:rFonts w:ascii="Arial" w:hAnsi="Arial" w:cs="Arial"/>
                <w:color w:val="000000"/>
              </w:rPr>
              <w:t>44</w:t>
            </w:r>
          </w:p>
        </w:tc>
        <w:tc>
          <w:tcPr>
            <w:tcW w:w="720" w:type="dxa"/>
            <w:tcBorders>
              <w:left w:val="nil"/>
              <w:right w:val="nil"/>
            </w:tcBorders>
            <w:shd w:val="clear" w:color="auto" w:fill="auto"/>
            <w:vAlign w:val="bottom"/>
          </w:tcPr>
          <w:p w:rsidR="006359D2" w:rsidRPr="00923465" w:rsidRDefault="00EB32F9" w:rsidP="00724165">
            <w:pPr>
              <w:jc w:val="right"/>
              <w:rPr>
                <w:rFonts w:ascii="Arial" w:hAnsi="Arial" w:cs="Arial"/>
                <w:color w:val="000000"/>
              </w:rPr>
            </w:pPr>
            <w:r>
              <w:rPr>
                <w:rFonts w:ascii="Arial" w:hAnsi="Arial" w:cs="Arial"/>
                <w:color w:val="000000"/>
              </w:rPr>
              <w:t>3,348</w:t>
            </w:r>
          </w:p>
        </w:tc>
        <w:tc>
          <w:tcPr>
            <w:tcW w:w="216" w:type="dxa"/>
            <w:tcBorders>
              <w:top w:val="nil"/>
              <w:left w:val="nil"/>
              <w:bottom w:val="nil"/>
              <w:right w:val="nil"/>
            </w:tcBorders>
            <w:shd w:val="clear" w:color="auto" w:fill="auto"/>
          </w:tcPr>
          <w:p w:rsidR="006359D2" w:rsidRPr="00923465" w:rsidRDefault="006359D2" w:rsidP="00A3675D">
            <w:pPr>
              <w:jc w:val="right"/>
              <w:rPr>
                <w:rFonts w:ascii="Arial" w:hAnsi="Arial" w:cs="Arial"/>
                <w:color w:val="000000"/>
              </w:rPr>
            </w:pPr>
          </w:p>
        </w:tc>
        <w:tc>
          <w:tcPr>
            <w:tcW w:w="648" w:type="dxa"/>
            <w:tcBorders>
              <w:left w:val="nil"/>
              <w:right w:val="nil"/>
            </w:tcBorders>
            <w:shd w:val="clear" w:color="auto" w:fill="auto"/>
            <w:noWrap/>
            <w:vAlign w:val="bottom"/>
          </w:tcPr>
          <w:p w:rsidR="006359D2" w:rsidRPr="00923465" w:rsidRDefault="006909E4" w:rsidP="00A3675D">
            <w:pPr>
              <w:jc w:val="right"/>
              <w:rPr>
                <w:rFonts w:ascii="Arial" w:hAnsi="Arial" w:cs="Arial"/>
                <w:color w:val="000000"/>
              </w:rPr>
            </w:pPr>
            <w:r>
              <w:rPr>
                <w:rFonts w:ascii="Arial" w:hAnsi="Arial" w:cs="Arial"/>
                <w:color w:val="000000"/>
              </w:rPr>
              <w:t>279</w:t>
            </w:r>
          </w:p>
        </w:tc>
        <w:tc>
          <w:tcPr>
            <w:tcW w:w="648" w:type="dxa"/>
            <w:tcBorders>
              <w:left w:val="nil"/>
              <w:right w:val="nil"/>
            </w:tcBorders>
            <w:shd w:val="clear" w:color="auto" w:fill="auto"/>
            <w:noWrap/>
            <w:vAlign w:val="bottom"/>
          </w:tcPr>
          <w:p w:rsidR="006359D2" w:rsidRPr="00923465" w:rsidRDefault="006909E4" w:rsidP="00724165">
            <w:pPr>
              <w:jc w:val="right"/>
              <w:rPr>
                <w:rFonts w:ascii="Arial" w:hAnsi="Arial" w:cs="Arial"/>
                <w:color w:val="000000"/>
              </w:rPr>
            </w:pPr>
            <w:r>
              <w:rPr>
                <w:rFonts w:ascii="Arial" w:hAnsi="Arial" w:cs="Arial"/>
                <w:color w:val="000000"/>
              </w:rPr>
              <w:t>838</w:t>
            </w:r>
          </w:p>
        </w:tc>
        <w:tc>
          <w:tcPr>
            <w:tcW w:w="648" w:type="dxa"/>
            <w:tcBorders>
              <w:left w:val="nil"/>
              <w:right w:val="nil"/>
            </w:tcBorders>
            <w:shd w:val="clear" w:color="auto" w:fill="auto"/>
            <w:vAlign w:val="bottom"/>
          </w:tcPr>
          <w:p w:rsidR="006359D2" w:rsidRPr="00923465" w:rsidRDefault="006909E4" w:rsidP="00724165">
            <w:pPr>
              <w:jc w:val="right"/>
              <w:rPr>
                <w:rFonts w:ascii="Arial" w:hAnsi="Arial" w:cs="Arial"/>
                <w:color w:val="000000"/>
              </w:rPr>
            </w:pPr>
            <w:r>
              <w:rPr>
                <w:rFonts w:ascii="Arial" w:hAnsi="Arial" w:cs="Arial"/>
                <w:color w:val="000000"/>
              </w:rPr>
              <w:t>161</w:t>
            </w:r>
          </w:p>
        </w:tc>
        <w:tc>
          <w:tcPr>
            <w:tcW w:w="216" w:type="dxa"/>
            <w:tcBorders>
              <w:top w:val="nil"/>
              <w:left w:val="nil"/>
              <w:bottom w:val="nil"/>
              <w:right w:val="nil"/>
            </w:tcBorders>
            <w:shd w:val="clear" w:color="auto" w:fill="auto"/>
            <w:noWrap/>
            <w:vAlign w:val="bottom"/>
          </w:tcPr>
          <w:p w:rsidR="006359D2" w:rsidRPr="00923465" w:rsidRDefault="006359D2" w:rsidP="00724165">
            <w:pPr>
              <w:jc w:val="right"/>
              <w:rPr>
                <w:rFonts w:ascii="Arial" w:hAnsi="Arial" w:cs="Arial"/>
                <w:color w:val="000000"/>
              </w:rPr>
            </w:pPr>
          </w:p>
        </w:tc>
        <w:tc>
          <w:tcPr>
            <w:tcW w:w="648" w:type="dxa"/>
            <w:tcBorders>
              <w:left w:val="nil"/>
              <w:right w:val="nil"/>
            </w:tcBorders>
            <w:shd w:val="clear" w:color="auto" w:fill="auto"/>
            <w:vAlign w:val="bottom"/>
          </w:tcPr>
          <w:p w:rsidR="006359D2" w:rsidRPr="00923465" w:rsidRDefault="003C77A4" w:rsidP="00724165">
            <w:pPr>
              <w:jc w:val="right"/>
              <w:rPr>
                <w:rFonts w:ascii="Arial" w:hAnsi="Arial" w:cs="Arial"/>
                <w:color w:val="000000"/>
              </w:rPr>
            </w:pPr>
            <w:r>
              <w:rPr>
                <w:rFonts w:ascii="Arial" w:hAnsi="Arial" w:cs="Arial"/>
                <w:color w:val="000000"/>
              </w:rPr>
              <w:t>31</w:t>
            </w:r>
          </w:p>
        </w:tc>
        <w:tc>
          <w:tcPr>
            <w:tcW w:w="648" w:type="dxa"/>
            <w:tcBorders>
              <w:left w:val="nil"/>
              <w:right w:val="nil"/>
            </w:tcBorders>
            <w:shd w:val="clear" w:color="auto" w:fill="auto"/>
            <w:vAlign w:val="bottom"/>
          </w:tcPr>
          <w:p w:rsidR="006359D2" w:rsidRPr="00923465" w:rsidRDefault="003C77A4" w:rsidP="00724165">
            <w:pPr>
              <w:jc w:val="right"/>
              <w:rPr>
                <w:rFonts w:ascii="Arial" w:hAnsi="Arial" w:cs="Arial"/>
                <w:color w:val="000000"/>
              </w:rPr>
            </w:pPr>
            <w:r>
              <w:rPr>
                <w:rFonts w:ascii="Arial" w:hAnsi="Arial" w:cs="Arial"/>
                <w:color w:val="000000"/>
              </w:rPr>
              <w:t>16</w:t>
            </w:r>
          </w:p>
        </w:tc>
        <w:tc>
          <w:tcPr>
            <w:tcW w:w="648" w:type="dxa"/>
            <w:tcBorders>
              <w:left w:val="nil"/>
              <w:right w:val="nil"/>
            </w:tcBorders>
            <w:shd w:val="clear" w:color="auto" w:fill="auto"/>
            <w:vAlign w:val="bottom"/>
          </w:tcPr>
          <w:p w:rsidR="006359D2" w:rsidRPr="00923465" w:rsidRDefault="003C77A4" w:rsidP="00F507ED">
            <w:pPr>
              <w:jc w:val="right"/>
              <w:rPr>
                <w:rFonts w:ascii="Arial" w:hAnsi="Arial" w:cs="Arial"/>
                <w:color w:val="000000"/>
              </w:rPr>
            </w:pPr>
            <w:r>
              <w:rPr>
                <w:rFonts w:ascii="Arial" w:hAnsi="Arial" w:cs="Arial"/>
                <w:color w:val="000000"/>
              </w:rPr>
              <w:t>44</w:t>
            </w:r>
          </w:p>
        </w:tc>
        <w:tc>
          <w:tcPr>
            <w:tcW w:w="720" w:type="dxa"/>
            <w:tcBorders>
              <w:left w:val="nil"/>
            </w:tcBorders>
            <w:shd w:val="clear" w:color="auto" w:fill="auto"/>
            <w:vAlign w:val="bottom"/>
          </w:tcPr>
          <w:p w:rsidR="006359D2" w:rsidRPr="00923465" w:rsidRDefault="003C77A4" w:rsidP="00724165">
            <w:pPr>
              <w:jc w:val="right"/>
              <w:rPr>
                <w:rFonts w:ascii="Arial" w:hAnsi="Arial" w:cs="Arial"/>
                <w:color w:val="000000"/>
              </w:rPr>
            </w:pPr>
            <w:r>
              <w:rPr>
                <w:rFonts w:ascii="Arial" w:hAnsi="Arial" w:cs="Arial"/>
                <w:color w:val="000000"/>
              </w:rPr>
              <w:t>1,369</w:t>
            </w:r>
          </w:p>
        </w:tc>
      </w:tr>
      <w:tr w:rsidR="006359D2" w:rsidRPr="00923465" w:rsidTr="00D93BB1">
        <w:trPr>
          <w:trHeight w:val="255"/>
        </w:trPr>
        <w:tc>
          <w:tcPr>
            <w:tcW w:w="3420" w:type="dxa"/>
            <w:shd w:val="clear" w:color="auto" w:fill="auto"/>
            <w:noWrap/>
            <w:vAlign w:val="bottom"/>
            <w:hideMark/>
          </w:tcPr>
          <w:p w:rsidR="006359D2" w:rsidRPr="00923465" w:rsidRDefault="006359D2" w:rsidP="00724165">
            <w:pPr>
              <w:rPr>
                <w:rFonts w:ascii="Arial" w:hAnsi="Arial" w:cs="Arial"/>
                <w:color w:val="000000"/>
              </w:rPr>
            </w:pPr>
            <w:r w:rsidRPr="00923465">
              <w:rPr>
                <w:rFonts w:ascii="Arial" w:hAnsi="Arial" w:cs="Arial"/>
                <w:color w:val="000000"/>
              </w:rPr>
              <w:t>Electronics wholesaling and brokering</w:t>
            </w:r>
          </w:p>
        </w:tc>
        <w:tc>
          <w:tcPr>
            <w:tcW w:w="766" w:type="dxa"/>
            <w:tcBorders>
              <w:right w:val="nil"/>
            </w:tcBorders>
            <w:shd w:val="clear" w:color="auto" w:fill="auto"/>
            <w:noWrap/>
            <w:vAlign w:val="bottom"/>
          </w:tcPr>
          <w:p w:rsidR="006359D2" w:rsidRPr="00923465" w:rsidRDefault="00D93BB1" w:rsidP="00724165">
            <w:pPr>
              <w:jc w:val="right"/>
              <w:rPr>
                <w:rFonts w:ascii="Arial" w:hAnsi="Arial" w:cs="Arial"/>
                <w:color w:val="000000"/>
              </w:rPr>
            </w:pPr>
            <w:r>
              <w:rPr>
                <w:rFonts w:ascii="Arial" w:hAnsi="Arial" w:cs="Arial"/>
                <w:color w:val="000000"/>
              </w:rPr>
              <w:t>10,375</w:t>
            </w:r>
          </w:p>
        </w:tc>
        <w:tc>
          <w:tcPr>
            <w:tcW w:w="648" w:type="dxa"/>
            <w:tcBorders>
              <w:left w:val="nil"/>
              <w:right w:val="nil"/>
            </w:tcBorders>
            <w:shd w:val="clear" w:color="auto" w:fill="auto"/>
            <w:noWrap/>
            <w:vAlign w:val="bottom"/>
          </w:tcPr>
          <w:p w:rsidR="006359D2" w:rsidRPr="00923465" w:rsidRDefault="00D93BB1" w:rsidP="00724165">
            <w:pPr>
              <w:jc w:val="right"/>
              <w:rPr>
                <w:rFonts w:ascii="Arial" w:hAnsi="Arial" w:cs="Arial"/>
                <w:color w:val="000000"/>
              </w:rPr>
            </w:pPr>
            <w:r>
              <w:rPr>
                <w:rFonts w:ascii="Arial" w:hAnsi="Arial" w:cs="Arial"/>
                <w:color w:val="000000"/>
              </w:rPr>
              <w:t>694</w:t>
            </w:r>
          </w:p>
        </w:tc>
        <w:tc>
          <w:tcPr>
            <w:tcW w:w="648" w:type="dxa"/>
            <w:tcBorders>
              <w:left w:val="nil"/>
              <w:right w:val="nil"/>
            </w:tcBorders>
            <w:shd w:val="clear" w:color="auto" w:fill="auto"/>
            <w:vAlign w:val="bottom"/>
          </w:tcPr>
          <w:p w:rsidR="006359D2" w:rsidRPr="00923465" w:rsidRDefault="006359D2" w:rsidP="00724165">
            <w:pPr>
              <w:jc w:val="right"/>
              <w:rPr>
                <w:rFonts w:ascii="Arial" w:hAnsi="Arial" w:cs="Arial"/>
                <w:color w:val="000000"/>
              </w:rPr>
            </w:pPr>
            <w:r w:rsidRPr="00923465">
              <w:rPr>
                <w:rFonts w:ascii="Arial" w:hAnsi="Arial" w:cs="Arial"/>
                <w:color w:val="000000"/>
              </w:rPr>
              <w:t>—</w:t>
            </w:r>
            <w:r w:rsidRPr="00923465">
              <w:rPr>
                <w:rFonts w:ascii="Arial" w:hAnsi="Arial" w:cs="Arial"/>
                <w:color w:val="000000"/>
                <w:vertAlign w:val="superscript"/>
              </w:rPr>
              <w:t>a</w:t>
            </w:r>
          </w:p>
        </w:tc>
        <w:tc>
          <w:tcPr>
            <w:tcW w:w="216" w:type="dxa"/>
            <w:tcBorders>
              <w:top w:val="nil"/>
              <w:left w:val="nil"/>
              <w:bottom w:val="nil"/>
              <w:right w:val="nil"/>
            </w:tcBorders>
            <w:shd w:val="clear" w:color="auto" w:fill="auto"/>
            <w:noWrap/>
            <w:vAlign w:val="bottom"/>
          </w:tcPr>
          <w:p w:rsidR="006359D2" w:rsidRPr="00923465" w:rsidRDefault="006359D2" w:rsidP="00A3675D">
            <w:pPr>
              <w:jc w:val="right"/>
              <w:rPr>
                <w:rFonts w:ascii="Arial" w:hAnsi="Arial" w:cs="Arial"/>
                <w:color w:val="000000"/>
              </w:rPr>
            </w:pPr>
          </w:p>
        </w:tc>
        <w:tc>
          <w:tcPr>
            <w:tcW w:w="648" w:type="dxa"/>
            <w:tcBorders>
              <w:left w:val="nil"/>
              <w:right w:val="nil"/>
            </w:tcBorders>
            <w:shd w:val="clear" w:color="auto" w:fill="auto"/>
            <w:vAlign w:val="bottom"/>
          </w:tcPr>
          <w:p w:rsidR="006359D2" w:rsidRPr="00923465" w:rsidRDefault="00D93BB1">
            <w:pPr>
              <w:jc w:val="right"/>
              <w:rPr>
                <w:rFonts w:ascii="Arial" w:hAnsi="Arial" w:cs="Arial"/>
                <w:color w:val="000000"/>
              </w:rPr>
            </w:pPr>
            <w:r>
              <w:rPr>
                <w:rFonts w:ascii="Arial" w:hAnsi="Arial" w:cs="Arial"/>
                <w:color w:val="000000"/>
              </w:rPr>
              <w:t>323</w:t>
            </w:r>
          </w:p>
        </w:tc>
        <w:tc>
          <w:tcPr>
            <w:tcW w:w="648" w:type="dxa"/>
            <w:tcBorders>
              <w:left w:val="nil"/>
              <w:right w:val="nil"/>
            </w:tcBorders>
            <w:shd w:val="clear" w:color="auto" w:fill="auto"/>
            <w:vAlign w:val="bottom"/>
          </w:tcPr>
          <w:p w:rsidR="006359D2" w:rsidRPr="00923465" w:rsidRDefault="00D93BB1">
            <w:pPr>
              <w:jc w:val="right"/>
              <w:rPr>
                <w:rFonts w:ascii="Arial" w:hAnsi="Arial" w:cs="Arial"/>
                <w:color w:val="000000"/>
              </w:rPr>
            </w:pPr>
            <w:r>
              <w:rPr>
                <w:rFonts w:ascii="Arial" w:hAnsi="Arial" w:cs="Arial"/>
                <w:color w:val="000000"/>
              </w:rPr>
              <w:t>73</w:t>
            </w:r>
          </w:p>
        </w:tc>
        <w:tc>
          <w:tcPr>
            <w:tcW w:w="641" w:type="dxa"/>
            <w:tcBorders>
              <w:left w:val="nil"/>
              <w:right w:val="nil"/>
            </w:tcBorders>
            <w:shd w:val="clear" w:color="auto" w:fill="auto"/>
            <w:vAlign w:val="bottom"/>
          </w:tcPr>
          <w:p w:rsidR="006359D2" w:rsidRPr="00923465" w:rsidRDefault="006359D2" w:rsidP="00F507ED">
            <w:pPr>
              <w:jc w:val="right"/>
              <w:rPr>
                <w:rFonts w:ascii="Arial" w:hAnsi="Arial" w:cs="Arial"/>
                <w:color w:val="000000"/>
              </w:rPr>
            </w:pPr>
            <w:r w:rsidRPr="00923465">
              <w:rPr>
                <w:rFonts w:ascii="Arial" w:hAnsi="Arial" w:cs="Arial"/>
                <w:color w:val="000000"/>
              </w:rPr>
              <w:t>—</w:t>
            </w:r>
            <w:r w:rsidRPr="00923465">
              <w:rPr>
                <w:rFonts w:ascii="Arial" w:hAnsi="Arial" w:cs="Arial"/>
                <w:color w:val="000000"/>
                <w:vertAlign w:val="superscript"/>
              </w:rPr>
              <w:t>a</w:t>
            </w:r>
          </w:p>
        </w:tc>
        <w:tc>
          <w:tcPr>
            <w:tcW w:w="720" w:type="dxa"/>
            <w:tcBorders>
              <w:left w:val="nil"/>
              <w:right w:val="nil"/>
            </w:tcBorders>
            <w:shd w:val="clear" w:color="auto" w:fill="auto"/>
            <w:vAlign w:val="bottom"/>
          </w:tcPr>
          <w:p w:rsidR="006359D2" w:rsidRPr="00923465" w:rsidRDefault="00EB32F9" w:rsidP="00724165">
            <w:pPr>
              <w:jc w:val="right"/>
              <w:rPr>
                <w:rFonts w:ascii="Arial" w:hAnsi="Arial" w:cs="Arial"/>
                <w:color w:val="000000"/>
              </w:rPr>
            </w:pPr>
            <w:r>
              <w:rPr>
                <w:rFonts w:ascii="Arial" w:hAnsi="Arial" w:cs="Arial"/>
                <w:color w:val="000000"/>
              </w:rPr>
              <w:t>11,465</w:t>
            </w:r>
          </w:p>
        </w:tc>
        <w:tc>
          <w:tcPr>
            <w:tcW w:w="216" w:type="dxa"/>
            <w:tcBorders>
              <w:top w:val="nil"/>
              <w:left w:val="nil"/>
              <w:bottom w:val="nil"/>
              <w:right w:val="nil"/>
            </w:tcBorders>
            <w:shd w:val="clear" w:color="auto" w:fill="auto"/>
          </w:tcPr>
          <w:p w:rsidR="006359D2" w:rsidRPr="00923465" w:rsidRDefault="006359D2" w:rsidP="00A3675D">
            <w:pPr>
              <w:jc w:val="right"/>
              <w:rPr>
                <w:rFonts w:ascii="Arial" w:hAnsi="Arial" w:cs="Arial"/>
                <w:color w:val="000000"/>
              </w:rPr>
            </w:pPr>
          </w:p>
        </w:tc>
        <w:tc>
          <w:tcPr>
            <w:tcW w:w="648" w:type="dxa"/>
            <w:tcBorders>
              <w:left w:val="nil"/>
              <w:right w:val="nil"/>
            </w:tcBorders>
            <w:shd w:val="clear" w:color="auto" w:fill="auto"/>
            <w:noWrap/>
            <w:vAlign w:val="bottom"/>
          </w:tcPr>
          <w:p w:rsidR="006359D2" w:rsidRPr="00923465" w:rsidRDefault="005F1C01" w:rsidP="00464A4B">
            <w:pPr>
              <w:jc w:val="right"/>
              <w:rPr>
                <w:rFonts w:ascii="Arial" w:hAnsi="Arial" w:cs="Arial"/>
                <w:color w:val="000000"/>
              </w:rPr>
            </w:pPr>
            <w:r>
              <w:rPr>
                <w:rFonts w:ascii="Arial" w:hAnsi="Arial" w:cs="Arial"/>
                <w:color w:val="000000"/>
              </w:rPr>
              <w:t>98</w:t>
            </w:r>
            <w:r w:rsidR="00464A4B">
              <w:rPr>
                <w:rFonts w:ascii="Arial" w:hAnsi="Arial" w:cs="Arial"/>
                <w:color w:val="000000"/>
              </w:rPr>
              <w:t>1</w:t>
            </w:r>
          </w:p>
        </w:tc>
        <w:tc>
          <w:tcPr>
            <w:tcW w:w="648" w:type="dxa"/>
            <w:tcBorders>
              <w:left w:val="nil"/>
              <w:right w:val="nil"/>
            </w:tcBorders>
            <w:shd w:val="clear" w:color="auto" w:fill="auto"/>
            <w:noWrap/>
            <w:vAlign w:val="bottom"/>
          </w:tcPr>
          <w:p w:rsidR="006359D2" w:rsidRPr="00923465" w:rsidRDefault="005F1C01" w:rsidP="00724165">
            <w:pPr>
              <w:jc w:val="right"/>
              <w:rPr>
                <w:rFonts w:ascii="Arial" w:hAnsi="Arial" w:cs="Arial"/>
                <w:color w:val="000000"/>
              </w:rPr>
            </w:pPr>
            <w:r>
              <w:rPr>
                <w:rFonts w:ascii="Arial" w:hAnsi="Arial" w:cs="Arial"/>
                <w:color w:val="000000"/>
              </w:rPr>
              <w:t>694</w:t>
            </w:r>
          </w:p>
        </w:tc>
        <w:tc>
          <w:tcPr>
            <w:tcW w:w="648" w:type="dxa"/>
            <w:tcBorders>
              <w:left w:val="nil"/>
              <w:right w:val="nil"/>
            </w:tcBorders>
            <w:shd w:val="clear" w:color="auto" w:fill="auto"/>
            <w:vAlign w:val="bottom"/>
          </w:tcPr>
          <w:p w:rsidR="006359D2" w:rsidRPr="00923465" w:rsidRDefault="006359D2" w:rsidP="00724165">
            <w:pPr>
              <w:jc w:val="right"/>
              <w:rPr>
                <w:rFonts w:ascii="Arial" w:hAnsi="Arial" w:cs="Arial"/>
                <w:color w:val="000000"/>
              </w:rPr>
            </w:pPr>
            <w:r w:rsidRPr="00923465">
              <w:rPr>
                <w:rFonts w:ascii="Arial" w:hAnsi="Arial" w:cs="Arial"/>
                <w:color w:val="000000"/>
              </w:rPr>
              <w:t>—</w:t>
            </w:r>
            <w:r w:rsidRPr="00923465">
              <w:rPr>
                <w:rFonts w:ascii="Arial" w:hAnsi="Arial" w:cs="Arial"/>
                <w:color w:val="000000"/>
                <w:vertAlign w:val="superscript"/>
              </w:rPr>
              <w:t>a</w:t>
            </w:r>
          </w:p>
        </w:tc>
        <w:tc>
          <w:tcPr>
            <w:tcW w:w="216" w:type="dxa"/>
            <w:tcBorders>
              <w:top w:val="nil"/>
              <w:left w:val="nil"/>
              <w:bottom w:val="nil"/>
              <w:right w:val="nil"/>
            </w:tcBorders>
            <w:shd w:val="clear" w:color="auto" w:fill="auto"/>
            <w:noWrap/>
            <w:vAlign w:val="bottom"/>
          </w:tcPr>
          <w:p w:rsidR="006359D2" w:rsidRPr="00923465" w:rsidRDefault="006359D2" w:rsidP="00724165">
            <w:pPr>
              <w:jc w:val="right"/>
              <w:rPr>
                <w:rFonts w:ascii="Arial" w:hAnsi="Arial" w:cs="Arial"/>
                <w:color w:val="000000"/>
              </w:rPr>
            </w:pPr>
          </w:p>
        </w:tc>
        <w:tc>
          <w:tcPr>
            <w:tcW w:w="648" w:type="dxa"/>
            <w:tcBorders>
              <w:left w:val="nil"/>
              <w:right w:val="nil"/>
            </w:tcBorders>
            <w:shd w:val="clear" w:color="auto" w:fill="auto"/>
            <w:vAlign w:val="bottom"/>
          </w:tcPr>
          <w:p w:rsidR="006359D2" w:rsidRPr="00923465" w:rsidRDefault="003C77A4" w:rsidP="00724165">
            <w:pPr>
              <w:jc w:val="right"/>
              <w:rPr>
                <w:rFonts w:ascii="Arial" w:hAnsi="Arial" w:cs="Arial"/>
                <w:color w:val="000000"/>
              </w:rPr>
            </w:pPr>
            <w:r>
              <w:rPr>
                <w:rFonts w:ascii="Arial" w:hAnsi="Arial" w:cs="Arial"/>
                <w:color w:val="000000"/>
              </w:rPr>
              <w:t>130</w:t>
            </w:r>
          </w:p>
        </w:tc>
        <w:tc>
          <w:tcPr>
            <w:tcW w:w="648" w:type="dxa"/>
            <w:tcBorders>
              <w:left w:val="nil"/>
              <w:right w:val="nil"/>
            </w:tcBorders>
            <w:shd w:val="clear" w:color="auto" w:fill="auto"/>
            <w:vAlign w:val="bottom"/>
          </w:tcPr>
          <w:p w:rsidR="006359D2" w:rsidRPr="00923465" w:rsidRDefault="003C77A4" w:rsidP="00724165">
            <w:pPr>
              <w:jc w:val="right"/>
              <w:rPr>
                <w:rFonts w:ascii="Arial" w:hAnsi="Arial" w:cs="Arial"/>
                <w:color w:val="000000"/>
              </w:rPr>
            </w:pPr>
            <w:r>
              <w:rPr>
                <w:rFonts w:ascii="Arial" w:hAnsi="Arial" w:cs="Arial"/>
                <w:color w:val="000000"/>
              </w:rPr>
              <w:t>73</w:t>
            </w:r>
          </w:p>
        </w:tc>
        <w:tc>
          <w:tcPr>
            <w:tcW w:w="648" w:type="dxa"/>
            <w:tcBorders>
              <w:left w:val="nil"/>
              <w:right w:val="nil"/>
            </w:tcBorders>
            <w:shd w:val="clear" w:color="auto" w:fill="auto"/>
            <w:vAlign w:val="bottom"/>
          </w:tcPr>
          <w:p w:rsidR="006359D2" w:rsidRPr="00923465" w:rsidRDefault="006359D2" w:rsidP="00F507ED">
            <w:pPr>
              <w:jc w:val="right"/>
              <w:rPr>
                <w:rFonts w:ascii="Arial" w:hAnsi="Arial" w:cs="Arial"/>
                <w:color w:val="000000"/>
              </w:rPr>
            </w:pPr>
            <w:r w:rsidRPr="00923465">
              <w:rPr>
                <w:rFonts w:ascii="Arial" w:hAnsi="Arial" w:cs="Arial"/>
                <w:color w:val="000000"/>
              </w:rPr>
              <w:t>—</w:t>
            </w:r>
            <w:r w:rsidRPr="00923465">
              <w:rPr>
                <w:rFonts w:ascii="Arial" w:hAnsi="Arial" w:cs="Arial"/>
                <w:color w:val="000000"/>
                <w:vertAlign w:val="superscript"/>
              </w:rPr>
              <w:t>a</w:t>
            </w:r>
          </w:p>
        </w:tc>
        <w:tc>
          <w:tcPr>
            <w:tcW w:w="720" w:type="dxa"/>
            <w:tcBorders>
              <w:left w:val="nil"/>
            </w:tcBorders>
            <w:shd w:val="clear" w:color="auto" w:fill="auto"/>
            <w:vAlign w:val="bottom"/>
          </w:tcPr>
          <w:p w:rsidR="006359D2" w:rsidRPr="00923465" w:rsidRDefault="003C77A4" w:rsidP="00464A4B">
            <w:pPr>
              <w:jc w:val="right"/>
              <w:rPr>
                <w:rFonts w:ascii="Arial" w:hAnsi="Arial" w:cs="Arial"/>
                <w:color w:val="000000"/>
              </w:rPr>
            </w:pPr>
            <w:r>
              <w:rPr>
                <w:rFonts w:ascii="Arial" w:hAnsi="Arial" w:cs="Arial"/>
                <w:color w:val="000000"/>
              </w:rPr>
              <w:t>1,87</w:t>
            </w:r>
            <w:r w:rsidR="00464A4B">
              <w:rPr>
                <w:rFonts w:ascii="Arial" w:hAnsi="Arial" w:cs="Arial"/>
                <w:color w:val="000000"/>
              </w:rPr>
              <w:t>8</w:t>
            </w:r>
          </w:p>
        </w:tc>
      </w:tr>
      <w:tr w:rsidR="006359D2" w:rsidRPr="00923465" w:rsidTr="00D93BB1">
        <w:trPr>
          <w:trHeight w:val="255"/>
        </w:trPr>
        <w:tc>
          <w:tcPr>
            <w:tcW w:w="3420" w:type="dxa"/>
            <w:tcBorders>
              <w:bottom w:val="nil"/>
            </w:tcBorders>
            <w:shd w:val="clear" w:color="auto" w:fill="auto"/>
            <w:noWrap/>
            <w:vAlign w:val="bottom"/>
            <w:hideMark/>
          </w:tcPr>
          <w:p w:rsidR="006359D2" w:rsidRPr="00923465" w:rsidRDefault="006359D2" w:rsidP="00724165">
            <w:pPr>
              <w:rPr>
                <w:rFonts w:ascii="Arial" w:hAnsi="Arial" w:cs="Arial"/>
                <w:color w:val="000000"/>
              </w:rPr>
            </w:pPr>
            <w:r w:rsidRPr="00923465">
              <w:rPr>
                <w:rFonts w:ascii="Arial" w:hAnsi="Arial" w:cs="Arial"/>
                <w:color w:val="000000"/>
              </w:rPr>
              <w:t>Electronics repair and refurbishing</w:t>
            </w:r>
          </w:p>
        </w:tc>
        <w:tc>
          <w:tcPr>
            <w:tcW w:w="766" w:type="dxa"/>
            <w:tcBorders>
              <w:bottom w:val="nil"/>
              <w:right w:val="nil"/>
            </w:tcBorders>
            <w:shd w:val="clear" w:color="auto" w:fill="auto"/>
            <w:noWrap/>
            <w:vAlign w:val="bottom"/>
          </w:tcPr>
          <w:p w:rsidR="006359D2" w:rsidRPr="00923465" w:rsidRDefault="00D93BB1" w:rsidP="00724165">
            <w:pPr>
              <w:jc w:val="right"/>
              <w:rPr>
                <w:rFonts w:ascii="Arial" w:hAnsi="Arial" w:cs="Arial"/>
                <w:color w:val="000000"/>
              </w:rPr>
            </w:pPr>
            <w:r>
              <w:rPr>
                <w:rFonts w:ascii="Arial" w:hAnsi="Arial" w:cs="Arial"/>
                <w:color w:val="000000"/>
              </w:rPr>
              <w:t>2,212</w:t>
            </w:r>
          </w:p>
        </w:tc>
        <w:tc>
          <w:tcPr>
            <w:tcW w:w="648" w:type="dxa"/>
            <w:tcBorders>
              <w:left w:val="nil"/>
              <w:bottom w:val="nil"/>
              <w:right w:val="nil"/>
            </w:tcBorders>
            <w:shd w:val="clear" w:color="auto" w:fill="auto"/>
            <w:noWrap/>
            <w:vAlign w:val="bottom"/>
          </w:tcPr>
          <w:p w:rsidR="006359D2" w:rsidRPr="00923465" w:rsidRDefault="00D93BB1" w:rsidP="00724165">
            <w:pPr>
              <w:jc w:val="right"/>
              <w:rPr>
                <w:rFonts w:ascii="Arial" w:hAnsi="Arial" w:cs="Arial"/>
                <w:color w:val="000000"/>
              </w:rPr>
            </w:pPr>
            <w:r>
              <w:rPr>
                <w:rFonts w:ascii="Arial" w:hAnsi="Arial" w:cs="Arial"/>
                <w:color w:val="000000"/>
              </w:rPr>
              <w:t>96</w:t>
            </w:r>
          </w:p>
        </w:tc>
        <w:tc>
          <w:tcPr>
            <w:tcW w:w="648" w:type="dxa"/>
            <w:tcBorders>
              <w:left w:val="nil"/>
              <w:bottom w:val="nil"/>
              <w:right w:val="nil"/>
            </w:tcBorders>
            <w:shd w:val="clear" w:color="auto" w:fill="auto"/>
            <w:vAlign w:val="bottom"/>
          </w:tcPr>
          <w:p w:rsidR="006359D2" w:rsidRPr="00923465" w:rsidRDefault="006359D2" w:rsidP="00724165">
            <w:pPr>
              <w:jc w:val="right"/>
              <w:rPr>
                <w:rFonts w:ascii="Arial" w:hAnsi="Arial" w:cs="Arial"/>
                <w:color w:val="000000"/>
              </w:rPr>
            </w:pPr>
            <w:r w:rsidRPr="00923465">
              <w:rPr>
                <w:rFonts w:ascii="Arial" w:hAnsi="Arial" w:cs="Arial"/>
                <w:color w:val="000000"/>
              </w:rPr>
              <w:t>—</w:t>
            </w:r>
            <w:r w:rsidRPr="00923465">
              <w:rPr>
                <w:rFonts w:ascii="Arial" w:hAnsi="Arial" w:cs="Arial"/>
                <w:color w:val="000000"/>
                <w:vertAlign w:val="superscript"/>
              </w:rPr>
              <w:t>a</w:t>
            </w:r>
          </w:p>
        </w:tc>
        <w:tc>
          <w:tcPr>
            <w:tcW w:w="216" w:type="dxa"/>
            <w:tcBorders>
              <w:top w:val="nil"/>
              <w:left w:val="nil"/>
              <w:bottom w:val="nil"/>
              <w:right w:val="nil"/>
            </w:tcBorders>
            <w:shd w:val="clear" w:color="auto" w:fill="auto"/>
            <w:noWrap/>
            <w:vAlign w:val="bottom"/>
          </w:tcPr>
          <w:p w:rsidR="006359D2" w:rsidRPr="00923465" w:rsidRDefault="006359D2" w:rsidP="00A3675D">
            <w:pPr>
              <w:jc w:val="right"/>
              <w:rPr>
                <w:rFonts w:ascii="Arial" w:hAnsi="Arial" w:cs="Arial"/>
                <w:color w:val="000000"/>
              </w:rPr>
            </w:pPr>
          </w:p>
        </w:tc>
        <w:tc>
          <w:tcPr>
            <w:tcW w:w="648" w:type="dxa"/>
            <w:tcBorders>
              <w:left w:val="nil"/>
              <w:bottom w:val="nil"/>
              <w:right w:val="nil"/>
            </w:tcBorders>
            <w:shd w:val="clear" w:color="auto" w:fill="auto"/>
            <w:vAlign w:val="bottom"/>
          </w:tcPr>
          <w:p w:rsidR="006359D2" w:rsidRPr="00923465" w:rsidRDefault="00D93BB1">
            <w:pPr>
              <w:jc w:val="right"/>
              <w:rPr>
                <w:rFonts w:ascii="Arial" w:hAnsi="Arial" w:cs="Arial"/>
                <w:color w:val="000000"/>
              </w:rPr>
            </w:pPr>
            <w:r>
              <w:rPr>
                <w:rFonts w:ascii="Arial" w:hAnsi="Arial" w:cs="Arial"/>
                <w:color w:val="000000"/>
              </w:rPr>
              <w:t>209</w:t>
            </w:r>
          </w:p>
        </w:tc>
        <w:tc>
          <w:tcPr>
            <w:tcW w:w="648" w:type="dxa"/>
            <w:tcBorders>
              <w:left w:val="nil"/>
              <w:bottom w:val="nil"/>
              <w:right w:val="nil"/>
            </w:tcBorders>
            <w:shd w:val="clear" w:color="auto" w:fill="auto"/>
            <w:vAlign w:val="bottom"/>
          </w:tcPr>
          <w:p w:rsidR="006359D2" w:rsidRPr="00923465" w:rsidRDefault="00D93BB1">
            <w:pPr>
              <w:jc w:val="right"/>
              <w:rPr>
                <w:rFonts w:ascii="Arial" w:hAnsi="Arial" w:cs="Arial"/>
                <w:color w:val="000000"/>
              </w:rPr>
            </w:pPr>
            <w:r>
              <w:rPr>
                <w:rFonts w:ascii="Arial" w:hAnsi="Arial" w:cs="Arial"/>
                <w:color w:val="000000"/>
              </w:rPr>
              <w:t>18</w:t>
            </w:r>
          </w:p>
        </w:tc>
        <w:tc>
          <w:tcPr>
            <w:tcW w:w="641" w:type="dxa"/>
            <w:tcBorders>
              <w:left w:val="nil"/>
              <w:bottom w:val="nil"/>
              <w:right w:val="nil"/>
            </w:tcBorders>
            <w:shd w:val="clear" w:color="auto" w:fill="auto"/>
            <w:vAlign w:val="bottom"/>
          </w:tcPr>
          <w:p w:rsidR="006359D2" w:rsidRPr="00923465" w:rsidRDefault="006359D2" w:rsidP="00F507ED">
            <w:pPr>
              <w:jc w:val="right"/>
              <w:rPr>
                <w:rFonts w:ascii="Arial" w:hAnsi="Arial" w:cs="Arial"/>
                <w:color w:val="000000"/>
              </w:rPr>
            </w:pPr>
            <w:r w:rsidRPr="00923465">
              <w:rPr>
                <w:rFonts w:ascii="Arial" w:hAnsi="Arial" w:cs="Arial"/>
                <w:color w:val="000000"/>
              </w:rPr>
              <w:t>—</w:t>
            </w:r>
            <w:r w:rsidRPr="00923465">
              <w:rPr>
                <w:rFonts w:ascii="Arial" w:hAnsi="Arial" w:cs="Arial"/>
                <w:color w:val="000000"/>
                <w:vertAlign w:val="superscript"/>
              </w:rPr>
              <w:t>a</w:t>
            </w:r>
          </w:p>
        </w:tc>
        <w:tc>
          <w:tcPr>
            <w:tcW w:w="720" w:type="dxa"/>
            <w:tcBorders>
              <w:left w:val="nil"/>
              <w:bottom w:val="nil"/>
              <w:right w:val="nil"/>
            </w:tcBorders>
            <w:shd w:val="clear" w:color="auto" w:fill="auto"/>
            <w:vAlign w:val="bottom"/>
          </w:tcPr>
          <w:p w:rsidR="006359D2" w:rsidRPr="00923465" w:rsidRDefault="00EB32F9" w:rsidP="00724165">
            <w:pPr>
              <w:jc w:val="right"/>
              <w:rPr>
                <w:rFonts w:ascii="Arial" w:hAnsi="Arial" w:cs="Arial"/>
                <w:color w:val="000000"/>
              </w:rPr>
            </w:pPr>
            <w:r>
              <w:rPr>
                <w:rFonts w:ascii="Arial" w:hAnsi="Arial" w:cs="Arial"/>
                <w:color w:val="000000"/>
              </w:rPr>
              <w:t>2,535</w:t>
            </w:r>
          </w:p>
        </w:tc>
        <w:tc>
          <w:tcPr>
            <w:tcW w:w="216" w:type="dxa"/>
            <w:tcBorders>
              <w:top w:val="nil"/>
              <w:left w:val="nil"/>
              <w:bottom w:val="nil"/>
              <w:right w:val="nil"/>
            </w:tcBorders>
            <w:shd w:val="clear" w:color="auto" w:fill="auto"/>
          </w:tcPr>
          <w:p w:rsidR="006359D2" w:rsidRPr="00923465" w:rsidRDefault="006359D2" w:rsidP="00A3675D">
            <w:pPr>
              <w:jc w:val="right"/>
              <w:rPr>
                <w:rFonts w:ascii="Arial" w:hAnsi="Arial" w:cs="Arial"/>
                <w:color w:val="000000"/>
              </w:rPr>
            </w:pPr>
          </w:p>
        </w:tc>
        <w:tc>
          <w:tcPr>
            <w:tcW w:w="648" w:type="dxa"/>
            <w:tcBorders>
              <w:left w:val="nil"/>
              <w:bottom w:val="nil"/>
              <w:right w:val="nil"/>
            </w:tcBorders>
            <w:shd w:val="clear" w:color="auto" w:fill="auto"/>
            <w:noWrap/>
            <w:vAlign w:val="bottom"/>
          </w:tcPr>
          <w:p w:rsidR="006359D2" w:rsidRPr="00923465" w:rsidRDefault="005F1C01" w:rsidP="00A3675D">
            <w:pPr>
              <w:jc w:val="right"/>
              <w:rPr>
                <w:rFonts w:ascii="Arial" w:hAnsi="Arial" w:cs="Arial"/>
                <w:color w:val="000000"/>
              </w:rPr>
            </w:pPr>
            <w:r>
              <w:rPr>
                <w:rFonts w:ascii="Arial" w:hAnsi="Arial" w:cs="Arial"/>
                <w:color w:val="000000"/>
              </w:rPr>
              <w:t>192</w:t>
            </w:r>
          </w:p>
        </w:tc>
        <w:tc>
          <w:tcPr>
            <w:tcW w:w="648" w:type="dxa"/>
            <w:tcBorders>
              <w:left w:val="nil"/>
              <w:bottom w:val="nil"/>
              <w:right w:val="nil"/>
            </w:tcBorders>
            <w:shd w:val="clear" w:color="auto" w:fill="auto"/>
            <w:noWrap/>
            <w:vAlign w:val="bottom"/>
          </w:tcPr>
          <w:p w:rsidR="006359D2" w:rsidRPr="00923465" w:rsidRDefault="005F1C01" w:rsidP="00724165">
            <w:pPr>
              <w:jc w:val="right"/>
              <w:rPr>
                <w:rFonts w:ascii="Arial" w:hAnsi="Arial" w:cs="Arial"/>
                <w:color w:val="000000"/>
              </w:rPr>
            </w:pPr>
            <w:r>
              <w:rPr>
                <w:rFonts w:ascii="Arial" w:hAnsi="Arial" w:cs="Arial"/>
                <w:color w:val="000000"/>
              </w:rPr>
              <w:t>96</w:t>
            </w:r>
          </w:p>
        </w:tc>
        <w:tc>
          <w:tcPr>
            <w:tcW w:w="648" w:type="dxa"/>
            <w:tcBorders>
              <w:left w:val="nil"/>
              <w:bottom w:val="nil"/>
              <w:right w:val="nil"/>
            </w:tcBorders>
            <w:shd w:val="clear" w:color="auto" w:fill="auto"/>
            <w:vAlign w:val="bottom"/>
          </w:tcPr>
          <w:p w:rsidR="006359D2" w:rsidRPr="00923465" w:rsidRDefault="006359D2" w:rsidP="00724165">
            <w:pPr>
              <w:jc w:val="right"/>
              <w:rPr>
                <w:rFonts w:ascii="Arial" w:hAnsi="Arial" w:cs="Arial"/>
                <w:color w:val="000000"/>
              </w:rPr>
            </w:pPr>
            <w:r w:rsidRPr="00923465">
              <w:rPr>
                <w:rFonts w:ascii="Arial" w:hAnsi="Arial" w:cs="Arial"/>
                <w:color w:val="000000"/>
              </w:rPr>
              <w:t>—</w:t>
            </w:r>
            <w:r w:rsidRPr="00923465">
              <w:rPr>
                <w:rFonts w:ascii="Arial" w:hAnsi="Arial" w:cs="Arial"/>
                <w:color w:val="000000"/>
                <w:vertAlign w:val="superscript"/>
              </w:rPr>
              <w:t>a</w:t>
            </w:r>
          </w:p>
        </w:tc>
        <w:tc>
          <w:tcPr>
            <w:tcW w:w="216" w:type="dxa"/>
            <w:tcBorders>
              <w:top w:val="nil"/>
              <w:left w:val="nil"/>
              <w:bottom w:val="nil"/>
              <w:right w:val="nil"/>
            </w:tcBorders>
            <w:shd w:val="clear" w:color="auto" w:fill="auto"/>
            <w:noWrap/>
            <w:vAlign w:val="bottom"/>
          </w:tcPr>
          <w:p w:rsidR="006359D2" w:rsidRPr="00923465" w:rsidRDefault="006359D2" w:rsidP="00724165">
            <w:pPr>
              <w:jc w:val="right"/>
              <w:rPr>
                <w:rFonts w:ascii="Arial" w:hAnsi="Arial" w:cs="Arial"/>
                <w:color w:val="000000"/>
              </w:rPr>
            </w:pPr>
          </w:p>
        </w:tc>
        <w:tc>
          <w:tcPr>
            <w:tcW w:w="648" w:type="dxa"/>
            <w:tcBorders>
              <w:left w:val="nil"/>
              <w:bottom w:val="nil"/>
              <w:right w:val="nil"/>
            </w:tcBorders>
            <w:shd w:val="clear" w:color="auto" w:fill="auto"/>
            <w:vAlign w:val="bottom"/>
          </w:tcPr>
          <w:p w:rsidR="006359D2" w:rsidRPr="00923465" w:rsidRDefault="00464A4B" w:rsidP="00724165">
            <w:pPr>
              <w:jc w:val="right"/>
              <w:rPr>
                <w:rFonts w:ascii="Arial" w:hAnsi="Arial" w:cs="Arial"/>
                <w:color w:val="000000"/>
              </w:rPr>
            </w:pPr>
            <w:r>
              <w:rPr>
                <w:rFonts w:ascii="Arial" w:hAnsi="Arial" w:cs="Arial"/>
                <w:color w:val="000000"/>
              </w:rPr>
              <w:t>40</w:t>
            </w:r>
          </w:p>
        </w:tc>
        <w:tc>
          <w:tcPr>
            <w:tcW w:w="648" w:type="dxa"/>
            <w:tcBorders>
              <w:left w:val="nil"/>
              <w:bottom w:val="nil"/>
              <w:right w:val="nil"/>
            </w:tcBorders>
            <w:shd w:val="clear" w:color="auto" w:fill="auto"/>
            <w:vAlign w:val="bottom"/>
          </w:tcPr>
          <w:p w:rsidR="006359D2" w:rsidRPr="00923465" w:rsidRDefault="003C77A4" w:rsidP="00724165">
            <w:pPr>
              <w:jc w:val="right"/>
              <w:rPr>
                <w:rFonts w:ascii="Arial" w:hAnsi="Arial" w:cs="Arial"/>
                <w:color w:val="000000"/>
              </w:rPr>
            </w:pPr>
            <w:r>
              <w:rPr>
                <w:rFonts w:ascii="Arial" w:hAnsi="Arial" w:cs="Arial"/>
                <w:color w:val="000000"/>
              </w:rPr>
              <w:t>18</w:t>
            </w:r>
          </w:p>
        </w:tc>
        <w:tc>
          <w:tcPr>
            <w:tcW w:w="648" w:type="dxa"/>
            <w:tcBorders>
              <w:left w:val="nil"/>
              <w:bottom w:val="nil"/>
              <w:right w:val="nil"/>
            </w:tcBorders>
            <w:shd w:val="clear" w:color="auto" w:fill="auto"/>
            <w:vAlign w:val="bottom"/>
          </w:tcPr>
          <w:p w:rsidR="006359D2" w:rsidRPr="00923465" w:rsidRDefault="006359D2" w:rsidP="00F507ED">
            <w:pPr>
              <w:jc w:val="right"/>
              <w:rPr>
                <w:rFonts w:ascii="Arial" w:hAnsi="Arial" w:cs="Arial"/>
                <w:color w:val="000000"/>
              </w:rPr>
            </w:pPr>
            <w:r w:rsidRPr="00923465">
              <w:rPr>
                <w:rFonts w:ascii="Arial" w:hAnsi="Arial" w:cs="Arial"/>
                <w:color w:val="000000"/>
              </w:rPr>
              <w:t>—</w:t>
            </w:r>
            <w:r w:rsidRPr="00923465">
              <w:rPr>
                <w:rFonts w:ascii="Arial" w:hAnsi="Arial" w:cs="Arial"/>
                <w:color w:val="000000"/>
                <w:vertAlign w:val="superscript"/>
              </w:rPr>
              <w:t>a</w:t>
            </w:r>
          </w:p>
        </w:tc>
        <w:tc>
          <w:tcPr>
            <w:tcW w:w="720" w:type="dxa"/>
            <w:tcBorders>
              <w:left w:val="nil"/>
              <w:bottom w:val="nil"/>
            </w:tcBorders>
            <w:shd w:val="clear" w:color="auto" w:fill="auto"/>
            <w:vAlign w:val="bottom"/>
          </w:tcPr>
          <w:p w:rsidR="006359D2" w:rsidRPr="00923465" w:rsidRDefault="003C77A4" w:rsidP="00464A4B">
            <w:pPr>
              <w:jc w:val="right"/>
              <w:rPr>
                <w:rFonts w:ascii="Arial" w:hAnsi="Arial" w:cs="Arial"/>
                <w:color w:val="000000"/>
              </w:rPr>
            </w:pPr>
            <w:r>
              <w:rPr>
                <w:rFonts w:ascii="Arial" w:hAnsi="Arial" w:cs="Arial"/>
                <w:color w:val="000000"/>
              </w:rPr>
              <w:t>34</w:t>
            </w:r>
            <w:r w:rsidR="00464A4B">
              <w:rPr>
                <w:rFonts w:ascii="Arial" w:hAnsi="Arial" w:cs="Arial"/>
                <w:color w:val="000000"/>
              </w:rPr>
              <w:t>6</w:t>
            </w:r>
          </w:p>
        </w:tc>
      </w:tr>
      <w:tr w:rsidR="006359D2" w:rsidRPr="00923465" w:rsidTr="00D93BB1">
        <w:trPr>
          <w:trHeight w:val="255"/>
        </w:trPr>
        <w:tc>
          <w:tcPr>
            <w:tcW w:w="3420" w:type="dxa"/>
            <w:shd w:val="clear" w:color="auto" w:fill="auto"/>
            <w:noWrap/>
            <w:vAlign w:val="bottom"/>
            <w:hideMark/>
          </w:tcPr>
          <w:p w:rsidR="006359D2" w:rsidRPr="00923465" w:rsidRDefault="005F1C01" w:rsidP="0035302A">
            <w:pPr>
              <w:rPr>
                <w:rFonts w:ascii="Arial" w:hAnsi="Arial" w:cs="Arial"/>
                <w:color w:val="000000"/>
              </w:rPr>
            </w:pPr>
            <w:r>
              <w:rPr>
                <w:rFonts w:ascii="Arial" w:hAnsi="Arial" w:cs="Arial"/>
                <w:color w:val="000000"/>
              </w:rPr>
              <w:t>Other</w:t>
            </w:r>
            <w:r w:rsidR="006359D2" w:rsidRPr="00923465">
              <w:rPr>
                <w:rFonts w:ascii="Arial" w:hAnsi="Arial" w:cs="Arial"/>
                <w:color w:val="000000"/>
              </w:rPr>
              <w:t xml:space="preserve"> services</w:t>
            </w:r>
          </w:p>
        </w:tc>
        <w:tc>
          <w:tcPr>
            <w:tcW w:w="766" w:type="dxa"/>
            <w:tcBorders>
              <w:right w:val="nil"/>
            </w:tcBorders>
            <w:shd w:val="clear" w:color="auto" w:fill="auto"/>
            <w:noWrap/>
            <w:vAlign w:val="bottom"/>
          </w:tcPr>
          <w:p w:rsidR="006359D2" w:rsidRPr="00923465" w:rsidRDefault="00D93BB1" w:rsidP="0035302A">
            <w:pPr>
              <w:jc w:val="right"/>
              <w:rPr>
                <w:rFonts w:ascii="Arial" w:hAnsi="Arial" w:cs="Arial"/>
                <w:color w:val="000000"/>
              </w:rPr>
            </w:pPr>
            <w:r>
              <w:rPr>
                <w:rFonts w:ascii="Arial" w:hAnsi="Arial" w:cs="Arial"/>
                <w:color w:val="000000"/>
              </w:rPr>
              <w:t>436</w:t>
            </w:r>
          </w:p>
        </w:tc>
        <w:tc>
          <w:tcPr>
            <w:tcW w:w="648" w:type="dxa"/>
            <w:tcBorders>
              <w:left w:val="nil"/>
              <w:right w:val="nil"/>
            </w:tcBorders>
            <w:shd w:val="clear" w:color="auto" w:fill="auto"/>
            <w:noWrap/>
            <w:vAlign w:val="bottom"/>
          </w:tcPr>
          <w:p w:rsidR="006359D2" w:rsidRPr="00923465" w:rsidRDefault="00D93BB1" w:rsidP="0035302A">
            <w:pPr>
              <w:jc w:val="right"/>
              <w:rPr>
                <w:rFonts w:ascii="Arial" w:hAnsi="Arial" w:cs="Arial"/>
                <w:color w:val="000000"/>
              </w:rPr>
            </w:pPr>
            <w:r>
              <w:rPr>
                <w:rFonts w:ascii="Arial" w:hAnsi="Arial" w:cs="Arial"/>
                <w:color w:val="000000"/>
              </w:rPr>
              <w:t>384</w:t>
            </w:r>
          </w:p>
        </w:tc>
        <w:tc>
          <w:tcPr>
            <w:tcW w:w="648" w:type="dxa"/>
            <w:tcBorders>
              <w:left w:val="nil"/>
              <w:right w:val="nil"/>
            </w:tcBorders>
            <w:shd w:val="clear" w:color="auto" w:fill="auto"/>
            <w:vAlign w:val="bottom"/>
          </w:tcPr>
          <w:p w:rsidR="006359D2" w:rsidRPr="00923465" w:rsidRDefault="00D93BB1" w:rsidP="0035302A">
            <w:pPr>
              <w:jc w:val="right"/>
              <w:rPr>
                <w:rFonts w:ascii="Arial" w:hAnsi="Arial" w:cs="Arial"/>
                <w:color w:val="000000"/>
              </w:rPr>
            </w:pPr>
            <w:r>
              <w:rPr>
                <w:rFonts w:ascii="Arial" w:hAnsi="Arial" w:cs="Arial"/>
                <w:color w:val="000000"/>
              </w:rPr>
              <w:t>81</w:t>
            </w:r>
          </w:p>
        </w:tc>
        <w:tc>
          <w:tcPr>
            <w:tcW w:w="216" w:type="dxa"/>
            <w:tcBorders>
              <w:top w:val="nil"/>
              <w:left w:val="nil"/>
              <w:bottom w:val="nil"/>
              <w:right w:val="nil"/>
            </w:tcBorders>
            <w:shd w:val="clear" w:color="auto" w:fill="auto"/>
            <w:noWrap/>
            <w:vAlign w:val="bottom"/>
          </w:tcPr>
          <w:p w:rsidR="006359D2" w:rsidRPr="00923465" w:rsidRDefault="006359D2" w:rsidP="0035302A">
            <w:pPr>
              <w:jc w:val="right"/>
              <w:rPr>
                <w:rFonts w:ascii="Arial" w:hAnsi="Arial" w:cs="Arial"/>
                <w:color w:val="000000"/>
              </w:rPr>
            </w:pPr>
          </w:p>
        </w:tc>
        <w:tc>
          <w:tcPr>
            <w:tcW w:w="648" w:type="dxa"/>
            <w:tcBorders>
              <w:left w:val="nil"/>
              <w:right w:val="nil"/>
            </w:tcBorders>
            <w:shd w:val="clear" w:color="auto" w:fill="auto"/>
            <w:vAlign w:val="bottom"/>
          </w:tcPr>
          <w:p w:rsidR="006359D2" w:rsidRPr="00923465" w:rsidRDefault="00D93BB1">
            <w:pPr>
              <w:jc w:val="right"/>
              <w:rPr>
                <w:rFonts w:ascii="Arial" w:hAnsi="Arial" w:cs="Arial"/>
                <w:color w:val="000000"/>
              </w:rPr>
            </w:pPr>
            <w:r>
              <w:rPr>
                <w:rFonts w:ascii="Arial" w:hAnsi="Arial" w:cs="Arial"/>
                <w:color w:val="000000"/>
              </w:rPr>
              <w:t>379</w:t>
            </w:r>
          </w:p>
        </w:tc>
        <w:tc>
          <w:tcPr>
            <w:tcW w:w="648" w:type="dxa"/>
            <w:tcBorders>
              <w:left w:val="nil"/>
              <w:right w:val="nil"/>
            </w:tcBorders>
            <w:shd w:val="clear" w:color="auto" w:fill="auto"/>
            <w:vAlign w:val="bottom"/>
          </w:tcPr>
          <w:p w:rsidR="006359D2" w:rsidRPr="00923465" w:rsidRDefault="00D93BB1">
            <w:pPr>
              <w:jc w:val="right"/>
              <w:rPr>
                <w:rFonts w:ascii="Arial" w:hAnsi="Arial" w:cs="Arial"/>
                <w:color w:val="000000"/>
              </w:rPr>
            </w:pPr>
            <w:r>
              <w:rPr>
                <w:rFonts w:ascii="Arial" w:hAnsi="Arial" w:cs="Arial"/>
                <w:color w:val="000000"/>
              </w:rPr>
              <w:t>38</w:t>
            </w:r>
          </w:p>
        </w:tc>
        <w:tc>
          <w:tcPr>
            <w:tcW w:w="641" w:type="dxa"/>
            <w:tcBorders>
              <w:left w:val="nil"/>
              <w:right w:val="nil"/>
            </w:tcBorders>
            <w:shd w:val="clear" w:color="auto" w:fill="auto"/>
            <w:vAlign w:val="bottom"/>
          </w:tcPr>
          <w:p w:rsidR="006359D2" w:rsidRPr="00923465" w:rsidRDefault="00D93BB1" w:rsidP="0035302A">
            <w:pPr>
              <w:jc w:val="right"/>
              <w:rPr>
                <w:rFonts w:ascii="Arial" w:hAnsi="Arial" w:cs="Arial"/>
                <w:color w:val="000000"/>
              </w:rPr>
            </w:pPr>
            <w:r>
              <w:rPr>
                <w:rFonts w:ascii="Arial" w:hAnsi="Arial" w:cs="Arial"/>
                <w:color w:val="000000"/>
              </w:rPr>
              <w:t>83</w:t>
            </w:r>
          </w:p>
        </w:tc>
        <w:tc>
          <w:tcPr>
            <w:tcW w:w="720" w:type="dxa"/>
            <w:tcBorders>
              <w:left w:val="nil"/>
              <w:right w:val="nil"/>
            </w:tcBorders>
            <w:shd w:val="clear" w:color="auto" w:fill="auto"/>
            <w:vAlign w:val="bottom"/>
          </w:tcPr>
          <w:p w:rsidR="006359D2" w:rsidRPr="00923465" w:rsidRDefault="00EB32F9" w:rsidP="0035302A">
            <w:pPr>
              <w:jc w:val="right"/>
              <w:rPr>
                <w:rFonts w:ascii="Arial" w:hAnsi="Arial" w:cs="Arial"/>
                <w:color w:val="000000"/>
              </w:rPr>
            </w:pPr>
            <w:r>
              <w:rPr>
                <w:rFonts w:ascii="Arial" w:hAnsi="Arial" w:cs="Arial"/>
                <w:color w:val="000000"/>
              </w:rPr>
              <w:t>1,401</w:t>
            </w:r>
          </w:p>
        </w:tc>
        <w:tc>
          <w:tcPr>
            <w:tcW w:w="216" w:type="dxa"/>
            <w:tcBorders>
              <w:top w:val="nil"/>
              <w:left w:val="nil"/>
              <w:bottom w:val="nil"/>
              <w:right w:val="nil"/>
            </w:tcBorders>
            <w:shd w:val="clear" w:color="auto" w:fill="auto"/>
          </w:tcPr>
          <w:p w:rsidR="006359D2" w:rsidRPr="00923465" w:rsidRDefault="006359D2" w:rsidP="0035302A">
            <w:pPr>
              <w:jc w:val="right"/>
              <w:rPr>
                <w:rFonts w:ascii="Arial" w:hAnsi="Arial" w:cs="Arial"/>
                <w:color w:val="000000"/>
              </w:rPr>
            </w:pPr>
          </w:p>
        </w:tc>
        <w:tc>
          <w:tcPr>
            <w:tcW w:w="648" w:type="dxa"/>
            <w:tcBorders>
              <w:left w:val="nil"/>
              <w:right w:val="nil"/>
            </w:tcBorders>
            <w:shd w:val="clear" w:color="auto" w:fill="auto"/>
            <w:noWrap/>
            <w:vAlign w:val="bottom"/>
          </w:tcPr>
          <w:p w:rsidR="006359D2" w:rsidRPr="00923465" w:rsidRDefault="005F1C01" w:rsidP="0035302A">
            <w:pPr>
              <w:jc w:val="right"/>
              <w:rPr>
                <w:rFonts w:ascii="Arial" w:hAnsi="Arial" w:cs="Arial"/>
                <w:color w:val="000000"/>
              </w:rPr>
            </w:pPr>
            <w:r>
              <w:rPr>
                <w:rFonts w:ascii="Arial" w:hAnsi="Arial" w:cs="Arial"/>
                <w:color w:val="000000"/>
              </w:rPr>
              <w:t>59</w:t>
            </w:r>
          </w:p>
        </w:tc>
        <w:tc>
          <w:tcPr>
            <w:tcW w:w="648" w:type="dxa"/>
            <w:tcBorders>
              <w:left w:val="nil"/>
              <w:right w:val="nil"/>
            </w:tcBorders>
            <w:shd w:val="clear" w:color="auto" w:fill="auto"/>
            <w:noWrap/>
            <w:vAlign w:val="bottom"/>
          </w:tcPr>
          <w:p w:rsidR="006359D2" w:rsidRPr="00923465" w:rsidRDefault="005F1C01" w:rsidP="00464A4B">
            <w:pPr>
              <w:jc w:val="right"/>
              <w:rPr>
                <w:rFonts w:ascii="Arial" w:hAnsi="Arial" w:cs="Arial"/>
                <w:color w:val="000000"/>
              </w:rPr>
            </w:pPr>
            <w:r>
              <w:rPr>
                <w:rFonts w:ascii="Arial" w:hAnsi="Arial" w:cs="Arial"/>
                <w:color w:val="000000"/>
              </w:rPr>
              <w:t>3</w:t>
            </w:r>
            <w:r w:rsidR="00464A4B">
              <w:rPr>
                <w:rFonts w:ascii="Arial" w:hAnsi="Arial" w:cs="Arial"/>
                <w:color w:val="000000"/>
              </w:rPr>
              <w:t>84</w:t>
            </w:r>
          </w:p>
        </w:tc>
        <w:tc>
          <w:tcPr>
            <w:tcW w:w="648" w:type="dxa"/>
            <w:tcBorders>
              <w:left w:val="nil"/>
              <w:right w:val="nil"/>
            </w:tcBorders>
            <w:shd w:val="clear" w:color="auto" w:fill="auto"/>
            <w:vAlign w:val="bottom"/>
          </w:tcPr>
          <w:p w:rsidR="006359D2" w:rsidRPr="00923465" w:rsidRDefault="005F1C01" w:rsidP="0035302A">
            <w:pPr>
              <w:jc w:val="right"/>
              <w:rPr>
                <w:rFonts w:ascii="Arial" w:hAnsi="Arial" w:cs="Arial"/>
                <w:color w:val="000000"/>
              </w:rPr>
            </w:pPr>
            <w:r>
              <w:rPr>
                <w:rFonts w:ascii="Arial" w:hAnsi="Arial" w:cs="Arial"/>
                <w:color w:val="000000"/>
              </w:rPr>
              <w:t>81</w:t>
            </w:r>
          </w:p>
        </w:tc>
        <w:tc>
          <w:tcPr>
            <w:tcW w:w="216" w:type="dxa"/>
            <w:tcBorders>
              <w:top w:val="nil"/>
              <w:left w:val="nil"/>
              <w:bottom w:val="nil"/>
              <w:right w:val="nil"/>
            </w:tcBorders>
            <w:shd w:val="clear" w:color="auto" w:fill="auto"/>
            <w:noWrap/>
            <w:vAlign w:val="bottom"/>
          </w:tcPr>
          <w:p w:rsidR="006359D2" w:rsidRPr="00923465" w:rsidRDefault="006359D2" w:rsidP="0035302A">
            <w:pPr>
              <w:jc w:val="right"/>
              <w:rPr>
                <w:rFonts w:ascii="Arial" w:hAnsi="Arial" w:cs="Arial"/>
                <w:color w:val="000000"/>
              </w:rPr>
            </w:pPr>
          </w:p>
        </w:tc>
        <w:tc>
          <w:tcPr>
            <w:tcW w:w="648" w:type="dxa"/>
            <w:tcBorders>
              <w:left w:val="nil"/>
              <w:right w:val="nil"/>
            </w:tcBorders>
            <w:shd w:val="clear" w:color="auto" w:fill="auto"/>
            <w:vAlign w:val="bottom"/>
          </w:tcPr>
          <w:p w:rsidR="006359D2" w:rsidRPr="00923465" w:rsidRDefault="003C77A4" w:rsidP="0035302A">
            <w:pPr>
              <w:jc w:val="right"/>
              <w:rPr>
                <w:rFonts w:ascii="Arial" w:hAnsi="Arial" w:cs="Arial"/>
                <w:color w:val="000000"/>
              </w:rPr>
            </w:pPr>
            <w:r>
              <w:rPr>
                <w:rFonts w:ascii="Arial" w:hAnsi="Arial" w:cs="Arial"/>
                <w:color w:val="000000"/>
              </w:rPr>
              <w:t>125</w:t>
            </w:r>
          </w:p>
        </w:tc>
        <w:tc>
          <w:tcPr>
            <w:tcW w:w="648" w:type="dxa"/>
            <w:tcBorders>
              <w:left w:val="nil"/>
              <w:right w:val="nil"/>
            </w:tcBorders>
            <w:shd w:val="clear" w:color="auto" w:fill="auto"/>
            <w:vAlign w:val="bottom"/>
          </w:tcPr>
          <w:p w:rsidR="006359D2" w:rsidRPr="00923465" w:rsidRDefault="003C77A4" w:rsidP="0035302A">
            <w:pPr>
              <w:jc w:val="right"/>
              <w:rPr>
                <w:rFonts w:ascii="Arial" w:hAnsi="Arial" w:cs="Arial"/>
                <w:color w:val="000000"/>
              </w:rPr>
            </w:pPr>
            <w:r>
              <w:rPr>
                <w:rFonts w:ascii="Arial" w:hAnsi="Arial" w:cs="Arial"/>
                <w:color w:val="000000"/>
              </w:rPr>
              <w:t>38</w:t>
            </w:r>
          </w:p>
        </w:tc>
        <w:tc>
          <w:tcPr>
            <w:tcW w:w="648" w:type="dxa"/>
            <w:tcBorders>
              <w:left w:val="nil"/>
              <w:right w:val="nil"/>
            </w:tcBorders>
            <w:shd w:val="clear" w:color="auto" w:fill="auto"/>
            <w:vAlign w:val="bottom"/>
          </w:tcPr>
          <w:p w:rsidR="006359D2" w:rsidRPr="00923465" w:rsidRDefault="003C77A4" w:rsidP="0035302A">
            <w:pPr>
              <w:jc w:val="right"/>
              <w:rPr>
                <w:rFonts w:ascii="Arial" w:hAnsi="Arial" w:cs="Arial"/>
                <w:color w:val="000000"/>
              </w:rPr>
            </w:pPr>
            <w:r>
              <w:rPr>
                <w:rFonts w:ascii="Arial" w:hAnsi="Arial" w:cs="Arial"/>
                <w:color w:val="000000"/>
              </w:rPr>
              <w:t>83</w:t>
            </w:r>
          </w:p>
        </w:tc>
        <w:tc>
          <w:tcPr>
            <w:tcW w:w="720" w:type="dxa"/>
            <w:tcBorders>
              <w:left w:val="nil"/>
            </w:tcBorders>
            <w:shd w:val="clear" w:color="auto" w:fill="auto"/>
            <w:vAlign w:val="bottom"/>
          </w:tcPr>
          <w:p w:rsidR="006359D2" w:rsidRPr="00923465" w:rsidRDefault="003C77A4" w:rsidP="00464A4B">
            <w:pPr>
              <w:jc w:val="right"/>
              <w:rPr>
                <w:rFonts w:ascii="Arial" w:hAnsi="Arial" w:cs="Arial"/>
                <w:color w:val="000000"/>
              </w:rPr>
            </w:pPr>
            <w:r>
              <w:rPr>
                <w:rFonts w:ascii="Arial" w:hAnsi="Arial" w:cs="Arial"/>
                <w:color w:val="000000"/>
              </w:rPr>
              <w:t>77</w:t>
            </w:r>
            <w:r w:rsidR="00464A4B">
              <w:rPr>
                <w:rFonts w:ascii="Arial" w:hAnsi="Arial" w:cs="Arial"/>
                <w:color w:val="000000"/>
              </w:rPr>
              <w:t>0</w:t>
            </w:r>
          </w:p>
        </w:tc>
      </w:tr>
      <w:tr w:rsidR="006359D2" w:rsidRPr="00923465" w:rsidTr="00FE6986">
        <w:trPr>
          <w:trHeight w:val="255"/>
        </w:trPr>
        <w:tc>
          <w:tcPr>
            <w:tcW w:w="3420" w:type="dxa"/>
            <w:tcBorders>
              <w:top w:val="nil"/>
              <w:bottom w:val="single" w:sz="4" w:space="0" w:color="auto"/>
            </w:tcBorders>
            <w:shd w:val="clear" w:color="auto" w:fill="auto"/>
            <w:noWrap/>
            <w:vAlign w:val="bottom"/>
            <w:hideMark/>
          </w:tcPr>
          <w:p w:rsidR="006359D2" w:rsidRPr="00923465" w:rsidRDefault="006359D2" w:rsidP="00724165">
            <w:pPr>
              <w:rPr>
                <w:rFonts w:ascii="Arial" w:hAnsi="Arial" w:cs="Arial"/>
                <w:bCs/>
                <w:iCs/>
                <w:color w:val="000000"/>
              </w:rPr>
            </w:pPr>
            <w:r w:rsidRPr="00923465">
              <w:rPr>
                <w:rFonts w:ascii="Arial" w:hAnsi="Arial" w:cs="Arial"/>
                <w:bCs/>
                <w:iCs/>
                <w:color w:val="000000"/>
              </w:rPr>
              <w:t xml:space="preserve">       Total</w:t>
            </w:r>
          </w:p>
        </w:tc>
        <w:tc>
          <w:tcPr>
            <w:tcW w:w="766" w:type="dxa"/>
            <w:tcBorders>
              <w:top w:val="nil"/>
              <w:bottom w:val="single" w:sz="4" w:space="0" w:color="auto"/>
              <w:right w:val="nil"/>
            </w:tcBorders>
            <w:shd w:val="clear" w:color="auto" w:fill="auto"/>
            <w:noWrap/>
            <w:vAlign w:val="bottom"/>
          </w:tcPr>
          <w:p w:rsidR="006359D2" w:rsidRPr="00923465" w:rsidRDefault="00EB32F9" w:rsidP="00724165">
            <w:pPr>
              <w:jc w:val="right"/>
              <w:rPr>
                <w:rFonts w:ascii="Arial" w:hAnsi="Arial" w:cs="Arial"/>
                <w:iCs/>
                <w:color w:val="000000"/>
              </w:rPr>
            </w:pPr>
            <w:r>
              <w:rPr>
                <w:rFonts w:ascii="Arial" w:hAnsi="Arial" w:cs="Arial"/>
                <w:iCs/>
                <w:color w:val="000000"/>
              </w:rPr>
              <w:t>19,431</w:t>
            </w:r>
          </w:p>
        </w:tc>
        <w:tc>
          <w:tcPr>
            <w:tcW w:w="648" w:type="dxa"/>
            <w:tcBorders>
              <w:top w:val="nil"/>
              <w:left w:val="nil"/>
              <w:bottom w:val="single" w:sz="4" w:space="0" w:color="auto"/>
              <w:right w:val="nil"/>
            </w:tcBorders>
            <w:shd w:val="clear" w:color="auto" w:fill="auto"/>
            <w:noWrap/>
            <w:vAlign w:val="bottom"/>
          </w:tcPr>
          <w:p w:rsidR="006359D2" w:rsidRPr="00923465" w:rsidRDefault="00EB32F9" w:rsidP="00724165">
            <w:pPr>
              <w:jc w:val="right"/>
              <w:rPr>
                <w:rFonts w:ascii="Arial" w:hAnsi="Arial" w:cs="Arial"/>
                <w:iCs/>
                <w:color w:val="000000"/>
              </w:rPr>
            </w:pPr>
            <w:r>
              <w:rPr>
                <w:rFonts w:ascii="Arial" w:hAnsi="Arial" w:cs="Arial"/>
                <w:iCs/>
                <w:color w:val="000000"/>
              </w:rPr>
              <w:t>2,280</w:t>
            </w:r>
          </w:p>
        </w:tc>
        <w:tc>
          <w:tcPr>
            <w:tcW w:w="648" w:type="dxa"/>
            <w:tcBorders>
              <w:top w:val="nil"/>
              <w:left w:val="nil"/>
              <w:bottom w:val="single" w:sz="4" w:space="0" w:color="auto"/>
              <w:right w:val="nil"/>
            </w:tcBorders>
            <w:shd w:val="clear" w:color="auto" w:fill="auto"/>
            <w:vAlign w:val="bottom"/>
          </w:tcPr>
          <w:p w:rsidR="006359D2" w:rsidRPr="00923465" w:rsidRDefault="00EB32F9" w:rsidP="00724165">
            <w:pPr>
              <w:jc w:val="right"/>
              <w:rPr>
                <w:rFonts w:ascii="Arial" w:hAnsi="Arial" w:cs="Arial"/>
                <w:iCs/>
                <w:color w:val="000000"/>
              </w:rPr>
            </w:pPr>
            <w:r>
              <w:rPr>
                <w:rFonts w:ascii="Arial" w:hAnsi="Arial" w:cs="Arial"/>
                <w:iCs/>
                <w:color w:val="000000"/>
              </w:rPr>
              <w:t>242</w:t>
            </w:r>
          </w:p>
        </w:tc>
        <w:tc>
          <w:tcPr>
            <w:tcW w:w="216" w:type="dxa"/>
            <w:tcBorders>
              <w:top w:val="nil"/>
              <w:left w:val="nil"/>
              <w:bottom w:val="single" w:sz="4" w:space="0" w:color="auto"/>
              <w:right w:val="nil"/>
            </w:tcBorders>
            <w:shd w:val="clear" w:color="auto" w:fill="auto"/>
            <w:noWrap/>
            <w:vAlign w:val="bottom"/>
          </w:tcPr>
          <w:p w:rsidR="006359D2" w:rsidRPr="00923465" w:rsidRDefault="006359D2" w:rsidP="00A3675D">
            <w:pPr>
              <w:jc w:val="right"/>
              <w:rPr>
                <w:rFonts w:ascii="Arial" w:hAnsi="Arial" w:cs="Arial"/>
                <w:iCs/>
                <w:color w:val="000000"/>
              </w:rPr>
            </w:pPr>
          </w:p>
        </w:tc>
        <w:tc>
          <w:tcPr>
            <w:tcW w:w="648" w:type="dxa"/>
            <w:tcBorders>
              <w:top w:val="nil"/>
              <w:left w:val="nil"/>
              <w:bottom w:val="single" w:sz="4" w:space="0" w:color="auto"/>
              <w:right w:val="nil"/>
            </w:tcBorders>
            <w:shd w:val="clear" w:color="auto" w:fill="auto"/>
            <w:vAlign w:val="bottom"/>
          </w:tcPr>
          <w:p w:rsidR="006359D2" w:rsidRPr="00923465" w:rsidRDefault="00EB32F9">
            <w:pPr>
              <w:jc w:val="right"/>
              <w:rPr>
                <w:rFonts w:ascii="Arial" w:hAnsi="Arial" w:cs="Arial"/>
                <w:color w:val="000000"/>
              </w:rPr>
            </w:pPr>
            <w:r>
              <w:rPr>
                <w:rFonts w:ascii="Arial" w:hAnsi="Arial" w:cs="Arial"/>
                <w:color w:val="000000"/>
              </w:rPr>
              <w:t>1,323</w:t>
            </w:r>
          </w:p>
        </w:tc>
        <w:tc>
          <w:tcPr>
            <w:tcW w:w="648" w:type="dxa"/>
            <w:tcBorders>
              <w:top w:val="nil"/>
              <w:left w:val="nil"/>
              <w:bottom w:val="single" w:sz="4" w:space="0" w:color="auto"/>
              <w:right w:val="nil"/>
            </w:tcBorders>
            <w:shd w:val="clear" w:color="auto" w:fill="auto"/>
            <w:vAlign w:val="bottom"/>
          </w:tcPr>
          <w:p w:rsidR="006359D2" w:rsidRPr="00923465" w:rsidRDefault="00EB32F9">
            <w:pPr>
              <w:jc w:val="right"/>
              <w:rPr>
                <w:rFonts w:ascii="Arial" w:hAnsi="Arial" w:cs="Arial"/>
                <w:color w:val="000000"/>
              </w:rPr>
            </w:pPr>
            <w:r>
              <w:rPr>
                <w:rFonts w:ascii="Arial" w:hAnsi="Arial" w:cs="Arial"/>
                <w:color w:val="000000"/>
              </w:rPr>
              <w:t>175</w:t>
            </w:r>
          </w:p>
        </w:tc>
        <w:tc>
          <w:tcPr>
            <w:tcW w:w="641" w:type="dxa"/>
            <w:tcBorders>
              <w:top w:val="nil"/>
              <w:left w:val="nil"/>
              <w:bottom w:val="single" w:sz="4" w:space="0" w:color="auto"/>
              <w:right w:val="nil"/>
            </w:tcBorders>
            <w:shd w:val="clear" w:color="auto" w:fill="auto"/>
            <w:vAlign w:val="bottom"/>
          </w:tcPr>
          <w:p w:rsidR="006359D2" w:rsidRPr="00923465" w:rsidRDefault="00EB32F9" w:rsidP="00F507ED">
            <w:pPr>
              <w:jc w:val="right"/>
              <w:rPr>
                <w:rFonts w:ascii="Arial" w:hAnsi="Arial" w:cs="Arial"/>
                <w:iCs/>
                <w:color w:val="000000"/>
              </w:rPr>
            </w:pPr>
            <w:r>
              <w:rPr>
                <w:rFonts w:ascii="Arial" w:hAnsi="Arial" w:cs="Arial"/>
                <w:iCs/>
                <w:color w:val="000000"/>
              </w:rPr>
              <w:t>127</w:t>
            </w:r>
          </w:p>
        </w:tc>
        <w:tc>
          <w:tcPr>
            <w:tcW w:w="720" w:type="dxa"/>
            <w:tcBorders>
              <w:top w:val="nil"/>
              <w:left w:val="nil"/>
              <w:bottom w:val="single" w:sz="4" w:space="0" w:color="auto"/>
              <w:right w:val="nil"/>
            </w:tcBorders>
            <w:shd w:val="clear" w:color="auto" w:fill="auto"/>
            <w:vAlign w:val="bottom"/>
          </w:tcPr>
          <w:p w:rsidR="006359D2" w:rsidRPr="00923465" w:rsidRDefault="00EB32F9" w:rsidP="00724165">
            <w:pPr>
              <w:jc w:val="right"/>
              <w:rPr>
                <w:rFonts w:ascii="Arial" w:hAnsi="Arial" w:cs="Arial"/>
                <w:iCs/>
                <w:color w:val="000000"/>
              </w:rPr>
            </w:pPr>
            <w:r>
              <w:rPr>
                <w:rFonts w:ascii="Arial" w:hAnsi="Arial" w:cs="Arial"/>
                <w:iCs/>
                <w:color w:val="000000"/>
              </w:rPr>
              <w:t>23,578</w:t>
            </w:r>
          </w:p>
        </w:tc>
        <w:tc>
          <w:tcPr>
            <w:tcW w:w="216" w:type="dxa"/>
            <w:tcBorders>
              <w:top w:val="nil"/>
              <w:left w:val="nil"/>
              <w:bottom w:val="single" w:sz="4" w:space="0" w:color="auto"/>
              <w:right w:val="nil"/>
            </w:tcBorders>
            <w:shd w:val="clear" w:color="auto" w:fill="auto"/>
          </w:tcPr>
          <w:p w:rsidR="006359D2" w:rsidRPr="00923465" w:rsidRDefault="006359D2" w:rsidP="00A3675D">
            <w:pPr>
              <w:jc w:val="right"/>
              <w:rPr>
                <w:rFonts w:ascii="Arial" w:hAnsi="Arial" w:cs="Arial"/>
                <w:iCs/>
                <w:color w:val="000000"/>
              </w:rPr>
            </w:pPr>
          </w:p>
        </w:tc>
        <w:tc>
          <w:tcPr>
            <w:tcW w:w="648" w:type="dxa"/>
            <w:tcBorders>
              <w:top w:val="nil"/>
              <w:left w:val="nil"/>
              <w:bottom w:val="single" w:sz="4" w:space="0" w:color="auto"/>
              <w:right w:val="nil"/>
            </w:tcBorders>
            <w:shd w:val="clear" w:color="auto" w:fill="auto"/>
            <w:noWrap/>
            <w:vAlign w:val="bottom"/>
          </w:tcPr>
          <w:p w:rsidR="006359D2" w:rsidRPr="00923465" w:rsidRDefault="003C77A4" w:rsidP="00A3675D">
            <w:pPr>
              <w:jc w:val="right"/>
              <w:rPr>
                <w:rFonts w:ascii="Arial" w:hAnsi="Arial" w:cs="Arial"/>
                <w:iCs/>
                <w:color w:val="000000"/>
              </w:rPr>
            </w:pPr>
            <w:r>
              <w:rPr>
                <w:rFonts w:ascii="Arial" w:hAnsi="Arial" w:cs="Arial"/>
                <w:iCs/>
                <w:color w:val="000000"/>
              </w:rPr>
              <w:t>1,936</w:t>
            </w:r>
          </w:p>
        </w:tc>
        <w:tc>
          <w:tcPr>
            <w:tcW w:w="648" w:type="dxa"/>
            <w:tcBorders>
              <w:top w:val="nil"/>
              <w:left w:val="nil"/>
              <w:bottom w:val="single" w:sz="4" w:space="0" w:color="auto"/>
              <w:right w:val="nil"/>
            </w:tcBorders>
            <w:shd w:val="clear" w:color="auto" w:fill="auto"/>
            <w:noWrap/>
            <w:vAlign w:val="bottom"/>
          </w:tcPr>
          <w:p w:rsidR="006359D2" w:rsidRPr="00923465" w:rsidRDefault="00464A4B" w:rsidP="00724165">
            <w:pPr>
              <w:jc w:val="right"/>
              <w:rPr>
                <w:rFonts w:ascii="Arial" w:hAnsi="Arial" w:cs="Arial"/>
                <w:iCs/>
                <w:color w:val="000000"/>
              </w:rPr>
            </w:pPr>
            <w:r>
              <w:rPr>
                <w:rFonts w:ascii="Arial" w:hAnsi="Arial" w:cs="Arial"/>
                <w:iCs/>
                <w:color w:val="000000"/>
              </w:rPr>
              <w:t>2,280</w:t>
            </w:r>
          </w:p>
        </w:tc>
        <w:tc>
          <w:tcPr>
            <w:tcW w:w="648" w:type="dxa"/>
            <w:tcBorders>
              <w:top w:val="nil"/>
              <w:left w:val="nil"/>
              <w:bottom w:val="single" w:sz="4" w:space="0" w:color="auto"/>
              <w:right w:val="nil"/>
            </w:tcBorders>
            <w:shd w:val="clear" w:color="auto" w:fill="auto"/>
            <w:vAlign w:val="bottom"/>
          </w:tcPr>
          <w:p w:rsidR="006359D2" w:rsidRPr="00923465" w:rsidRDefault="003C77A4" w:rsidP="00724165">
            <w:pPr>
              <w:jc w:val="right"/>
              <w:rPr>
                <w:rFonts w:ascii="Arial" w:hAnsi="Arial" w:cs="Arial"/>
                <w:iCs/>
                <w:color w:val="000000"/>
              </w:rPr>
            </w:pPr>
            <w:r>
              <w:rPr>
                <w:rFonts w:ascii="Arial" w:hAnsi="Arial" w:cs="Arial"/>
                <w:iCs/>
                <w:color w:val="000000"/>
              </w:rPr>
              <w:t>242</w:t>
            </w:r>
          </w:p>
        </w:tc>
        <w:tc>
          <w:tcPr>
            <w:tcW w:w="216" w:type="dxa"/>
            <w:tcBorders>
              <w:top w:val="nil"/>
              <w:left w:val="nil"/>
              <w:bottom w:val="single" w:sz="4" w:space="0" w:color="auto"/>
              <w:right w:val="nil"/>
            </w:tcBorders>
            <w:shd w:val="clear" w:color="auto" w:fill="auto"/>
            <w:noWrap/>
            <w:vAlign w:val="bottom"/>
          </w:tcPr>
          <w:p w:rsidR="006359D2" w:rsidRPr="00923465" w:rsidRDefault="006359D2" w:rsidP="00724165">
            <w:pPr>
              <w:jc w:val="right"/>
              <w:rPr>
                <w:rFonts w:ascii="Arial" w:hAnsi="Arial" w:cs="Arial"/>
                <w:iCs/>
                <w:color w:val="000000"/>
              </w:rPr>
            </w:pPr>
          </w:p>
        </w:tc>
        <w:tc>
          <w:tcPr>
            <w:tcW w:w="648" w:type="dxa"/>
            <w:tcBorders>
              <w:top w:val="nil"/>
              <w:left w:val="nil"/>
              <w:bottom w:val="single" w:sz="4" w:space="0" w:color="auto"/>
              <w:right w:val="nil"/>
            </w:tcBorders>
            <w:shd w:val="clear" w:color="auto" w:fill="auto"/>
            <w:vAlign w:val="bottom"/>
          </w:tcPr>
          <w:p w:rsidR="006359D2" w:rsidRPr="00923465" w:rsidRDefault="003C77A4" w:rsidP="00724165">
            <w:pPr>
              <w:jc w:val="right"/>
              <w:rPr>
                <w:rFonts w:ascii="Arial" w:hAnsi="Arial" w:cs="Arial"/>
                <w:iCs/>
                <w:color w:val="000000"/>
              </w:rPr>
            </w:pPr>
            <w:r>
              <w:rPr>
                <w:rFonts w:ascii="Arial" w:hAnsi="Arial" w:cs="Arial"/>
                <w:iCs/>
                <w:color w:val="000000"/>
              </w:rPr>
              <w:t>437</w:t>
            </w:r>
          </w:p>
        </w:tc>
        <w:tc>
          <w:tcPr>
            <w:tcW w:w="648" w:type="dxa"/>
            <w:tcBorders>
              <w:top w:val="nil"/>
              <w:left w:val="nil"/>
              <w:bottom w:val="single" w:sz="4" w:space="0" w:color="auto"/>
              <w:right w:val="nil"/>
            </w:tcBorders>
            <w:shd w:val="clear" w:color="auto" w:fill="auto"/>
            <w:vAlign w:val="bottom"/>
          </w:tcPr>
          <w:p w:rsidR="006359D2" w:rsidRPr="00923465" w:rsidRDefault="003C77A4" w:rsidP="00724165">
            <w:pPr>
              <w:jc w:val="right"/>
              <w:rPr>
                <w:rFonts w:ascii="Arial" w:hAnsi="Arial" w:cs="Arial"/>
                <w:iCs/>
                <w:color w:val="000000"/>
              </w:rPr>
            </w:pPr>
            <w:r>
              <w:rPr>
                <w:rFonts w:ascii="Arial" w:hAnsi="Arial" w:cs="Arial"/>
                <w:iCs/>
                <w:color w:val="000000"/>
              </w:rPr>
              <w:t>175</w:t>
            </w:r>
          </w:p>
        </w:tc>
        <w:tc>
          <w:tcPr>
            <w:tcW w:w="648" w:type="dxa"/>
            <w:tcBorders>
              <w:top w:val="nil"/>
              <w:left w:val="nil"/>
              <w:bottom w:val="single" w:sz="4" w:space="0" w:color="auto"/>
              <w:right w:val="nil"/>
            </w:tcBorders>
            <w:shd w:val="clear" w:color="auto" w:fill="auto"/>
            <w:vAlign w:val="bottom"/>
          </w:tcPr>
          <w:p w:rsidR="006359D2" w:rsidRPr="00923465" w:rsidRDefault="003C77A4" w:rsidP="00F507ED">
            <w:pPr>
              <w:jc w:val="right"/>
              <w:rPr>
                <w:rFonts w:ascii="Arial" w:hAnsi="Arial" w:cs="Arial"/>
                <w:iCs/>
                <w:color w:val="000000"/>
              </w:rPr>
            </w:pPr>
            <w:r>
              <w:rPr>
                <w:rFonts w:ascii="Arial" w:hAnsi="Arial" w:cs="Arial"/>
                <w:iCs/>
                <w:color w:val="000000"/>
              </w:rPr>
              <w:t>127</w:t>
            </w:r>
          </w:p>
        </w:tc>
        <w:tc>
          <w:tcPr>
            <w:tcW w:w="720" w:type="dxa"/>
            <w:tcBorders>
              <w:top w:val="nil"/>
              <w:left w:val="nil"/>
              <w:bottom w:val="single" w:sz="4" w:space="0" w:color="auto"/>
            </w:tcBorders>
            <w:shd w:val="clear" w:color="auto" w:fill="auto"/>
            <w:vAlign w:val="bottom"/>
          </w:tcPr>
          <w:p w:rsidR="006359D2" w:rsidRPr="00923465" w:rsidRDefault="003C77A4" w:rsidP="00724165">
            <w:pPr>
              <w:jc w:val="right"/>
              <w:rPr>
                <w:rFonts w:ascii="Arial" w:hAnsi="Arial" w:cs="Arial"/>
                <w:iCs/>
                <w:color w:val="000000"/>
              </w:rPr>
            </w:pPr>
            <w:r>
              <w:rPr>
                <w:rFonts w:ascii="Arial" w:hAnsi="Arial" w:cs="Arial"/>
                <w:iCs/>
                <w:color w:val="000000"/>
              </w:rPr>
              <w:t>5,200</w:t>
            </w:r>
          </w:p>
        </w:tc>
      </w:tr>
      <w:tr w:rsidR="00A3675D" w:rsidRPr="00923465" w:rsidTr="00486D02">
        <w:trPr>
          <w:trHeight w:val="710"/>
        </w:trPr>
        <w:tc>
          <w:tcPr>
            <w:tcW w:w="720" w:type="dxa"/>
            <w:gridSpan w:val="18"/>
            <w:tcBorders>
              <w:top w:val="single" w:sz="4" w:space="0" w:color="auto"/>
              <w:bottom w:val="nil"/>
            </w:tcBorders>
            <w:shd w:val="clear" w:color="auto" w:fill="auto"/>
            <w:noWrap/>
            <w:vAlign w:val="bottom"/>
          </w:tcPr>
          <w:p w:rsidR="00A3675D" w:rsidRPr="00923465" w:rsidRDefault="00A3675D" w:rsidP="00724165">
            <w:pPr>
              <w:rPr>
                <w:rFonts w:ascii="Arial" w:hAnsi="Arial" w:cs="Arial"/>
              </w:rPr>
            </w:pPr>
            <w:r w:rsidRPr="00923465">
              <w:rPr>
                <w:rFonts w:ascii="Arial" w:hAnsi="Arial" w:cs="Arial"/>
                <w:i/>
              </w:rPr>
              <w:t>Note:</w:t>
            </w:r>
            <w:r w:rsidRPr="00923465">
              <w:rPr>
                <w:rFonts w:ascii="Arial" w:hAnsi="Arial" w:cs="Arial"/>
              </w:rPr>
              <w:t xml:space="preserve"> All figures subject to revision.</w:t>
            </w:r>
          </w:p>
          <w:p w:rsidR="00A3675D" w:rsidRPr="00923465" w:rsidRDefault="00A3675D" w:rsidP="00724165">
            <w:pPr>
              <w:rPr>
                <w:rFonts w:ascii="Arial" w:hAnsi="Arial" w:cs="Arial"/>
                <w:vertAlign w:val="superscript"/>
              </w:rPr>
            </w:pPr>
          </w:p>
          <w:p w:rsidR="00A3675D" w:rsidRPr="00923465" w:rsidRDefault="00A3675D" w:rsidP="00724165">
            <w:pPr>
              <w:rPr>
                <w:rFonts w:ascii="Arial" w:hAnsi="Arial" w:cs="Arial"/>
              </w:rPr>
            </w:pPr>
            <w:r w:rsidRPr="00923465">
              <w:rPr>
                <w:rFonts w:ascii="Arial" w:hAnsi="Arial" w:cs="Arial"/>
                <w:vertAlign w:val="superscript"/>
              </w:rPr>
              <w:t xml:space="preserve">      a</w:t>
            </w:r>
            <w:r w:rsidRPr="00923465">
              <w:rPr>
                <w:rFonts w:ascii="Arial" w:hAnsi="Arial" w:cs="Arial"/>
              </w:rPr>
              <w:t>Not all sectors required a separate stratum for very large firms.</w:t>
            </w:r>
          </w:p>
          <w:p w:rsidR="00A3675D" w:rsidRPr="00923465" w:rsidRDefault="00A3675D" w:rsidP="00724165">
            <w:pPr>
              <w:jc w:val="right"/>
              <w:rPr>
                <w:rFonts w:ascii="Arial" w:hAnsi="Arial" w:cs="Arial"/>
                <w:iCs/>
                <w:color w:val="000000"/>
              </w:rPr>
            </w:pPr>
          </w:p>
        </w:tc>
      </w:tr>
    </w:tbl>
    <w:p w:rsidR="00724165" w:rsidRDefault="00724165" w:rsidP="00486D02">
      <w:pPr>
        <w:autoSpaceDE/>
        <w:autoSpaceDN/>
        <w:adjustRightInd/>
        <w:rPr>
          <w:b/>
          <w:bCs/>
          <w:sz w:val="24"/>
          <w:szCs w:val="24"/>
          <w:highlight w:val="white"/>
        </w:rPr>
        <w:sectPr w:rsidR="00724165" w:rsidSect="00724165">
          <w:pgSz w:w="15840" w:h="12240" w:orient="landscape"/>
          <w:pgMar w:top="1440" w:right="1440" w:bottom="1440" w:left="1440" w:header="1440" w:footer="864" w:gutter="0"/>
          <w:cols w:space="720"/>
          <w:docGrid w:linePitch="272"/>
        </w:sectPr>
      </w:pPr>
    </w:p>
    <w:p w:rsidR="00487B02" w:rsidRDefault="00487B02" w:rsidP="00604780">
      <w:pPr>
        <w:rPr>
          <w:sz w:val="24"/>
          <w:szCs w:val="24"/>
        </w:rPr>
      </w:pPr>
      <w:r>
        <w:rPr>
          <w:sz w:val="24"/>
          <w:szCs w:val="24"/>
        </w:rPr>
        <w:lastRenderedPageBreak/>
        <w:t>Since this is the first large-scale survey of used electronics exports,</w:t>
      </w:r>
      <w:r w:rsidRPr="00A90E28">
        <w:rPr>
          <w:rStyle w:val="FootnoteReference"/>
          <w:sz w:val="24"/>
          <w:szCs w:val="24"/>
        </w:rPr>
        <w:footnoteReference w:id="3"/>
      </w:r>
      <w:r>
        <w:rPr>
          <w:sz w:val="24"/>
          <w:szCs w:val="24"/>
        </w:rPr>
        <w:t xml:space="preserve"> and no definitive list of all relevant firms exists, some coverage error is unavoidable. In particular, the industries in which used electronics exporters reside cannot be known with certainty in advance. This error has been minimized by incorporating an industry association list that combines the most complete industry lists available. In addition, USITC staff looked up the primary NAICS classification in the Orbis database for several thousand companies on the industry association list. A tabulation of these industries was used to select the most appropriate 6-digit NAICS industries in the Orbis-based frames. </w:t>
      </w:r>
    </w:p>
    <w:p w:rsidR="00487B02" w:rsidRDefault="00487B02" w:rsidP="00604780">
      <w:pPr>
        <w:rPr>
          <w:sz w:val="24"/>
          <w:szCs w:val="24"/>
        </w:rPr>
      </w:pPr>
    </w:p>
    <w:p w:rsidR="00604780" w:rsidRDefault="006D2DB7" w:rsidP="00604780">
      <w:pPr>
        <w:rPr>
          <w:b/>
          <w:bCs/>
          <w:sz w:val="24"/>
          <w:szCs w:val="24"/>
          <w:highlight w:val="white"/>
        </w:rPr>
      </w:pPr>
      <w:r w:rsidRPr="00A90E28">
        <w:rPr>
          <w:sz w:val="24"/>
          <w:szCs w:val="24"/>
        </w:rPr>
        <w:t>The sample size of 5,</w:t>
      </w:r>
      <w:r w:rsidR="0078105A">
        <w:rPr>
          <w:sz w:val="24"/>
          <w:szCs w:val="24"/>
        </w:rPr>
        <w:t>5</w:t>
      </w:r>
      <w:r>
        <w:rPr>
          <w:sz w:val="24"/>
          <w:szCs w:val="24"/>
        </w:rPr>
        <w:t>00</w:t>
      </w:r>
      <w:r w:rsidRPr="00A90E28">
        <w:rPr>
          <w:sz w:val="24"/>
          <w:szCs w:val="24"/>
        </w:rPr>
        <w:t xml:space="preserve"> is the number of surveys that will be sent out and is based on what is needed for a statistically significant response, given historical response rates. Based on results of </w:t>
      </w:r>
      <w:r w:rsidR="00604780" w:rsidRPr="00A90E28">
        <w:rPr>
          <w:sz w:val="24"/>
          <w:szCs w:val="24"/>
        </w:rPr>
        <w:t xml:space="preserve">similar past surveys, we expect the response rate to range from </w:t>
      </w:r>
      <w:r w:rsidR="00FB4347">
        <w:rPr>
          <w:sz w:val="24"/>
          <w:szCs w:val="24"/>
        </w:rPr>
        <w:t>4</w:t>
      </w:r>
      <w:r w:rsidR="00294D38">
        <w:rPr>
          <w:sz w:val="24"/>
          <w:szCs w:val="24"/>
        </w:rPr>
        <w:t>5</w:t>
      </w:r>
      <w:r w:rsidR="00604780" w:rsidRPr="00A90E28">
        <w:rPr>
          <w:sz w:val="24"/>
          <w:szCs w:val="24"/>
        </w:rPr>
        <w:t>–</w:t>
      </w:r>
      <w:r w:rsidR="00FB4347">
        <w:rPr>
          <w:sz w:val="24"/>
          <w:szCs w:val="24"/>
        </w:rPr>
        <w:t>6</w:t>
      </w:r>
      <w:r w:rsidR="00FB4347" w:rsidRPr="00A90E28">
        <w:rPr>
          <w:sz w:val="24"/>
          <w:szCs w:val="24"/>
        </w:rPr>
        <w:t xml:space="preserve">0 </w:t>
      </w:r>
      <w:r w:rsidR="00604780" w:rsidRPr="00A90E28">
        <w:rPr>
          <w:sz w:val="24"/>
          <w:szCs w:val="24"/>
        </w:rPr>
        <w:t xml:space="preserve">percent, which would result in </w:t>
      </w:r>
      <w:r w:rsidR="00294D38">
        <w:rPr>
          <w:sz w:val="24"/>
          <w:szCs w:val="24"/>
        </w:rPr>
        <w:t>2,</w:t>
      </w:r>
      <w:r w:rsidR="0078105A">
        <w:rPr>
          <w:sz w:val="24"/>
          <w:szCs w:val="24"/>
        </w:rPr>
        <w:t>475</w:t>
      </w:r>
      <w:r w:rsidR="00604780">
        <w:rPr>
          <w:sz w:val="24"/>
          <w:szCs w:val="24"/>
        </w:rPr>
        <w:t>–</w:t>
      </w:r>
      <w:r w:rsidR="00294D38">
        <w:rPr>
          <w:sz w:val="24"/>
          <w:szCs w:val="24"/>
        </w:rPr>
        <w:t>3,</w:t>
      </w:r>
      <w:r w:rsidR="0078105A">
        <w:rPr>
          <w:sz w:val="24"/>
          <w:szCs w:val="24"/>
        </w:rPr>
        <w:t>300</w:t>
      </w:r>
      <w:r w:rsidR="00604780" w:rsidRPr="00A90E28">
        <w:rPr>
          <w:sz w:val="24"/>
          <w:szCs w:val="24"/>
        </w:rPr>
        <w:t xml:space="preserve"> surveys received from the sampled companies. </w:t>
      </w:r>
      <w:r w:rsidR="00604780">
        <w:rPr>
          <w:sz w:val="24"/>
          <w:szCs w:val="24"/>
        </w:rPr>
        <w:t>Responses in previous and ongoing USITC surveys have not differed significantly by firm size or data source, and no information exists to predict differences in response rates across these particular industries. Thus a uniform response rate has been assumed for all strata.</w:t>
      </w:r>
    </w:p>
    <w:p w:rsidR="00604780" w:rsidRDefault="00604780" w:rsidP="00604780">
      <w:pPr>
        <w:autoSpaceDE/>
        <w:autoSpaceDN/>
        <w:adjustRightInd/>
        <w:rPr>
          <w:b/>
          <w:bCs/>
          <w:sz w:val="24"/>
          <w:szCs w:val="24"/>
          <w:highlight w:val="white"/>
        </w:rPr>
      </w:pPr>
    </w:p>
    <w:p w:rsidR="00AF35D2" w:rsidRPr="00A90E28" w:rsidRDefault="00AF35D2" w:rsidP="00A90E28">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highlight w:val="white"/>
        </w:rPr>
      </w:pPr>
      <w:r w:rsidRPr="00A90E28">
        <w:rPr>
          <w:b/>
          <w:bCs/>
          <w:sz w:val="24"/>
          <w:szCs w:val="24"/>
          <w:highlight w:val="white"/>
        </w:rPr>
        <w:t>2.</w:t>
      </w:r>
      <w:r w:rsidRPr="00A90E28">
        <w:rPr>
          <w:b/>
          <w:bCs/>
          <w:sz w:val="24"/>
          <w:szCs w:val="24"/>
          <w:highlight w:val="white"/>
        </w:rPr>
        <w:tab/>
      </w:r>
      <w:r w:rsidR="00AB699E" w:rsidRPr="00A90E28">
        <w:rPr>
          <w:b/>
          <w:bCs/>
          <w:sz w:val="24"/>
          <w:szCs w:val="24"/>
          <w:highlight w:val="white"/>
        </w:rPr>
        <w:t>Collection of information</w:t>
      </w:r>
      <w:r w:rsidR="00FE5E62">
        <w:rPr>
          <w:b/>
          <w:bCs/>
          <w:sz w:val="24"/>
          <w:szCs w:val="24"/>
          <w:highlight w:val="white"/>
        </w:rPr>
        <w:t xml:space="preserve"> employing statistical methods</w:t>
      </w:r>
    </w:p>
    <w:p w:rsidR="00717630" w:rsidRPr="00A90E28" w:rsidRDefault="00717630" w:rsidP="00A90E28">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highlight w:val="white"/>
        </w:rPr>
      </w:pPr>
    </w:p>
    <w:p w:rsidR="00717630" w:rsidRPr="00A90E28" w:rsidRDefault="00A90E28" w:rsidP="00A90E28">
      <w:pPr>
        <w:pStyle w:val="ListParagraph"/>
        <w:numPr>
          <w:ilvl w:val="0"/>
          <w:numId w:val="13"/>
        </w:numPr>
        <w:rPr>
          <w:rFonts w:ascii="Times New Roman" w:hAnsi="Times New Roman"/>
          <w:b/>
          <w:sz w:val="24"/>
          <w:szCs w:val="24"/>
        </w:rPr>
      </w:pPr>
      <w:r w:rsidRPr="00A90E28">
        <w:rPr>
          <w:rFonts w:ascii="Times New Roman" w:hAnsi="Times New Roman"/>
          <w:b/>
          <w:sz w:val="24"/>
          <w:szCs w:val="24"/>
        </w:rPr>
        <w:t xml:space="preserve"> </w:t>
      </w:r>
      <w:r w:rsidR="00717630" w:rsidRPr="00A90E28">
        <w:rPr>
          <w:rFonts w:ascii="Times New Roman" w:hAnsi="Times New Roman"/>
          <w:b/>
          <w:sz w:val="24"/>
          <w:szCs w:val="24"/>
        </w:rPr>
        <w:t>Statistical methodology for stratification and sample selection</w:t>
      </w:r>
    </w:p>
    <w:p w:rsidR="00E6791D" w:rsidRPr="00A90E28" w:rsidRDefault="00573741" w:rsidP="00A90E28">
      <w:pPr>
        <w:autoSpaceDE/>
        <w:autoSpaceDN/>
        <w:adjustRightInd/>
        <w:contextualSpacing/>
        <w:rPr>
          <w:sz w:val="24"/>
          <w:szCs w:val="24"/>
        </w:rPr>
      </w:pPr>
      <w:r w:rsidRPr="00A90E28">
        <w:rPr>
          <w:sz w:val="24"/>
          <w:szCs w:val="24"/>
        </w:rPr>
        <w:t xml:space="preserve">A stratified sample based on a simple stratification process is being implemented for this project. </w:t>
      </w:r>
      <w:r w:rsidR="00717630" w:rsidRPr="00A90E28">
        <w:rPr>
          <w:sz w:val="24"/>
          <w:szCs w:val="24"/>
        </w:rPr>
        <w:t xml:space="preserve">The goal of the stratification scheme is to develop a set of strata </w:t>
      </w:r>
      <w:r w:rsidR="00573F7C" w:rsidRPr="00A90E28">
        <w:rPr>
          <w:sz w:val="24"/>
          <w:szCs w:val="24"/>
        </w:rPr>
        <w:t xml:space="preserve">such </w:t>
      </w:r>
      <w:r w:rsidR="00717630" w:rsidRPr="00A90E28">
        <w:rPr>
          <w:sz w:val="24"/>
          <w:szCs w:val="24"/>
        </w:rPr>
        <w:t xml:space="preserve">that </w:t>
      </w:r>
      <w:r w:rsidR="00573F7C" w:rsidRPr="00A90E28">
        <w:rPr>
          <w:sz w:val="24"/>
          <w:szCs w:val="24"/>
        </w:rPr>
        <w:t xml:space="preserve">the </w:t>
      </w:r>
      <w:r w:rsidR="00717630" w:rsidRPr="00A90E28">
        <w:rPr>
          <w:sz w:val="24"/>
          <w:szCs w:val="24"/>
        </w:rPr>
        <w:t xml:space="preserve">variance </w:t>
      </w:r>
      <w:r w:rsidR="00573F7C" w:rsidRPr="00A90E28">
        <w:rPr>
          <w:sz w:val="24"/>
          <w:szCs w:val="24"/>
        </w:rPr>
        <w:t>of responses (such as level</w:t>
      </w:r>
      <w:r w:rsidR="009C71CE" w:rsidRPr="00A90E28">
        <w:rPr>
          <w:sz w:val="24"/>
          <w:szCs w:val="24"/>
        </w:rPr>
        <w:t xml:space="preserve"> of employment</w:t>
      </w:r>
      <w:r w:rsidR="00B02E0A" w:rsidRPr="00A90E28">
        <w:rPr>
          <w:sz w:val="24"/>
          <w:szCs w:val="24"/>
        </w:rPr>
        <w:t>, type</w:t>
      </w:r>
      <w:r w:rsidR="00573F7C" w:rsidRPr="00A90E28">
        <w:rPr>
          <w:sz w:val="24"/>
          <w:szCs w:val="24"/>
        </w:rPr>
        <w:t xml:space="preserve"> of</w:t>
      </w:r>
      <w:r w:rsidR="00A57BD0">
        <w:rPr>
          <w:sz w:val="24"/>
          <w:szCs w:val="24"/>
        </w:rPr>
        <w:t xml:space="preserve"> </w:t>
      </w:r>
      <w:r w:rsidR="00573F7C" w:rsidRPr="00A90E28">
        <w:rPr>
          <w:sz w:val="24"/>
          <w:szCs w:val="24"/>
        </w:rPr>
        <w:t xml:space="preserve">activities, </w:t>
      </w:r>
      <w:r w:rsidR="009C71CE" w:rsidRPr="00A90E28">
        <w:rPr>
          <w:sz w:val="24"/>
          <w:szCs w:val="24"/>
        </w:rPr>
        <w:t xml:space="preserve">and </w:t>
      </w:r>
      <w:r w:rsidR="00573F7C" w:rsidRPr="00A90E28">
        <w:rPr>
          <w:sz w:val="24"/>
          <w:szCs w:val="24"/>
        </w:rPr>
        <w:t xml:space="preserve">likelihood of </w:t>
      </w:r>
      <w:r w:rsidR="00B02E0A" w:rsidRPr="00A90E28">
        <w:rPr>
          <w:sz w:val="24"/>
          <w:szCs w:val="24"/>
        </w:rPr>
        <w:t>exporting used electronics</w:t>
      </w:r>
      <w:r w:rsidR="00573F7C" w:rsidRPr="00A90E28">
        <w:rPr>
          <w:sz w:val="24"/>
          <w:szCs w:val="24"/>
        </w:rPr>
        <w:t xml:space="preserve">) </w:t>
      </w:r>
      <w:r w:rsidR="00B71063" w:rsidRPr="00A90E28">
        <w:rPr>
          <w:sz w:val="24"/>
          <w:szCs w:val="24"/>
        </w:rPr>
        <w:t xml:space="preserve">within </w:t>
      </w:r>
      <w:r w:rsidR="00573F7C" w:rsidRPr="00A90E28">
        <w:rPr>
          <w:sz w:val="24"/>
          <w:szCs w:val="24"/>
        </w:rPr>
        <w:t>each stratum</w:t>
      </w:r>
      <w:r w:rsidR="00B71063" w:rsidRPr="00A90E28">
        <w:rPr>
          <w:sz w:val="24"/>
          <w:szCs w:val="24"/>
        </w:rPr>
        <w:t xml:space="preserve"> </w:t>
      </w:r>
      <w:r w:rsidR="00573F7C" w:rsidRPr="00A90E28">
        <w:rPr>
          <w:sz w:val="24"/>
          <w:szCs w:val="24"/>
        </w:rPr>
        <w:t>is minimized to the extent possible</w:t>
      </w:r>
      <w:r w:rsidR="00717630" w:rsidRPr="00A90E28">
        <w:rPr>
          <w:sz w:val="24"/>
          <w:szCs w:val="24"/>
        </w:rPr>
        <w:t>.</w:t>
      </w:r>
      <w:r w:rsidR="00637E08" w:rsidRPr="00A90E28">
        <w:rPr>
          <w:sz w:val="24"/>
          <w:szCs w:val="24"/>
        </w:rPr>
        <w:t xml:space="preserve"> </w:t>
      </w:r>
      <w:r w:rsidR="006D2DB7">
        <w:rPr>
          <w:sz w:val="24"/>
          <w:szCs w:val="24"/>
        </w:rPr>
        <w:t xml:space="preserve">Stratification is also being used to include rare observations. </w:t>
      </w:r>
      <w:r w:rsidR="00717630" w:rsidRPr="00A90E28">
        <w:rPr>
          <w:sz w:val="24"/>
          <w:szCs w:val="24"/>
        </w:rPr>
        <w:t>Because n</w:t>
      </w:r>
      <w:r w:rsidR="007D052D" w:rsidRPr="00A90E28">
        <w:rPr>
          <w:sz w:val="24"/>
          <w:szCs w:val="24"/>
        </w:rPr>
        <w:t>o pro-forma reliable data exist</w:t>
      </w:r>
      <w:r w:rsidR="00717630" w:rsidRPr="00A90E28">
        <w:rPr>
          <w:sz w:val="24"/>
          <w:szCs w:val="24"/>
        </w:rPr>
        <w:t xml:space="preserve"> on the </w:t>
      </w:r>
      <w:r w:rsidR="00023E80" w:rsidRPr="00A90E28">
        <w:rPr>
          <w:sz w:val="24"/>
          <w:szCs w:val="24"/>
        </w:rPr>
        <w:t xml:space="preserve">size and scope of the </w:t>
      </w:r>
      <w:r w:rsidR="00B02E0A" w:rsidRPr="00A90E28">
        <w:rPr>
          <w:sz w:val="24"/>
          <w:szCs w:val="24"/>
        </w:rPr>
        <w:t>used electronics</w:t>
      </w:r>
      <w:r w:rsidR="00023E80" w:rsidRPr="00A90E28">
        <w:rPr>
          <w:sz w:val="24"/>
          <w:szCs w:val="24"/>
        </w:rPr>
        <w:t xml:space="preserve"> sector</w:t>
      </w:r>
      <w:r w:rsidR="00717630" w:rsidRPr="00A90E28">
        <w:rPr>
          <w:sz w:val="24"/>
          <w:szCs w:val="24"/>
        </w:rPr>
        <w:t xml:space="preserve">, the stratification scheme was based </w:t>
      </w:r>
      <w:r w:rsidR="00E6791D" w:rsidRPr="00A90E28">
        <w:rPr>
          <w:sz w:val="24"/>
          <w:szCs w:val="24"/>
        </w:rPr>
        <w:t>on the best judgment of industry and USITC experts.</w:t>
      </w:r>
      <w:r w:rsidR="001C205A">
        <w:rPr>
          <w:sz w:val="24"/>
          <w:szCs w:val="24"/>
        </w:rPr>
        <w:t xml:space="preserve"> </w:t>
      </w:r>
    </w:p>
    <w:p w:rsidR="00E6791D" w:rsidRPr="00A90E28" w:rsidRDefault="00E6791D" w:rsidP="00A90E28">
      <w:pPr>
        <w:ind w:left="720"/>
        <w:rPr>
          <w:sz w:val="24"/>
          <w:szCs w:val="24"/>
        </w:rPr>
      </w:pPr>
    </w:p>
    <w:p w:rsidR="002720FA" w:rsidRDefault="002720FA" w:rsidP="00A90E28">
      <w:pPr>
        <w:autoSpaceDE/>
        <w:autoSpaceDN/>
        <w:adjustRightInd/>
        <w:contextualSpacing/>
        <w:rPr>
          <w:sz w:val="24"/>
          <w:szCs w:val="24"/>
        </w:rPr>
      </w:pPr>
      <w:r w:rsidRPr="00A90E28">
        <w:rPr>
          <w:sz w:val="24"/>
          <w:szCs w:val="24"/>
        </w:rPr>
        <w:t>The approach to stratification in this survey is based on a two-part procedure</w:t>
      </w:r>
      <w:r w:rsidR="004E6983" w:rsidRPr="00A90E28">
        <w:rPr>
          <w:sz w:val="24"/>
          <w:szCs w:val="24"/>
        </w:rPr>
        <w:t xml:space="preserve"> designed to maximize efficiency of the resulting estimates, and hence reduce the total number of firms sampled.</w:t>
      </w:r>
      <w:r w:rsidR="00A57BD0">
        <w:rPr>
          <w:sz w:val="24"/>
          <w:szCs w:val="24"/>
        </w:rPr>
        <w:t xml:space="preserve"> </w:t>
      </w:r>
      <w:r w:rsidR="004E6983" w:rsidRPr="00A90E28">
        <w:rPr>
          <w:sz w:val="24"/>
          <w:szCs w:val="24"/>
        </w:rPr>
        <w:t>First,</w:t>
      </w:r>
      <w:r w:rsidRPr="00A90E28">
        <w:rPr>
          <w:sz w:val="24"/>
          <w:szCs w:val="24"/>
        </w:rPr>
        <w:t xml:space="preserve"> firms </w:t>
      </w:r>
      <w:r w:rsidR="004E6983" w:rsidRPr="00A90E28">
        <w:rPr>
          <w:sz w:val="24"/>
          <w:szCs w:val="24"/>
        </w:rPr>
        <w:t xml:space="preserve">identified by the Orbis database are optimally allocated </w:t>
      </w:r>
      <w:r w:rsidRPr="00A90E28">
        <w:rPr>
          <w:sz w:val="24"/>
          <w:szCs w:val="24"/>
        </w:rPr>
        <w:t xml:space="preserve">across size and industry strata </w:t>
      </w:r>
      <w:r w:rsidR="004E6983" w:rsidRPr="00A90E28">
        <w:rPr>
          <w:sz w:val="24"/>
          <w:szCs w:val="24"/>
        </w:rPr>
        <w:t>based on the standard deviation of employment within each strata</w:t>
      </w:r>
      <w:r w:rsidR="008A6DC0" w:rsidRPr="00A90E28">
        <w:rPr>
          <w:sz w:val="24"/>
          <w:szCs w:val="24"/>
        </w:rPr>
        <w:t>.</w:t>
      </w:r>
      <w:r w:rsidR="00A57BD0">
        <w:rPr>
          <w:sz w:val="24"/>
          <w:szCs w:val="24"/>
        </w:rPr>
        <w:t xml:space="preserve"> </w:t>
      </w:r>
      <w:r w:rsidR="008A6DC0" w:rsidRPr="00A90E28">
        <w:rPr>
          <w:sz w:val="24"/>
          <w:szCs w:val="24"/>
        </w:rPr>
        <w:t>Second</w:t>
      </w:r>
      <w:r w:rsidRPr="00A90E28">
        <w:rPr>
          <w:sz w:val="24"/>
          <w:szCs w:val="24"/>
        </w:rPr>
        <w:t xml:space="preserve">, </w:t>
      </w:r>
      <w:r w:rsidR="006D2DB7">
        <w:rPr>
          <w:sz w:val="24"/>
          <w:szCs w:val="24"/>
        </w:rPr>
        <w:t>oversampling</w:t>
      </w:r>
      <w:r w:rsidRPr="00A90E28">
        <w:rPr>
          <w:sz w:val="24"/>
          <w:szCs w:val="24"/>
        </w:rPr>
        <w:t xml:space="preserve"> is used to allocate firms identified b</w:t>
      </w:r>
      <w:r w:rsidR="004E6983" w:rsidRPr="00A90E28">
        <w:rPr>
          <w:sz w:val="24"/>
          <w:szCs w:val="24"/>
        </w:rPr>
        <w:t>y the industry association list</w:t>
      </w:r>
      <w:r w:rsidR="009F26BC" w:rsidRPr="00A90E28">
        <w:rPr>
          <w:sz w:val="24"/>
          <w:szCs w:val="24"/>
        </w:rPr>
        <w:t>,</w:t>
      </w:r>
      <w:r w:rsidR="004E6983" w:rsidRPr="00A90E28">
        <w:rPr>
          <w:sz w:val="24"/>
          <w:szCs w:val="24"/>
        </w:rPr>
        <w:t xml:space="preserve"> to reflect the higher expected </w:t>
      </w:r>
      <w:r w:rsidR="006F6387" w:rsidRPr="00A90E28">
        <w:rPr>
          <w:sz w:val="24"/>
          <w:szCs w:val="24"/>
        </w:rPr>
        <w:t>prevalence</w:t>
      </w:r>
      <w:r w:rsidR="004E6983" w:rsidRPr="00A90E28">
        <w:rPr>
          <w:sz w:val="24"/>
          <w:szCs w:val="24"/>
        </w:rPr>
        <w:t xml:space="preserve"> of used electronics exporters in this list. F</w:t>
      </w:r>
      <w:r w:rsidRPr="00A90E28">
        <w:rPr>
          <w:sz w:val="24"/>
          <w:szCs w:val="24"/>
        </w:rPr>
        <w:t>or each industry, a higher sampling fraction is chosen for firms from the industry association list</w:t>
      </w:r>
      <w:r w:rsidR="008A6DC0" w:rsidRPr="00A90E28">
        <w:rPr>
          <w:sz w:val="24"/>
          <w:szCs w:val="24"/>
        </w:rPr>
        <w:t xml:space="preserve"> than from the Orbis database</w:t>
      </w:r>
      <w:r w:rsidRPr="00A90E28">
        <w:rPr>
          <w:sz w:val="24"/>
          <w:szCs w:val="24"/>
        </w:rPr>
        <w:t>.</w:t>
      </w:r>
      <w:r w:rsidR="008A6DC0" w:rsidRPr="00A90E28">
        <w:rPr>
          <w:sz w:val="24"/>
          <w:szCs w:val="24"/>
        </w:rPr>
        <w:t xml:space="preserve"> These procedures are discussed in m</w:t>
      </w:r>
      <w:r w:rsidR="004E6983" w:rsidRPr="00A90E28">
        <w:rPr>
          <w:sz w:val="24"/>
          <w:szCs w:val="24"/>
        </w:rPr>
        <w:t>ore detail below.</w:t>
      </w:r>
      <w:r w:rsidR="00A57BD0">
        <w:rPr>
          <w:sz w:val="24"/>
          <w:szCs w:val="24"/>
        </w:rPr>
        <w:t xml:space="preserve"> </w:t>
      </w:r>
      <w:r w:rsidR="004E6983" w:rsidRPr="00A90E28">
        <w:rPr>
          <w:sz w:val="24"/>
          <w:szCs w:val="24"/>
        </w:rPr>
        <w:t>As this proc</w:t>
      </w:r>
      <w:r w:rsidR="008A6DC0" w:rsidRPr="00A90E28">
        <w:rPr>
          <w:sz w:val="24"/>
          <w:szCs w:val="24"/>
        </w:rPr>
        <w:t>edure involves two sets of constraints, the procedure is iterate</w:t>
      </w:r>
      <w:r w:rsidR="004E6983" w:rsidRPr="00A90E28">
        <w:rPr>
          <w:sz w:val="24"/>
          <w:szCs w:val="24"/>
        </w:rPr>
        <w:t>d</w:t>
      </w:r>
      <w:r w:rsidR="008A6DC0" w:rsidRPr="00A90E28">
        <w:rPr>
          <w:sz w:val="24"/>
          <w:szCs w:val="24"/>
        </w:rPr>
        <w:t xml:space="preserve"> until all constraints are satisfied and the number of </w:t>
      </w:r>
      <w:r w:rsidR="004E6983" w:rsidRPr="00A90E28">
        <w:rPr>
          <w:sz w:val="24"/>
          <w:szCs w:val="24"/>
        </w:rPr>
        <w:t>firms sampled</w:t>
      </w:r>
      <w:r w:rsidR="008A6DC0" w:rsidRPr="00A90E28">
        <w:rPr>
          <w:sz w:val="24"/>
          <w:szCs w:val="24"/>
        </w:rPr>
        <w:t xml:space="preserve"> from each source (Orbis and the industry association list) sums to the desired total, in this case 5,</w:t>
      </w:r>
      <w:r w:rsidR="00FE417F">
        <w:rPr>
          <w:sz w:val="24"/>
          <w:szCs w:val="24"/>
        </w:rPr>
        <w:t>2</w:t>
      </w:r>
      <w:r w:rsidR="008A6DC0" w:rsidRPr="00A90E28">
        <w:rPr>
          <w:sz w:val="24"/>
          <w:szCs w:val="24"/>
        </w:rPr>
        <w:t>00.</w:t>
      </w:r>
      <w:r w:rsidR="00905A71">
        <w:rPr>
          <w:sz w:val="24"/>
          <w:szCs w:val="24"/>
        </w:rPr>
        <w:t xml:space="preserve"> </w:t>
      </w:r>
      <w:r w:rsidR="0078105A">
        <w:rPr>
          <w:sz w:val="24"/>
          <w:szCs w:val="24"/>
        </w:rPr>
        <w:t>Including</w:t>
      </w:r>
      <w:r w:rsidR="00B64761">
        <w:rPr>
          <w:sz w:val="24"/>
          <w:szCs w:val="24"/>
        </w:rPr>
        <w:t xml:space="preserve"> the Census </w:t>
      </w:r>
      <w:r w:rsidR="00FA0A4A">
        <w:rPr>
          <w:sz w:val="24"/>
          <w:szCs w:val="24"/>
        </w:rPr>
        <w:t xml:space="preserve">exporter </w:t>
      </w:r>
      <w:r w:rsidR="00B64761">
        <w:rPr>
          <w:sz w:val="24"/>
          <w:szCs w:val="24"/>
        </w:rPr>
        <w:t>list, if it becomes available in time, will add an additional 300 firms</w:t>
      </w:r>
      <w:r w:rsidR="0078105A">
        <w:rPr>
          <w:sz w:val="24"/>
          <w:szCs w:val="24"/>
        </w:rPr>
        <w:t>, for a total of 5,500</w:t>
      </w:r>
      <w:r w:rsidR="00B64761">
        <w:rPr>
          <w:sz w:val="24"/>
          <w:szCs w:val="24"/>
        </w:rPr>
        <w:t>.</w:t>
      </w:r>
    </w:p>
    <w:p w:rsidR="00A90E28" w:rsidRPr="00A90E28" w:rsidRDefault="00A90E28" w:rsidP="00A90E28">
      <w:pPr>
        <w:autoSpaceDE/>
        <w:autoSpaceDN/>
        <w:adjustRightInd/>
        <w:contextualSpacing/>
        <w:rPr>
          <w:sz w:val="24"/>
          <w:szCs w:val="24"/>
        </w:rPr>
      </w:pPr>
    </w:p>
    <w:p w:rsidR="00247221" w:rsidRPr="006D2DB7" w:rsidRDefault="00247221" w:rsidP="00604780">
      <w:pPr>
        <w:pStyle w:val="ListParagraph"/>
        <w:numPr>
          <w:ilvl w:val="0"/>
          <w:numId w:val="10"/>
        </w:numPr>
        <w:spacing w:after="0" w:line="240" w:lineRule="auto"/>
        <w:rPr>
          <w:rFonts w:ascii="Arial" w:hAnsi="Arial" w:cs="Arial"/>
          <w:b/>
        </w:rPr>
      </w:pPr>
      <w:r w:rsidRPr="006D2DB7">
        <w:rPr>
          <w:rFonts w:ascii="Arial" w:hAnsi="Arial" w:cs="Arial"/>
          <w:b/>
        </w:rPr>
        <w:br w:type="page"/>
      </w:r>
    </w:p>
    <w:p w:rsidR="00487B02" w:rsidRDefault="00487B02" w:rsidP="00487B02">
      <w:pPr>
        <w:pStyle w:val="ListParagraph"/>
        <w:numPr>
          <w:ilvl w:val="0"/>
          <w:numId w:val="14"/>
        </w:numPr>
        <w:spacing w:after="0" w:line="240" w:lineRule="auto"/>
        <w:rPr>
          <w:rFonts w:ascii="Times New Roman" w:hAnsi="Times New Roman"/>
          <w:sz w:val="24"/>
          <w:szCs w:val="24"/>
        </w:rPr>
      </w:pPr>
      <w:r w:rsidRPr="006D2DB7">
        <w:rPr>
          <w:rFonts w:ascii="Times New Roman" w:hAnsi="Times New Roman"/>
          <w:sz w:val="24"/>
          <w:szCs w:val="24"/>
        </w:rPr>
        <w:lastRenderedPageBreak/>
        <w:t xml:space="preserve">Orbis-based strata: In these strata, the Neyman method is used to allocate the share of the total allocated to each strata, based on weighted standard deviations. Strata with larger variance in employment (i.e. the more heterogeneous strata) will therefore be oversampled. Because of high standard deviations, some strata are sampled at 100%. In two industries, the optimal allocation to the large firm strata substantially exceeded the number of available firms, so separate “very large” strata were introduced. </w:t>
      </w:r>
    </w:p>
    <w:p w:rsidR="00487B02" w:rsidRDefault="00487B02" w:rsidP="00487B02">
      <w:pPr>
        <w:pStyle w:val="ListParagraph"/>
        <w:spacing w:after="0" w:line="240" w:lineRule="auto"/>
        <w:rPr>
          <w:rFonts w:ascii="Times New Roman" w:hAnsi="Times New Roman"/>
          <w:sz w:val="24"/>
          <w:szCs w:val="24"/>
        </w:rPr>
      </w:pPr>
    </w:p>
    <w:p w:rsidR="006D2DB7" w:rsidRDefault="006D2DB7" w:rsidP="00487B02">
      <w:pPr>
        <w:pStyle w:val="ListParagraph"/>
        <w:numPr>
          <w:ilvl w:val="0"/>
          <w:numId w:val="14"/>
        </w:numPr>
        <w:spacing w:after="0" w:line="240" w:lineRule="auto"/>
        <w:rPr>
          <w:rFonts w:ascii="Times New Roman" w:hAnsi="Times New Roman"/>
          <w:sz w:val="24"/>
          <w:szCs w:val="24"/>
        </w:rPr>
      </w:pPr>
      <w:r w:rsidRPr="006D2DB7">
        <w:rPr>
          <w:rFonts w:ascii="Times New Roman" w:hAnsi="Times New Roman"/>
          <w:sz w:val="24"/>
          <w:szCs w:val="24"/>
        </w:rPr>
        <w:t>Industry-association list-based strata: Selection rates in these strata were based on disproportionate sampling procedures for rare populations. Table 2 presents the estimated share of firms that handle used electronics in each industry for both the Orbis and industry association list, and the resulting relative sampling rates as suggested by Christman (2009) and Kalton (2009).</w:t>
      </w:r>
      <w:r w:rsidRPr="006D2DB7">
        <w:rPr>
          <w:rStyle w:val="FootnoteReference"/>
          <w:rFonts w:ascii="Times New Roman" w:hAnsi="Times New Roman"/>
          <w:sz w:val="24"/>
          <w:szCs w:val="24"/>
        </w:rPr>
        <w:footnoteReference w:id="4"/>
      </w:r>
      <w:r w:rsidR="00743AC0">
        <w:rPr>
          <w:rFonts w:ascii="Times New Roman" w:hAnsi="Times New Roman"/>
          <w:sz w:val="24"/>
          <w:szCs w:val="24"/>
        </w:rPr>
        <w:t xml:space="preserve"> As some of these frames </w:t>
      </w:r>
      <w:r w:rsidRPr="006D2DB7">
        <w:rPr>
          <w:rFonts w:ascii="Times New Roman" w:hAnsi="Times New Roman"/>
          <w:sz w:val="24"/>
          <w:szCs w:val="24"/>
        </w:rPr>
        <w:t>have relatively few firms, we will handle nonresponse through post-stratification adjustment</w:t>
      </w:r>
      <w:r w:rsidR="00743AC0">
        <w:rPr>
          <w:rFonts w:ascii="Times New Roman" w:hAnsi="Times New Roman"/>
          <w:sz w:val="24"/>
          <w:szCs w:val="24"/>
        </w:rPr>
        <w:t>, and where possible, we have included at least 20 firms per frame in the sample</w:t>
      </w:r>
      <w:r w:rsidRPr="006D2DB7">
        <w:rPr>
          <w:rFonts w:ascii="Times New Roman" w:hAnsi="Times New Roman"/>
          <w:sz w:val="24"/>
          <w:szCs w:val="24"/>
        </w:rPr>
        <w:t>.</w:t>
      </w:r>
    </w:p>
    <w:p w:rsidR="00CD4D97" w:rsidRPr="00CD4D97" w:rsidRDefault="00CD4D97" w:rsidP="00CD4D97">
      <w:pPr>
        <w:pStyle w:val="ListParagraph"/>
        <w:rPr>
          <w:rFonts w:ascii="Times New Roman" w:hAnsi="Times New Roman"/>
          <w:sz w:val="24"/>
          <w:szCs w:val="24"/>
        </w:rPr>
      </w:pPr>
    </w:p>
    <w:p w:rsidR="00CD4D97" w:rsidRDefault="00CD4D97" w:rsidP="00487B02">
      <w:pPr>
        <w:pStyle w:val="ListParagraph"/>
        <w:numPr>
          <w:ilvl w:val="0"/>
          <w:numId w:val="14"/>
        </w:numPr>
        <w:spacing w:after="0" w:line="240" w:lineRule="auto"/>
        <w:rPr>
          <w:rFonts w:ascii="Times New Roman" w:hAnsi="Times New Roman"/>
          <w:sz w:val="24"/>
          <w:szCs w:val="24"/>
        </w:rPr>
      </w:pPr>
      <w:r>
        <w:rPr>
          <w:rFonts w:ascii="Times New Roman" w:hAnsi="Times New Roman"/>
          <w:sz w:val="24"/>
          <w:szCs w:val="24"/>
        </w:rPr>
        <w:t xml:space="preserve">Census list: </w:t>
      </w:r>
      <w:r w:rsidR="00E3554B">
        <w:rPr>
          <w:rFonts w:ascii="Times New Roman" w:hAnsi="Times New Roman"/>
          <w:sz w:val="24"/>
          <w:szCs w:val="24"/>
        </w:rPr>
        <w:t>Firms from the Census list will be chosen using the same methodology as those on the industry association list, as shown in table 2.</w:t>
      </w:r>
      <w:r w:rsidR="00905A71">
        <w:rPr>
          <w:rFonts w:ascii="Times New Roman" w:hAnsi="Times New Roman"/>
          <w:sz w:val="24"/>
          <w:szCs w:val="24"/>
        </w:rPr>
        <w:t xml:space="preserve"> </w:t>
      </w:r>
      <w:r w:rsidR="00E3554B">
        <w:rPr>
          <w:rFonts w:ascii="Times New Roman" w:hAnsi="Times New Roman"/>
          <w:sz w:val="24"/>
          <w:szCs w:val="24"/>
        </w:rPr>
        <w:t xml:space="preserve">If there are relatively few additional firms on the Census list, </w:t>
      </w:r>
      <w:r w:rsidR="00905A71">
        <w:rPr>
          <w:rFonts w:ascii="Times New Roman" w:hAnsi="Times New Roman"/>
          <w:sz w:val="24"/>
          <w:szCs w:val="24"/>
        </w:rPr>
        <w:t>and</w:t>
      </w:r>
      <w:r w:rsidR="00E3554B">
        <w:rPr>
          <w:rFonts w:ascii="Times New Roman" w:hAnsi="Times New Roman"/>
          <w:sz w:val="24"/>
          <w:szCs w:val="24"/>
        </w:rPr>
        <w:t xml:space="preserve"> these rates </w:t>
      </w:r>
      <w:r w:rsidR="00905A71">
        <w:rPr>
          <w:rFonts w:ascii="Times New Roman" w:hAnsi="Times New Roman"/>
          <w:sz w:val="24"/>
          <w:szCs w:val="24"/>
        </w:rPr>
        <w:t xml:space="preserve">imply </w:t>
      </w:r>
      <w:r w:rsidR="00E3554B">
        <w:rPr>
          <w:rFonts w:ascii="Times New Roman" w:hAnsi="Times New Roman"/>
          <w:sz w:val="24"/>
          <w:szCs w:val="24"/>
        </w:rPr>
        <w:t xml:space="preserve">fewer than 300 firms, </w:t>
      </w:r>
      <w:r w:rsidR="00905A71">
        <w:rPr>
          <w:rFonts w:ascii="Times New Roman" w:hAnsi="Times New Roman"/>
          <w:sz w:val="24"/>
          <w:szCs w:val="24"/>
        </w:rPr>
        <w:t>then</w:t>
      </w:r>
      <w:r w:rsidR="00E3554B">
        <w:rPr>
          <w:rFonts w:ascii="Times New Roman" w:hAnsi="Times New Roman"/>
          <w:sz w:val="24"/>
          <w:szCs w:val="24"/>
        </w:rPr>
        <w:t xml:space="preserve"> the total </w:t>
      </w:r>
      <w:r w:rsidR="00905A71">
        <w:rPr>
          <w:rFonts w:ascii="Times New Roman" w:hAnsi="Times New Roman"/>
          <w:sz w:val="24"/>
          <w:szCs w:val="24"/>
        </w:rPr>
        <w:t>survey sample</w:t>
      </w:r>
      <w:r w:rsidR="00E3554B">
        <w:rPr>
          <w:rFonts w:ascii="Times New Roman" w:hAnsi="Times New Roman"/>
          <w:sz w:val="24"/>
          <w:szCs w:val="24"/>
        </w:rPr>
        <w:t xml:space="preserve"> </w:t>
      </w:r>
      <w:r w:rsidR="00905A71">
        <w:rPr>
          <w:rFonts w:ascii="Times New Roman" w:hAnsi="Times New Roman"/>
          <w:sz w:val="24"/>
          <w:szCs w:val="24"/>
        </w:rPr>
        <w:t xml:space="preserve">size </w:t>
      </w:r>
      <w:r w:rsidR="00E3554B">
        <w:rPr>
          <w:rFonts w:ascii="Times New Roman" w:hAnsi="Times New Roman"/>
          <w:sz w:val="24"/>
          <w:szCs w:val="24"/>
        </w:rPr>
        <w:t xml:space="preserve">will be </w:t>
      </w:r>
      <w:r w:rsidR="00905A71">
        <w:rPr>
          <w:rFonts w:ascii="Times New Roman" w:hAnsi="Times New Roman"/>
          <w:sz w:val="24"/>
          <w:szCs w:val="24"/>
        </w:rPr>
        <w:t>between 5,200 and</w:t>
      </w:r>
      <w:r w:rsidR="00E3554B">
        <w:rPr>
          <w:rFonts w:ascii="Times New Roman" w:hAnsi="Times New Roman"/>
          <w:sz w:val="24"/>
          <w:szCs w:val="24"/>
        </w:rPr>
        <w:t xml:space="preserve"> 5,500. </w:t>
      </w:r>
      <w:r w:rsidR="00905A71">
        <w:rPr>
          <w:rFonts w:ascii="Times New Roman" w:hAnsi="Times New Roman"/>
          <w:sz w:val="24"/>
          <w:szCs w:val="24"/>
        </w:rPr>
        <w:t>With</w:t>
      </w:r>
      <w:r w:rsidR="00E3554B">
        <w:rPr>
          <w:rFonts w:ascii="Times New Roman" w:hAnsi="Times New Roman"/>
          <w:sz w:val="24"/>
          <w:szCs w:val="24"/>
        </w:rPr>
        <w:t xml:space="preserve"> a large number of additional firms in the Census list</w:t>
      </w:r>
      <w:r w:rsidR="00905A71">
        <w:rPr>
          <w:rFonts w:ascii="Times New Roman" w:hAnsi="Times New Roman"/>
          <w:sz w:val="24"/>
          <w:szCs w:val="24"/>
        </w:rPr>
        <w:t>, these sampling rates may</w:t>
      </w:r>
      <w:r w:rsidR="00E3554B">
        <w:rPr>
          <w:rFonts w:ascii="Times New Roman" w:hAnsi="Times New Roman"/>
          <w:sz w:val="24"/>
          <w:szCs w:val="24"/>
        </w:rPr>
        <w:t xml:space="preserve"> imply more than 300 </w:t>
      </w:r>
      <w:r w:rsidR="00905A71">
        <w:rPr>
          <w:rFonts w:ascii="Times New Roman" w:hAnsi="Times New Roman"/>
          <w:sz w:val="24"/>
          <w:szCs w:val="24"/>
        </w:rPr>
        <w:t xml:space="preserve">firms. In this case, the minimum size cutoff of firms will be raised to limit the number of firms from this list in the population, </w:t>
      </w:r>
      <w:r w:rsidR="0078105A">
        <w:rPr>
          <w:rFonts w:ascii="Times New Roman" w:hAnsi="Times New Roman"/>
          <w:sz w:val="24"/>
          <w:szCs w:val="24"/>
        </w:rPr>
        <w:t>keeping</w:t>
      </w:r>
      <w:r w:rsidR="00E3554B">
        <w:rPr>
          <w:rFonts w:ascii="Times New Roman" w:hAnsi="Times New Roman"/>
          <w:sz w:val="24"/>
          <w:szCs w:val="24"/>
        </w:rPr>
        <w:t xml:space="preserve"> the sample size </w:t>
      </w:r>
      <w:r w:rsidR="00905A71">
        <w:rPr>
          <w:rFonts w:ascii="Times New Roman" w:hAnsi="Times New Roman"/>
          <w:sz w:val="24"/>
          <w:szCs w:val="24"/>
        </w:rPr>
        <w:t xml:space="preserve">from this list </w:t>
      </w:r>
      <w:r w:rsidR="00E3554B">
        <w:rPr>
          <w:rFonts w:ascii="Times New Roman" w:hAnsi="Times New Roman"/>
          <w:sz w:val="24"/>
          <w:szCs w:val="24"/>
        </w:rPr>
        <w:t>at 300</w:t>
      </w:r>
      <w:r w:rsidR="00905A71">
        <w:rPr>
          <w:rFonts w:ascii="Times New Roman" w:hAnsi="Times New Roman"/>
          <w:sz w:val="24"/>
          <w:szCs w:val="24"/>
        </w:rPr>
        <w:t xml:space="preserve"> and the total sample size at 5,500</w:t>
      </w:r>
      <w:r w:rsidR="00E3554B">
        <w:rPr>
          <w:rFonts w:ascii="Times New Roman" w:hAnsi="Times New Roman"/>
          <w:sz w:val="24"/>
          <w:szCs w:val="24"/>
        </w:rPr>
        <w:t>.</w:t>
      </w:r>
    </w:p>
    <w:p w:rsidR="006D2DB7" w:rsidRDefault="006D2DB7" w:rsidP="00A90E28">
      <w:pPr>
        <w:rPr>
          <w:sz w:val="24"/>
          <w:szCs w:val="24"/>
        </w:rPr>
      </w:pPr>
    </w:p>
    <w:p w:rsidR="00B64761" w:rsidRPr="00A90E28" w:rsidRDefault="00B64761" w:rsidP="00B64761">
      <w:pPr>
        <w:rPr>
          <w:rFonts w:ascii="Arial" w:hAnsi="Arial" w:cs="Arial"/>
        </w:rPr>
      </w:pPr>
      <w:r w:rsidRPr="00A90E28">
        <w:rPr>
          <w:rFonts w:ascii="Arial" w:hAnsi="Arial" w:cs="Arial"/>
          <w:b/>
        </w:rPr>
        <w:t>Table 2</w:t>
      </w:r>
      <w:r w:rsidRPr="00A90E28">
        <w:rPr>
          <w:rFonts w:ascii="Arial" w:hAnsi="Arial" w:cs="Arial"/>
        </w:rPr>
        <w:t xml:space="preserve">  Disproportionate sampling of firms in the industry association list</w:t>
      </w:r>
    </w:p>
    <w:tbl>
      <w:tblPr>
        <w:tblW w:w="0" w:type="auto"/>
        <w:tblInd w:w="86" w:type="dxa"/>
        <w:tblLayout w:type="fixed"/>
        <w:tblLook w:val="04A0" w:firstRow="1" w:lastRow="0" w:firstColumn="1" w:lastColumn="0" w:noHBand="0" w:noVBand="1"/>
      </w:tblPr>
      <w:tblGrid>
        <w:gridCol w:w="3603"/>
        <w:gridCol w:w="1099"/>
        <w:gridCol w:w="900"/>
        <w:gridCol w:w="720"/>
        <w:gridCol w:w="270"/>
        <w:gridCol w:w="1080"/>
        <w:gridCol w:w="1170"/>
      </w:tblGrid>
      <w:tr w:rsidR="00B64761" w:rsidRPr="00A90E28" w:rsidTr="00B64761">
        <w:trPr>
          <w:trHeight w:val="494"/>
        </w:trPr>
        <w:tc>
          <w:tcPr>
            <w:tcW w:w="3603" w:type="dxa"/>
            <w:vMerge w:val="restart"/>
            <w:tcBorders>
              <w:top w:val="single" w:sz="4" w:space="0" w:color="auto"/>
              <w:left w:val="nil"/>
              <w:bottom w:val="single" w:sz="4" w:space="0" w:color="000000"/>
              <w:right w:val="nil"/>
            </w:tcBorders>
            <w:shd w:val="clear" w:color="auto" w:fill="auto"/>
            <w:vAlign w:val="bottom"/>
            <w:hideMark/>
          </w:tcPr>
          <w:p w:rsidR="00B64761" w:rsidRPr="00A90E28" w:rsidRDefault="00B64761" w:rsidP="00B64761">
            <w:pPr>
              <w:autoSpaceDE/>
              <w:autoSpaceDN/>
              <w:adjustRightInd/>
              <w:rPr>
                <w:rFonts w:ascii="Arial" w:eastAsia="Times New Roman" w:hAnsi="Arial" w:cs="Arial"/>
                <w:color w:val="000000"/>
              </w:rPr>
            </w:pPr>
            <w:r w:rsidRPr="00A90E28">
              <w:rPr>
                <w:rFonts w:ascii="Arial" w:eastAsia="Times New Roman" w:hAnsi="Arial" w:cs="Arial"/>
                <w:color w:val="000000"/>
              </w:rPr>
              <w:t>Sector</w:t>
            </w:r>
          </w:p>
        </w:tc>
        <w:tc>
          <w:tcPr>
            <w:tcW w:w="2719" w:type="dxa"/>
            <w:gridSpan w:val="3"/>
            <w:tcBorders>
              <w:top w:val="single" w:sz="4" w:space="0" w:color="auto"/>
              <w:left w:val="nil"/>
              <w:bottom w:val="nil"/>
              <w:right w:val="nil"/>
            </w:tcBorders>
            <w:shd w:val="clear" w:color="auto" w:fill="auto"/>
            <w:vAlign w:val="bottom"/>
            <w:hideMark/>
          </w:tcPr>
          <w:p w:rsidR="00B64761" w:rsidRPr="00A90E28" w:rsidRDefault="00B64761" w:rsidP="00B64761">
            <w:pPr>
              <w:autoSpaceDE/>
              <w:autoSpaceDN/>
              <w:adjustRightInd/>
              <w:jc w:val="center"/>
              <w:rPr>
                <w:rFonts w:ascii="Arial" w:eastAsia="Times New Roman" w:hAnsi="Arial" w:cs="Arial"/>
                <w:color w:val="000000"/>
              </w:rPr>
            </w:pPr>
            <w:r w:rsidRPr="00A90E28">
              <w:rPr>
                <w:rFonts w:ascii="Arial" w:eastAsia="Times New Roman" w:hAnsi="Arial" w:cs="Arial"/>
                <w:color w:val="000000"/>
              </w:rPr>
              <w:t>Share of industry that handles used electronics</w:t>
            </w:r>
          </w:p>
        </w:tc>
        <w:tc>
          <w:tcPr>
            <w:tcW w:w="270" w:type="dxa"/>
            <w:vMerge w:val="restart"/>
            <w:tcBorders>
              <w:top w:val="single" w:sz="4" w:space="0" w:color="auto"/>
              <w:left w:val="nil"/>
              <w:bottom w:val="single" w:sz="4" w:space="0" w:color="000000"/>
              <w:right w:val="nil"/>
            </w:tcBorders>
            <w:shd w:val="clear" w:color="auto" w:fill="auto"/>
            <w:vAlign w:val="bottom"/>
          </w:tcPr>
          <w:p w:rsidR="00B64761" w:rsidRPr="00A90E28" w:rsidRDefault="00B64761" w:rsidP="00B64761">
            <w:pPr>
              <w:autoSpaceDE/>
              <w:autoSpaceDN/>
              <w:adjustRightInd/>
              <w:jc w:val="right"/>
              <w:rPr>
                <w:rFonts w:ascii="Arial" w:eastAsia="Times New Roman" w:hAnsi="Arial" w:cs="Arial"/>
                <w:color w:val="000000"/>
              </w:rPr>
            </w:pPr>
          </w:p>
        </w:tc>
        <w:tc>
          <w:tcPr>
            <w:tcW w:w="2250" w:type="dxa"/>
            <w:gridSpan w:val="2"/>
            <w:tcBorders>
              <w:top w:val="single" w:sz="4" w:space="0" w:color="auto"/>
              <w:left w:val="nil"/>
              <w:bottom w:val="single" w:sz="4" w:space="0" w:color="000000"/>
              <w:right w:val="nil"/>
            </w:tcBorders>
            <w:shd w:val="clear" w:color="auto" w:fill="auto"/>
            <w:vAlign w:val="bottom"/>
          </w:tcPr>
          <w:p w:rsidR="00B64761" w:rsidRPr="00A90E28" w:rsidRDefault="00B64761" w:rsidP="00B64761">
            <w:pPr>
              <w:autoSpaceDE/>
              <w:autoSpaceDN/>
              <w:adjustRightInd/>
              <w:jc w:val="center"/>
              <w:rPr>
                <w:rFonts w:ascii="Arial" w:eastAsia="Times New Roman" w:hAnsi="Arial" w:cs="Arial"/>
                <w:color w:val="000000"/>
              </w:rPr>
            </w:pPr>
            <w:r w:rsidRPr="00A90E28">
              <w:rPr>
                <w:rFonts w:ascii="Arial" w:eastAsia="Times New Roman" w:hAnsi="Arial" w:cs="Arial"/>
                <w:color w:val="000000"/>
              </w:rPr>
              <w:t>Relative sampling rate</w:t>
            </w:r>
          </w:p>
        </w:tc>
      </w:tr>
      <w:tr w:rsidR="00B64761" w:rsidRPr="00A90E28" w:rsidTr="00B64761">
        <w:trPr>
          <w:trHeight w:val="485"/>
        </w:trPr>
        <w:tc>
          <w:tcPr>
            <w:tcW w:w="3603" w:type="dxa"/>
            <w:vMerge/>
            <w:tcBorders>
              <w:top w:val="single" w:sz="4" w:space="0" w:color="auto"/>
              <w:left w:val="nil"/>
              <w:bottom w:val="single" w:sz="4" w:space="0" w:color="000000"/>
              <w:right w:val="nil"/>
            </w:tcBorders>
            <w:vAlign w:val="center"/>
            <w:hideMark/>
          </w:tcPr>
          <w:p w:rsidR="00B64761" w:rsidRPr="00A90E28" w:rsidRDefault="00B64761" w:rsidP="00B64761">
            <w:pPr>
              <w:autoSpaceDE/>
              <w:autoSpaceDN/>
              <w:adjustRightInd/>
              <w:rPr>
                <w:rFonts w:ascii="Arial" w:eastAsia="Times New Roman" w:hAnsi="Arial" w:cs="Arial"/>
                <w:color w:val="000000"/>
              </w:rPr>
            </w:pPr>
          </w:p>
        </w:tc>
        <w:tc>
          <w:tcPr>
            <w:tcW w:w="1099" w:type="dxa"/>
            <w:tcBorders>
              <w:top w:val="single" w:sz="4" w:space="0" w:color="auto"/>
              <w:left w:val="nil"/>
              <w:bottom w:val="single" w:sz="4" w:space="0" w:color="auto"/>
              <w:right w:val="nil"/>
            </w:tcBorders>
            <w:shd w:val="clear" w:color="auto" w:fill="auto"/>
            <w:vAlign w:val="bottom"/>
            <w:hideMark/>
          </w:tcPr>
          <w:p w:rsidR="00B64761" w:rsidRPr="00A90E28" w:rsidRDefault="00B64761" w:rsidP="00B64761">
            <w:pPr>
              <w:autoSpaceDE/>
              <w:autoSpaceDN/>
              <w:adjustRightInd/>
              <w:jc w:val="right"/>
              <w:rPr>
                <w:rFonts w:ascii="Arial" w:eastAsia="Times New Roman" w:hAnsi="Arial" w:cs="Arial"/>
                <w:color w:val="000000"/>
              </w:rPr>
            </w:pPr>
            <w:r w:rsidRPr="00A90E28">
              <w:rPr>
                <w:rFonts w:ascii="Arial" w:eastAsia="Times New Roman" w:hAnsi="Arial" w:cs="Arial"/>
                <w:color w:val="000000"/>
              </w:rPr>
              <w:t>Indust</w:t>
            </w:r>
            <w:r>
              <w:rPr>
                <w:rFonts w:ascii="Arial" w:eastAsia="Times New Roman" w:hAnsi="Arial" w:cs="Arial"/>
                <w:color w:val="000000"/>
              </w:rPr>
              <w:t>ry list</w:t>
            </w:r>
          </w:p>
        </w:tc>
        <w:tc>
          <w:tcPr>
            <w:tcW w:w="900" w:type="dxa"/>
            <w:tcBorders>
              <w:top w:val="single" w:sz="4" w:space="0" w:color="auto"/>
              <w:left w:val="nil"/>
              <w:bottom w:val="single" w:sz="4" w:space="0" w:color="auto"/>
              <w:right w:val="nil"/>
            </w:tcBorders>
            <w:shd w:val="clear" w:color="auto" w:fill="auto"/>
            <w:vAlign w:val="bottom"/>
          </w:tcPr>
          <w:p w:rsidR="00B64761" w:rsidRPr="00A90E28" w:rsidRDefault="00B64761" w:rsidP="00B64761">
            <w:pPr>
              <w:autoSpaceDE/>
              <w:autoSpaceDN/>
              <w:adjustRightInd/>
              <w:jc w:val="right"/>
              <w:rPr>
                <w:rFonts w:ascii="Arial" w:eastAsia="Times New Roman" w:hAnsi="Arial" w:cs="Arial"/>
                <w:color w:val="000000"/>
              </w:rPr>
            </w:pPr>
            <w:r>
              <w:rPr>
                <w:rFonts w:ascii="Arial" w:eastAsia="Times New Roman" w:hAnsi="Arial" w:cs="Arial"/>
                <w:color w:val="000000"/>
              </w:rPr>
              <w:t>Census list</w:t>
            </w:r>
          </w:p>
        </w:tc>
        <w:tc>
          <w:tcPr>
            <w:tcW w:w="720" w:type="dxa"/>
            <w:tcBorders>
              <w:top w:val="single" w:sz="4" w:space="0" w:color="auto"/>
              <w:left w:val="nil"/>
              <w:bottom w:val="single" w:sz="4" w:space="0" w:color="auto"/>
              <w:right w:val="nil"/>
            </w:tcBorders>
            <w:shd w:val="clear" w:color="auto" w:fill="auto"/>
            <w:vAlign w:val="bottom"/>
            <w:hideMark/>
          </w:tcPr>
          <w:p w:rsidR="00B64761" w:rsidRPr="00A90E28" w:rsidRDefault="00B64761" w:rsidP="00B64761">
            <w:pPr>
              <w:autoSpaceDE/>
              <w:autoSpaceDN/>
              <w:adjustRightInd/>
              <w:jc w:val="right"/>
              <w:rPr>
                <w:rFonts w:ascii="Arial" w:eastAsia="Times New Roman" w:hAnsi="Arial" w:cs="Arial"/>
                <w:color w:val="000000"/>
              </w:rPr>
            </w:pPr>
            <w:r w:rsidRPr="00A90E28">
              <w:rPr>
                <w:rFonts w:ascii="Arial" w:eastAsia="Times New Roman" w:hAnsi="Arial" w:cs="Arial"/>
                <w:color w:val="000000"/>
              </w:rPr>
              <w:t>Orbis</w:t>
            </w:r>
          </w:p>
        </w:tc>
        <w:tc>
          <w:tcPr>
            <w:tcW w:w="270" w:type="dxa"/>
            <w:vMerge/>
            <w:tcBorders>
              <w:top w:val="single" w:sz="4" w:space="0" w:color="auto"/>
              <w:left w:val="nil"/>
              <w:bottom w:val="single" w:sz="4" w:space="0" w:color="000000"/>
              <w:right w:val="nil"/>
            </w:tcBorders>
            <w:vAlign w:val="center"/>
          </w:tcPr>
          <w:p w:rsidR="00B64761" w:rsidRPr="00A90E28" w:rsidRDefault="00B64761" w:rsidP="00B64761">
            <w:pPr>
              <w:autoSpaceDE/>
              <w:autoSpaceDN/>
              <w:adjustRightInd/>
              <w:rPr>
                <w:rFonts w:ascii="Arial" w:eastAsia="Times New Roman" w:hAnsi="Arial" w:cs="Arial"/>
                <w:color w:val="000000"/>
              </w:rPr>
            </w:pPr>
          </w:p>
        </w:tc>
        <w:tc>
          <w:tcPr>
            <w:tcW w:w="1080" w:type="dxa"/>
            <w:tcBorders>
              <w:top w:val="single" w:sz="4" w:space="0" w:color="auto"/>
              <w:left w:val="nil"/>
              <w:bottom w:val="single" w:sz="4" w:space="0" w:color="000000"/>
              <w:right w:val="nil"/>
            </w:tcBorders>
            <w:shd w:val="clear" w:color="auto" w:fill="auto"/>
            <w:vAlign w:val="center"/>
          </w:tcPr>
          <w:p w:rsidR="00B64761" w:rsidRPr="00A90E28" w:rsidRDefault="00B64761" w:rsidP="00B64761">
            <w:pPr>
              <w:autoSpaceDE/>
              <w:autoSpaceDN/>
              <w:adjustRightInd/>
              <w:jc w:val="right"/>
              <w:rPr>
                <w:rFonts w:ascii="Arial" w:eastAsia="Times New Roman" w:hAnsi="Arial" w:cs="Arial"/>
                <w:color w:val="000000"/>
              </w:rPr>
            </w:pPr>
            <w:r>
              <w:rPr>
                <w:rFonts w:ascii="Arial" w:eastAsia="Times New Roman" w:hAnsi="Arial" w:cs="Arial"/>
                <w:color w:val="000000"/>
              </w:rPr>
              <w:t>Industry list/Orbis</w:t>
            </w:r>
          </w:p>
        </w:tc>
        <w:tc>
          <w:tcPr>
            <w:tcW w:w="1170" w:type="dxa"/>
            <w:tcBorders>
              <w:top w:val="single" w:sz="4" w:space="0" w:color="auto"/>
              <w:left w:val="nil"/>
              <w:bottom w:val="single" w:sz="4" w:space="0" w:color="000000"/>
              <w:right w:val="nil"/>
            </w:tcBorders>
            <w:shd w:val="clear" w:color="auto" w:fill="auto"/>
            <w:vAlign w:val="center"/>
          </w:tcPr>
          <w:p w:rsidR="00B64761" w:rsidRPr="00A90E28" w:rsidRDefault="00B64761" w:rsidP="00B64761">
            <w:pPr>
              <w:autoSpaceDE/>
              <w:autoSpaceDN/>
              <w:adjustRightInd/>
              <w:jc w:val="right"/>
              <w:rPr>
                <w:rFonts w:ascii="Arial" w:eastAsia="Times New Roman" w:hAnsi="Arial" w:cs="Arial"/>
                <w:color w:val="000000"/>
              </w:rPr>
            </w:pPr>
            <w:r>
              <w:rPr>
                <w:rFonts w:ascii="Arial" w:eastAsia="Times New Roman" w:hAnsi="Arial" w:cs="Arial"/>
                <w:color w:val="000000"/>
              </w:rPr>
              <w:t>Census list/Orbis</w:t>
            </w:r>
          </w:p>
        </w:tc>
      </w:tr>
      <w:tr w:rsidR="00B64761" w:rsidRPr="00A90E28" w:rsidTr="00B64761">
        <w:trPr>
          <w:trHeight w:val="300"/>
        </w:trPr>
        <w:tc>
          <w:tcPr>
            <w:tcW w:w="3603" w:type="dxa"/>
            <w:tcBorders>
              <w:top w:val="nil"/>
              <w:left w:val="nil"/>
              <w:bottom w:val="nil"/>
              <w:right w:val="nil"/>
            </w:tcBorders>
            <w:shd w:val="clear" w:color="auto" w:fill="auto"/>
            <w:noWrap/>
            <w:vAlign w:val="bottom"/>
            <w:hideMark/>
          </w:tcPr>
          <w:p w:rsidR="00B64761" w:rsidRPr="00A90E28" w:rsidRDefault="00B64761" w:rsidP="00B64761">
            <w:pPr>
              <w:autoSpaceDE/>
              <w:autoSpaceDN/>
              <w:adjustRightInd/>
              <w:rPr>
                <w:rFonts w:ascii="Arial" w:eastAsia="Times New Roman" w:hAnsi="Arial" w:cs="Arial"/>
                <w:color w:val="000000"/>
              </w:rPr>
            </w:pPr>
            <w:r w:rsidRPr="00A90E28">
              <w:rPr>
                <w:rFonts w:ascii="Arial" w:eastAsia="Times New Roman" w:hAnsi="Arial" w:cs="Arial"/>
                <w:color w:val="000000"/>
              </w:rPr>
              <w:t>Waste management</w:t>
            </w:r>
          </w:p>
        </w:tc>
        <w:tc>
          <w:tcPr>
            <w:tcW w:w="1099" w:type="dxa"/>
            <w:tcBorders>
              <w:top w:val="nil"/>
              <w:left w:val="nil"/>
              <w:bottom w:val="nil"/>
              <w:right w:val="nil"/>
            </w:tcBorders>
            <w:shd w:val="clear" w:color="auto" w:fill="auto"/>
            <w:noWrap/>
            <w:vAlign w:val="bottom"/>
            <w:hideMark/>
          </w:tcPr>
          <w:p w:rsidR="00B64761" w:rsidRPr="00A90E28" w:rsidRDefault="00B64761" w:rsidP="00B64761">
            <w:pPr>
              <w:autoSpaceDE/>
              <w:autoSpaceDN/>
              <w:adjustRightInd/>
              <w:jc w:val="right"/>
              <w:rPr>
                <w:rFonts w:ascii="Arial" w:eastAsia="Times New Roman" w:hAnsi="Arial" w:cs="Arial"/>
                <w:color w:val="000000"/>
              </w:rPr>
            </w:pPr>
            <w:r>
              <w:rPr>
                <w:rFonts w:ascii="Arial" w:eastAsia="Times New Roman" w:hAnsi="Arial" w:cs="Arial"/>
                <w:color w:val="000000"/>
              </w:rPr>
              <w:t>90</w:t>
            </w:r>
          </w:p>
        </w:tc>
        <w:tc>
          <w:tcPr>
            <w:tcW w:w="900" w:type="dxa"/>
            <w:tcBorders>
              <w:top w:val="nil"/>
              <w:left w:val="nil"/>
              <w:bottom w:val="nil"/>
              <w:right w:val="nil"/>
            </w:tcBorders>
            <w:shd w:val="clear" w:color="auto" w:fill="auto"/>
            <w:vAlign w:val="bottom"/>
          </w:tcPr>
          <w:p w:rsidR="00B64761" w:rsidRPr="00A90E28" w:rsidRDefault="00B64761" w:rsidP="00B64761">
            <w:pPr>
              <w:autoSpaceDE/>
              <w:autoSpaceDN/>
              <w:adjustRightInd/>
              <w:jc w:val="right"/>
              <w:rPr>
                <w:rFonts w:ascii="Arial" w:eastAsia="Times New Roman" w:hAnsi="Arial" w:cs="Arial"/>
                <w:color w:val="000000"/>
              </w:rPr>
            </w:pPr>
            <w:r>
              <w:rPr>
                <w:rFonts w:ascii="Arial" w:eastAsia="Times New Roman" w:hAnsi="Arial" w:cs="Arial"/>
                <w:color w:val="000000"/>
              </w:rPr>
              <w:t>—</w:t>
            </w:r>
            <w:r w:rsidRPr="00CD4D97">
              <w:rPr>
                <w:rFonts w:ascii="Arial" w:eastAsia="Times New Roman" w:hAnsi="Arial" w:cs="Arial"/>
                <w:color w:val="000000"/>
                <w:vertAlign w:val="superscript"/>
              </w:rPr>
              <w:t>a</w:t>
            </w:r>
          </w:p>
        </w:tc>
        <w:tc>
          <w:tcPr>
            <w:tcW w:w="720" w:type="dxa"/>
            <w:tcBorders>
              <w:top w:val="nil"/>
              <w:left w:val="nil"/>
              <w:bottom w:val="nil"/>
              <w:right w:val="nil"/>
            </w:tcBorders>
            <w:shd w:val="clear" w:color="auto" w:fill="auto"/>
            <w:noWrap/>
            <w:vAlign w:val="bottom"/>
            <w:hideMark/>
          </w:tcPr>
          <w:p w:rsidR="00B64761" w:rsidRPr="00A90E28" w:rsidRDefault="00B64761" w:rsidP="00B64761">
            <w:pPr>
              <w:autoSpaceDE/>
              <w:autoSpaceDN/>
              <w:adjustRightInd/>
              <w:jc w:val="right"/>
              <w:rPr>
                <w:rFonts w:ascii="Arial" w:eastAsia="Times New Roman" w:hAnsi="Arial" w:cs="Arial"/>
                <w:color w:val="000000"/>
              </w:rPr>
            </w:pPr>
            <w:r>
              <w:rPr>
                <w:rFonts w:ascii="Arial" w:eastAsia="Times New Roman" w:hAnsi="Arial" w:cs="Arial"/>
                <w:color w:val="000000"/>
              </w:rPr>
              <w:t>10</w:t>
            </w:r>
          </w:p>
        </w:tc>
        <w:tc>
          <w:tcPr>
            <w:tcW w:w="270" w:type="dxa"/>
            <w:tcBorders>
              <w:top w:val="nil"/>
              <w:left w:val="nil"/>
              <w:bottom w:val="nil"/>
              <w:right w:val="nil"/>
            </w:tcBorders>
            <w:shd w:val="clear" w:color="auto" w:fill="auto"/>
            <w:noWrap/>
            <w:vAlign w:val="bottom"/>
          </w:tcPr>
          <w:p w:rsidR="00B64761" w:rsidRPr="00A90E28" w:rsidRDefault="00B64761" w:rsidP="00B64761">
            <w:pPr>
              <w:autoSpaceDE/>
              <w:autoSpaceDN/>
              <w:adjustRightInd/>
              <w:jc w:val="right"/>
              <w:rPr>
                <w:rFonts w:ascii="Arial" w:eastAsia="Times New Roman" w:hAnsi="Arial" w:cs="Arial"/>
                <w:color w:val="000000"/>
              </w:rPr>
            </w:pPr>
          </w:p>
        </w:tc>
        <w:tc>
          <w:tcPr>
            <w:tcW w:w="1080" w:type="dxa"/>
            <w:tcBorders>
              <w:top w:val="nil"/>
              <w:left w:val="nil"/>
              <w:bottom w:val="nil"/>
              <w:right w:val="nil"/>
            </w:tcBorders>
            <w:shd w:val="clear" w:color="auto" w:fill="auto"/>
            <w:vAlign w:val="bottom"/>
          </w:tcPr>
          <w:p w:rsidR="00B64761" w:rsidRPr="00A90E28" w:rsidRDefault="00B64761" w:rsidP="00B64761">
            <w:pPr>
              <w:autoSpaceDE/>
              <w:autoSpaceDN/>
              <w:adjustRightInd/>
              <w:jc w:val="right"/>
              <w:rPr>
                <w:rFonts w:ascii="Arial" w:eastAsia="Times New Roman" w:hAnsi="Arial" w:cs="Arial"/>
                <w:color w:val="000000"/>
              </w:rPr>
            </w:pPr>
            <w:r>
              <w:rPr>
                <w:rFonts w:ascii="Arial" w:eastAsia="Times New Roman" w:hAnsi="Arial" w:cs="Arial"/>
                <w:color w:val="000000"/>
              </w:rPr>
              <w:t>3.0</w:t>
            </w:r>
          </w:p>
        </w:tc>
        <w:tc>
          <w:tcPr>
            <w:tcW w:w="1170" w:type="dxa"/>
            <w:tcBorders>
              <w:top w:val="nil"/>
              <w:left w:val="nil"/>
              <w:bottom w:val="nil"/>
              <w:right w:val="nil"/>
            </w:tcBorders>
            <w:shd w:val="clear" w:color="auto" w:fill="auto"/>
            <w:vAlign w:val="bottom"/>
          </w:tcPr>
          <w:p w:rsidR="00B64761" w:rsidRPr="00A90E28" w:rsidRDefault="00B64761" w:rsidP="00B64761">
            <w:pPr>
              <w:autoSpaceDE/>
              <w:autoSpaceDN/>
              <w:adjustRightInd/>
              <w:jc w:val="right"/>
              <w:rPr>
                <w:rFonts w:ascii="Arial" w:eastAsia="Times New Roman" w:hAnsi="Arial" w:cs="Arial"/>
                <w:color w:val="000000"/>
              </w:rPr>
            </w:pPr>
            <w:r>
              <w:rPr>
                <w:rFonts w:ascii="Arial" w:eastAsia="Times New Roman" w:hAnsi="Arial" w:cs="Arial"/>
                <w:color w:val="000000"/>
              </w:rPr>
              <w:t>—</w:t>
            </w:r>
            <w:r w:rsidRPr="00CD4D97">
              <w:rPr>
                <w:rFonts w:ascii="Arial" w:eastAsia="Times New Roman" w:hAnsi="Arial" w:cs="Arial"/>
                <w:color w:val="000000"/>
                <w:vertAlign w:val="superscript"/>
              </w:rPr>
              <w:t>a</w:t>
            </w:r>
          </w:p>
        </w:tc>
      </w:tr>
      <w:tr w:rsidR="00B64761" w:rsidRPr="00A90E28" w:rsidTr="00B64761">
        <w:trPr>
          <w:trHeight w:val="300"/>
        </w:trPr>
        <w:tc>
          <w:tcPr>
            <w:tcW w:w="3603" w:type="dxa"/>
            <w:tcBorders>
              <w:top w:val="nil"/>
              <w:left w:val="nil"/>
              <w:bottom w:val="nil"/>
              <w:right w:val="nil"/>
            </w:tcBorders>
            <w:shd w:val="clear" w:color="auto" w:fill="auto"/>
            <w:noWrap/>
            <w:vAlign w:val="bottom"/>
            <w:hideMark/>
          </w:tcPr>
          <w:p w:rsidR="00B64761" w:rsidRPr="00A90E28" w:rsidRDefault="00B64761" w:rsidP="00B64761">
            <w:pPr>
              <w:autoSpaceDE/>
              <w:autoSpaceDN/>
              <w:adjustRightInd/>
              <w:rPr>
                <w:rFonts w:ascii="Arial" w:eastAsia="Times New Roman" w:hAnsi="Arial" w:cs="Arial"/>
                <w:color w:val="000000"/>
              </w:rPr>
            </w:pPr>
            <w:r w:rsidRPr="00A90E28">
              <w:rPr>
                <w:rFonts w:ascii="Arial" w:eastAsia="Times New Roman" w:hAnsi="Arial" w:cs="Arial"/>
                <w:color w:val="000000"/>
              </w:rPr>
              <w:t>Smelting of nonferrous metals</w:t>
            </w:r>
          </w:p>
        </w:tc>
        <w:tc>
          <w:tcPr>
            <w:tcW w:w="1099" w:type="dxa"/>
            <w:tcBorders>
              <w:top w:val="nil"/>
              <w:left w:val="nil"/>
              <w:bottom w:val="nil"/>
              <w:right w:val="nil"/>
            </w:tcBorders>
            <w:shd w:val="clear" w:color="auto" w:fill="auto"/>
            <w:noWrap/>
            <w:vAlign w:val="bottom"/>
            <w:hideMark/>
          </w:tcPr>
          <w:p w:rsidR="00B64761" w:rsidRPr="00A90E28" w:rsidRDefault="00B64761" w:rsidP="00B64761">
            <w:pPr>
              <w:autoSpaceDE/>
              <w:autoSpaceDN/>
              <w:adjustRightInd/>
              <w:jc w:val="right"/>
              <w:rPr>
                <w:rFonts w:ascii="Arial" w:eastAsia="Times New Roman" w:hAnsi="Arial" w:cs="Arial"/>
                <w:color w:val="000000"/>
              </w:rPr>
            </w:pPr>
            <w:r>
              <w:rPr>
                <w:rFonts w:ascii="Arial" w:eastAsia="Times New Roman" w:hAnsi="Arial" w:cs="Arial"/>
                <w:color w:val="000000"/>
              </w:rPr>
              <w:t>90</w:t>
            </w:r>
          </w:p>
        </w:tc>
        <w:tc>
          <w:tcPr>
            <w:tcW w:w="900" w:type="dxa"/>
            <w:tcBorders>
              <w:top w:val="nil"/>
              <w:left w:val="nil"/>
              <w:bottom w:val="nil"/>
              <w:right w:val="nil"/>
            </w:tcBorders>
            <w:shd w:val="clear" w:color="auto" w:fill="auto"/>
            <w:vAlign w:val="bottom"/>
          </w:tcPr>
          <w:p w:rsidR="00B64761" w:rsidRPr="00A90E28" w:rsidRDefault="00B64761" w:rsidP="00B64761">
            <w:pPr>
              <w:autoSpaceDE/>
              <w:autoSpaceDN/>
              <w:adjustRightInd/>
              <w:jc w:val="right"/>
              <w:rPr>
                <w:rFonts w:ascii="Arial" w:eastAsia="Times New Roman" w:hAnsi="Arial" w:cs="Arial"/>
                <w:color w:val="000000"/>
              </w:rPr>
            </w:pPr>
            <w:r>
              <w:rPr>
                <w:rFonts w:ascii="Arial" w:eastAsia="Times New Roman" w:hAnsi="Arial" w:cs="Arial"/>
                <w:color w:val="000000"/>
              </w:rPr>
              <w:t>—</w:t>
            </w:r>
            <w:r w:rsidRPr="00CD4D97">
              <w:rPr>
                <w:rFonts w:ascii="Arial" w:eastAsia="Times New Roman" w:hAnsi="Arial" w:cs="Arial"/>
                <w:color w:val="000000"/>
                <w:vertAlign w:val="superscript"/>
              </w:rPr>
              <w:t>a</w:t>
            </w:r>
          </w:p>
        </w:tc>
        <w:tc>
          <w:tcPr>
            <w:tcW w:w="720" w:type="dxa"/>
            <w:tcBorders>
              <w:top w:val="nil"/>
              <w:left w:val="nil"/>
              <w:bottom w:val="nil"/>
              <w:right w:val="nil"/>
            </w:tcBorders>
            <w:shd w:val="clear" w:color="auto" w:fill="auto"/>
            <w:noWrap/>
            <w:vAlign w:val="bottom"/>
            <w:hideMark/>
          </w:tcPr>
          <w:p w:rsidR="00B64761" w:rsidRPr="00A90E28" w:rsidRDefault="00B64761" w:rsidP="00B64761">
            <w:pPr>
              <w:autoSpaceDE/>
              <w:autoSpaceDN/>
              <w:adjustRightInd/>
              <w:jc w:val="right"/>
              <w:rPr>
                <w:rFonts w:ascii="Arial" w:eastAsia="Times New Roman" w:hAnsi="Arial" w:cs="Arial"/>
                <w:color w:val="000000"/>
              </w:rPr>
            </w:pPr>
            <w:r>
              <w:rPr>
                <w:rFonts w:ascii="Arial" w:eastAsia="Times New Roman" w:hAnsi="Arial" w:cs="Arial"/>
                <w:color w:val="000000"/>
              </w:rPr>
              <w:t>10</w:t>
            </w:r>
          </w:p>
        </w:tc>
        <w:tc>
          <w:tcPr>
            <w:tcW w:w="270" w:type="dxa"/>
            <w:tcBorders>
              <w:top w:val="nil"/>
              <w:left w:val="nil"/>
              <w:bottom w:val="nil"/>
              <w:right w:val="nil"/>
            </w:tcBorders>
            <w:shd w:val="clear" w:color="auto" w:fill="auto"/>
            <w:noWrap/>
            <w:vAlign w:val="bottom"/>
          </w:tcPr>
          <w:p w:rsidR="00B64761" w:rsidRPr="00A90E28" w:rsidRDefault="00B64761" w:rsidP="00B64761">
            <w:pPr>
              <w:autoSpaceDE/>
              <w:autoSpaceDN/>
              <w:adjustRightInd/>
              <w:jc w:val="right"/>
              <w:rPr>
                <w:rFonts w:ascii="Arial" w:eastAsia="Times New Roman" w:hAnsi="Arial" w:cs="Arial"/>
                <w:color w:val="000000"/>
              </w:rPr>
            </w:pPr>
          </w:p>
        </w:tc>
        <w:tc>
          <w:tcPr>
            <w:tcW w:w="1080" w:type="dxa"/>
            <w:tcBorders>
              <w:top w:val="nil"/>
              <w:left w:val="nil"/>
              <w:bottom w:val="nil"/>
              <w:right w:val="nil"/>
            </w:tcBorders>
            <w:shd w:val="clear" w:color="auto" w:fill="auto"/>
            <w:vAlign w:val="bottom"/>
          </w:tcPr>
          <w:p w:rsidR="00B64761" w:rsidRPr="00A90E28" w:rsidRDefault="00B64761" w:rsidP="00B64761">
            <w:pPr>
              <w:autoSpaceDE/>
              <w:autoSpaceDN/>
              <w:adjustRightInd/>
              <w:jc w:val="right"/>
              <w:rPr>
                <w:rFonts w:ascii="Arial" w:eastAsia="Times New Roman" w:hAnsi="Arial" w:cs="Arial"/>
                <w:color w:val="000000"/>
              </w:rPr>
            </w:pPr>
            <w:r>
              <w:rPr>
                <w:rFonts w:ascii="Arial" w:eastAsia="Times New Roman" w:hAnsi="Arial" w:cs="Arial"/>
                <w:color w:val="000000"/>
              </w:rPr>
              <w:t>3.0</w:t>
            </w:r>
          </w:p>
        </w:tc>
        <w:tc>
          <w:tcPr>
            <w:tcW w:w="1170" w:type="dxa"/>
            <w:tcBorders>
              <w:top w:val="nil"/>
              <w:left w:val="nil"/>
              <w:bottom w:val="nil"/>
              <w:right w:val="nil"/>
            </w:tcBorders>
            <w:shd w:val="clear" w:color="auto" w:fill="auto"/>
            <w:vAlign w:val="bottom"/>
          </w:tcPr>
          <w:p w:rsidR="00B64761" w:rsidRPr="00A90E28" w:rsidRDefault="00B64761" w:rsidP="00B64761">
            <w:pPr>
              <w:autoSpaceDE/>
              <w:autoSpaceDN/>
              <w:adjustRightInd/>
              <w:jc w:val="right"/>
              <w:rPr>
                <w:rFonts w:ascii="Arial" w:eastAsia="Times New Roman" w:hAnsi="Arial" w:cs="Arial"/>
                <w:color w:val="000000"/>
              </w:rPr>
            </w:pPr>
            <w:r>
              <w:rPr>
                <w:rFonts w:ascii="Arial" w:eastAsia="Times New Roman" w:hAnsi="Arial" w:cs="Arial"/>
                <w:color w:val="000000"/>
              </w:rPr>
              <w:t>—</w:t>
            </w:r>
            <w:r w:rsidRPr="00CD4D97">
              <w:rPr>
                <w:rFonts w:ascii="Arial" w:eastAsia="Times New Roman" w:hAnsi="Arial" w:cs="Arial"/>
                <w:color w:val="000000"/>
                <w:vertAlign w:val="superscript"/>
              </w:rPr>
              <w:t>a</w:t>
            </w:r>
          </w:p>
        </w:tc>
      </w:tr>
      <w:tr w:rsidR="00B64761" w:rsidRPr="00A90E28" w:rsidTr="00B64761">
        <w:trPr>
          <w:trHeight w:val="300"/>
        </w:trPr>
        <w:tc>
          <w:tcPr>
            <w:tcW w:w="3603" w:type="dxa"/>
            <w:tcBorders>
              <w:top w:val="nil"/>
              <w:left w:val="nil"/>
              <w:bottom w:val="nil"/>
              <w:right w:val="nil"/>
            </w:tcBorders>
            <w:shd w:val="clear" w:color="auto" w:fill="auto"/>
            <w:noWrap/>
            <w:vAlign w:val="bottom"/>
            <w:hideMark/>
          </w:tcPr>
          <w:p w:rsidR="00B64761" w:rsidRPr="00A90E28" w:rsidRDefault="00B64761" w:rsidP="00B64761">
            <w:pPr>
              <w:autoSpaceDE/>
              <w:autoSpaceDN/>
              <w:adjustRightInd/>
              <w:rPr>
                <w:rFonts w:ascii="Arial" w:eastAsia="Times New Roman" w:hAnsi="Arial" w:cs="Arial"/>
                <w:color w:val="000000"/>
              </w:rPr>
            </w:pPr>
            <w:r w:rsidRPr="00A90E28">
              <w:rPr>
                <w:rFonts w:ascii="Arial" w:eastAsia="Times New Roman" w:hAnsi="Arial" w:cs="Arial"/>
                <w:color w:val="000000"/>
              </w:rPr>
              <w:t>Electronics manufacturing</w:t>
            </w:r>
          </w:p>
        </w:tc>
        <w:tc>
          <w:tcPr>
            <w:tcW w:w="1099" w:type="dxa"/>
            <w:tcBorders>
              <w:top w:val="nil"/>
              <w:left w:val="nil"/>
              <w:bottom w:val="nil"/>
              <w:right w:val="nil"/>
            </w:tcBorders>
            <w:shd w:val="clear" w:color="auto" w:fill="auto"/>
            <w:noWrap/>
            <w:vAlign w:val="bottom"/>
            <w:hideMark/>
          </w:tcPr>
          <w:p w:rsidR="00B64761" w:rsidRPr="00A90E28" w:rsidRDefault="00B64761" w:rsidP="00B64761">
            <w:pPr>
              <w:autoSpaceDE/>
              <w:autoSpaceDN/>
              <w:adjustRightInd/>
              <w:jc w:val="right"/>
              <w:rPr>
                <w:rFonts w:ascii="Arial" w:eastAsia="Times New Roman" w:hAnsi="Arial" w:cs="Arial"/>
                <w:color w:val="000000"/>
              </w:rPr>
            </w:pPr>
            <w:r>
              <w:rPr>
                <w:rFonts w:ascii="Arial" w:eastAsia="Times New Roman" w:hAnsi="Arial" w:cs="Arial"/>
                <w:color w:val="000000"/>
              </w:rPr>
              <w:t>90</w:t>
            </w:r>
          </w:p>
        </w:tc>
        <w:tc>
          <w:tcPr>
            <w:tcW w:w="900" w:type="dxa"/>
            <w:tcBorders>
              <w:top w:val="nil"/>
              <w:left w:val="nil"/>
              <w:bottom w:val="nil"/>
              <w:right w:val="nil"/>
            </w:tcBorders>
            <w:shd w:val="clear" w:color="auto" w:fill="auto"/>
            <w:vAlign w:val="bottom"/>
          </w:tcPr>
          <w:p w:rsidR="00B64761" w:rsidRPr="00A90E28" w:rsidRDefault="00B64761" w:rsidP="00B64761">
            <w:pPr>
              <w:autoSpaceDE/>
              <w:autoSpaceDN/>
              <w:adjustRightInd/>
              <w:jc w:val="right"/>
              <w:rPr>
                <w:rFonts w:ascii="Arial" w:eastAsia="Times New Roman" w:hAnsi="Arial" w:cs="Arial"/>
                <w:color w:val="000000"/>
              </w:rPr>
            </w:pPr>
            <w:r>
              <w:rPr>
                <w:rFonts w:ascii="Arial" w:eastAsia="Times New Roman" w:hAnsi="Arial" w:cs="Arial"/>
                <w:color w:val="000000"/>
              </w:rPr>
              <w:t>100</w:t>
            </w:r>
          </w:p>
        </w:tc>
        <w:tc>
          <w:tcPr>
            <w:tcW w:w="720" w:type="dxa"/>
            <w:tcBorders>
              <w:top w:val="nil"/>
              <w:left w:val="nil"/>
              <w:bottom w:val="nil"/>
              <w:right w:val="nil"/>
            </w:tcBorders>
            <w:shd w:val="clear" w:color="auto" w:fill="auto"/>
            <w:noWrap/>
            <w:vAlign w:val="bottom"/>
            <w:hideMark/>
          </w:tcPr>
          <w:p w:rsidR="00B64761" w:rsidRPr="00A90E28" w:rsidRDefault="00B64761" w:rsidP="00B64761">
            <w:pPr>
              <w:autoSpaceDE/>
              <w:autoSpaceDN/>
              <w:adjustRightInd/>
              <w:jc w:val="right"/>
              <w:rPr>
                <w:rFonts w:ascii="Arial" w:eastAsia="Times New Roman" w:hAnsi="Arial" w:cs="Arial"/>
                <w:color w:val="000000"/>
              </w:rPr>
            </w:pPr>
            <w:r>
              <w:rPr>
                <w:rFonts w:ascii="Arial" w:eastAsia="Times New Roman" w:hAnsi="Arial" w:cs="Arial"/>
                <w:color w:val="000000"/>
              </w:rPr>
              <w:t>10</w:t>
            </w:r>
          </w:p>
        </w:tc>
        <w:tc>
          <w:tcPr>
            <w:tcW w:w="270" w:type="dxa"/>
            <w:tcBorders>
              <w:top w:val="nil"/>
              <w:left w:val="nil"/>
              <w:bottom w:val="nil"/>
              <w:right w:val="nil"/>
            </w:tcBorders>
            <w:shd w:val="clear" w:color="auto" w:fill="auto"/>
            <w:noWrap/>
            <w:vAlign w:val="bottom"/>
          </w:tcPr>
          <w:p w:rsidR="00B64761" w:rsidRPr="00A90E28" w:rsidRDefault="00B64761" w:rsidP="00B64761">
            <w:pPr>
              <w:autoSpaceDE/>
              <w:autoSpaceDN/>
              <w:adjustRightInd/>
              <w:jc w:val="right"/>
              <w:rPr>
                <w:rFonts w:ascii="Arial" w:eastAsia="Times New Roman" w:hAnsi="Arial" w:cs="Arial"/>
                <w:color w:val="000000"/>
              </w:rPr>
            </w:pPr>
          </w:p>
        </w:tc>
        <w:tc>
          <w:tcPr>
            <w:tcW w:w="1080" w:type="dxa"/>
            <w:tcBorders>
              <w:top w:val="nil"/>
              <w:left w:val="nil"/>
              <w:bottom w:val="nil"/>
              <w:right w:val="nil"/>
            </w:tcBorders>
            <w:shd w:val="clear" w:color="auto" w:fill="auto"/>
            <w:vAlign w:val="bottom"/>
          </w:tcPr>
          <w:p w:rsidR="00B64761" w:rsidRPr="00A90E28" w:rsidRDefault="00B64761" w:rsidP="00B64761">
            <w:pPr>
              <w:autoSpaceDE/>
              <w:autoSpaceDN/>
              <w:adjustRightInd/>
              <w:jc w:val="right"/>
              <w:rPr>
                <w:rFonts w:ascii="Arial" w:eastAsia="Times New Roman" w:hAnsi="Arial" w:cs="Arial"/>
                <w:color w:val="000000"/>
              </w:rPr>
            </w:pPr>
            <w:r>
              <w:rPr>
                <w:rFonts w:ascii="Arial" w:eastAsia="Times New Roman" w:hAnsi="Arial" w:cs="Arial"/>
                <w:color w:val="000000"/>
              </w:rPr>
              <w:t>3.0</w:t>
            </w:r>
          </w:p>
        </w:tc>
        <w:tc>
          <w:tcPr>
            <w:tcW w:w="1170" w:type="dxa"/>
            <w:tcBorders>
              <w:top w:val="nil"/>
              <w:left w:val="nil"/>
              <w:bottom w:val="nil"/>
              <w:right w:val="nil"/>
            </w:tcBorders>
            <w:shd w:val="clear" w:color="auto" w:fill="auto"/>
            <w:vAlign w:val="bottom"/>
          </w:tcPr>
          <w:p w:rsidR="00B64761" w:rsidRPr="00A90E28" w:rsidRDefault="00B64761" w:rsidP="00B64761">
            <w:pPr>
              <w:autoSpaceDE/>
              <w:autoSpaceDN/>
              <w:adjustRightInd/>
              <w:jc w:val="right"/>
              <w:rPr>
                <w:rFonts w:ascii="Arial" w:eastAsia="Times New Roman" w:hAnsi="Arial" w:cs="Arial"/>
                <w:color w:val="000000"/>
              </w:rPr>
            </w:pPr>
            <w:r>
              <w:rPr>
                <w:rFonts w:ascii="Arial" w:eastAsia="Times New Roman" w:hAnsi="Arial" w:cs="Arial"/>
                <w:color w:val="000000"/>
              </w:rPr>
              <w:t>3.2</w:t>
            </w:r>
          </w:p>
        </w:tc>
      </w:tr>
      <w:tr w:rsidR="00B64761" w:rsidRPr="00A90E28" w:rsidTr="00B64761">
        <w:trPr>
          <w:trHeight w:val="300"/>
        </w:trPr>
        <w:tc>
          <w:tcPr>
            <w:tcW w:w="3603" w:type="dxa"/>
            <w:tcBorders>
              <w:top w:val="nil"/>
              <w:left w:val="nil"/>
              <w:bottom w:val="nil"/>
              <w:right w:val="nil"/>
            </w:tcBorders>
            <w:shd w:val="clear" w:color="auto" w:fill="auto"/>
            <w:noWrap/>
            <w:vAlign w:val="bottom"/>
            <w:hideMark/>
          </w:tcPr>
          <w:p w:rsidR="00B64761" w:rsidRPr="00A90E28" w:rsidRDefault="00B64761" w:rsidP="00B64761">
            <w:pPr>
              <w:autoSpaceDE/>
              <w:autoSpaceDN/>
              <w:adjustRightInd/>
              <w:rPr>
                <w:rFonts w:ascii="Arial" w:eastAsia="Times New Roman" w:hAnsi="Arial" w:cs="Arial"/>
                <w:color w:val="000000"/>
              </w:rPr>
            </w:pPr>
            <w:r>
              <w:rPr>
                <w:rFonts w:ascii="Arial" w:eastAsia="Times New Roman" w:hAnsi="Arial" w:cs="Arial"/>
                <w:color w:val="000000"/>
              </w:rPr>
              <w:t>Electronics w</w:t>
            </w:r>
            <w:r w:rsidRPr="00A90E28">
              <w:rPr>
                <w:rFonts w:ascii="Arial" w:eastAsia="Times New Roman" w:hAnsi="Arial" w:cs="Arial"/>
                <w:color w:val="000000"/>
              </w:rPr>
              <w:t>holesaling and brokering</w:t>
            </w:r>
          </w:p>
        </w:tc>
        <w:tc>
          <w:tcPr>
            <w:tcW w:w="1099" w:type="dxa"/>
            <w:tcBorders>
              <w:top w:val="nil"/>
              <w:left w:val="nil"/>
              <w:bottom w:val="nil"/>
              <w:right w:val="nil"/>
            </w:tcBorders>
            <w:shd w:val="clear" w:color="auto" w:fill="auto"/>
            <w:noWrap/>
            <w:vAlign w:val="bottom"/>
            <w:hideMark/>
          </w:tcPr>
          <w:p w:rsidR="00B64761" w:rsidRPr="00A90E28" w:rsidRDefault="00B64761" w:rsidP="00B64761">
            <w:pPr>
              <w:autoSpaceDE/>
              <w:autoSpaceDN/>
              <w:adjustRightInd/>
              <w:jc w:val="right"/>
              <w:rPr>
                <w:rFonts w:ascii="Arial" w:eastAsia="Times New Roman" w:hAnsi="Arial" w:cs="Arial"/>
                <w:color w:val="000000"/>
              </w:rPr>
            </w:pPr>
            <w:r>
              <w:rPr>
                <w:rFonts w:ascii="Arial" w:eastAsia="Times New Roman" w:hAnsi="Arial" w:cs="Arial"/>
                <w:color w:val="000000"/>
              </w:rPr>
              <w:t>90</w:t>
            </w:r>
          </w:p>
        </w:tc>
        <w:tc>
          <w:tcPr>
            <w:tcW w:w="900" w:type="dxa"/>
            <w:tcBorders>
              <w:top w:val="nil"/>
              <w:left w:val="nil"/>
              <w:bottom w:val="nil"/>
              <w:right w:val="nil"/>
            </w:tcBorders>
            <w:shd w:val="clear" w:color="auto" w:fill="auto"/>
            <w:vAlign w:val="bottom"/>
          </w:tcPr>
          <w:p w:rsidR="00B64761" w:rsidRPr="00A90E28" w:rsidRDefault="00B64761" w:rsidP="00B64761">
            <w:pPr>
              <w:autoSpaceDE/>
              <w:autoSpaceDN/>
              <w:adjustRightInd/>
              <w:jc w:val="right"/>
              <w:rPr>
                <w:rFonts w:ascii="Arial" w:eastAsia="Times New Roman" w:hAnsi="Arial" w:cs="Arial"/>
                <w:color w:val="000000"/>
              </w:rPr>
            </w:pPr>
            <w:r>
              <w:rPr>
                <w:rFonts w:ascii="Arial" w:eastAsia="Times New Roman" w:hAnsi="Arial" w:cs="Arial"/>
                <w:color w:val="000000"/>
              </w:rPr>
              <w:t>100</w:t>
            </w:r>
          </w:p>
        </w:tc>
        <w:tc>
          <w:tcPr>
            <w:tcW w:w="720" w:type="dxa"/>
            <w:tcBorders>
              <w:top w:val="nil"/>
              <w:left w:val="nil"/>
              <w:bottom w:val="nil"/>
              <w:right w:val="nil"/>
            </w:tcBorders>
            <w:shd w:val="clear" w:color="auto" w:fill="auto"/>
            <w:noWrap/>
            <w:vAlign w:val="bottom"/>
            <w:hideMark/>
          </w:tcPr>
          <w:p w:rsidR="00B64761" w:rsidRPr="00A90E28" w:rsidRDefault="00B64761" w:rsidP="00B64761">
            <w:pPr>
              <w:autoSpaceDE/>
              <w:autoSpaceDN/>
              <w:adjustRightInd/>
              <w:jc w:val="right"/>
              <w:rPr>
                <w:rFonts w:ascii="Arial" w:eastAsia="Times New Roman" w:hAnsi="Arial" w:cs="Arial"/>
                <w:color w:val="000000"/>
              </w:rPr>
            </w:pPr>
            <w:r>
              <w:rPr>
                <w:rFonts w:ascii="Arial" w:eastAsia="Times New Roman" w:hAnsi="Arial" w:cs="Arial"/>
                <w:color w:val="000000"/>
              </w:rPr>
              <w:t>5</w:t>
            </w:r>
          </w:p>
        </w:tc>
        <w:tc>
          <w:tcPr>
            <w:tcW w:w="270" w:type="dxa"/>
            <w:tcBorders>
              <w:top w:val="nil"/>
              <w:left w:val="nil"/>
              <w:bottom w:val="nil"/>
              <w:right w:val="nil"/>
            </w:tcBorders>
            <w:shd w:val="clear" w:color="auto" w:fill="auto"/>
            <w:noWrap/>
            <w:vAlign w:val="bottom"/>
          </w:tcPr>
          <w:p w:rsidR="00B64761" w:rsidRPr="00A90E28" w:rsidRDefault="00B64761" w:rsidP="00B64761">
            <w:pPr>
              <w:autoSpaceDE/>
              <w:autoSpaceDN/>
              <w:adjustRightInd/>
              <w:jc w:val="right"/>
              <w:rPr>
                <w:rFonts w:ascii="Arial" w:eastAsia="Times New Roman" w:hAnsi="Arial" w:cs="Arial"/>
                <w:color w:val="000000"/>
              </w:rPr>
            </w:pPr>
          </w:p>
        </w:tc>
        <w:tc>
          <w:tcPr>
            <w:tcW w:w="1080" w:type="dxa"/>
            <w:tcBorders>
              <w:top w:val="nil"/>
              <w:left w:val="nil"/>
              <w:bottom w:val="nil"/>
              <w:right w:val="nil"/>
            </w:tcBorders>
            <w:shd w:val="clear" w:color="auto" w:fill="auto"/>
            <w:vAlign w:val="bottom"/>
          </w:tcPr>
          <w:p w:rsidR="00B64761" w:rsidRPr="00A90E28" w:rsidRDefault="00B64761" w:rsidP="00B64761">
            <w:pPr>
              <w:autoSpaceDE/>
              <w:autoSpaceDN/>
              <w:adjustRightInd/>
              <w:jc w:val="right"/>
              <w:rPr>
                <w:rFonts w:ascii="Arial" w:eastAsia="Times New Roman" w:hAnsi="Arial" w:cs="Arial"/>
                <w:color w:val="000000"/>
              </w:rPr>
            </w:pPr>
            <w:r>
              <w:rPr>
                <w:rFonts w:ascii="Arial" w:eastAsia="Times New Roman" w:hAnsi="Arial" w:cs="Arial"/>
                <w:color w:val="000000"/>
              </w:rPr>
              <w:t>4.2</w:t>
            </w:r>
          </w:p>
        </w:tc>
        <w:tc>
          <w:tcPr>
            <w:tcW w:w="1170" w:type="dxa"/>
            <w:tcBorders>
              <w:top w:val="nil"/>
              <w:left w:val="nil"/>
              <w:bottom w:val="nil"/>
              <w:right w:val="nil"/>
            </w:tcBorders>
            <w:shd w:val="clear" w:color="auto" w:fill="auto"/>
            <w:vAlign w:val="bottom"/>
          </w:tcPr>
          <w:p w:rsidR="00B64761" w:rsidRPr="00A90E28" w:rsidRDefault="00B64761" w:rsidP="00B64761">
            <w:pPr>
              <w:autoSpaceDE/>
              <w:autoSpaceDN/>
              <w:adjustRightInd/>
              <w:jc w:val="right"/>
              <w:rPr>
                <w:rFonts w:ascii="Arial" w:eastAsia="Times New Roman" w:hAnsi="Arial" w:cs="Arial"/>
                <w:color w:val="000000"/>
              </w:rPr>
            </w:pPr>
            <w:r>
              <w:rPr>
                <w:rFonts w:ascii="Arial" w:eastAsia="Times New Roman" w:hAnsi="Arial" w:cs="Arial"/>
                <w:color w:val="000000"/>
              </w:rPr>
              <w:t>4.5</w:t>
            </w:r>
          </w:p>
        </w:tc>
      </w:tr>
      <w:tr w:rsidR="00B64761" w:rsidRPr="00A90E28" w:rsidTr="00B64761">
        <w:trPr>
          <w:trHeight w:val="300"/>
        </w:trPr>
        <w:tc>
          <w:tcPr>
            <w:tcW w:w="3603" w:type="dxa"/>
            <w:tcBorders>
              <w:top w:val="nil"/>
              <w:left w:val="nil"/>
              <w:bottom w:val="nil"/>
              <w:right w:val="nil"/>
            </w:tcBorders>
            <w:shd w:val="clear" w:color="auto" w:fill="auto"/>
            <w:noWrap/>
            <w:vAlign w:val="bottom"/>
            <w:hideMark/>
          </w:tcPr>
          <w:p w:rsidR="00B64761" w:rsidRPr="00A90E28" w:rsidRDefault="00B64761" w:rsidP="00B64761">
            <w:pPr>
              <w:autoSpaceDE/>
              <w:autoSpaceDN/>
              <w:adjustRightInd/>
              <w:rPr>
                <w:rFonts w:ascii="Arial" w:eastAsia="Times New Roman" w:hAnsi="Arial" w:cs="Arial"/>
                <w:color w:val="000000"/>
              </w:rPr>
            </w:pPr>
            <w:r>
              <w:rPr>
                <w:rFonts w:ascii="Arial" w:eastAsia="Times New Roman" w:hAnsi="Arial" w:cs="Arial"/>
                <w:color w:val="000000"/>
              </w:rPr>
              <w:t>Electronics r</w:t>
            </w:r>
            <w:r w:rsidRPr="00A90E28">
              <w:rPr>
                <w:rFonts w:ascii="Arial" w:eastAsia="Times New Roman" w:hAnsi="Arial" w:cs="Arial"/>
                <w:color w:val="000000"/>
              </w:rPr>
              <w:t>epair and refurbishing</w:t>
            </w:r>
          </w:p>
        </w:tc>
        <w:tc>
          <w:tcPr>
            <w:tcW w:w="1099" w:type="dxa"/>
            <w:tcBorders>
              <w:top w:val="nil"/>
              <w:left w:val="nil"/>
              <w:bottom w:val="nil"/>
              <w:right w:val="nil"/>
            </w:tcBorders>
            <w:shd w:val="clear" w:color="auto" w:fill="auto"/>
            <w:noWrap/>
            <w:vAlign w:val="bottom"/>
            <w:hideMark/>
          </w:tcPr>
          <w:p w:rsidR="00B64761" w:rsidRPr="00A90E28" w:rsidRDefault="00B64761" w:rsidP="00B64761">
            <w:pPr>
              <w:autoSpaceDE/>
              <w:autoSpaceDN/>
              <w:adjustRightInd/>
              <w:jc w:val="right"/>
              <w:rPr>
                <w:rFonts w:ascii="Arial" w:eastAsia="Times New Roman" w:hAnsi="Arial" w:cs="Arial"/>
                <w:color w:val="000000"/>
              </w:rPr>
            </w:pPr>
            <w:r>
              <w:rPr>
                <w:rFonts w:ascii="Arial" w:eastAsia="Times New Roman" w:hAnsi="Arial" w:cs="Arial"/>
                <w:color w:val="000000"/>
              </w:rPr>
              <w:t>90</w:t>
            </w:r>
          </w:p>
        </w:tc>
        <w:tc>
          <w:tcPr>
            <w:tcW w:w="900" w:type="dxa"/>
            <w:tcBorders>
              <w:top w:val="nil"/>
              <w:left w:val="nil"/>
              <w:bottom w:val="nil"/>
              <w:right w:val="nil"/>
            </w:tcBorders>
            <w:shd w:val="clear" w:color="auto" w:fill="auto"/>
            <w:vAlign w:val="bottom"/>
          </w:tcPr>
          <w:p w:rsidR="00B64761" w:rsidRPr="00A90E28" w:rsidRDefault="00B64761" w:rsidP="00B64761">
            <w:pPr>
              <w:autoSpaceDE/>
              <w:autoSpaceDN/>
              <w:adjustRightInd/>
              <w:jc w:val="right"/>
              <w:rPr>
                <w:rFonts w:ascii="Arial" w:eastAsia="Times New Roman" w:hAnsi="Arial" w:cs="Arial"/>
                <w:color w:val="000000"/>
              </w:rPr>
            </w:pPr>
            <w:r>
              <w:rPr>
                <w:rFonts w:ascii="Arial" w:eastAsia="Times New Roman" w:hAnsi="Arial" w:cs="Arial"/>
                <w:color w:val="000000"/>
              </w:rPr>
              <w:t>100</w:t>
            </w:r>
          </w:p>
        </w:tc>
        <w:tc>
          <w:tcPr>
            <w:tcW w:w="720" w:type="dxa"/>
            <w:tcBorders>
              <w:top w:val="nil"/>
              <w:left w:val="nil"/>
              <w:bottom w:val="nil"/>
              <w:right w:val="nil"/>
            </w:tcBorders>
            <w:shd w:val="clear" w:color="auto" w:fill="auto"/>
            <w:noWrap/>
            <w:vAlign w:val="bottom"/>
            <w:hideMark/>
          </w:tcPr>
          <w:p w:rsidR="00B64761" w:rsidRPr="00A90E28" w:rsidRDefault="00B64761" w:rsidP="00B64761">
            <w:pPr>
              <w:autoSpaceDE/>
              <w:autoSpaceDN/>
              <w:adjustRightInd/>
              <w:jc w:val="right"/>
              <w:rPr>
                <w:rFonts w:ascii="Arial" w:eastAsia="Times New Roman" w:hAnsi="Arial" w:cs="Arial"/>
                <w:color w:val="000000"/>
              </w:rPr>
            </w:pPr>
            <w:r>
              <w:rPr>
                <w:rFonts w:ascii="Arial" w:eastAsia="Times New Roman" w:hAnsi="Arial" w:cs="Arial"/>
                <w:color w:val="000000"/>
              </w:rPr>
              <w:t>20</w:t>
            </w:r>
          </w:p>
        </w:tc>
        <w:tc>
          <w:tcPr>
            <w:tcW w:w="270" w:type="dxa"/>
            <w:tcBorders>
              <w:top w:val="nil"/>
              <w:left w:val="nil"/>
              <w:bottom w:val="nil"/>
              <w:right w:val="nil"/>
            </w:tcBorders>
            <w:shd w:val="clear" w:color="auto" w:fill="auto"/>
            <w:noWrap/>
            <w:vAlign w:val="bottom"/>
          </w:tcPr>
          <w:p w:rsidR="00B64761" w:rsidRPr="00A90E28" w:rsidRDefault="00B64761" w:rsidP="00B64761">
            <w:pPr>
              <w:autoSpaceDE/>
              <w:autoSpaceDN/>
              <w:adjustRightInd/>
              <w:jc w:val="right"/>
              <w:rPr>
                <w:rFonts w:ascii="Arial" w:eastAsia="Times New Roman" w:hAnsi="Arial" w:cs="Arial"/>
                <w:color w:val="000000"/>
              </w:rPr>
            </w:pPr>
          </w:p>
        </w:tc>
        <w:tc>
          <w:tcPr>
            <w:tcW w:w="1080" w:type="dxa"/>
            <w:tcBorders>
              <w:top w:val="nil"/>
              <w:left w:val="nil"/>
              <w:bottom w:val="nil"/>
              <w:right w:val="nil"/>
            </w:tcBorders>
            <w:shd w:val="clear" w:color="auto" w:fill="auto"/>
            <w:vAlign w:val="bottom"/>
          </w:tcPr>
          <w:p w:rsidR="00B64761" w:rsidRPr="00A90E28" w:rsidRDefault="00B64761" w:rsidP="00B64761">
            <w:pPr>
              <w:autoSpaceDE/>
              <w:autoSpaceDN/>
              <w:adjustRightInd/>
              <w:jc w:val="right"/>
              <w:rPr>
                <w:rFonts w:ascii="Arial" w:eastAsia="Times New Roman" w:hAnsi="Arial" w:cs="Arial"/>
                <w:color w:val="000000"/>
              </w:rPr>
            </w:pPr>
            <w:r>
              <w:rPr>
                <w:rFonts w:ascii="Arial" w:eastAsia="Times New Roman" w:hAnsi="Arial" w:cs="Arial"/>
                <w:color w:val="000000"/>
              </w:rPr>
              <w:t>2.1</w:t>
            </w:r>
          </w:p>
        </w:tc>
        <w:tc>
          <w:tcPr>
            <w:tcW w:w="1170" w:type="dxa"/>
            <w:tcBorders>
              <w:top w:val="nil"/>
              <w:left w:val="nil"/>
              <w:bottom w:val="nil"/>
              <w:right w:val="nil"/>
            </w:tcBorders>
            <w:shd w:val="clear" w:color="auto" w:fill="auto"/>
            <w:vAlign w:val="bottom"/>
          </w:tcPr>
          <w:p w:rsidR="00B64761" w:rsidRPr="00A90E28" w:rsidRDefault="00B64761" w:rsidP="00B64761">
            <w:pPr>
              <w:autoSpaceDE/>
              <w:autoSpaceDN/>
              <w:adjustRightInd/>
              <w:jc w:val="right"/>
              <w:rPr>
                <w:rFonts w:ascii="Arial" w:eastAsia="Times New Roman" w:hAnsi="Arial" w:cs="Arial"/>
                <w:color w:val="000000"/>
              </w:rPr>
            </w:pPr>
            <w:r>
              <w:rPr>
                <w:rFonts w:ascii="Arial" w:eastAsia="Times New Roman" w:hAnsi="Arial" w:cs="Arial"/>
                <w:color w:val="000000"/>
              </w:rPr>
              <w:t>2.2</w:t>
            </w:r>
          </w:p>
        </w:tc>
      </w:tr>
      <w:tr w:rsidR="00B64761" w:rsidRPr="00A90E28" w:rsidTr="00B64761">
        <w:trPr>
          <w:trHeight w:val="288"/>
        </w:trPr>
        <w:tc>
          <w:tcPr>
            <w:tcW w:w="3603" w:type="dxa"/>
            <w:tcBorders>
              <w:top w:val="nil"/>
              <w:left w:val="nil"/>
              <w:bottom w:val="single" w:sz="4" w:space="0" w:color="auto"/>
              <w:right w:val="nil"/>
            </w:tcBorders>
            <w:shd w:val="clear" w:color="auto" w:fill="auto"/>
            <w:noWrap/>
            <w:vAlign w:val="bottom"/>
            <w:hideMark/>
          </w:tcPr>
          <w:p w:rsidR="00B64761" w:rsidRPr="00A90E28" w:rsidRDefault="00B64761" w:rsidP="00B64761">
            <w:pPr>
              <w:autoSpaceDE/>
              <w:autoSpaceDN/>
              <w:adjustRightInd/>
              <w:rPr>
                <w:rFonts w:ascii="Arial" w:eastAsia="Times New Roman" w:hAnsi="Arial" w:cs="Arial"/>
                <w:color w:val="000000"/>
              </w:rPr>
            </w:pPr>
            <w:r w:rsidRPr="00A90E28">
              <w:rPr>
                <w:rFonts w:ascii="Arial" w:eastAsia="Times New Roman" w:hAnsi="Arial" w:cs="Arial"/>
                <w:color w:val="000000"/>
              </w:rPr>
              <w:t>Other services</w:t>
            </w:r>
            <w:r w:rsidRPr="00A90E28">
              <w:rPr>
                <w:rFonts w:ascii="Arial" w:eastAsia="Times New Roman" w:hAnsi="Arial" w:cs="Arial"/>
                <w:color w:val="000000"/>
                <w:vertAlign w:val="superscript"/>
              </w:rPr>
              <w:t>a</w:t>
            </w:r>
          </w:p>
        </w:tc>
        <w:tc>
          <w:tcPr>
            <w:tcW w:w="1099" w:type="dxa"/>
            <w:tcBorders>
              <w:top w:val="nil"/>
              <w:left w:val="nil"/>
              <w:bottom w:val="single" w:sz="4" w:space="0" w:color="auto"/>
              <w:right w:val="nil"/>
            </w:tcBorders>
            <w:shd w:val="clear" w:color="auto" w:fill="auto"/>
            <w:noWrap/>
            <w:vAlign w:val="bottom"/>
            <w:hideMark/>
          </w:tcPr>
          <w:p w:rsidR="00B64761" w:rsidRPr="00A90E28" w:rsidRDefault="00B64761" w:rsidP="00B64761">
            <w:pPr>
              <w:autoSpaceDE/>
              <w:autoSpaceDN/>
              <w:adjustRightInd/>
              <w:jc w:val="right"/>
              <w:rPr>
                <w:rFonts w:ascii="Arial" w:eastAsia="Times New Roman" w:hAnsi="Arial" w:cs="Arial"/>
                <w:color w:val="000000"/>
              </w:rPr>
            </w:pPr>
            <w:r>
              <w:rPr>
                <w:rFonts w:ascii="Arial" w:eastAsia="Times New Roman" w:hAnsi="Arial" w:cs="Arial"/>
                <w:color w:val="000000"/>
              </w:rPr>
              <w:t>90</w:t>
            </w:r>
          </w:p>
        </w:tc>
        <w:tc>
          <w:tcPr>
            <w:tcW w:w="900" w:type="dxa"/>
            <w:tcBorders>
              <w:top w:val="nil"/>
              <w:left w:val="nil"/>
              <w:bottom w:val="single" w:sz="4" w:space="0" w:color="auto"/>
              <w:right w:val="nil"/>
            </w:tcBorders>
            <w:shd w:val="clear" w:color="auto" w:fill="auto"/>
            <w:vAlign w:val="bottom"/>
          </w:tcPr>
          <w:p w:rsidR="00B64761" w:rsidRPr="00A90E28" w:rsidRDefault="00B64761" w:rsidP="00B64761">
            <w:pPr>
              <w:autoSpaceDE/>
              <w:autoSpaceDN/>
              <w:adjustRightInd/>
              <w:jc w:val="right"/>
              <w:rPr>
                <w:rFonts w:ascii="Arial" w:eastAsia="Times New Roman" w:hAnsi="Arial" w:cs="Arial"/>
                <w:color w:val="000000"/>
              </w:rPr>
            </w:pPr>
            <w:r>
              <w:rPr>
                <w:rFonts w:ascii="Arial" w:eastAsia="Times New Roman" w:hAnsi="Arial" w:cs="Arial"/>
                <w:color w:val="000000"/>
              </w:rPr>
              <w:t>100</w:t>
            </w:r>
          </w:p>
        </w:tc>
        <w:tc>
          <w:tcPr>
            <w:tcW w:w="720" w:type="dxa"/>
            <w:tcBorders>
              <w:top w:val="nil"/>
              <w:left w:val="nil"/>
              <w:bottom w:val="single" w:sz="4" w:space="0" w:color="auto"/>
              <w:right w:val="nil"/>
            </w:tcBorders>
            <w:shd w:val="clear" w:color="auto" w:fill="auto"/>
            <w:noWrap/>
            <w:vAlign w:val="bottom"/>
            <w:hideMark/>
          </w:tcPr>
          <w:p w:rsidR="00B64761" w:rsidRPr="00A90E28" w:rsidRDefault="00B64761" w:rsidP="00B64761">
            <w:pPr>
              <w:autoSpaceDE/>
              <w:autoSpaceDN/>
              <w:adjustRightInd/>
              <w:jc w:val="right"/>
              <w:rPr>
                <w:rFonts w:ascii="Arial" w:eastAsia="Times New Roman" w:hAnsi="Arial" w:cs="Arial"/>
                <w:color w:val="000000"/>
              </w:rPr>
            </w:pPr>
            <w:r>
              <w:rPr>
                <w:rFonts w:ascii="Arial" w:eastAsia="Times New Roman" w:hAnsi="Arial" w:cs="Arial"/>
                <w:color w:val="000000"/>
              </w:rPr>
              <w:t>15</w:t>
            </w:r>
          </w:p>
        </w:tc>
        <w:tc>
          <w:tcPr>
            <w:tcW w:w="270" w:type="dxa"/>
            <w:tcBorders>
              <w:top w:val="nil"/>
              <w:left w:val="nil"/>
              <w:bottom w:val="single" w:sz="4" w:space="0" w:color="auto"/>
              <w:right w:val="nil"/>
            </w:tcBorders>
            <w:shd w:val="clear" w:color="auto" w:fill="auto"/>
            <w:noWrap/>
            <w:vAlign w:val="bottom"/>
          </w:tcPr>
          <w:p w:rsidR="00B64761" w:rsidRPr="00A90E28" w:rsidRDefault="00B64761" w:rsidP="00B64761">
            <w:pPr>
              <w:autoSpaceDE/>
              <w:autoSpaceDN/>
              <w:adjustRightInd/>
              <w:jc w:val="right"/>
              <w:rPr>
                <w:rFonts w:ascii="Arial" w:eastAsia="Times New Roman" w:hAnsi="Arial" w:cs="Arial"/>
                <w:color w:val="000000"/>
              </w:rPr>
            </w:pPr>
          </w:p>
        </w:tc>
        <w:tc>
          <w:tcPr>
            <w:tcW w:w="1080" w:type="dxa"/>
            <w:tcBorders>
              <w:top w:val="nil"/>
              <w:left w:val="nil"/>
              <w:bottom w:val="single" w:sz="4" w:space="0" w:color="auto"/>
              <w:right w:val="nil"/>
            </w:tcBorders>
            <w:shd w:val="clear" w:color="auto" w:fill="auto"/>
            <w:vAlign w:val="bottom"/>
          </w:tcPr>
          <w:p w:rsidR="00B64761" w:rsidRPr="00A90E28" w:rsidRDefault="00B64761" w:rsidP="00B64761">
            <w:pPr>
              <w:autoSpaceDE/>
              <w:autoSpaceDN/>
              <w:adjustRightInd/>
              <w:jc w:val="right"/>
              <w:rPr>
                <w:rFonts w:ascii="Arial" w:eastAsia="Times New Roman" w:hAnsi="Arial" w:cs="Arial"/>
                <w:color w:val="000000"/>
              </w:rPr>
            </w:pPr>
            <w:r>
              <w:rPr>
                <w:rFonts w:ascii="Arial" w:eastAsia="Times New Roman" w:hAnsi="Arial" w:cs="Arial"/>
                <w:color w:val="000000"/>
              </w:rPr>
              <w:t>2.5</w:t>
            </w:r>
          </w:p>
        </w:tc>
        <w:tc>
          <w:tcPr>
            <w:tcW w:w="1170" w:type="dxa"/>
            <w:tcBorders>
              <w:top w:val="nil"/>
              <w:left w:val="nil"/>
              <w:bottom w:val="single" w:sz="4" w:space="0" w:color="auto"/>
              <w:right w:val="nil"/>
            </w:tcBorders>
            <w:shd w:val="clear" w:color="auto" w:fill="auto"/>
            <w:vAlign w:val="bottom"/>
          </w:tcPr>
          <w:p w:rsidR="00B64761" w:rsidRPr="00A90E28" w:rsidRDefault="00B64761" w:rsidP="00B64761">
            <w:pPr>
              <w:autoSpaceDE/>
              <w:autoSpaceDN/>
              <w:adjustRightInd/>
              <w:jc w:val="right"/>
              <w:rPr>
                <w:rFonts w:ascii="Arial" w:eastAsia="Times New Roman" w:hAnsi="Arial" w:cs="Arial"/>
                <w:color w:val="000000"/>
              </w:rPr>
            </w:pPr>
            <w:r>
              <w:rPr>
                <w:rFonts w:ascii="Arial" w:eastAsia="Times New Roman" w:hAnsi="Arial" w:cs="Arial"/>
                <w:color w:val="000000"/>
              </w:rPr>
              <w:t>2.6</w:t>
            </w:r>
          </w:p>
        </w:tc>
      </w:tr>
    </w:tbl>
    <w:p w:rsidR="00B64761" w:rsidRPr="00A90E28" w:rsidRDefault="00B64761" w:rsidP="00B64761">
      <w:pPr>
        <w:ind w:left="720"/>
        <w:rPr>
          <w:rFonts w:ascii="Arial" w:hAnsi="Arial" w:cs="Arial"/>
          <w:vertAlign w:val="superscript"/>
        </w:rPr>
      </w:pPr>
    </w:p>
    <w:p w:rsidR="00CD4D97" w:rsidRPr="00CD4D97" w:rsidRDefault="00F34F7E" w:rsidP="00CD4D97">
      <w:pPr>
        <w:pStyle w:val="CommentText"/>
        <w:rPr>
          <w:rFonts w:ascii="Arial" w:hAnsi="Arial" w:cs="Arial"/>
        </w:rPr>
      </w:pPr>
      <w:r>
        <w:rPr>
          <w:rFonts w:ascii="Arial" w:hAnsi="Arial" w:cs="Arial"/>
          <w:vertAlign w:val="superscript"/>
        </w:rPr>
        <w:t xml:space="preserve">   </w:t>
      </w:r>
      <w:r w:rsidR="0043347E" w:rsidRPr="00CD4D97">
        <w:rPr>
          <w:rFonts w:ascii="Arial" w:hAnsi="Arial" w:cs="Arial"/>
          <w:vertAlign w:val="superscript"/>
        </w:rPr>
        <w:t>a</w:t>
      </w:r>
      <w:r w:rsidR="00CD4D97">
        <w:rPr>
          <w:rFonts w:ascii="Arial" w:hAnsi="Arial" w:cs="Arial"/>
        </w:rPr>
        <w:t xml:space="preserve">Not </w:t>
      </w:r>
      <w:r w:rsidR="00E3554B">
        <w:rPr>
          <w:rFonts w:ascii="Arial" w:hAnsi="Arial" w:cs="Arial"/>
        </w:rPr>
        <w:t>likely included in the</w:t>
      </w:r>
      <w:r w:rsidR="00CD4D97">
        <w:rPr>
          <w:rFonts w:ascii="Arial" w:hAnsi="Arial" w:cs="Arial"/>
        </w:rPr>
        <w:t xml:space="preserve"> Census list, which includes only firms </w:t>
      </w:r>
      <w:r w:rsidR="00E3554B">
        <w:rPr>
          <w:rFonts w:ascii="Arial" w:hAnsi="Arial" w:cs="Arial"/>
        </w:rPr>
        <w:t xml:space="preserve">that </w:t>
      </w:r>
      <w:r w:rsidR="00CD4D97">
        <w:rPr>
          <w:rFonts w:ascii="Arial" w:hAnsi="Arial" w:cs="Arial"/>
        </w:rPr>
        <w:t>export under HTS chap</w:t>
      </w:r>
      <w:r w:rsidR="00E3554B">
        <w:rPr>
          <w:rFonts w:ascii="Arial" w:hAnsi="Arial" w:cs="Arial"/>
        </w:rPr>
        <w:t>.</w:t>
      </w:r>
      <w:r w:rsidR="00CD4D97">
        <w:rPr>
          <w:rFonts w:ascii="Arial" w:hAnsi="Arial" w:cs="Arial"/>
        </w:rPr>
        <w:t xml:space="preserve"> 84 and 85.</w:t>
      </w:r>
    </w:p>
    <w:p w:rsidR="00FC3BC0" w:rsidRPr="00A90E28" w:rsidRDefault="00F34F7E" w:rsidP="00A90E28">
      <w:pPr>
        <w:rPr>
          <w:rFonts w:ascii="Arial" w:hAnsi="Arial" w:cs="Arial"/>
        </w:rPr>
      </w:pPr>
      <w:r>
        <w:rPr>
          <w:rFonts w:ascii="Arial" w:hAnsi="Arial" w:cs="Arial"/>
          <w:vertAlign w:val="superscript"/>
        </w:rPr>
        <w:t xml:space="preserve">   </w:t>
      </w:r>
      <w:r w:rsidR="00CD4D97">
        <w:rPr>
          <w:rFonts w:ascii="Arial" w:hAnsi="Arial" w:cs="Arial"/>
          <w:vertAlign w:val="superscript"/>
        </w:rPr>
        <w:t>b</w:t>
      </w:r>
      <w:r w:rsidR="0043347E" w:rsidRPr="00A90E28">
        <w:rPr>
          <w:rFonts w:ascii="Arial" w:hAnsi="Arial" w:cs="Arial"/>
        </w:rPr>
        <w:t>In other services, the Orbis share reflects only those firms selected through the keyword search.</w:t>
      </w:r>
    </w:p>
    <w:p w:rsidR="00A3675D" w:rsidRDefault="00A3675D" w:rsidP="00A90E28"/>
    <w:p w:rsidR="00905A71" w:rsidRDefault="00905A71" w:rsidP="00A90E28"/>
    <w:p w:rsidR="00905A71" w:rsidRDefault="00905A71" w:rsidP="00A90E28"/>
    <w:p w:rsidR="00905A71" w:rsidRDefault="00905A71" w:rsidP="00A90E28"/>
    <w:p w:rsidR="00905A71" w:rsidRDefault="00905A71" w:rsidP="00A90E28"/>
    <w:p w:rsidR="007F76E4" w:rsidRPr="00A90E28" w:rsidRDefault="007F76E4" w:rsidP="00A90E28">
      <w:pPr>
        <w:pStyle w:val="ListParagraph"/>
        <w:numPr>
          <w:ilvl w:val="0"/>
          <w:numId w:val="13"/>
        </w:numPr>
        <w:rPr>
          <w:rFonts w:ascii="Times New Roman" w:hAnsi="Times New Roman"/>
          <w:b/>
          <w:sz w:val="24"/>
          <w:szCs w:val="24"/>
        </w:rPr>
      </w:pPr>
      <w:r w:rsidRPr="00A90E28">
        <w:rPr>
          <w:rFonts w:ascii="Times New Roman" w:hAnsi="Times New Roman"/>
          <w:b/>
          <w:sz w:val="24"/>
          <w:szCs w:val="24"/>
        </w:rPr>
        <w:lastRenderedPageBreak/>
        <w:t>Estimation Procedure</w:t>
      </w:r>
    </w:p>
    <w:p w:rsidR="00B32841" w:rsidRPr="00A90E28" w:rsidRDefault="008242A8" w:rsidP="00A90E28">
      <w:pPr>
        <w:autoSpaceDE/>
        <w:autoSpaceDN/>
        <w:adjustRightInd/>
        <w:contextualSpacing/>
        <w:rPr>
          <w:sz w:val="24"/>
          <w:szCs w:val="24"/>
        </w:rPr>
      </w:pPr>
      <w:r w:rsidRPr="00A90E28">
        <w:rPr>
          <w:sz w:val="24"/>
          <w:szCs w:val="24"/>
        </w:rPr>
        <w:t>Survey estimates will be based on weighted data.</w:t>
      </w:r>
      <w:r w:rsidR="00A57BD0">
        <w:rPr>
          <w:sz w:val="24"/>
          <w:szCs w:val="24"/>
        </w:rPr>
        <w:t xml:space="preserve"> </w:t>
      </w:r>
      <w:r w:rsidRPr="00A90E28">
        <w:rPr>
          <w:sz w:val="24"/>
          <w:szCs w:val="24"/>
        </w:rPr>
        <w:t xml:space="preserve">The weighting procedure will incorporate a sample selection weight, a nonresponse adjustment factor, and if necessary, a poststratification </w:t>
      </w:r>
      <w:r w:rsidR="00B32841" w:rsidRPr="00A90E28">
        <w:rPr>
          <w:sz w:val="24"/>
          <w:szCs w:val="24"/>
        </w:rPr>
        <w:t xml:space="preserve">weighting </w:t>
      </w:r>
      <w:r w:rsidRPr="00A90E28">
        <w:rPr>
          <w:sz w:val="24"/>
          <w:szCs w:val="24"/>
        </w:rPr>
        <w:t xml:space="preserve">factor. </w:t>
      </w:r>
    </w:p>
    <w:p w:rsidR="00A90E28" w:rsidRPr="00A90E28" w:rsidRDefault="00A90E28" w:rsidP="00A90E28">
      <w:pPr>
        <w:ind w:left="720"/>
        <w:rPr>
          <w:sz w:val="24"/>
          <w:szCs w:val="24"/>
        </w:rPr>
      </w:pPr>
    </w:p>
    <w:p w:rsidR="00B32841" w:rsidRPr="00A90E28" w:rsidRDefault="00B32841" w:rsidP="00A90E28">
      <w:pPr>
        <w:pStyle w:val="ListParagraph"/>
        <w:numPr>
          <w:ilvl w:val="0"/>
          <w:numId w:val="11"/>
        </w:numPr>
        <w:spacing w:line="240" w:lineRule="auto"/>
        <w:rPr>
          <w:rFonts w:ascii="Times New Roman" w:hAnsi="Times New Roman"/>
          <w:sz w:val="24"/>
          <w:szCs w:val="24"/>
        </w:rPr>
      </w:pPr>
      <w:r w:rsidRPr="00A90E28">
        <w:rPr>
          <w:rFonts w:ascii="Times New Roman" w:hAnsi="Times New Roman"/>
          <w:i/>
          <w:sz w:val="24"/>
          <w:szCs w:val="24"/>
        </w:rPr>
        <w:t>S</w:t>
      </w:r>
      <w:r w:rsidR="00A90E28" w:rsidRPr="00A90E28">
        <w:rPr>
          <w:rFonts w:ascii="Times New Roman" w:hAnsi="Times New Roman"/>
          <w:i/>
          <w:sz w:val="24"/>
          <w:szCs w:val="24"/>
        </w:rPr>
        <w:t>ample s</w:t>
      </w:r>
      <w:r w:rsidRPr="00A90E28">
        <w:rPr>
          <w:rFonts w:ascii="Times New Roman" w:hAnsi="Times New Roman"/>
          <w:i/>
          <w:sz w:val="24"/>
          <w:szCs w:val="24"/>
        </w:rPr>
        <w:t>election weight</w:t>
      </w:r>
      <w:r w:rsidR="00A90E28" w:rsidRPr="00A90E28">
        <w:rPr>
          <w:rFonts w:ascii="Times New Roman" w:hAnsi="Times New Roman"/>
          <w:i/>
          <w:sz w:val="24"/>
          <w:szCs w:val="24"/>
        </w:rPr>
        <w:t>ing</w:t>
      </w:r>
      <w:r w:rsidRPr="00A90E28">
        <w:rPr>
          <w:rFonts w:ascii="Times New Roman" w:hAnsi="Times New Roman"/>
          <w:sz w:val="24"/>
          <w:szCs w:val="24"/>
        </w:rPr>
        <w:t xml:space="preserve">: </w:t>
      </w:r>
      <w:r w:rsidR="008242A8" w:rsidRPr="00A90E28">
        <w:rPr>
          <w:rFonts w:ascii="Times New Roman" w:hAnsi="Times New Roman"/>
          <w:sz w:val="24"/>
          <w:szCs w:val="24"/>
        </w:rPr>
        <w:t xml:space="preserve">Because the sampling rates are based on two criteria, as discussed above, the selection weight factor will account for both the probability of selection within a particular industry and size, and the oversampling of firms from the association list. </w:t>
      </w:r>
    </w:p>
    <w:p w:rsidR="00B32841" w:rsidRPr="00A90E28" w:rsidRDefault="00B32841" w:rsidP="00A90E28">
      <w:pPr>
        <w:pStyle w:val="ListParagraph"/>
        <w:numPr>
          <w:ilvl w:val="0"/>
          <w:numId w:val="11"/>
        </w:numPr>
        <w:spacing w:line="240" w:lineRule="auto"/>
        <w:rPr>
          <w:rFonts w:ascii="Times New Roman" w:hAnsi="Times New Roman"/>
          <w:sz w:val="24"/>
          <w:szCs w:val="24"/>
        </w:rPr>
      </w:pPr>
      <w:r w:rsidRPr="00A90E28">
        <w:rPr>
          <w:rFonts w:ascii="Times New Roman" w:hAnsi="Times New Roman"/>
          <w:i/>
          <w:sz w:val="24"/>
          <w:szCs w:val="24"/>
        </w:rPr>
        <w:t>Nonresponse adjustment</w:t>
      </w:r>
      <w:r w:rsidRPr="00A90E28">
        <w:rPr>
          <w:rFonts w:ascii="Times New Roman" w:hAnsi="Times New Roman"/>
          <w:sz w:val="24"/>
          <w:szCs w:val="24"/>
        </w:rPr>
        <w:t xml:space="preserve">: </w:t>
      </w:r>
      <w:r w:rsidR="008242A8" w:rsidRPr="00A90E28">
        <w:rPr>
          <w:rFonts w:ascii="Times New Roman" w:hAnsi="Times New Roman"/>
          <w:sz w:val="24"/>
          <w:szCs w:val="24"/>
        </w:rPr>
        <w:t>The nonresponse adjustment facto</w:t>
      </w:r>
      <w:r w:rsidR="00A90E28" w:rsidRPr="00A90E28">
        <w:rPr>
          <w:rFonts w:ascii="Times New Roman" w:hAnsi="Times New Roman"/>
          <w:sz w:val="24"/>
          <w:szCs w:val="24"/>
        </w:rPr>
        <w:t>r is designed to attenuate bias</w:t>
      </w:r>
      <w:r w:rsidR="008242A8" w:rsidRPr="00A90E28">
        <w:rPr>
          <w:rFonts w:ascii="Times New Roman" w:hAnsi="Times New Roman"/>
          <w:sz w:val="24"/>
          <w:szCs w:val="24"/>
        </w:rPr>
        <w:t xml:space="preserve"> due t</w:t>
      </w:r>
      <w:r w:rsidR="00A90E28" w:rsidRPr="00A90E28">
        <w:rPr>
          <w:rFonts w:ascii="Times New Roman" w:hAnsi="Times New Roman"/>
          <w:sz w:val="24"/>
          <w:szCs w:val="24"/>
        </w:rPr>
        <w:t>o differential response rates. See the section below on response rates for further discussion.</w:t>
      </w:r>
    </w:p>
    <w:p w:rsidR="008242A8" w:rsidRPr="00A90E28" w:rsidRDefault="00B32841" w:rsidP="00A90E28">
      <w:pPr>
        <w:pStyle w:val="ListParagraph"/>
        <w:numPr>
          <w:ilvl w:val="0"/>
          <w:numId w:val="11"/>
        </w:numPr>
        <w:spacing w:line="240" w:lineRule="auto"/>
        <w:rPr>
          <w:rFonts w:ascii="Times New Roman" w:hAnsi="Times New Roman"/>
          <w:sz w:val="24"/>
          <w:szCs w:val="24"/>
        </w:rPr>
      </w:pPr>
      <w:r w:rsidRPr="00A90E28">
        <w:rPr>
          <w:rFonts w:ascii="Times New Roman" w:hAnsi="Times New Roman"/>
          <w:i/>
          <w:sz w:val="24"/>
          <w:szCs w:val="24"/>
        </w:rPr>
        <w:t>Poststratification weighting</w:t>
      </w:r>
      <w:r w:rsidRPr="00A90E28">
        <w:rPr>
          <w:rFonts w:ascii="Times New Roman" w:hAnsi="Times New Roman"/>
          <w:sz w:val="24"/>
          <w:szCs w:val="24"/>
        </w:rPr>
        <w:t>: If necessary, a</w:t>
      </w:r>
      <w:r w:rsidR="008242A8" w:rsidRPr="00A90E28">
        <w:rPr>
          <w:rFonts w:ascii="Times New Roman" w:hAnsi="Times New Roman"/>
          <w:sz w:val="24"/>
          <w:szCs w:val="24"/>
        </w:rPr>
        <w:t xml:space="preserve"> poststratification weighting factor </w:t>
      </w:r>
      <w:r w:rsidRPr="00A90E28">
        <w:rPr>
          <w:rFonts w:ascii="Times New Roman" w:hAnsi="Times New Roman"/>
          <w:sz w:val="24"/>
          <w:szCs w:val="24"/>
        </w:rPr>
        <w:t>will be used</w:t>
      </w:r>
      <w:r w:rsidR="008242A8" w:rsidRPr="00A90E28">
        <w:rPr>
          <w:rFonts w:ascii="Times New Roman" w:hAnsi="Times New Roman"/>
          <w:sz w:val="24"/>
          <w:szCs w:val="24"/>
        </w:rPr>
        <w:t xml:space="preserve"> to attenuate bia</w:t>
      </w:r>
      <w:r w:rsidRPr="00A90E28">
        <w:rPr>
          <w:rFonts w:ascii="Times New Roman" w:hAnsi="Times New Roman"/>
          <w:sz w:val="24"/>
          <w:szCs w:val="24"/>
        </w:rPr>
        <w:t>s</w:t>
      </w:r>
      <w:r w:rsidR="008242A8" w:rsidRPr="00A90E28">
        <w:rPr>
          <w:rFonts w:ascii="Times New Roman" w:hAnsi="Times New Roman"/>
          <w:sz w:val="24"/>
          <w:szCs w:val="24"/>
        </w:rPr>
        <w:t xml:space="preserve"> due to sample frame noncoverage or omissions.</w:t>
      </w:r>
      <w:r w:rsidR="00A57BD0">
        <w:rPr>
          <w:rFonts w:ascii="Times New Roman" w:hAnsi="Times New Roman"/>
          <w:sz w:val="24"/>
          <w:szCs w:val="24"/>
        </w:rPr>
        <w:t xml:space="preserve"> </w:t>
      </w:r>
      <w:r w:rsidR="00AD2376" w:rsidRPr="00A90E28">
        <w:rPr>
          <w:rFonts w:ascii="Times New Roman" w:hAnsi="Times New Roman"/>
          <w:sz w:val="24"/>
          <w:szCs w:val="24"/>
        </w:rPr>
        <w:t xml:space="preserve">Although the best effort has been made to obtain a representative sample of used electronics exporters, </w:t>
      </w:r>
      <w:r w:rsidRPr="00A90E28">
        <w:rPr>
          <w:rFonts w:ascii="Times New Roman" w:hAnsi="Times New Roman"/>
          <w:sz w:val="24"/>
          <w:szCs w:val="24"/>
        </w:rPr>
        <w:t xml:space="preserve">this survey represents the first economy-wide survey of used electronics handling and exports, so </w:t>
      </w:r>
      <w:r w:rsidR="00647C3D" w:rsidRPr="00A90E28">
        <w:rPr>
          <w:rFonts w:ascii="Times New Roman" w:hAnsi="Times New Roman"/>
          <w:sz w:val="24"/>
          <w:szCs w:val="24"/>
        </w:rPr>
        <w:t>the distribution of firms across industries cannot be known with certainty in advance.</w:t>
      </w:r>
    </w:p>
    <w:p w:rsidR="007F76E4" w:rsidRPr="00A90E28" w:rsidRDefault="007F76E4" w:rsidP="00A90E28">
      <w:pPr>
        <w:rPr>
          <w:sz w:val="24"/>
          <w:szCs w:val="24"/>
        </w:rPr>
      </w:pPr>
      <w:r w:rsidRPr="00A90E28">
        <w:rPr>
          <w:sz w:val="24"/>
          <w:szCs w:val="24"/>
        </w:rPr>
        <w:t>In order to produce population estimates and precis</w:t>
      </w:r>
      <w:r w:rsidR="000A1187">
        <w:rPr>
          <w:sz w:val="24"/>
          <w:szCs w:val="24"/>
        </w:rPr>
        <w:t>ion</w:t>
      </w:r>
      <w:r w:rsidRPr="00A90E28">
        <w:rPr>
          <w:sz w:val="24"/>
          <w:szCs w:val="24"/>
        </w:rPr>
        <w:t xml:space="preserve"> statistics about the estimate, the following equations will be used:</w:t>
      </w:r>
    </w:p>
    <w:p w:rsidR="007F76E4" w:rsidRPr="00A90E28" w:rsidRDefault="007F76E4" w:rsidP="00A90E28">
      <w:pPr>
        <w:ind w:left="360"/>
        <w:rPr>
          <w:sz w:val="24"/>
          <w:szCs w:val="24"/>
        </w:rPr>
      </w:pPr>
    </w:p>
    <w:p w:rsidR="007F76E4" w:rsidRPr="00A90E28" w:rsidRDefault="007F76E4" w:rsidP="00A90E28">
      <w:pPr>
        <w:rPr>
          <w:sz w:val="24"/>
          <w:szCs w:val="24"/>
        </w:rPr>
      </w:pPr>
      <w:r w:rsidRPr="00A90E28">
        <w:rPr>
          <w:sz w:val="24"/>
          <w:szCs w:val="24"/>
        </w:rPr>
        <w:t xml:space="preserve">The formula used to estimate the population attribute of interest is found in </w:t>
      </w:r>
      <w:r w:rsidR="0051428F" w:rsidRPr="00A90E28">
        <w:rPr>
          <w:sz w:val="24"/>
          <w:szCs w:val="24"/>
        </w:rPr>
        <w:t>e</w:t>
      </w:r>
      <w:r w:rsidRPr="00A90E28">
        <w:rPr>
          <w:sz w:val="24"/>
          <w:szCs w:val="24"/>
        </w:rPr>
        <w:t>quation 1. The precision statistics about the est</w:t>
      </w:r>
      <w:r w:rsidR="002D6DAB" w:rsidRPr="00A90E28">
        <w:rPr>
          <w:sz w:val="24"/>
          <w:szCs w:val="24"/>
        </w:rPr>
        <w:t xml:space="preserve">imate are found in </w:t>
      </w:r>
      <w:r w:rsidR="0051428F" w:rsidRPr="00A90E28">
        <w:rPr>
          <w:sz w:val="24"/>
          <w:szCs w:val="24"/>
        </w:rPr>
        <w:t>e</w:t>
      </w:r>
      <w:r w:rsidR="002D6DAB" w:rsidRPr="00A90E28">
        <w:rPr>
          <w:sz w:val="24"/>
          <w:szCs w:val="24"/>
        </w:rPr>
        <w:t>quations 2-3</w:t>
      </w:r>
      <w:r w:rsidRPr="00A90E28">
        <w:rPr>
          <w:sz w:val="24"/>
          <w:szCs w:val="24"/>
        </w:rPr>
        <w:t xml:space="preserve">. Per standard notation, the total estimate from a stratified random sample </w:t>
      </w:r>
      <m:oMath>
        <m:sSub>
          <m:sSubPr>
            <m:ctrlPr>
              <w:rPr>
                <w:rFonts w:ascii="Cambria Math" w:hAnsi="Cambria Math"/>
                <w:i/>
                <w:sz w:val="24"/>
                <w:szCs w:val="24"/>
              </w:rPr>
            </m:ctrlPr>
          </m:sSubPr>
          <m:e>
            <m:r>
              <w:rPr>
                <w:rFonts w:ascii="Cambria Math" w:hAnsi="Cambria Math"/>
                <w:sz w:val="24"/>
                <w:szCs w:val="24"/>
              </w:rPr>
              <m:t>τ</m:t>
            </m:r>
          </m:e>
          <m:sub>
            <m:r>
              <w:rPr>
                <w:rFonts w:ascii="Cambria Math" w:hAnsi="Cambria Math"/>
                <w:sz w:val="24"/>
                <w:szCs w:val="24"/>
              </w:rPr>
              <m:t>st</m:t>
            </m:r>
          </m:sub>
        </m:sSub>
      </m:oMath>
      <w:r w:rsidRPr="00A90E28">
        <w:rPr>
          <w:sz w:val="24"/>
          <w:szCs w:val="24"/>
        </w:rPr>
        <w:t xml:space="preserve"> is </w:t>
      </w:r>
      <w:r w:rsidR="0051428F" w:rsidRPr="00A90E28">
        <w:rPr>
          <w:sz w:val="24"/>
          <w:szCs w:val="24"/>
        </w:rPr>
        <w:t>given by</w:t>
      </w:r>
    </w:p>
    <w:p w:rsidR="0051428F" w:rsidRPr="00A90E28" w:rsidRDefault="0051428F" w:rsidP="00A90E28">
      <w:pPr>
        <w:ind w:left="720"/>
        <w:rPr>
          <w:sz w:val="24"/>
          <w:szCs w:val="24"/>
        </w:rPr>
      </w:pPr>
    </w:p>
    <w:p w:rsidR="007F76E4" w:rsidRPr="00A90E28" w:rsidRDefault="00814B34" w:rsidP="00A90E28">
      <w:pPr>
        <w:ind w:left="720"/>
        <w:rPr>
          <w:b/>
          <w:sz w:val="24"/>
          <w:szCs w:val="24"/>
        </w:rPr>
      </w:pPr>
      <m:oMath>
        <m:sSub>
          <m:sSubPr>
            <m:ctrlPr>
              <w:rPr>
                <w:rFonts w:ascii="Cambria Math" w:hAnsi="Cambria Math"/>
                <w:i/>
                <w:sz w:val="24"/>
                <w:szCs w:val="24"/>
              </w:rPr>
            </m:ctrlPr>
          </m:sSubPr>
          <m:e>
            <m:r>
              <w:rPr>
                <w:rFonts w:ascii="Cambria Math" w:hAnsi="Cambria Math"/>
                <w:sz w:val="24"/>
                <w:szCs w:val="24"/>
              </w:rPr>
              <m:t>τ</m:t>
            </m:r>
          </m:e>
          <m:sub>
            <m:r>
              <w:rPr>
                <w:rFonts w:ascii="Cambria Math" w:hAnsi="Cambria Math"/>
                <w:sz w:val="24"/>
                <w:szCs w:val="24"/>
              </w:rPr>
              <m:t>st</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h=1</m:t>
            </m:r>
          </m:sub>
          <m:sup>
            <m:r>
              <w:rPr>
                <w:rFonts w:ascii="Cambria Math" w:hAnsi="Cambria Math"/>
                <w:sz w:val="24"/>
                <w:szCs w:val="24"/>
              </w:rPr>
              <m:t>L</m:t>
            </m:r>
          </m:sup>
          <m:e>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h</m:t>
                </m:r>
              </m:sub>
            </m:sSub>
            <m:sSub>
              <m:sSubPr>
                <m:ctrlPr>
                  <w:rPr>
                    <w:rFonts w:ascii="Cambria Math" w:hAnsi="Cambria Math"/>
                    <w:i/>
                    <w:sz w:val="24"/>
                    <w:szCs w:val="24"/>
                  </w:rPr>
                </m:ctrlPr>
              </m:sSubPr>
              <m:e>
                <m:acc>
                  <m:accPr>
                    <m:chr m:val="̅"/>
                    <m:ctrlPr>
                      <w:rPr>
                        <w:rFonts w:ascii="Cambria Math" w:hAnsi="Cambria Math"/>
                        <w:i/>
                        <w:position w:val="-2"/>
                        <w:sz w:val="24"/>
                        <w:szCs w:val="24"/>
                      </w:rPr>
                    </m:ctrlPr>
                  </m:accPr>
                  <m:e>
                    <m:r>
                      <w:rPr>
                        <w:rFonts w:ascii="Cambria Math" w:hAnsi="Cambria Math"/>
                        <w:position w:val="-2"/>
                        <w:sz w:val="24"/>
                        <w:szCs w:val="24"/>
                      </w:rPr>
                      <m:t>y</m:t>
                    </m:r>
                  </m:e>
                </m:acc>
              </m:e>
              <m:sub>
                <m:r>
                  <w:rPr>
                    <w:rFonts w:ascii="Cambria Math" w:hAnsi="Cambria Math"/>
                    <w:sz w:val="24"/>
                    <w:szCs w:val="24"/>
                  </w:rPr>
                  <m:t>h</m:t>
                </m:r>
              </m:sub>
            </m:sSub>
          </m:e>
        </m:nary>
      </m:oMath>
      <w:r w:rsidR="0051428F" w:rsidRPr="00A90E28">
        <w:rPr>
          <w:sz w:val="24"/>
          <w:szCs w:val="24"/>
        </w:rPr>
        <w:t>,</w:t>
      </w:r>
      <w:r w:rsidR="0051428F" w:rsidRPr="00A90E28">
        <w:rPr>
          <w:sz w:val="24"/>
          <w:szCs w:val="24"/>
        </w:rPr>
        <w:tab/>
      </w:r>
      <w:r w:rsidR="0051428F" w:rsidRPr="00A90E28">
        <w:rPr>
          <w:sz w:val="24"/>
          <w:szCs w:val="24"/>
        </w:rPr>
        <w:tab/>
      </w:r>
      <w:r w:rsidR="0051428F" w:rsidRPr="00A90E28">
        <w:rPr>
          <w:sz w:val="24"/>
          <w:szCs w:val="24"/>
        </w:rPr>
        <w:tab/>
      </w:r>
      <w:r w:rsidR="0051428F" w:rsidRPr="00A90E28">
        <w:rPr>
          <w:sz w:val="24"/>
          <w:szCs w:val="24"/>
        </w:rPr>
        <w:tab/>
      </w:r>
      <w:r w:rsidR="0051428F" w:rsidRPr="00A90E28">
        <w:rPr>
          <w:sz w:val="24"/>
          <w:szCs w:val="24"/>
        </w:rPr>
        <w:tab/>
      </w:r>
      <w:r w:rsidR="0051428F" w:rsidRPr="00A90E28">
        <w:rPr>
          <w:sz w:val="24"/>
          <w:szCs w:val="24"/>
        </w:rPr>
        <w:tab/>
      </w:r>
      <w:r w:rsidR="0051428F" w:rsidRPr="00A90E28">
        <w:rPr>
          <w:sz w:val="24"/>
          <w:szCs w:val="24"/>
        </w:rPr>
        <w:tab/>
      </w:r>
      <w:r w:rsidR="0051428F" w:rsidRPr="00A90E28">
        <w:rPr>
          <w:sz w:val="24"/>
          <w:szCs w:val="24"/>
        </w:rPr>
        <w:tab/>
        <w:t>(1)</w:t>
      </w:r>
    </w:p>
    <w:p w:rsidR="007F76E4" w:rsidRPr="00A90E28" w:rsidRDefault="007F76E4" w:rsidP="00A90E28">
      <w:pPr>
        <w:ind w:left="360"/>
        <w:rPr>
          <w:sz w:val="24"/>
          <w:szCs w:val="24"/>
        </w:rPr>
      </w:pPr>
    </w:p>
    <w:p w:rsidR="007F76E4" w:rsidRPr="00A90E28" w:rsidRDefault="007F76E4" w:rsidP="00A90E28">
      <w:pPr>
        <w:rPr>
          <w:sz w:val="24"/>
          <w:szCs w:val="24"/>
        </w:rPr>
      </w:pPr>
      <w:r w:rsidRPr="00A90E28">
        <w:rPr>
          <w:sz w:val="24"/>
          <w:szCs w:val="24"/>
        </w:rPr>
        <w:t xml:space="preserve">where </w:t>
      </w:r>
      <w:r w:rsidRPr="00A90E28">
        <w:rPr>
          <w:i/>
          <w:sz w:val="24"/>
          <w:szCs w:val="24"/>
        </w:rPr>
        <w:t xml:space="preserve">h </w:t>
      </w:r>
      <w:r w:rsidR="004F03D1" w:rsidRPr="00A90E28">
        <w:rPr>
          <w:sz w:val="24"/>
          <w:szCs w:val="24"/>
        </w:rPr>
        <w:t>denotes</w:t>
      </w:r>
      <w:r w:rsidRPr="00A90E28">
        <w:rPr>
          <w:sz w:val="24"/>
          <w:szCs w:val="24"/>
        </w:rPr>
        <w:t xml:space="preserve"> an individual stratum, </w:t>
      </w:r>
      <w:r w:rsidRPr="00A90E28">
        <w:rPr>
          <w:i/>
          <w:sz w:val="24"/>
          <w:szCs w:val="24"/>
        </w:rPr>
        <w:t>N</w:t>
      </w:r>
      <w:r w:rsidR="004F03D1" w:rsidRPr="00A90E28">
        <w:rPr>
          <w:i/>
          <w:sz w:val="24"/>
          <w:szCs w:val="24"/>
          <w:vertAlign w:val="subscript"/>
        </w:rPr>
        <w:t>h</w:t>
      </w:r>
      <w:r w:rsidR="004F03D1" w:rsidRPr="00A90E28">
        <w:rPr>
          <w:sz w:val="24"/>
          <w:szCs w:val="24"/>
        </w:rPr>
        <w:t xml:space="preserve"> </w:t>
      </w:r>
      <w:r w:rsidRPr="00A90E28">
        <w:rPr>
          <w:sz w:val="24"/>
          <w:szCs w:val="24"/>
        </w:rPr>
        <w:t xml:space="preserve">equals the population of stratum </w:t>
      </w:r>
      <w:r w:rsidRPr="00A90E28">
        <w:rPr>
          <w:i/>
          <w:sz w:val="24"/>
          <w:szCs w:val="24"/>
        </w:rPr>
        <w:t>h</w:t>
      </w:r>
      <w:r w:rsidRPr="00A90E28">
        <w:rPr>
          <w:sz w:val="24"/>
          <w:szCs w:val="24"/>
        </w:rPr>
        <w:t>,</w:t>
      </w:r>
      <w:r w:rsidR="004F03D1" w:rsidRPr="00A90E28">
        <w:rPr>
          <w:sz w:val="24"/>
          <w:szCs w:val="24"/>
        </w:rPr>
        <w:t xml:space="preserve"> and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y</m:t>
                </m:r>
              </m:e>
            </m:acc>
          </m:e>
          <m:sub>
            <m:r>
              <w:rPr>
                <w:rFonts w:ascii="Cambria Math" w:hAnsi="Cambria Math"/>
                <w:sz w:val="24"/>
                <w:szCs w:val="24"/>
              </w:rPr>
              <m:t>h</m:t>
            </m:r>
          </m:sub>
        </m:sSub>
      </m:oMath>
      <w:r w:rsidRPr="00A90E28">
        <w:rPr>
          <w:sz w:val="24"/>
          <w:szCs w:val="24"/>
        </w:rPr>
        <w:t xml:space="preserve"> </w:t>
      </w:r>
      <w:r w:rsidRPr="00A90E28">
        <w:rPr>
          <w:rFonts w:eastAsia="Times New Roman"/>
          <w:sz w:val="24"/>
          <w:szCs w:val="24"/>
        </w:rPr>
        <w:t xml:space="preserve">equals the average of the attribute of interest of the sampled items in stratum </w:t>
      </w:r>
      <w:r w:rsidRPr="00A90E28">
        <w:rPr>
          <w:rFonts w:eastAsia="Times New Roman"/>
          <w:i/>
          <w:sz w:val="24"/>
          <w:szCs w:val="24"/>
        </w:rPr>
        <w:t>h.</w:t>
      </w:r>
      <w:r w:rsidRPr="00A90E28">
        <w:rPr>
          <w:rFonts w:eastAsia="Times New Roman"/>
          <w:sz w:val="24"/>
          <w:szCs w:val="24"/>
        </w:rPr>
        <w:t xml:space="preserve"> For example,</w:t>
      </w:r>
      <w:r w:rsidR="004F03D1" w:rsidRPr="00A90E28">
        <w:rPr>
          <w:rFonts w:eastAsia="Times New Roman"/>
          <w:sz w:val="24"/>
          <w:szCs w:val="24"/>
        </w:rPr>
        <w:t xml:space="preserve"> </w:t>
      </w:r>
      <m:oMath>
        <m:sSub>
          <m:sSubPr>
            <m:ctrlPr>
              <w:rPr>
                <w:rFonts w:ascii="Cambria Math" w:eastAsia="Times New Roman" w:hAnsi="Cambria Math"/>
                <w:i/>
                <w:sz w:val="24"/>
                <w:szCs w:val="24"/>
              </w:rPr>
            </m:ctrlPr>
          </m:sSubPr>
          <m:e>
            <m:acc>
              <m:accPr>
                <m:chr m:val="̅"/>
                <m:ctrlPr>
                  <w:rPr>
                    <w:rFonts w:ascii="Cambria Math" w:eastAsia="Times New Roman" w:hAnsi="Cambria Math"/>
                    <w:i/>
                    <w:sz w:val="24"/>
                    <w:szCs w:val="24"/>
                  </w:rPr>
                </m:ctrlPr>
              </m:accPr>
              <m:e>
                <m:r>
                  <w:rPr>
                    <w:rFonts w:ascii="Cambria Math" w:eastAsia="Times New Roman" w:hAnsi="Cambria Math"/>
                    <w:sz w:val="24"/>
                    <w:szCs w:val="24"/>
                  </w:rPr>
                  <m:t>y</m:t>
                </m:r>
              </m:e>
            </m:acc>
          </m:e>
          <m:sub>
            <m:r>
              <w:rPr>
                <w:rFonts w:ascii="Cambria Math" w:eastAsia="Times New Roman" w:hAnsi="Cambria Math"/>
                <w:sz w:val="24"/>
                <w:szCs w:val="24"/>
              </w:rPr>
              <m:t>h</m:t>
            </m:r>
          </m:sub>
        </m:sSub>
      </m:oMath>
      <w:r w:rsidR="004F03D1" w:rsidRPr="00A90E28">
        <w:rPr>
          <w:rFonts w:eastAsia="Times New Roman"/>
          <w:sz w:val="24"/>
          <w:szCs w:val="24"/>
        </w:rPr>
        <w:t xml:space="preserve"> c</w:t>
      </w:r>
      <w:r w:rsidRPr="00A90E28">
        <w:rPr>
          <w:rFonts w:eastAsia="Times New Roman"/>
          <w:sz w:val="24"/>
          <w:szCs w:val="24"/>
        </w:rPr>
        <w:t>ould represent the average amount of revenue within each stratum.</w:t>
      </w:r>
    </w:p>
    <w:p w:rsidR="007F76E4" w:rsidRPr="00A90E28" w:rsidRDefault="007F76E4" w:rsidP="00A90E28">
      <w:pPr>
        <w:ind w:left="360"/>
        <w:rPr>
          <w:sz w:val="24"/>
          <w:szCs w:val="24"/>
        </w:rPr>
      </w:pPr>
    </w:p>
    <w:p w:rsidR="007F76E4" w:rsidRPr="00A90E28" w:rsidRDefault="006D2DB7" w:rsidP="00A90E28">
      <w:pPr>
        <w:rPr>
          <w:sz w:val="24"/>
          <w:szCs w:val="24"/>
        </w:rPr>
      </w:pPr>
      <w:r>
        <w:rPr>
          <w:sz w:val="24"/>
          <w:szCs w:val="24"/>
        </w:rPr>
        <w:t>The</w:t>
      </w:r>
      <w:r w:rsidR="007F76E4" w:rsidRPr="00A90E28">
        <w:rPr>
          <w:sz w:val="24"/>
          <w:szCs w:val="24"/>
        </w:rPr>
        <w:t xml:space="preserve"> variance estimate </w:t>
      </w:r>
      <w:r>
        <w:rPr>
          <w:sz w:val="24"/>
          <w:szCs w:val="24"/>
        </w:rPr>
        <w:t xml:space="preserve">for sampling without replacement </w:t>
      </w:r>
      <w:r w:rsidR="007F76E4" w:rsidRPr="00A90E28">
        <w:rPr>
          <w:sz w:val="24"/>
          <w:szCs w:val="24"/>
        </w:rPr>
        <w:t xml:space="preserve">is </w:t>
      </w:r>
      <w:r w:rsidR="0051428F" w:rsidRPr="00A90E28">
        <w:rPr>
          <w:sz w:val="24"/>
          <w:szCs w:val="24"/>
        </w:rPr>
        <w:t>given by</w:t>
      </w:r>
    </w:p>
    <w:p w:rsidR="0051428F" w:rsidRPr="00A90E28" w:rsidRDefault="0051428F" w:rsidP="00A90E28">
      <w:pPr>
        <w:ind w:left="360" w:firstLine="360"/>
        <w:rPr>
          <w:sz w:val="24"/>
          <w:szCs w:val="24"/>
        </w:rPr>
      </w:pPr>
    </w:p>
    <w:p w:rsidR="007F76E4" w:rsidRPr="00A90E28" w:rsidRDefault="00E40453" w:rsidP="00A90E28">
      <w:pPr>
        <w:ind w:left="720"/>
        <w:rPr>
          <w:sz w:val="24"/>
          <w:szCs w:val="24"/>
        </w:rPr>
      </w:pPr>
      <m:oMath>
        <m:r>
          <w:rPr>
            <w:rFonts w:ascii="Cambria Math" w:hAnsi="Cambria Math"/>
            <w:sz w:val="24"/>
            <w:szCs w:val="24"/>
          </w:rPr>
          <m:t xml:space="preserve">var </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τ</m:t>
                </m:r>
              </m:e>
              <m:sub>
                <m:r>
                  <w:rPr>
                    <w:rFonts w:ascii="Cambria Math" w:hAnsi="Cambria Math"/>
                    <w:sz w:val="24"/>
                    <w:szCs w:val="24"/>
                  </w:rPr>
                  <m:t>st</m:t>
                </m:r>
              </m:sub>
            </m:sSub>
          </m:e>
        </m:d>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h=1</m:t>
            </m:r>
          </m:sub>
          <m:sup>
            <m:r>
              <w:rPr>
                <w:rFonts w:ascii="Cambria Math" w:hAnsi="Cambria Math"/>
                <w:sz w:val="24"/>
                <w:szCs w:val="24"/>
              </w:rPr>
              <m:t>L</m:t>
            </m:r>
          </m:sup>
          <m:e>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h</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h</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h</m:t>
                </m:r>
              </m:sub>
            </m:sSub>
          </m:e>
        </m:nary>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s</m:t>
                </m:r>
              </m:e>
              <m:sup>
                <m:r>
                  <w:rPr>
                    <w:rFonts w:ascii="Cambria Math" w:hAnsi="Cambria Math"/>
                    <w:sz w:val="24"/>
                    <w:szCs w:val="24"/>
                  </w:rPr>
                  <m:t>2</m:t>
                </m:r>
              </m:sup>
            </m:sSup>
          </m:num>
          <m:den>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h</m:t>
                </m:r>
              </m:sub>
            </m:sSub>
          </m:den>
        </m:f>
      </m:oMath>
      <w:r w:rsidR="00A90E28">
        <w:rPr>
          <w:sz w:val="24"/>
          <w:szCs w:val="24"/>
        </w:rPr>
        <w:tab/>
      </w:r>
      <w:r w:rsidR="00A90E28">
        <w:rPr>
          <w:sz w:val="24"/>
          <w:szCs w:val="24"/>
        </w:rPr>
        <w:tab/>
      </w:r>
      <w:r w:rsidR="00A90E28">
        <w:rPr>
          <w:sz w:val="24"/>
          <w:szCs w:val="24"/>
        </w:rPr>
        <w:tab/>
      </w:r>
      <w:r w:rsidR="00A90E28">
        <w:rPr>
          <w:sz w:val="24"/>
          <w:szCs w:val="24"/>
        </w:rPr>
        <w:tab/>
      </w:r>
      <w:r w:rsidR="00A90E28">
        <w:rPr>
          <w:sz w:val="24"/>
          <w:szCs w:val="24"/>
        </w:rPr>
        <w:tab/>
      </w:r>
      <w:r w:rsidR="00A90E28">
        <w:rPr>
          <w:sz w:val="24"/>
          <w:szCs w:val="24"/>
        </w:rPr>
        <w:tab/>
      </w:r>
      <w:r w:rsidR="0051428F" w:rsidRPr="00A90E28">
        <w:rPr>
          <w:sz w:val="24"/>
          <w:szCs w:val="24"/>
        </w:rPr>
        <w:t>(2)</w:t>
      </w:r>
    </w:p>
    <w:p w:rsidR="007F76E4" w:rsidRPr="00A90E28" w:rsidRDefault="007F76E4" w:rsidP="00A90E28">
      <w:pPr>
        <w:ind w:left="360"/>
        <w:rPr>
          <w:sz w:val="24"/>
          <w:szCs w:val="24"/>
        </w:rPr>
      </w:pPr>
    </w:p>
    <w:p w:rsidR="007F76E4" w:rsidRPr="00A90E28" w:rsidRDefault="007F76E4" w:rsidP="00A90E28">
      <w:pPr>
        <w:rPr>
          <w:sz w:val="24"/>
          <w:szCs w:val="24"/>
        </w:rPr>
      </w:pPr>
      <w:r w:rsidRPr="00A90E28">
        <w:rPr>
          <w:sz w:val="24"/>
          <w:szCs w:val="24"/>
        </w:rPr>
        <w:t xml:space="preserve">where </w:t>
      </w:r>
      <w:r w:rsidRPr="00A90E28">
        <w:rPr>
          <w:i/>
          <w:sz w:val="24"/>
          <w:szCs w:val="24"/>
        </w:rPr>
        <w:t>s</w:t>
      </w:r>
      <w:r w:rsidR="004F03D1" w:rsidRPr="00A90E28">
        <w:rPr>
          <w:sz w:val="24"/>
          <w:szCs w:val="24"/>
          <w:vertAlign w:val="superscript"/>
        </w:rPr>
        <w:t>2</w:t>
      </w:r>
      <w:r w:rsidR="004F03D1" w:rsidRPr="00A90E28">
        <w:rPr>
          <w:sz w:val="24"/>
          <w:szCs w:val="24"/>
        </w:rPr>
        <w:t xml:space="preserve"> e</w:t>
      </w:r>
      <w:r w:rsidRPr="00A90E28">
        <w:rPr>
          <w:sz w:val="24"/>
          <w:szCs w:val="24"/>
        </w:rPr>
        <w:t xml:space="preserve">quals the standard deviation of the attribute of interest within stratum </w:t>
      </w:r>
      <w:r w:rsidR="0051428F" w:rsidRPr="00A90E28">
        <w:rPr>
          <w:i/>
          <w:sz w:val="24"/>
          <w:szCs w:val="24"/>
        </w:rPr>
        <w:t>h</w:t>
      </w:r>
      <w:r w:rsidR="0051428F" w:rsidRPr="00A90E28">
        <w:rPr>
          <w:sz w:val="24"/>
          <w:szCs w:val="24"/>
        </w:rPr>
        <w:t xml:space="preserve">, and </w:t>
      </w:r>
      <w:r w:rsidR="0051428F" w:rsidRPr="00A90E28">
        <w:rPr>
          <w:i/>
          <w:sz w:val="24"/>
          <w:szCs w:val="24"/>
        </w:rPr>
        <w:t>n</w:t>
      </w:r>
      <w:r w:rsidR="0051428F" w:rsidRPr="00A90E28">
        <w:rPr>
          <w:i/>
          <w:sz w:val="24"/>
          <w:szCs w:val="24"/>
          <w:vertAlign w:val="subscript"/>
        </w:rPr>
        <w:t>h</w:t>
      </w:r>
      <w:r w:rsidR="000267D5" w:rsidRPr="00A90E28">
        <w:rPr>
          <w:sz w:val="24"/>
          <w:szCs w:val="24"/>
        </w:rPr>
        <w:t xml:space="preserve"> is the sample size for stratum </w:t>
      </w:r>
      <w:r w:rsidR="000267D5" w:rsidRPr="00A90E28">
        <w:rPr>
          <w:i/>
          <w:sz w:val="24"/>
          <w:szCs w:val="24"/>
        </w:rPr>
        <w:t>h</w:t>
      </w:r>
      <w:r w:rsidR="000267D5" w:rsidRPr="00A90E28">
        <w:rPr>
          <w:sz w:val="24"/>
          <w:szCs w:val="24"/>
        </w:rPr>
        <w:t>.</w:t>
      </w:r>
    </w:p>
    <w:p w:rsidR="0051428F" w:rsidRPr="00A90E28" w:rsidRDefault="0051428F" w:rsidP="00A90E28">
      <w:pPr>
        <w:ind w:left="720"/>
        <w:rPr>
          <w:sz w:val="24"/>
          <w:szCs w:val="24"/>
        </w:rPr>
      </w:pPr>
    </w:p>
    <w:p w:rsidR="007F76E4" w:rsidRPr="00A90E28" w:rsidRDefault="007F76E4" w:rsidP="00A90E28">
      <w:pPr>
        <w:rPr>
          <w:sz w:val="24"/>
          <w:szCs w:val="24"/>
        </w:rPr>
      </w:pPr>
      <w:r w:rsidRPr="00A90E28">
        <w:rPr>
          <w:sz w:val="24"/>
          <w:szCs w:val="24"/>
        </w:rPr>
        <w:t xml:space="preserve">Its standard error is </w:t>
      </w:r>
      <w:r w:rsidR="0051428F" w:rsidRPr="00A90E28">
        <w:rPr>
          <w:sz w:val="24"/>
          <w:szCs w:val="24"/>
        </w:rPr>
        <w:t>given by</w:t>
      </w:r>
    </w:p>
    <w:p w:rsidR="0051428F" w:rsidRPr="00A90E28" w:rsidRDefault="0051428F" w:rsidP="00A90E28">
      <w:pPr>
        <w:ind w:left="360" w:firstLine="360"/>
        <w:rPr>
          <w:sz w:val="24"/>
          <w:szCs w:val="24"/>
        </w:rPr>
      </w:pPr>
    </w:p>
    <w:p w:rsidR="007F76E4" w:rsidRPr="00A90E28" w:rsidRDefault="007F76E4" w:rsidP="00A90E28">
      <w:pPr>
        <w:ind w:left="720"/>
        <w:rPr>
          <w:rFonts w:eastAsia="Times New Roman"/>
          <w:sz w:val="24"/>
          <w:szCs w:val="24"/>
        </w:rPr>
      </w:pPr>
      <w:r w:rsidRPr="00A90E28">
        <w:rPr>
          <w:rFonts w:eastAsia="Times New Roman"/>
          <w:sz w:val="24"/>
          <w:szCs w:val="24"/>
        </w:rPr>
        <w:t>Standard error</w:t>
      </w:r>
      <w:r w:rsidR="0051428F" w:rsidRPr="00A90E28">
        <w:rPr>
          <w:rFonts w:eastAsia="Times New Roman"/>
          <w:sz w:val="24"/>
          <w:szCs w:val="24"/>
        </w:rPr>
        <w:t xml:space="preserve"> </w:t>
      </w:r>
      <w:r w:rsidRPr="00A90E28">
        <w:rPr>
          <w:rFonts w:eastAsia="Times New Roman"/>
          <w:sz w:val="24"/>
          <w:szCs w:val="24"/>
        </w:rPr>
        <w:t>=</w:t>
      </w:r>
      <w:r w:rsidR="0051428F" w:rsidRPr="00A90E28">
        <w:rPr>
          <w:rFonts w:eastAsia="Times New Roman"/>
          <w:sz w:val="24"/>
          <w:szCs w:val="24"/>
        </w:rPr>
        <w:t xml:space="preserve"> </w:t>
      </w:r>
      <m:oMath>
        <m:rad>
          <m:radPr>
            <m:degHide m:val="1"/>
            <m:ctrlPr>
              <w:rPr>
                <w:rFonts w:ascii="Cambria Math" w:hAnsi="Cambria Math"/>
                <w:i/>
                <w:sz w:val="24"/>
                <w:szCs w:val="24"/>
              </w:rPr>
            </m:ctrlPr>
          </m:radPr>
          <m:deg/>
          <m:e>
            <m:r>
              <w:rPr>
                <w:rFonts w:ascii="Cambria Math" w:hAnsi="Cambria Math"/>
                <w:sz w:val="24"/>
                <w:szCs w:val="24"/>
              </w:rPr>
              <m:t xml:space="preserve">var </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τ</m:t>
                    </m:r>
                  </m:e>
                  <m:sub>
                    <m:r>
                      <w:rPr>
                        <w:rFonts w:ascii="Cambria Math" w:hAnsi="Cambria Math"/>
                        <w:sz w:val="24"/>
                        <w:szCs w:val="24"/>
                      </w:rPr>
                      <m:t>st</m:t>
                    </m:r>
                  </m:sub>
                </m:sSub>
              </m:e>
            </m:d>
          </m:e>
        </m:rad>
      </m:oMath>
      <w:r w:rsidR="0051428F" w:rsidRPr="00A90E28">
        <w:rPr>
          <w:rFonts w:eastAsia="Times New Roman"/>
          <w:sz w:val="24"/>
          <w:szCs w:val="24"/>
        </w:rPr>
        <w:t xml:space="preserve"> </w:t>
      </w:r>
      <w:r w:rsidR="0051428F" w:rsidRPr="00A90E28">
        <w:rPr>
          <w:rFonts w:eastAsia="Times New Roman"/>
          <w:sz w:val="24"/>
          <w:szCs w:val="24"/>
        </w:rPr>
        <w:tab/>
      </w:r>
      <w:r w:rsidR="0051428F" w:rsidRPr="00A90E28">
        <w:rPr>
          <w:rFonts w:eastAsia="Times New Roman"/>
          <w:sz w:val="24"/>
          <w:szCs w:val="24"/>
        </w:rPr>
        <w:tab/>
      </w:r>
      <w:r w:rsidR="0051428F" w:rsidRPr="00A90E28">
        <w:rPr>
          <w:rFonts w:eastAsia="Times New Roman"/>
          <w:sz w:val="24"/>
          <w:szCs w:val="24"/>
        </w:rPr>
        <w:tab/>
      </w:r>
      <w:r w:rsidR="0051428F" w:rsidRPr="00A90E28">
        <w:rPr>
          <w:rFonts w:eastAsia="Times New Roman"/>
          <w:sz w:val="24"/>
          <w:szCs w:val="24"/>
        </w:rPr>
        <w:tab/>
      </w:r>
      <w:r w:rsidR="0051428F" w:rsidRPr="00A90E28">
        <w:rPr>
          <w:rFonts w:eastAsia="Times New Roman"/>
          <w:sz w:val="24"/>
          <w:szCs w:val="24"/>
        </w:rPr>
        <w:tab/>
      </w:r>
      <w:r w:rsidR="0051428F" w:rsidRPr="00A90E28">
        <w:rPr>
          <w:rFonts w:eastAsia="Times New Roman"/>
          <w:sz w:val="24"/>
          <w:szCs w:val="24"/>
        </w:rPr>
        <w:tab/>
      </w:r>
      <w:r w:rsidR="0051428F" w:rsidRPr="00A90E28">
        <w:rPr>
          <w:rFonts w:eastAsia="Times New Roman"/>
          <w:sz w:val="24"/>
          <w:szCs w:val="24"/>
        </w:rPr>
        <w:tab/>
        <w:t>(3)</w:t>
      </w:r>
    </w:p>
    <w:p w:rsidR="007F76E4" w:rsidRDefault="007F76E4" w:rsidP="00A90E28">
      <w:pPr>
        <w:ind w:left="360"/>
        <w:rPr>
          <w:rFonts w:eastAsia="Times New Roman"/>
          <w:sz w:val="24"/>
          <w:szCs w:val="24"/>
        </w:rPr>
      </w:pPr>
      <w:r w:rsidRPr="00A90E28">
        <w:rPr>
          <w:rFonts w:eastAsia="Times New Roman"/>
          <w:sz w:val="24"/>
          <w:szCs w:val="24"/>
        </w:rPr>
        <w:tab/>
      </w:r>
    </w:p>
    <w:p w:rsidR="00905A71" w:rsidRDefault="00905A71" w:rsidP="00A90E28">
      <w:pPr>
        <w:ind w:left="360"/>
        <w:rPr>
          <w:rFonts w:eastAsia="Times New Roman"/>
          <w:sz w:val="24"/>
          <w:szCs w:val="24"/>
        </w:rPr>
      </w:pPr>
    </w:p>
    <w:p w:rsidR="00905A71" w:rsidRPr="00A90E28" w:rsidRDefault="00905A71" w:rsidP="00A90E28">
      <w:pPr>
        <w:ind w:left="360"/>
        <w:rPr>
          <w:rFonts w:eastAsia="Times New Roman"/>
          <w:sz w:val="24"/>
          <w:szCs w:val="24"/>
        </w:rPr>
      </w:pPr>
    </w:p>
    <w:p w:rsidR="00717630" w:rsidRPr="00154DE5" w:rsidRDefault="00717630" w:rsidP="00154DE5">
      <w:pPr>
        <w:pStyle w:val="ListParagraph"/>
        <w:numPr>
          <w:ilvl w:val="0"/>
          <w:numId w:val="13"/>
        </w:numPr>
        <w:rPr>
          <w:rFonts w:ascii="Times New Roman" w:hAnsi="Times New Roman"/>
          <w:b/>
          <w:sz w:val="24"/>
          <w:szCs w:val="24"/>
        </w:rPr>
      </w:pPr>
      <w:r w:rsidRPr="00154DE5">
        <w:rPr>
          <w:rFonts w:ascii="Times New Roman" w:hAnsi="Times New Roman"/>
          <w:b/>
          <w:sz w:val="24"/>
          <w:szCs w:val="24"/>
        </w:rPr>
        <w:t>Degree of accuracy needed for the purpose described in the justification</w:t>
      </w:r>
    </w:p>
    <w:p w:rsidR="00FB4347" w:rsidRDefault="00FB4347" w:rsidP="00154DE5">
      <w:pPr>
        <w:rPr>
          <w:sz w:val="24"/>
          <w:szCs w:val="24"/>
        </w:rPr>
      </w:pPr>
      <w:r>
        <w:rPr>
          <w:sz w:val="24"/>
          <w:szCs w:val="24"/>
        </w:rPr>
        <w:t>I</w:t>
      </w:r>
      <w:r w:rsidR="00717630" w:rsidRPr="00A90E28">
        <w:rPr>
          <w:sz w:val="24"/>
          <w:szCs w:val="24"/>
        </w:rPr>
        <w:t xml:space="preserve">t is expected that </w:t>
      </w:r>
      <w:r w:rsidR="00751A33" w:rsidRPr="00A90E28">
        <w:rPr>
          <w:sz w:val="24"/>
          <w:szCs w:val="24"/>
        </w:rPr>
        <w:t>it will be feasible to produce statistically significant results for the majority of survey items at the aggregate level at a 90 percent confidence level</w:t>
      </w:r>
      <w:r w:rsidR="00F36CC7" w:rsidRPr="00A90E28">
        <w:rPr>
          <w:sz w:val="24"/>
          <w:szCs w:val="24"/>
        </w:rPr>
        <w:t>, both for the binary questions and for questions requiring responses in U.S. dollars</w:t>
      </w:r>
      <w:r w:rsidR="00751A33" w:rsidRPr="00A90E28">
        <w:rPr>
          <w:sz w:val="24"/>
          <w:szCs w:val="24"/>
        </w:rPr>
        <w:t>.</w:t>
      </w:r>
      <w:r w:rsidR="00637E08" w:rsidRPr="00A90E28">
        <w:rPr>
          <w:sz w:val="24"/>
          <w:szCs w:val="24"/>
        </w:rPr>
        <w:t xml:space="preserve"> </w:t>
      </w:r>
      <w:r>
        <w:rPr>
          <w:sz w:val="24"/>
          <w:szCs w:val="24"/>
        </w:rPr>
        <w:t xml:space="preserve">For example table 3 provides the maximum margin of error for a binary question, given </w:t>
      </w:r>
      <w:r w:rsidR="00294D38">
        <w:rPr>
          <w:sz w:val="24"/>
          <w:szCs w:val="24"/>
        </w:rPr>
        <w:t>alternative</w:t>
      </w:r>
      <w:r>
        <w:rPr>
          <w:sz w:val="24"/>
          <w:szCs w:val="24"/>
        </w:rPr>
        <w:t xml:space="preserve"> response rates. </w:t>
      </w:r>
      <w:r w:rsidR="00294D38">
        <w:rPr>
          <w:sz w:val="24"/>
          <w:szCs w:val="24"/>
        </w:rPr>
        <w:t>(These values are probably conservative, given that response rates to recent USITC surveys have ranged between 45 and 60 percent.)</w:t>
      </w:r>
      <w:r w:rsidR="00FA0A4A">
        <w:rPr>
          <w:sz w:val="24"/>
          <w:szCs w:val="24"/>
        </w:rPr>
        <w:t xml:space="preserve"> Note that this table is based on a sample size of 5,200; precision would increase if firms from the Census list are also included in the sample.</w:t>
      </w:r>
    </w:p>
    <w:p w:rsidR="00487B02" w:rsidRDefault="00487B02" w:rsidP="00154DE5">
      <w:pPr>
        <w:rPr>
          <w:sz w:val="24"/>
          <w:szCs w:val="24"/>
        </w:rPr>
      </w:pPr>
    </w:p>
    <w:p w:rsidR="00294D38" w:rsidRPr="00294D38" w:rsidRDefault="00294D38" w:rsidP="00294D38">
      <w:pPr>
        <w:pStyle w:val="CommentText"/>
        <w:rPr>
          <w:rFonts w:ascii="Arial" w:hAnsi="Arial" w:cs="Arial"/>
        </w:rPr>
      </w:pPr>
      <w:r w:rsidRPr="00294D38">
        <w:rPr>
          <w:rFonts w:ascii="Arial" w:hAnsi="Arial" w:cs="Arial"/>
          <w:b/>
        </w:rPr>
        <w:t>Table 3</w:t>
      </w:r>
      <w:r w:rsidRPr="00294D38">
        <w:rPr>
          <w:rFonts w:ascii="Arial" w:hAnsi="Arial" w:cs="Arial"/>
        </w:rPr>
        <w:t xml:space="preserve"> </w:t>
      </w:r>
      <w:r>
        <w:rPr>
          <w:rFonts w:ascii="Arial" w:hAnsi="Arial" w:cs="Arial"/>
        </w:rPr>
        <w:t xml:space="preserve"> </w:t>
      </w:r>
      <w:r w:rsidRPr="00294D38">
        <w:rPr>
          <w:rFonts w:ascii="Arial" w:hAnsi="Arial" w:cs="Arial"/>
        </w:rPr>
        <w:t>Margin of error for a 90% confidence interval</w:t>
      </w:r>
      <w:r w:rsidRPr="00294D38">
        <w:rPr>
          <w:rFonts w:ascii="Arial" w:hAnsi="Arial" w:cs="Arial"/>
          <w:vertAlign w:val="superscript"/>
        </w:rPr>
        <w:t>a</w:t>
      </w:r>
    </w:p>
    <w:tbl>
      <w:tblPr>
        <w:tblW w:w="0" w:type="auto"/>
        <w:tblInd w:w="101" w:type="dxa"/>
        <w:tblBorders>
          <w:top w:val="single" w:sz="4" w:space="0" w:color="auto"/>
          <w:bottom w:val="single" w:sz="4" w:space="0" w:color="auto"/>
        </w:tblBorders>
        <w:tblLook w:val="04A0" w:firstRow="1" w:lastRow="0" w:firstColumn="1" w:lastColumn="0" w:noHBand="0" w:noVBand="1"/>
      </w:tblPr>
      <w:tblGrid>
        <w:gridCol w:w="1890"/>
        <w:gridCol w:w="810"/>
        <w:gridCol w:w="1440"/>
        <w:gridCol w:w="1350"/>
        <w:gridCol w:w="1350"/>
      </w:tblGrid>
      <w:tr w:rsidR="00294D38" w:rsidRPr="00294D38" w:rsidTr="00294D38">
        <w:trPr>
          <w:trHeight w:val="300"/>
        </w:trPr>
        <w:tc>
          <w:tcPr>
            <w:tcW w:w="1890" w:type="dxa"/>
            <w:shd w:val="clear" w:color="auto" w:fill="auto"/>
            <w:noWrap/>
            <w:vAlign w:val="bottom"/>
            <w:hideMark/>
          </w:tcPr>
          <w:p w:rsidR="00294D38" w:rsidRPr="00294D38" w:rsidRDefault="00294D38" w:rsidP="00294D38">
            <w:pPr>
              <w:autoSpaceDE/>
              <w:autoSpaceDN/>
              <w:adjustRightInd/>
              <w:rPr>
                <w:rFonts w:ascii="Calibri" w:eastAsia="Times New Roman" w:hAnsi="Calibri" w:cs="Calibri"/>
                <w:color w:val="000000"/>
                <w:sz w:val="22"/>
                <w:szCs w:val="22"/>
              </w:rPr>
            </w:pPr>
          </w:p>
        </w:tc>
        <w:tc>
          <w:tcPr>
            <w:tcW w:w="4950" w:type="dxa"/>
            <w:gridSpan w:val="4"/>
            <w:tcBorders>
              <w:bottom w:val="single" w:sz="4" w:space="0" w:color="auto"/>
            </w:tcBorders>
            <w:shd w:val="clear" w:color="auto" w:fill="auto"/>
            <w:noWrap/>
            <w:vAlign w:val="bottom"/>
            <w:hideMark/>
          </w:tcPr>
          <w:p w:rsidR="00294D38" w:rsidRPr="00294D38" w:rsidRDefault="00294D38" w:rsidP="00294D38">
            <w:pPr>
              <w:autoSpaceDE/>
              <w:autoSpaceDN/>
              <w:adjustRightInd/>
              <w:jc w:val="center"/>
              <w:rPr>
                <w:rFonts w:ascii="Calibri" w:eastAsia="Times New Roman" w:hAnsi="Calibri" w:cs="Calibri"/>
                <w:color w:val="000000"/>
                <w:sz w:val="22"/>
                <w:szCs w:val="22"/>
              </w:rPr>
            </w:pPr>
            <w:r w:rsidRPr="00294D38">
              <w:rPr>
                <w:rFonts w:ascii="Calibri" w:eastAsia="Times New Roman" w:hAnsi="Calibri" w:cs="Calibri"/>
                <w:color w:val="000000"/>
                <w:sz w:val="22"/>
                <w:szCs w:val="22"/>
              </w:rPr>
              <w:t>Response Rates</w:t>
            </w:r>
          </w:p>
        </w:tc>
      </w:tr>
      <w:tr w:rsidR="00294D38" w:rsidRPr="00294D38" w:rsidTr="00294D38">
        <w:trPr>
          <w:trHeight w:val="300"/>
        </w:trPr>
        <w:tc>
          <w:tcPr>
            <w:tcW w:w="1890" w:type="dxa"/>
            <w:tcBorders>
              <w:bottom w:val="single" w:sz="4" w:space="0" w:color="auto"/>
            </w:tcBorders>
            <w:shd w:val="clear" w:color="auto" w:fill="auto"/>
            <w:noWrap/>
            <w:vAlign w:val="bottom"/>
            <w:hideMark/>
          </w:tcPr>
          <w:p w:rsidR="00294D38" w:rsidRPr="00294D38" w:rsidRDefault="00294D38" w:rsidP="00294D38">
            <w:pPr>
              <w:autoSpaceDE/>
              <w:autoSpaceDN/>
              <w:adjustRightInd/>
              <w:rPr>
                <w:rFonts w:ascii="Calibri" w:eastAsia="Times New Roman" w:hAnsi="Calibri" w:cs="Calibri"/>
                <w:color w:val="000000"/>
                <w:sz w:val="22"/>
                <w:szCs w:val="22"/>
              </w:rPr>
            </w:pPr>
          </w:p>
        </w:tc>
        <w:tc>
          <w:tcPr>
            <w:tcW w:w="810" w:type="dxa"/>
            <w:tcBorders>
              <w:top w:val="single" w:sz="4" w:space="0" w:color="auto"/>
              <w:bottom w:val="single" w:sz="4" w:space="0" w:color="auto"/>
            </w:tcBorders>
            <w:shd w:val="clear" w:color="auto" w:fill="auto"/>
            <w:noWrap/>
            <w:vAlign w:val="bottom"/>
            <w:hideMark/>
          </w:tcPr>
          <w:p w:rsidR="00294D38" w:rsidRPr="00294D38" w:rsidRDefault="00294D38" w:rsidP="00294D38">
            <w:pPr>
              <w:autoSpaceDE/>
              <w:autoSpaceDN/>
              <w:adjustRightInd/>
              <w:jc w:val="right"/>
              <w:rPr>
                <w:rFonts w:ascii="Calibri" w:eastAsia="Times New Roman" w:hAnsi="Calibri" w:cs="Calibri"/>
                <w:color w:val="000000"/>
                <w:sz w:val="22"/>
                <w:szCs w:val="22"/>
              </w:rPr>
            </w:pPr>
            <w:r>
              <w:rPr>
                <w:rFonts w:ascii="Calibri" w:eastAsia="Times New Roman" w:hAnsi="Calibri" w:cs="Calibri"/>
                <w:color w:val="000000"/>
                <w:sz w:val="22"/>
                <w:szCs w:val="22"/>
              </w:rPr>
              <w:t>20%</w:t>
            </w:r>
          </w:p>
        </w:tc>
        <w:tc>
          <w:tcPr>
            <w:tcW w:w="1440" w:type="dxa"/>
            <w:tcBorders>
              <w:top w:val="single" w:sz="4" w:space="0" w:color="auto"/>
              <w:bottom w:val="single" w:sz="4" w:space="0" w:color="auto"/>
            </w:tcBorders>
            <w:shd w:val="clear" w:color="auto" w:fill="auto"/>
            <w:noWrap/>
            <w:vAlign w:val="bottom"/>
            <w:hideMark/>
          </w:tcPr>
          <w:p w:rsidR="00294D38" w:rsidRPr="00294D38" w:rsidRDefault="00294D38" w:rsidP="00294D38">
            <w:pPr>
              <w:autoSpaceDE/>
              <w:autoSpaceDN/>
              <w:adjustRightInd/>
              <w:jc w:val="right"/>
              <w:rPr>
                <w:rFonts w:ascii="Calibri" w:eastAsia="Times New Roman" w:hAnsi="Calibri" w:cs="Calibri"/>
                <w:color w:val="000000"/>
                <w:sz w:val="22"/>
                <w:szCs w:val="22"/>
              </w:rPr>
            </w:pPr>
            <w:r>
              <w:rPr>
                <w:rFonts w:ascii="Calibri" w:eastAsia="Times New Roman" w:hAnsi="Calibri" w:cs="Calibri"/>
                <w:color w:val="000000"/>
                <w:sz w:val="22"/>
                <w:szCs w:val="22"/>
              </w:rPr>
              <w:t>30%</w:t>
            </w:r>
          </w:p>
        </w:tc>
        <w:tc>
          <w:tcPr>
            <w:tcW w:w="1350" w:type="dxa"/>
            <w:tcBorders>
              <w:top w:val="single" w:sz="4" w:space="0" w:color="auto"/>
              <w:bottom w:val="single" w:sz="4" w:space="0" w:color="auto"/>
            </w:tcBorders>
            <w:shd w:val="clear" w:color="auto" w:fill="auto"/>
            <w:noWrap/>
            <w:vAlign w:val="bottom"/>
            <w:hideMark/>
          </w:tcPr>
          <w:p w:rsidR="00294D38" w:rsidRPr="00294D38" w:rsidRDefault="00294D38" w:rsidP="00294D38">
            <w:pPr>
              <w:autoSpaceDE/>
              <w:autoSpaceDN/>
              <w:adjustRightInd/>
              <w:jc w:val="right"/>
              <w:rPr>
                <w:rFonts w:ascii="Calibri" w:eastAsia="Times New Roman" w:hAnsi="Calibri" w:cs="Calibri"/>
                <w:color w:val="000000"/>
                <w:sz w:val="22"/>
                <w:szCs w:val="22"/>
              </w:rPr>
            </w:pPr>
            <w:r>
              <w:rPr>
                <w:rFonts w:ascii="Calibri" w:eastAsia="Times New Roman" w:hAnsi="Calibri" w:cs="Calibri"/>
                <w:color w:val="000000"/>
                <w:sz w:val="22"/>
                <w:szCs w:val="22"/>
              </w:rPr>
              <w:t>40%</w:t>
            </w:r>
          </w:p>
        </w:tc>
        <w:tc>
          <w:tcPr>
            <w:tcW w:w="1350" w:type="dxa"/>
            <w:tcBorders>
              <w:top w:val="single" w:sz="4" w:space="0" w:color="auto"/>
              <w:bottom w:val="single" w:sz="4" w:space="0" w:color="auto"/>
            </w:tcBorders>
            <w:shd w:val="clear" w:color="auto" w:fill="auto"/>
            <w:noWrap/>
            <w:vAlign w:val="bottom"/>
            <w:hideMark/>
          </w:tcPr>
          <w:p w:rsidR="00294D38" w:rsidRPr="00294D38" w:rsidRDefault="00294D38" w:rsidP="00294D38">
            <w:pPr>
              <w:autoSpaceDE/>
              <w:autoSpaceDN/>
              <w:adjustRightInd/>
              <w:jc w:val="right"/>
              <w:rPr>
                <w:rFonts w:ascii="Calibri" w:eastAsia="Times New Roman" w:hAnsi="Calibri" w:cs="Calibri"/>
                <w:color w:val="000000"/>
                <w:sz w:val="22"/>
                <w:szCs w:val="22"/>
              </w:rPr>
            </w:pPr>
            <w:r>
              <w:rPr>
                <w:rFonts w:ascii="Calibri" w:eastAsia="Times New Roman" w:hAnsi="Calibri" w:cs="Calibri"/>
                <w:color w:val="000000"/>
                <w:sz w:val="22"/>
                <w:szCs w:val="22"/>
              </w:rPr>
              <w:t>50%</w:t>
            </w:r>
          </w:p>
        </w:tc>
      </w:tr>
      <w:tr w:rsidR="00294D38" w:rsidRPr="00294D38" w:rsidTr="00294D38">
        <w:trPr>
          <w:trHeight w:val="300"/>
        </w:trPr>
        <w:tc>
          <w:tcPr>
            <w:tcW w:w="1890" w:type="dxa"/>
            <w:tcBorders>
              <w:top w:val="single" w:sz="4" w:space="0" w:color="auto"/>
              <w:bottom w:val="nil"/>
            </w:tcBorders>
            <w:shd w:val="clear" w:color="auto" w:fill="auto"/>
            <w:noWrap/>
            <w:vAlign w:val="bottom"/>
            <w:hideMark/>
          </w:tcPr>
          <w:p w:rsidR="00294D38" w:rsidRPr="00294D38" w:rsidRDefault="00294D38" w:rsidP="00294D38">
            <w:pPr>
              <w:autoSpaceDE/>
              <w:autoSpaceDN/>
              <w:adjustRightInd/>
              <w:rPr>
                <w:rFonts w:ascii="Calibri" w:eastAsia="Times New Roman" w:hAnsi="Calibri" w:cs="Calibri"/>
                <w:color w:val="000000"/>
                <w:sz w:val="22"/>
                <w:szCs w:val="22"/>
              </w:rPr>
            </w:pPr>
            <w:r w:rsidRPr="00294D38">
              <w:rPr>
                <w:rFonts w:ascii="Calibri" w:eastAsia="Times New Roman" w:hAnsi="Calibri" w:cs="Calibri"/>
                <w:color w:val="000000"/>
                <w:sz w:val="22"/>
                <w:szCs w:val="22"/>
              </w:rPr>
              <w:t>Sample size</w:t>
            </w:r>
          </w:p>
        </w:tc>
        <w:tc>
          <w:tcPr>
            <w:tcW w:w="810" w:type="dxa"/>
            <w:tcBorders>
              <w:top w:val="single" w:sz="4" w:space="0" w:color="auto"/>
              <w:bottom w:val="nil"/>
            </w:tcBorders>
            <w:shd w:val="clear" w:color="auto" w:fill="auto"/>
            <w:noWrap/>
            <w:vAlign w:val="bottom"/>
            <w:hideMark/>
          </w:tcPr>
          <w:p w:rsidR="00294D38" w:rsidRPr="00294D38" w:rsidRDefault="00294D38" w:rsidP="00294D38">
            <w:pPr>
              <w:autoSpaceDE/>
              <w:autoSpaceDN/>
              <w:adjustRightInd/>
              <w:jc w:val="right"/>
              <w:rPr>
                <w:rFonts w:ascii="Calibri" w:eastAsia="Times New Roman" w:hAnsi="Calibri" w:cs="Calibri"/>
                <w:color w:val="000000"/>
                <w:sz w:val="22"/>
                <w:szCs w:val="22"/>
              </w:rPr>
            </w:pPr>
            <w:r w:rsidRPr="00294D38">
              <w:rPr>
                <w:rFonts w:ascii="Calibri" w:eastAsia="Times New Roman" w:hAnsi="Calibri" w:cs="Calibri"/>
                <w:color w:val="000000"/>
                <w:sz w:val="22"/>
                <w:szCs w:val="22"/>
              </w:rPr>
              <w:t>1</w:t>
            </w:r>
            <w:r>
              <w:rPr>
                <w:rFonts w:ascii="Calibri" w:eastAsia="Times New Roman" w:hAnsi="Calibri" w:cs="Calibri"/>
                <w:color w:val="000000"/>
                <w:sz w:val="22"/>
                <w:szCs w:val="22"/>
              </w:rPr>
              <w:t>,</w:t>
            </w:r>
            <w:r w:rsidRPr="00294D38">
              <w:rPr>
                <w:rFonts w:ascii="Calibri" w:eastAsia="Times New Roman" w:hAnsi="Calibri" w:cs="Calibri"/>
                <w:color w:val="000000"/>
                <w:sz w:val="22"/>
                <w:szCs w:val="22"/>
              </w:rPr>
              <w:t>040</w:t>
            </w:r>
          </w:p>
        </w:tc>
        <w:tc>
          <w:tcPr>
            <w:tcW w:w="1440" w:type="dxa"/>
            <w:tcBorders>
              <w:top w:val="single" w:sz="4" w:space="0" w:color="auto"/>
              <w:bottom w:val="nil"/>
            </w:tcBorders>
            <w:shd w:val="clear" w:color="auto" w:fill="auto"/>
            <w:noWrap/>
            <w:vAlign w:val="bottom"/>
            <w:hideMark/>
          </w:tcPr>
          <w:p w:rsidR="00294D38" w:rsidRPr="00294D38" w:rsidRDefault="00294D38" w:rsidP="00294D38">
            <w:pPr>
              <w:autoSpaceDE/>
              <w:autoSpaceDN/>
              <w:adjustRightInd/>
              <w:jc w:val="right"/>
              <w:rPr>
                <w:rFonts w:ascii="Calibri" w:eastAsia="Times New Roman" w:hAnsi="Calibri" w:cs="Calibri"/>
                <w:color w:val="000000"/>
                <w:sz w:val="22"/>
                <w:szCs w:val="22"/>
              </w:rPr>
            </w:pPr>
            <w:r w:rsidRPr="00294D38">
              <w:rPr>
                <w:rFonts w:ascii="Calibri" w:eastAsia="Times New Roman" w:hAnsi="Calibri" w:cs="Calibri"/>
                <w:color w:val="000000"/>
                <w:sz w:val="22"/>
                <w:szCs w:val="22"/>
              </w:rPr>
              <w:t>1</w:t>
            </w:r>
            <w:r>
              <w:rPr>
                <w:rFonts w:ascii="Calibri" w:eastAsia="Times New Roman" w:hAnsi="Calibri" w:cs="Calibri"/>
                <w:color w:val="000000"/>
                <w:sz w:val="22"/>
                <w:szCs w:val="22"/>
              </w:rPr>
              <w:t>,</w:t>
            </w:r>
            <w:r w:rsidRPr="00294D38">
              <w:rPr>
                <w:rFonts w:ascii="Calibri" w:eastAsia="Times New Roman" w:hAnsi="Calibri" w:cs="Calibri"/>
                <w:color w:val="000000"/>
                <w:sz w:val="22"/>
                <w:szCs w:val="22"/>
              </w:rPr>
              <w:t>560</w:t>
            </w:r>
          </w:p>
        </w:tc>
        <w:tc>
          <w:tcPr>
            <w:tcW w:w="1350" w:type="dxa"/>
            <w:tcBorders>
              <w:top w:val="single" w:sz="4" w:space="0" w:color="auto"/>
              <w:bottom w:val="nil"/>
            </w:tcBorders>
            <w:shd w:val="clear" w:color="auto" w:fill="auto"/>
            <w:noWrap/>
            <w:vAlign w:val="bottom"/>
            <w:hideMark/>
          </w:tcPr>
          <w:p w:rsidR="00294D38" w:rsidRPr="00294D38" w:rsidRDefault="00294D38" w:rsidP="00294D38">
            <w:pPr>
              <w:autoSpaceDE/>
              <w:autoSpaceDN/>
              <w:adjustRightInd/>
              <w:jc w:val="right"/>
              <w:rPr>
                <w:rFonts w:ascii="Calibri" w:eastAsia="Times New Roman" w:hAnsi="Calibri" w:cs="Calibri"/>
                <w:color w:val="000000"/>
                <w:sz w:val="22"/>
                <w:szCs w:val="22"/>
              </w:rPr>
            </w:pPr>
            <w:r w:rsidRPr="00294D38">
              <w:rPr>
                <w:rFonts w:ascii="Calibri" w:eastAsia="Times New Roman" w:hAnsi="Calibri" w:cs="Calibri"/>
                <w:color w:val="000000"/>
                <w:sz w:val="22"/>
                <w:szCs w:val="22"/>
              </w:rPr>
              <w:t>2</w:t>
            </w:r>
            <w:r>
              <w:rPr>
                <w:rFonts w:ascii="Calibri" w:eastAsia="Times New Roman" w:hAnsi="Calibri" w:cs="Calibri"/>
                <w:color w:val="000000"/>
                <w:sz w:val="22"/>
                <w:szCs w:val="22"/>
              </w:rPr>
              <w:t>,</w:t>
            </w:r>
            <w:r w:rsidRPr="00294D38">
              <w:rPr>
                <w:rFonts w:ascii="Calibri" w:eastAsia="Times New Roman" w:hAnsi="Calibri" w:cs="Calibri"/>
                <w:color w:val="000000"/>
                <w:sz w:val="22"/>
                <w:szCs w:val="22"/>
              </w:rPr>
              <w:t>080</w:t>
            </w:r>
          </w:p>
        </w:tc>
        <w:tc>
          <w:tcPr>
            <w:tcW w:w="1350" w:type="dxa"/>
            <w:tcBorders>
              <w:top w:val="single" w:sz="4" w:space="0" w:color="auto"/>
              <w:bottom w:val="nil"/>
            </w:tcBorders>
            <w:shd w:val="clear" w:color="auto" w:fill="auto"/>
            <w:noWrap/>
            <w:vAlign w:val="bottom"/>
            <w:hideMark/>
          </w:tcPr>
          <w:p w:rsidR="00294D38" w:rsidRPr="00294D38" w:rsidRDefault="00294D38" w:rsidP="00294D38">
            <w:pPr>
              <w:autoSpaceDE/>
              <w:autoSpaceDN/>
              <w:adjustRightInd/>
              <w:jc w:val="right"/>
              <w:rPr>
                <w:rFonts w:ascii="Calibri" w:eastAsia="Times New Roman" w:hAnsi="Calibri" w:cs="Calibri"/>
                <w:color w:val="000000"/>
                <w:sz w:val="22"/>
                <w:szCs w:val="22"/>
              </w:rPr>
            </w:pPr>
            <w:r w:rsidRPr="00294D38">
              <w:rPr>
                <w:rFonts w:ascii="Calibri" w:eastAsia="Times New Roman" w:hAnsi="Calibri" w:cs="Calibri"/>
                <w:color w:val="000000"/>
                <w:sz w:val="22"/>
                <w:szCs w:val="22"/>
              </w:rPr>
              <w:t>2</w:t>
            </w:r>
            <w:r>
              <w:rPr>
                <w:rFonts w:ascii="Calibri" w:eastAsia="Times New Roman" w:hAnsi="Calibri" w:cs="Calibri"/>
                <w:color w:val="000000"/>
                <w:sz w:val="22"/>
                <w:szCs w:val="22"/>
              </w:rPr>
              <w:t>,</w:t>
            </w:r>
            <w:r w:rsidRPr="00294D38">
              <w:rPr>
                <w:rFonts w:ascii="Calibri" w:eastAsia="Times New Roman" w:hAnsi="Calibri" w:cs="Calibri"/>
                <w:color w:val="000000"/>
                <w:sz w:val="22"/>
                <w:szCs w:val="22"/>
              </w:rPr>
              <w:t>600</w:t>
            </w:r>
          </w:p>
        </w:tc>
      </w:tr>
      <w:tr w:rsidR="00294D38" w:rsidRPr="00294D38" w:rsidTr="00294D38">
        <w:trPr>
          <w:trHeight w:val="300"/>
        </w:trPr>
        <w:tc>
          <w:tcPr>
            <w:tcW w:w="1890" w:type="dxa"/>
            <w:tcBorders>
              <w:top w:val="nil"/>
            </w:tcBorders>
            <w:shd w:val="clear" w:color="auto" w:fill="auto"/>
            <w:noWrap/>
            <w:vAlign w:val="bottom"/>
            <w:hideMark/>
          </w:tcPr>
          <w:p w:rsidR="00294D38" w:rsidRPr="00294D38" w:rsidRDefault="00294D38" w:rsidP="00294D38">
            <w:pPr>
              <w:autoSpaceDE/>
              <w:autoSpaceDN/>
              <w:adjustRightInd/>
              <w:rPr>
                <w:rFonts w:ascii="Calibri" w:eastAsia="Times New Roman" w:hAnsi="Calibri" w:cs="Calibri"/>
                <w:color w:val="000000"/>
                <w:sz w:val="22"/>
                <w:szCs w:val="22"/>
              </w:rPr>
            </w:pPr>
            <w:r w:rsidRPr="00294D38">
              <w:rPr>
                <w:rFonts w:ascii="Calibri" w:eastAsia="Times New Roman" w:hAnsi="Calibri" w:cs="Calibri"/>
                <w:color w:val="000000"/>
                <w:sz w:val="22"/>
                <w:szCs w:val="22"/>
              </w:rPr>
              <w:t>Standard error</w:t>
            </w:r>
          </w:p>
        </w:tc>
        <w:tc>
          <w:tcPr>
            <w:tcW w:w="810" w:type="dxa"/>
            <w:tcBorders>
              <w:top w:val="nil"/>
            </w:tcBorders>
            <w:shd w:val="clear" w:color="auto" w:fill="auto"/>
            <w:noWrap/>
            <w:vAlign w:val="bottom"/>
            <w:hideMark/>
          </w:tcPr>
          <w:p w:rsidR="00294D38" w:rsidRPr="00294D38" w:rsidRDefault="00294D38" w:rsidP="00294D38">
            <w:pPr>
              <w:autoSpaceDE/>
              <w:autoSpaceDN/>
              <w:adjustRightInd/>
              <w:jc w:val="right"/>
              <w:rPr>
                <w:rFonts w:ascii="Calibri" w:eastAsia="Times New Roman" w:hAnsi="Calibri" w:cs="Calibri"/>
                <w:color w:val="000000"/>
                <w:sz w:val="22"/>
                <w:szCs w:val="22"/>
              </w:rPr>
            </w:pPr>
            <w:r w:rsidRPr="00294D38">
              <w:rPr>
                <w:rFonts w:ascii="Calibri" w:eastAsia="Times New Roman" w:hAnsi="Calibri" w:cs="Calibri"/>
                <w:color w:val="000000"/>
                <w:sz w:val="22"/>
                <w:szCs w:val="22"/>
              </w:rPr>
              <w:t>1.55%</w:t>
            </w:r>
          </w:p>
        </w:tc>
        <w:tc>
          <w:tcPr>
            <w:tcW w:w="1440" w:type="dxa"/>
            <w:tcBorders>
              <w:top w:val="nil"/>
            </w:tcBorders>
            <w:shd w:val="clear" w:color="auto" w:fill="auto"/>
            <w:noWrap/>
            <w:vAlign w:val="bottom"/>
            <w:hideMark/>
          </w:tcPr>
          <w:p w:rsidR="00294D38" w:rsidRPr="00294D38" w:rsidRDefault="00294D38" w:rsidP="00294D38">
            <w:pPr>
              <w:autoSpaceDE/>
              <w:autoSpaceDN/>
              <w:adjustRightInd/>
              <w:jc w:val="right"/>
              <w:rPr>
                <w:rFonts w:ascii="Calibri" w:eastAsia="Times New Roman" w:hAnsi="Calibri" w:cs="Calibri"/>
                <w:color w:val="000000"/>
                <w:sz w:val="22"/>
                <w:szCs w:val="22"/>
              </w:rPr>
            </w:pPr>
            <w:r w:rsidRPr="00294D38">
              <w:rPr>
                <w:rFonts w:ascii="Calibri" w:eastAsia="Times New Roman" w:hAnsi="Calibri" w:cs="Calibri"/>
                <w:color w:val="000000"/>
                <w:sz w:val="22"/>
                <w:szCs w:val="22"/>
              </w:rPr>
              <w:t>1.27%</w:t>
            </w:r>
          </w:p>
        </w:tc>
        <w:tc>
          <w:tcPr>
            <w:tcW w:w="1350" w:type="dxa"/>
            <w:tcBorders>
              <w:top w:val="nil"/>
            </w:tcBorders>
            <w:shd w:val="clear" w:color="auto" w:fill="auto"/>
            <w:noWrap/>
            <w:vAlign w:val="bottom"/>
            <w:hideMark/>
          </w:tcPr>
          <w:p w:rsidR="00294D38" w:rsidRPr="00294D38" w:rsidRDefault="00294D38" w:rsidP="00294D38">
            <w:pPr>
              <w:autoSpaceDE/>
              <w:autoSpaceDN/>
              <w:adjustRightInd/>
              <w:jc w:val="right"/>
              <w:rPr>
                <w:rFonts w:ascii="Calibri" w:eastAsia="Times New Roman" w:hAnsi="Calibri" w:cs="Calibri"/>
                <w:color w:val="000000"/>
                <w:sz w:val="22"/>
                <w:szCs w:val="22"/>
              </w:rPr>
            </w:pPr>
            <w:r w:rsidRPr="00294D38">
              <w:rPr>
                <w:rFonts w:ascii="Calibri" w:eastAsia="Times New Roman" w:hAnsi="Calibri" w:cs="Calibri"/>
                <w:color w:val="000000"/>
                <w:sz w:val="22"/>
                <w:szCs w:val="22"/>
              </w:rPr>
              <w:t>1.10%</w:t>
            </w:r>
          </w:p>
        </w:tc>
        <w:tc>
          <w:tcPr>
            <w:tcW w:w="1350" w:type="dxa"/>
            <w:tcBorders>
              <w:top w:val="nil"/>
            </w:tcBorders>
            <w:shd w:val="clear" w:color="auto" w:fill="auto"/>
            <w:noWrap/>
            <w:vAlign w:val="bottom"/>
            <w:hideMark/>
          </w:tcPr>
          <w:p w:rsidR="00294D38" w:rsidRPr="00294D38" w:rsidRDefault="00294D38" w:rsidP="00294D38">
            <w:pPr>
              <w:autoSpaceDE/>
              <w:autoSpaceDN/>
              <w:adjustRightInd/>
              <w:jc w:val="right"/>
              <w:rPr>
                <w:rFonts w:ascii="Calibri" w:eastAsia="Times New Roman" w:hAnsi="Calibri" w:cs="Calibri"/>
                <w:color w:val="000000"/>
                <w:sz w:val="22"/>
                <w:szCs w:val="22"/>
              </w:rPr>
            </w:pPr>
            <w:r w:rsidRPr="00294D38">
              <w:rPr>
                <w:rFonts w:ascii="Calibri" w:eastAsia="Times New Roman" w:hAnsi="Calibri" w:cs="Calibri"/>
                <w:color w:val="000000"/>
                <w:sz w:val="22"/>
                <w:szCs w:val="22"/>
              </w:rPr>
              <w:t>0.98%</w:t>
            </w:r>
          </w:p>
        </w:tc>
      </w:tr>
      <w:tr w:rsidR="00294D38" w:rsidRPr="00294D38" w:rsidTr="00294D38">
        <w:trPr>
          <w:trHeight w:val="300"/>
        </w:trPr>
        <w:tc>
          <w:tcPr>
            <w:tcW w:w="1890" w:type="dxa"/>
            <w:shd w:val="clear" w:color="auto" w:fill="auto"/>
            <w:noWrap/>
            <w:vAlign w:val="bottom"/>
            <w:hideMark/>
          </w:tcPr>
          <w:p w:rsidR="00294D38" w:rsidRPr="00294D38" w:rsidRDefault="00294D38" w:rsidP="00294D38">
            <w:pPr>
              <w:autoSpaceDE/>
              <w:autoSpaceDN/>
              <w:adjustRightInd/>
              <w:rPr>
                <w:rFonts w:ascii="Calibri" w:eastAsia="Times New Roman" w:hAnsi="Calibri" w:cs="Calibri"/>
                <w:color w:val="000000"/>
                <w:sz w:val="22"/>
                <w:szCs w:val="22"/>
              </w:rPr>
            </w:pPr>
            <w:r>
              <w:rPr>
                <w:rFonts w:ascii="Calibri" w:eastAsia="Times New Roman" w:hAnsi="Calibri" w:cs="Calibri"/>
                <w:color w:val="000000"/>
                <w:sz w:val="22"/>
                <w:szCs w:val="22"/>
              </w:rPr>
              <w:t>Margin of error</w:t>
            </w:r>
          </w:p>
        </w:tc>
        <w:tc>
          <w:tcPr>
            <w:tcW w:w="810" w:type="dxa"/>
            <w:shd w:val="clear" w:color="auto" w:fill="auto"/>
            <w:noWrap/>
            <w:vAlign w:val="bottom"/>
            <w:hideMark/>
          </w:tcPr>
          <w:p w:rsidR="00294D38" w:rsidRPr="00294D38" w:rsidRDefault="00294D38" w:rsidP="00294D38">
            <w:pPr>
              <w:autoSpaceDE/>
              <w:autoSpaceDN/>
              <w:adjustRightInd/>
              <w:jc w:val="right"/>
              <w:rPr>
                <w:rFonts w:ascii="Calibri" w:eastAsia="Times New Roman" w:hAnsi="Calibri" w:cs="Calibri"/>
                <w:color w:val="000000"/>
                <w:sz w:val="22"/>
                <w:szCs w:val="22"/>
              </w:rPr>
            </w:pPr>
            <w:r w:rsidRPr="00294D38">
              <w:rPr>
                <w:rFonts w:ascii="Calibri" w:eastAsia="Times New Roman" w:hAnsi="Calibri" w:cs="Calibri"/>
                <w:color w:val="000000"/>
                <w:sz w:val="22"/>
                <w:szCs w:val="22"/>
              </w:rPr>
              <w:t>2.55%</w:t>
            </w:r>
          </w:p>
        </w:tc>
        <w:tc>
          <w:tcPr>
            <w:tcW w:w="1440" w:type="dxa"/>
            <w:shd w:val="clear" w:color="auto" w:fill="auto"/>
            <w:noWrap/>
            <w:vAlign w:val="bottom"/>
            <w:hideMark/>
          </w:tcPr>
          <w:p w:rsidR="00294D38" w:rsidRPr="00294D38" w:rsidRDefault="00294D38" w:rsidP="00294D38">
            <w:pPr>
              <w:autoSpaceDE/>
              <w:autoSpaceDN/>
              <w:adjustRightInd/>
              <w:jc w:val="right"/>
              <w:rPr>
                <w:rFonts w:ascii="Calibri" w:eastAsia="Times New Roman" w:hAnsi="Calibri" w:cs="Calibri"/>
                <w:color w:val="000000"/>
                <w:sz w:val="22"/>
                <w:szCs w:val="22"/>
              </w:rPr>
            </w:pPr>
            <w:r w:rsidRPr="00294D38">
              <w:rPr>
                <w:rFonts w:ascii="Calibri" w:eastAsia="Times New Roman" w:hAnsi="Calibri" w:cs="Calibri"/>
                <w:color w:val="000000"/>
                <w:sz w:val="22"/>
                <w:szCs w:val="22"/>
              </w:rPr>
              <w:t>2.08%</w:t>
            </w:r>
          </w:p>
        </w:tc>
        <w:tc>
          <w:tcPr>
            <w:tcW w:w="1350" w:type="dxa"/>
            <w:shd w:val="clear" w:color="auto" w:fill="auto"/>
            <w:noWrap/>
            <w:vAlign w:val="bottom"/>
            <w:hideMark/>
          </w:tcPr>
          <w:p w:rsidR="00294D38" w:rsidRPr="00294D38" w:rsidRDefault="00294D38" w:rsidP="00294D38">
            <w:pPr>
              <w:autoSpaceDE/>
              <w:autoSpaceDN/>
              <w:adjustRightInd/>
              <w:jc w:val="right"/>
              <w:rPr>
                <w:rFonts w:ascii="Calibri" w:eastAsia="Times New Roman" w:hAnsi="Calibri" w:cs="Calibri"/>
                <w:color w:val="000000"/>
                <w:sz w:val="22"/>
                <w:szCs w:val="22"/>
              </w:rPr>
            </w:pPr>
            <w:r w:rsidRPr="00294D38">
              <w:rPr>
                <w:rFonts w:ascii="Calibri" w:eastAsia="Times New Roman" w:hAnsi="Calibri" w:cs="Calibri"/>
                <w:color w:val="000000"/>
                <w:sz w:val="22"/>
                <w:szCs w:val="22"/>
              </w:rPr>
              <w:t>1.80%</w:t>
            </w:r>
          </w:p>
        </w:tc>
        <w:tc>
          <w:tcPr>
            <w:tcW w:w="1350" w:type="dxa"/>
            <w:shd w:val="clear" w:color="auto" w:fill="auto"/>
            <w:noWrap/>
            <w:vAlign w:val="bottom"/>
            <w:hideMark/>
          </w:tcPr>
          <w:p w:rsidR="00294D38" w:rsidRPr="00294D38" w:rsidRDefault="00294D38" w:rsidP="00294D38">
            <w:pPr>
              <w:autoSpaceDE/>
              <w:autoSpaceDN/>
              <w:adjustRightInd/>
              <w:jc w:val="right"/>
              <w:rPr>
                <w:rFonts w:ascii="Calibri" w:eastAsia="Times New Roman" w:hAnsi="Calibri" w:cs="Calibri"/>
                <w:color w:val="000000"/>
                <w:sz w:val="22"/>
                <w:szCs w:val="22"/>
              </w:rPr>
            </w:pPr>
            <w:r w:rsidRPr="00294D38">
              <w:rPr>
                <w:rFonts w:ascii="Calibri" w:eastAsia="Times New Roman" w:hAnsi="Calibri" w:cs="Calibri"/>
                <w:color w:val="000000"/>
                <w:sz w:val="22"/>
                <w:szCs w:val="22"/>
              </w:rPr>
              <w:t>1.61%</w:t>
            </w:r>
          </w:p>
        </w:tc>
      </w:tr>
    </w:tbl>
    <w:p w:rsidR="00294D38" w:rsidRDefault="00294D38" w:rsidP="00154DE5">
      <w:pPr>
        <w:rPr>
          <w:sz w:val="24"/>
          <w:szCs w:val="24"/>
        </w:rPr>
      </w:pPr>
    </w:p>
    <w:p w:rsidR="00294D38" w:rsidRPr="00294D38" w:rsidRDefault="00F34F7E" w:rsidP="00154DE5">
      <w:pPr>
        <w:rPr>
          <w:rFonts w:ascii="Arial" w:hAnsi="Arial" w:cs="Arial"/>
        </w:rPr>
      </w:pPr>
      <w:r>
        <w:rPr>
          <w:rFonts w:ascii="Arial" w:hAnsi="Arial" w:cs="Arial"/>
          <w:vertAlign w:val="superscript"/>
        </w:rPr>
        <w:t xml:space="preserve">   </w:t>
      </w:r>
      <w:r w:rsidR="00294D38" w:rsidRPr="00294D38">
        <w:rPr>
          <w:rFonts w:ascii="Arial" w:hAnsi="Arial" w:cs="Arial"/>
          <w:vertAlign w:val="superscript"/>
        </w:rPr>
        <w:t>a</w:t>
      </w:r>
      <w:r w:rsidR="00294D38" w:rsidRPr="00294D38">
        <w:rPr>
          <w:rFonts w:ascii="Arial" w:hAnsi="Arial" w:cs="Arial"/>
        </w:rPr>
        <w:t>Assuming the maximum margin of error of 50% for a binary question.</w:t>
      </w:r>
    </w:p>
    <w:p w:rsidR="00FB4347" w:rsidRDefault="00FB4347" w:rsidP="00154DE5">
      <w:pPr>
        <w:rPr>
          <w:sz w:val="24"/>
          <w:szCs w:val="24"/>
        </w:rPr>
      </w:pPr>
    </w:p>
    <w:p w:rsidR="00E438AA" w:rsidRPr="00A90E28" w:rsidRDefault="001F6E13" w:rsidP="00154DE5">
      <w:pPr>
        <w:rPr>
          <w:sz w:val="24"/>
          <w:szCs w:val="24"/>
        </w:rPr>
      </w:pPr>
      <w:r w:rsidRPr="00A90E28">
        <w:rPr>
          <w:sz w:val="24"/>
          <w:szCs w:val="24"/>
        </w:rPr>
        <w:t xml:space="preserve">Given the sample size per stratum, it is assumed that it will </w:t>
      </w:r>
      <w:r w:rsidR="00FB4347">
        <w:rPr>
          <w:sz w:val="24"/>
          <w:szCs w:val="24"/>
        </w:rPr>
        <w:t xml:space="preserve">also </w:t>
      </w:r>
      <w:r w:rsidRPr="00A90E28">
        <w:rPr>
          <w:sz w:val="24"/>
          <w:szCs w:val="24"/>
        </w:rPr>
        <w:t xml:space="preserve">be </w:t>
      </w:r>
      <w:r w:rsidR="00717630" w:rsidRPr="00A90E28">
        <w:rPr>
          <w:sz w:val="24"/>
          <w:szCs w:val="24"/>
        </w:rPr>
        <w:t xml:space="preserve">feasible to distinguish the responses </w:t>
      </w:r>
      <w:r w:rsidR="000539CF" w:rsidRPr="00A90E28">
        <w:rPr>
          <w:sz w:val="24"/>
          <w:szCs w:val="24"/>
        </w:rPr>
        <w:t xml:space="preserve">across the largest </w:t>
      </w:r>
      <w:r w:rsidR="00611BE6" w:rsidRPr="00A90E28">
        <w:rPr>
          <w:sz w:val="24"/>
          <w:szCs w:val="24"/>
        </w:rPr>
        <w:t xml:space="preserve">industries </w:t>
      </w:r>
      <w:r w:rsidR="00717630" w:rsidRPr="00A90E28">
        <w:rPr>
          <w:sz w:val="24"/>
          <w:szCs w:val="24"/>
        </w:rPr>
        <w:t xml:space="preserve">within a </w:t>
      </w:r>
      <w:r w:rsidR="000539CF" w:rsidRPr="00A90E28">
        <w:rPr>
          <w:sz w:val="24"/>
          <w:szCs w:val="24"/>
        </w:rPr>
        <w:t xml:space="preserve">90 </w:t>
      </w:r>
      <w:r w:rsidR="00717630" w:rsidRPr="00A90E28">
        <w:rPr>
          <w:sz w:val="24"/>
          <w:szCs w:val="24"/>
        </w:rPr>
        <w:t>percent confidence</w:t>
      </w:r>
      <w:r w:rsidRPr="00A90E28">
        <w:rPr>
          <w:sz w:val="24"/>
          <w:szCs w:val="24"/>
        </w:rPr>
        <w:t xml:space="preserve"> interval</w:t>
      </w:r>
      <w:r w:rsidR="00717630" w:rsidRPr="00A90E28">
        <w:rPr>
          <w:sz w:val="24"/>
          <w:szCs w:val="24"/>
        </w:rPr>
        <w:t>. This degree of confidence is sufficient for the purposes described in the justification.</w:t>
      </w:r>
    </w:p>
    <w:p w:rsidR="00717630" w:rsidRPr="00A90E28" w:rsidRDefault="00717630" w:rsidP="00A90E28">
      <w:pPr>
        <w:ind w:left="720"/>
        <w:rPr>
          <w:sz w:val="24"/>
          <w:szCs w:val="24"/>
        </w:rPr>
      </w:pPr>
    </w:p>
    <w:p w:rsidR="00717630" w:rsidRPr="00A90E28" w:rsidRDefault="00717630" w:rsidP="00154DE5">
      <w:pPr>
        <w:pStyle w:val="ListParagraph"/>
        <w:numPr>
          <w:ilvl w:val="0"/>
          <w:numId w:val="13"/>
        </w:numPr>
        <w:spacing w:line="240" w:lineRule="auto"/>
        <w:rPr>
          <w:rFonts w:ascii="Times New Roman" w:hAnsi="Times New Roman"/>
          <w:b/>
          <w:sz w:val="24"/>
          <w:szCs w:val="24"/>
        </w:rPr>
      </w:pPr>
      <w:r w:rsidRPr="00A90E28">
        <w:rPr>
          <w:rFonts w:ascii="Times New Roman" w:hAnsi="Times New Roman"/>
          <w:b/>
          <w:sz w:val="24"/>
          <w:szCs w:val="24"/>
        </w:rPr>
        <w:t xml:space="preserve">Unusual problems requiring specialized sampling procedures </w:t>
      </w:r>
    </w:p>
    <w:p w:rsidR="00717630" w:rsidRPr="00A90E28" w:rsidRDefault="00717630" w:rsidP="00154DE5">
      <w:pPr>
        <w:rPr>
          <w:sz w:val="24"/>
          <w:szCs w:val="24"/>
        </w:rPr>
      </w:pPr>
      <w:r w:rsidRPr="00A90E28">
        <w:rPr>
          <w:sz w:val="24"/>
          <w:szCs w:val="24"/>
        </w:rPr>
        <w:t xml:space="preserve">No unusual problems were encountered. </w:t>
      </w:r>
    </w:p>
    <w:p w:rsidR="00717630" w:rsidRPr="00A90E28" w:rsidRDefault="00717630" w:rsidP="00A90E28">
      <w:pPr>
        <w:ind w:left="720"/>
        <w:rPr>
          <w:sz w:val="24"/>
          <w:szCs w:val="24"/>
        </w:rPr>
      </w:pPr>
    </w:p>
    <w:p w:rsidR="00717630" w:rsidRPr="00A90E28" w:rsidRDefault="00717630" w:rsidP="00154DE5">
      <w:pPr>
        <w:pStyle w:val="ListParagraph"/>
        <w:numPr>
          <w:ilvl w:val="0"/>
          <w:numId w:val="13"/>
        </w:numPr>
        <w:spacing w:after="0" w:line="240" w:lineRule="auto"/>
        <w:rPr>
          <w:rFonts w:ascii="Times New Roman" w:hAnsi="Times New Roman"/>
          <w:b/>
          <w:sz w:val="24"/>
          <w:szCs w:val="24"/>
        </w:rPr>
      </w:pPr>
      <w:r w:rsidRPr="00A90E28">
        <w:rPr>
          <w:rFonts w:ascii="Times New Roman" w:hAnsi="Times New Roman"/>
          <w:b/>
          <w:sz w:val="24"/>
          <w:szCs w:val="24"/>
        </w:rPr>
        <w:t>Any use of periodic (less frequent than annual) data collection cycles to reduce burden.</w:t>
      </w:r>
    </w:p>
    <w:p w:rsidR="00154DE5" w:rsidRDefault="00154DE5" w:rsidP="00154DE5">
      <w:pPr>
        <w:rPr>
          <w:sz w:val="24"/>
          <w:szCs w:val="24"/>
        </w:rPr>
      </w:pPr>
    </w:p>
    <w:p w:rsidR="00717630" w:rsidRPr="00A90E28" w:rsidRDefault="00CD222B" w:rsidP="00154DE5">
      <w:pPr>
        <w:rPr>
          <w:sz w:val="24"/>
          <w:szCs w:val="24"/>
        </w:rPr>
      </w:pPr>
      <w:r w:rsidRPr="00A90E28">
        <w:rPr>
          <w:sz w:val="24"/>
          <w:szCs w:val="24"/>
        </w:rPr>
        <w:t>This data collection is curren</w:t>
      </w:r>
      <w:r w:rsidR="00A26ADC" w:rsidRPr="00A90E28">
        <w:rPr>
          <w:sz w:val="24"/>
          <w:szCs w:val="24"/>
        </w:rPr>
        <w:t>tly o</w:t>
      </w:r>
      <w:r w:rsidR="00EB7D1C" w:rsidRPr="00A90E28">
        <w:rPr>
          <w:sz w:val="24"/>
          <w:szCs w:val="24"/>
        </w:rPr>
        <w:t xml:space="preserve">nly intended to occur once, and </w:t>
      </w:r>
      <w:r w:rsidRPr="00A90E28">
        <w:rPr>
          <w:sz w:val="24"/>
          <w:szCs w:val="24"/>
        </w:rPr>
        <w:t xml:space="preserve">therefore will not be repeated on a periodic basis. </w:t>
      </w:r>
    </w:p>
    <w:p w:rsidR="00717630" w:rsidRPr="00A90E28" w:rsidRDefault="00717630" w:rsidP="00A90E28">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highlight w:val="white"/>
        </w:rPr>
      </w:pPr>
    </w:p>
    <w:p w:rsidR="005F6858" w:rsidRDefault="00AF35D2" w:rsidP="00A90E28">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highlight w:val="white"/>
        </w:rPr>
      </w:pPr>
      <w:r w:rsidRPr="00A90E28">
        <w:rPr>
          <w:b/>
          <w:bCs/>
          <w:sz w:val="24"/>
          <w:szCs w:val="24"/>
          <w:highlight w:val="white"/>
        </w:rPr>
        <w:t>3.</w:t>
      </w:r>
      <w:r w:rsidRPr="00A90E28">
        <w:rPr>
          <w:b/>
          <w:bCs/>
          <w:sz w:val="24"/>
          <w:szCs w:val="24"/>
          <w:highlight w:val="white"/>
        </w:rPr>
        <w:tab/>
      </w:r>
      <w:r w:rsidR="00FC10C9">
        <w:rPr>
          <w:b/>
          <w:bCs/>
          <w:sz w:val="24"/>
          <w:szCs w:val="24"/>
          <w:highlight w:val="white"/>
        </w:rPr>
        <w:t>Methods to maximize response rates and deal with non-response</w:t>
      </w:r>
    </w:p>
    <w:p w:rsidR="00FC10C9" w:rsidRDefault="00FC10C9" w:rsidP="00A90E28">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highlight w:val="white"/>
        </w:rPr>
      </w:pPr>
    </w:p>
    <w:p w:rsidR="005F6858" w:rsidRDefault="005F6858" w:rsidP="00A90E28">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highlight w:val="white"/>
        </w:rPr>
      </w:pPr>
      <w:r>
        <w:rPr>
          <w:b/>
          <w:bCs/>
          <w:sz w:val="24"/>
          <w:szCs w:val="24"/>
          <w:highlight w:val="white"/>
        </w:rPr>
        <w:t>a.</w:t>
      </w:r>
      <w:r w:rsidR="00FC10C9">
        <w:rPr>
          <w:b/>
          <w:bCs/>
          <w:sz w:val="24"/>
          <w:szCs w:val="24"/>
          <w:highlight w:val="white"/>
        </w:rPr>
        <w:t xml:space="preserve"> Maximizing response rates</w:t>
      </w:r>
      <w:r>
        <w:rPr>
          <w:b/>
          <w:bCs/>
          <w:sz w:val="24"/>
          <w:szCs w:val="24"/>
          <w:highlight w:val="white"/>
        </w:rPr>
        <w:t xml:space="preserve"> </w:t>
      </w:r>
    </w:p>
    <w:p w:rsidR="00120C8C" w:rsidRDefault="00120C8C" w:rsidP="00A90E28">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highlight w:val="white"/>
        </w:rPr>
      </w:pPr>
    </w:p>
    <w:p w:rsidR="00333423" w:rsidRDefault="000A377E" w:rsidP="00154DE5">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90E28">
        <w:rPr>
          <w:sz w:val="24"/>
          <w:szCs w:val="24"/>
        </w:rPr>
        <w:t xml:space="preserve">Commission staff will employ several techniques to increase the response rates of questionnaire recipient firms. </w:t>
      </w:r>
      <w:r w:rsidR="00EA7944">
        <w:rPr>
          <w:sz w:val="24"/>
          <w:szCs w:val="24"/>
        </w:rPr>
        <w:t>R</w:t>
      </w:r>
      <w:r w:rsidRPr="00A90E28">
        <w:rPr>
          <w:sz w:val="24"/>
          <w:szCs w:val="24"/>
        </w:rPr>
        <w:t xml:space="preserve">ecipients will receive </w:t>
      </w:r>
      <w:r w:rsidR="00C947D9">
        <w:rPr>
          <w:sz w:val="24"/>
          <w:szCs w:val="24"/>
        </w:rPr>
        <w:t xml:space="preserve">separate </w:t>
      </w:r>
      <w:r w:rsidRPr="00A90E28">
        <w:rPr>
          <w:sz w:val="24"/>
          <w:szCs w:val="24"/>
        </w:rPr>
        <w:t>notices</w:t>
      </w:r>
      <w:r w:rsidR="00FC10C9">
        <w:rPr>
          <w:sz w:val="24"/>
          <w:szCs w:val="24"/>
        </w:rPr>
        <w:t xml:space="preserve"> </w:t>
      </w:r>
      <w:r w:rsidR="00C947D9">
        <w:rPr>
          <w:sz w:val="24"/>
          <w:szCs w:val="24"/>
        </w:rPr>
        <w:t xml:space="preserve">that (1) </w:t>
      </w:r>
      <w:r w:rsidR="00FC10C9">
        <w:rPr>
          <w:sz w:val="24"/>
          <w:szCs w:val="24"/>
        </w:rPr>
        <w:t>notify them that their firm</w:t>
      </w:r>
      <w:r w:rsidR="00EA7944">
        <w:rPr>
          <w:sz w:val="24"/>
          <w:szCs w:val="24"/>
        </w:rPr>
        <w:t xml:space="preserve"> was selected</w:t>
      </w:r>
      <w:r w:rsidR="00C947D9">
        <w:rPr>
          <w:sz w:val="24"/>
          <w:szCs w:val="24"/>
        </w:rPr>
        <w:t xml:space="preserve"> for the survey</w:t>
      </w:r>
      <w:r w:rsidR="00EA7944">
        <w:rPr>
          <w:sz w:val="24"/>
          <w:szCs w:val="24"/>
        </w:rPr>
        <w:t xml:space="preserve">, </w:t>
      </w:r>
      <w:r w:rsidR="00C947D9">
        <w:rPr>
          <w:sz w:val="24"/>
          <w:szCs w:val="24"/>
        </w:rPr>
        <w:t>(2) direct</w:t>
      </w:r>
      <w:r w:rsidR="00EA7944">
        <w:rPr>
          <w:sz w:val="24"/>
          <w:szCs w:val="24"/>
        </w:rPr>
        <w:t xml:space="preserve"> them to complete the survey, and </w:t>
      </w:r>
      <w:r w:rsidR="00C947D9">
        <w:rPr>
          <w:sz w:val="24"/>
          <w:szCs w:val="24"/>
        </w:rPr>
        <w:t>(3) remind</w:t>
      </w:r>
      <w:r w:rsidR="00EA7944">
        <w:rPr>
          <w:sz w:val="24"/>
          <w:szCs w:val="24"/>
        </w:rPr>
        <w:t xml:space="preserve"> them</w:t>
      </w:r>
      <w:r w:rsidR="00C947D9">
        <w:rPr>
          <w:sz w:val="24"/>
          <w:szCs w:val="24"/>
        </w:rPr>
        <w:t>, if necessary,</w:t>
      </w:r>
      <w:r w:rsidR="00EA7944">
        <w:rPr>
          <w:sz w:val="24"/>
          <w:szCs w:val="24"/>
        </w:rPr>
        <w:t xml:space="preserve"> to complete the survey before the deadline</w:t>
      </w:r>
      <w:r w:rsidRPr="00A90E28">
        <w:rPr>
          <w:sz w:val="24"/>
          <w:szCs w:val="24"/>
        </w:rPr>
        <w:t>. Once the submission deadline has passed, firms that still have</w:t>
      </w:r>
      <w:r w:rsidR="00793AE9" w:rsidRPr="00A90E28">
        <w:rPr>
          <w:sz w:val="24"/>
          <w:szCs w:val="24"/>
        </w:rPr>
        <w:t xml:space="preserve"> </w:t>
      </w:r>
      <w:r w:rsidRPr="00A90E28">
        <w:rPr>
          <w:sz w:val="24"/>
          <w:szCs w:val="24"/>
        </w:rPr>
        <w:t>n</w:t>
      </w:r>
      <w:r w:rsidR="00793AE9" w:rsidRPr="00A90E28">
        <w:rPr>
          <w:sz w:val="24"/>
          <w:szCs w:val="24"/>
        </w:rPr>
        <w:t>o</w:t>
      </w:r>
      <w:r w:rsidRPr="00A90E28">
        <w:rPr>
          <w:sz w:val="24"/>
          <w:szCs w:val="24"/>
        </w:rPr>
        <w:t xml:space="preserve">t responded will receive an additional </w:t>
      </w:r>
      <w:r w:rsidR="00C947D9">
        <w:rPr>
          <w:sz w:val="24"/>
          <w:szCs w:val="24"/>
        </w:rPr>
        <w:t>reminder</w:t>
      </w:r>
      <w:r w:rsidRPr="00A90E28">
        <w:rPr>
          <w:sz w:val="24"/>
          <w:szCs w:val="24"/>
        </w:rPr>
        <w:t xml:space="preserve">. Each of these communications will include a phone number and email address of a person </w:t>
      </w:r>
      <w:r w:rsidR="002A058A">
        <w:rPr>
          <w:sz w:val="24"/>
          <w:szCs w:val="24"/>
        </w:rPr>
        <w:t>who</w:t>
      </w:r>
      <w:r w:rsidR="002A058A" w:rsidRPr="00A90E28">
        <w:rPr>
          <w:sz w:val="24"/>
          <w:szCs w:val="24"/>
        </w:rPr>
        <w:t xml:space="preserve"> </w:t>
      </w:r>
      <w:r w:rsidRPr="00A90E28">
        <w:rPr>
          <w:sz w:val="24"/>
          <w:szCs w:val="24"/>
        </w:rPr>
        <w:t>can help firms with filling out the questionnaire or answer their questions regarding the survey and/or study.</w:t>
      </w:r>
      <w:r w:rsidR="00455379" w:rsidRPr="00A90E28">
        <w:rPr>
          <w:sz w:val="24"/>
          <w:szCs w:val="24"/>
        </w:rPr>
        <w:t xml:space="preserve"> Commission staff may also contact firms directly, via phone or email, to urge them to complete the survey and to answer </w:t>
      </w:r>
      <w:r w:rsidR="00FE5A75" w:rsidRPr="00A90E28">
        <w:rPr>
          <w:sz w:val="24"/>
          <w:szCs w:val="24"/>
        </w:rPr>
        <w:t xml:space="preserve">any </w:t>
      </w:r>
      <w:r w:rsidR="00455379" w:rsidRPr="00A90E28">
        <w:rPr>
          <w:sz w:val="24"/>
          <w:szCs w:val="24"/>
        </w:rPr>
        <w:t xml:space="preserve">questions </w:t>
      </w:r>
      <w:r w:rsidR="00FE5A75" w:rsidRPr="00A90E28">
        <w:rPr>
          <w:sz w:val="24"/>
          <w:szCs w:val="24"/>
        </w:rPr>
        <w:t xml:space="preserve">they </w:t>
      </w:r>
      <w:r w:rsidR="00BE1735" w:rsidRPr="00A90E28">
        <w:rPr>
          <w:sz w:val="24"/>
          <w:szCs w:val="24"/>
        </w:rPr>
        <w:t>may have regarding this information</w:t>
      </w:r>
      <w:r w:rsidR="00455379" w:rsidRPr="00A90E28">
        <w:rPr>
          <w:sz w:val="24"/>
          <w:szCs w:val="24"/>
        </w:rPr>
        <w:t xml:space="preserve"> collection or study</w:t>
      </w:r>
      <w:r w:rsidR="00BE1735" w:rsidRPr="00A90E28">
        <w:rPr>
          <w:sz w:val="24"/>
          <w:szCs w:val="24"/>
        </w:rPr>
        <w:t xml:space="preserve"> in general</w:t>
      </w:r>
      <w:r w:rsidR="00455379" w:rsidRPr="00A90E28">
        <w:rPr>
          <w:sz w:val="24"/>
          <w:szCs w:val="24"/>
        </w:rPr>
        <w:t xml:space="preserve">. </w:t>
      </w:r>
      <w:r w:rsidR="00455379" w:rsidRPr="00A90E28">
        <w:rPr>
          <w:sz w:val="24"/>
          <w:szCs w:val="24"/>
        </w:rPr>
        <w:lastRenderedPageBreak/>
        <w:t xml:space="preserve">Commission staff </w:t>
      </w:r>
      <w:r w:rsidR="00BE1735" w:rsidRPr="00A90E28">
        <w:rPr>
          <w:sz w:val="24"/>
          <w:szCs w:val="24"/>
        </w:rPr>
        <w:t xml:space="preserve">may also </w:t>
      </w:r>
      <w:r w:rsidR="00455379" w:rsidRPr="00A90E28">
        <w:rPr>
          <w:sz w:val="24"/>
          <w:szCs w:val="24"/>
        </w:rPr>
        <w:t>contact firms, via phone or email, to correct information or fill in incomplete responses</w:t>
      </w:r>
      <w:r w:rsidR="005A5658" w:rsidRPr="00A90E28">
        <w:rPr>
          <w:sz w:val="24"/>
          <w:szCs w:val="24"/>
        </w:rPr>
        <w:t xml:space="preserve">, or solicit additional information about </w:t>
      </w:r>
      <w:r w:rsidR="00A26ADC" w:rsidRPr="00A90E28">
        <w:rPr>
          <w:sz w:val="24"/>
          <w:szCs w:val="24"/>
        </w:rPr>
        <w:t>a</w:t>
      </w:r>
      <w:r w:rsidR="005A5658" w:rsidRPr="00A90E28">
        <w:rPr>
          <w:sz w:val="24"/>
          <w:szCs w:val="24"/>
        </w:rPr>
        <w:t xml:space="preserve"> response</w:t>
      </w:r>
      <w:r w:rsidR="00455379" w:rsidRPr="00A90E28">
        <w:rPr>
          <w:sz w:val="24"/>
          <w:szCs w:val="24"/>
        </w:rPr>
        <w:t>.</w:t>
      </w:r>
      <w:r w:rsidR="005A5658" w:rsidRPr="00A90E28">
        <w:rPr>
          <w:sz w:val="24"/>
          <w:szCs w:val="24"/>
        </w:rPr>
        <w:t xml:space="preserve"> The burden associated with follow up calls or emails is included in the total response burden amount.</w:t>
      </w:r>
    </w:p>
    <w:p w:rsidR="00C947D9" w:rsidRDefault="00C947D9" w:rsidP="00154DE5">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947D9" w:rsidRPr="00A90E28" w:rsidRDefault="00C947D9" w:rsidP="00154DE5">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In addition to </w:t>
      </w:r>
      <w:r w:rsidR="0031284A">
        <w:rPr>
          <w:sz w:val="24"/>
          <w:szCs w:val="24"/>
        </w:rPr>
        <w:t>pre-contact</w:t>
      </w:r>
      <w:r>
        <w:rPr>
          <w:sz w:val="24"/>
          <w:szCs w:val="24"/>
        </w:rPr>
        <w:t xml:space="preserve"> and follow-up, the questionnaire itself has been designed to be </w:t>
      </w:r>
      <w:r w:rsidR="0034647D">
        <w:rPr>
          <w:sz w:val="24"/>
          <w:szCs w:val="24"/>
        </w:rPr>
        <w:t xml:space="preserve">clear and </w:t>
      </w:r>
      <w:r w:rsidR="006F6387">
        <w:rPr>
          <w:sz w:val="24"/>
          <w:szCs w:val="24"/>
        </w:rPr>
        <w:t>succinct</w:t>
      </w:r>
      <w:r w:rsidR="0034647D">
        <w:rPr>
          <w:sz w:val="24"/>
          <w:szCs w:val="24"/>
        </w:rPr>
        <w:t xml:space="preserve"> as possible </w:t>
      </w:r>
      <w:r>
        <w:rPr>
          <w:sz w:val="24"/>
          <w:szCs w:val="24"/>
        </w:rPr>
        <w:t xml:space="preserve">to </w:t>
      </w:r>
      <w:r w:rsidR="0034647D">
        <w:rPr>
          <w:sz w:val="24"/>
          <w:szCs w:val="24"/>
        </w:rPr>
        <w:t>gather</w:t>
      </w:r>
      <w:r>
        <w:rPr>
          <w:sz w:val="24"/>
          <w:szCs w:val="24"/>
        </w:rPr>
        <w:t xml:space="preserve"> the </w:t>
      </w:r>
      <w:r w:rsidR="0034647D">
        <w:rPr>
          <w:sz w:val="24"/>
          <w:szCs w:val="24"/>
        </w:rPr>
        <w:t>specific material requested</w:t>
      </w:r>
      <w:r>
        <w:rPr>
          <w:sz w:val="24"/>
          <w:szCs w:val="24"/>
        </w:rPr>
        <w:t xml:space="preserve"> by USTR.</w:t>
      </w:r>
      <w:r w:rsidR="0034647D">
        <w:rPr>
          <w:sz w:val="24"/>
          <w:szCs w:val="24"/>
        </w:rPr>
        <w:t xml:space="preserve"> (See discussion of testing below.) </w:t>
      </w:r>
      <w:r w:rsidR="00176DE8">
        <w:rPr>
          <w:sz w:val="24"/>
          <w:szCs w:val="24"/>
        </w:rPr>
        <w:t>This clarity and brevity should</w:t>
      </w:r>
      <w:r w:rsidR="0034647D">
        <w:rPr>
          <w:sz w:val="24"/>
          <w:szCs w:val="24"/>
        </w:rPr>
        <w:t xml:space="preserve"> reduce burden and improve response rates.</w:t>
      </w:r>
      <w:r w:rsidR="00176DE8">
        <w:rPr>
          <w:sz w:val="24"/>
          <w:szCs w:val="24"/>
        </w:rPr>
        <w:t xml:space="preserve"> The questionnaire will clearly point out that firms are obligated by law to respond.</w:t>
      </w:r>
      <w:r w:rsidR="00905A71">
        <w:rPr>
          <w:sz w:val="24"/>
          <w:szCs w:val="24"/>
        </w:rPr>
        <w:t xml:space="preserve"> </w:t>
      </w:r>
      <w:r w:rsidR="00176DE8">
        <w:rPr>
          <w:sz w:val="24"/>
          <w:szCs w:val="24"/>
        </w:rPr>
        <w:t xml:space="preserve">Finally, the ability to access, fill out, and submit the survey electronically </w:t>
      </w:r>
      <w:r w:rsidR="006F6387">
        <w:rPr>
          <w:sz w:val="24"/>
          <w:szCs w:val="24"/>
        </w:rPr>
        <w:t>may</w:t>
      </w:r>
      <w:r w:rsidR="00176DE8">
        <w:rPr>
          <w:sz w:val="24"/>
          <w:szCs w:val="24"/>
        </w:rPr>
        <w:t xml:space="preserve"> also increase response.</w:t>
      </w:r>
    </w:p>
    <w:p w:rsidR="00333423" w:rsidRDefault="00333423" w:rsidP="00A90E28">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87B02" w:rsidRDefault="00487B02" w:rsidP="00A90E28">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947D9" w:rsidRPr="00C947D9" w:rsidRDefault="00C947D9" w:rsidP="00A90E28">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C947D9">
        <w:rPr>
          <w:b/>
          <w:sz w:val="24"/>
          <w:szCs w:val="24"/>
        </w:rPr>
        <w:t>b. Accuracy and reliability of information collected</w:t>
      </w:r>
    </w:p>
    <w:p w:rsidR="00C947D9" w:rsidRPr="00A90E28" w:rsidRDefault="00C947D9" w:rsidP="00A90E28">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A1187" w:rsidRDefault="000A1187" w:rsidP="00154DE5">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 sample methodology has been designed to be as accurate and reliable as possible, based on Commission experience in past surveys.</w:t>
      </w:r>
      <w:r w:rsidR="00905A71">
        <w:rPr>
          <w:sz w:val="24"/>
          <w:szCs w:val="24"/>
        </w:rPr>
        <w:t xml:space="preserve"> </w:t>
      </w:r>
      <w:r>
        <w:rPr>
          <w:sz w:val="24"/>
          <w:szCs w:val="24"/>
        </w:rPr>
        <w:t xml:space="preserve">The sampling frame has been chosen to include firms </w:t>
      </w:r>
      <w:r w:rsidR="00975B2D">
        <w:rPr>
          <w:sz w:val="24"/>
          <w:szCs w:val="24"/>
        </w:rPr>
        <w:t xml:space="preserve">in industries </w:t>
      </w:r>
      <w:r>
        <w:rPr>
          <w:sz w:val="24"/>
          <w:szCs w:val="24"/>
        </w:rPr>
        <w:t>that are most directly involved in generating, processing, or selling used electronics, and hence are also the most reliable reporters of used electronics exports.</w:t>
      </w:r>
    </w:p>
    <w:p w:rsidR="000A1187" w:rsidRDefault="000A1187" w:rsidP="00154DE5">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A1187" w:rsidRDefault="000A1187" w:rsidP="00154DE5">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 size of firms include in the survey has also been carefully considered to impr</w:t>
      </w:r>
      <w:r w:rsidR="006C2B1F">
        <w:rPr>
          <w:sz w:val="24"/>
          <w:szCs w:val="24"/>
        </w:rPr>
        <w:t>ove accuracy and reliability. For each NAICS 6-digit industry included in the sampling frame, the Orbis data</w:t>
      </w:r>
      <w:r w:rsidR="00975B2D">
        <w:rPr>
          <w:sz w:val="24"/>
          <w:szCs w:val="24"/>
        </w:rPr>
        <w:t xml:space="preserve"> were</w:t>
      </w:r>
      <w:r w:rsidR="006C2B1F">
        <w:rPr>
          <w:sz w:val="24"/>
          <w:szCs w:val="24"/>
        </w:rPr>
        <w:t xml:space="preserve"> used to ens</w:t>
      </w:r>
      <w:r>
        <w:rPr>
          <w:sz w:val="24"/>
          <w:szCs w:val="24"/>
        </w:rPr>
        <w:t xml:space="preserve">ure </w:t>
      </w:r>
      <w:r w:rsidR="00975B2D">
        <w:rPr>
          <w:sz w:val="24"/>
          <w:szCs w:val="24"/>
        </w:rPr>
        <w:t>that the population included the large majority (generally over</w:t>
      </w:r>
      <w:r w:rsidR="006C2B1F">
        <w:rPr>
          <w:sz w:val="24"/>
          <w:szCs w:val="24"/>
        </w:rPr>
        <w:t xml:space="preserve"> 90 percent</w:t>
      </w:r>
      <w:r w:rsidR="00975B2D">
        <w:rPr>
          <w:sz w:val="24"/>
          <w:szCs w:val="24"/>
        </w:rPr>
        <w:t>)</w:t>
      </w:r>
      <w:r w:rsidR="006C2B1F">
        <w:rPr>
          <w:sz w:val="24"/>
          <w:szCs w:val="24"/>
        </w:rPr>
        <w:t xml:space="preserve"> of</w:t>
      </w:r>
      <w:r w:rsidR="00975B2D">
        <w:rPr>
          <w:sz w:val="24"/>
          <w:szCs w:val="24"/>
        </w:rPr>
        <w:t xml:space="preserve"> total</w:t>
      </w:r>
      <w:r w:rsidR="006C2B1F">
        <w:rPr>
          <w:sz w:val="24"/>
          <w:szCs w:val="24"/>
        </w:rPr>
        <w:t xml:space="preserve"> industry revenue</w:t>
      </w:r>
      <w:r>
        <w:rPr>
          <w:sz w:val="24"/>
          <w:szCs w:val="24"/>
        </w:rPr>
        <w:t>.</w:t>
      </w:r>
      <w:r w:rsidR="006C2B1F">
        <w:rPr>
          <w:rStyle w:val="FootnoteReference"/>
          <w:sz w:val="24"/>
          <w:szCs w:val="24"/>
        </w:rPr>
        <w:footnoteReference w:id="5"/>
      </w:r>
      <w:r w:rsidR="006C2B1F">
        <w:rPr>
          <w:sz w:val="24"/>
          <w:szCs w:val="24"/>
        </w:rPr>
        <w:t xml:space="preserve"> Thus, the survey should capture nearly all exports, while excluding </w:t>
      </w:r>
      <w:r w:rsidR="00975B2D">
        <w:rPr>
          <w:sz w:val="24"/>
          <w:szCs w:val="24"/>
        </w:rPr>
        <w:t>firms of the smallest size, for which a reliable population cannot be determined from the Orbis database.</w:t>
      </w:r>
      <w:r w:rsidR="00975B2D">
        <w:rPr>
          <w:rStyle w:val="FootnoteReference"/>
          <w:sz w:val="24"/>
          <w:szCs w:val="24"/>
        </w:rPr>
        <w:footnoteReference w:id="6"/>
      </w:r>
      <w:r w:rsidR="00905A71">
        <w:rPr>
          <w:sz w:val="24"/>
          <w:szCs w:val="24"/>
        </w:rPr>
        <w:t xml:space="preserve"> </w:t>
      </w:r>
      <w:r w:rsidR="006C2B1F">
        <w:rPr>
          <w:sz w:val="24"/>
          <w:szCs w:val="24"/>
        </w:rPr>
        <w:t>On the other end of the size distri</w:t>
      </w:r>
      <w:r w:rsidR="00975B2D">
        <w:rPr>
          <w:sz w:val="24"/>
          <w:szCs w:val="24"/>
        </w:rPr>
        <w:t>b</w:t>
      </w:r>
      <w:r w:rsidR="006C2B1F">
        <w:rPr>
          <w:sz w:val="24"/>
          <w:szCs w:val="24"/>
        </w:rPr>
        <w:t>ution, strata of very large firms were included when necessary to improve homogeneity of firms within strata, and hence to improve the reliability of resulting estimates.</w:t>
      </w:r>
    </w:p>
    <w:p w:rsidR="000A1187" w:rsidRDefault="000A1187" w:rsidP="00154DE5">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333423" w:rsidRDefault="0031284A" w:rsidP="00154DE5">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Response rates in USITC surveys have recently been near </w:t>
      </w:r>
      <w:r w:rsidR="00CA73B2">
        <w:rPr>
          <w:sz w:val="24"/>
          <w:szCs w:val="24"/>
        </w:rPr>
        <w:t>6</w:t>
      </w:r>
      <w:r>
        <w:rPr>
          <w:sz w:val="24"/>
          <w:szCs w:val="24"/>
        </w:rPr>
        <w:t>0%.</w:t>
      </w:r>
      <w:r w:rsidR="00905A71">
        <w:rPr>
          <w:sz w:val="24"/>
          <w:szCs w:val="24"/>
        </w:rPr>
        <w:t xml:space="preserve"> </w:t>
      </w:r>
      <w:r>
        <w:rPr>
          <w:sz w:val="24"/>
          <w:szCs w:val="24"/>
        </w:rPr>
        <w:t>T</w:t>
      </w:r>
      <w:r w:rsidRPr="00A90E28">
        <w:rPr>
          <w:sz w:val="24"/>
          <w:szCs w:val="24"/>
        </w:rPr>
        <w:t>he US</w:t>
      </w:r>
      <w:r>
        <w:rPr>
          <w:sz w:val="24"/>
          <w:szCs w:val="24"/>
        </w:rPr>
        <w:t>ITC will examine survey responses to</w:t>
      </w:r>
      <w:r w:rsidRPr="00A90E28">
        <w:rPr>
          <w:sz w:val="24"/>
          <w:szCs w:val="24"/>
        </w:rPr>
        <w:t xml:space="preserve"> </w:t>
      </w:r>
      <w:r>
        <w:rPr>
          <w:sz w:val="24"/>
          <w:szCs w:val="24"/>
        </w:rPr>
        <w:t xml:space="preserve">detect and </w:t>
      </w:r>
      <w:r w:rsidRPr="00A90E28">
        <w:rPr>
          <w:sz w:val="24"/>
          <w:szCs w:val="24"/>
        </w:rPr>
        <w:t>correct for any non-response bias</w:t>
      </w:r>
      <w:r>
        <w:rPr>
          <w:sz w:val="24"/>
          <w:szCs w:val="24"/>
        </w:rPr>
        <w:t xml:space="preserve">. The </w:t>
      </w:r>
      <w:r w:rsidR="00333423" w:rsidRPr="00A90E28">
        <w:rPr>
          <w:sz w:val="24"/>
          <w:szCs w:val="24"/>
        </w:rPr>
        <w:t>team will first examine conditional response rates for groups of firms based on characteristics available in the data frame that are hypothesized to impact outcomes of interest. These may incl</w:t>
      </w:r>
      <w:r w:rsidR="00D462AE" w:rsidRPr="00A90E28">
        <w:rPr>
          <w:sz w:val="24"/>
          <w:szCs w:val="24"/>
        </w:rPr>
        <w:t>u</w:t>
      </w:r>
      <w:r w:rsidR="00A26561" w:rsidRPr="00A90E28">
        <w:rPr>
          <w:sz w:val="24"/>
          <w:szCs w:val="24"/>
        </w:rPr>
        <w:t>de variables such as firm size</w:t>
      </w:r>
      <w:r w:rsidR="000267D5" w:rsidRPr="00A90E28">
        <w:rPr>
          <w:sz w:val="24"/>
          <w:szCs w:val="24"/>
        </w:rPr>
        <w:t>, industry,</w:t>
      </w:r>
      <w:r w:rsidR="00BE1735" w:rsidRPr="00A90E28">
        <w:rPr>
          <w:sz w:val="24"/>
          <w:szCs w:val="24"/>
        </w:rPr>
        <w:t xml:space="preserve"> NAICS </w:t>
      </w:r>
      <w:r w:rsidR="000267D5" w:rsidRPr="00A90E28">
        <w:rPr>
          <w:sz w:val="24"/>
          <w:szCs w:val="24"/>
        </w:rPr>
        <w:t>code,</w:t>
      </w:r>
      <w:r w:rsidR="00333423" w:rsidRPr="00A90E28">
        <w:rPr>
          <w:sz w:val="24"/>
          <w:szCs w:val="24"/>
        </w:rPr>
        <w:t xml:space="preserve"> </w:t>
      </w:r>
      <w:r w:rsidR="000267D5" w:rsidRPr="00A90E28">
        <w:rPr>
          <w:sz w:val="24"/>
          <w:szCs w:val="24"/>
        </w:rPr>
        <w:t xml:space="preserve">or </w:t>
      </w:r>
      <w:r w:rsidR="00A26561" w:rsidRPr="00A90E28">
        <w:rPr>
          <w:sz w:val="24"/>
          <w:szCs w:val="24"/>
        </w:rPr>
        <w:t>location</w:t>
      </w:r>
      <w:r w:rsidR="00333423" w:rsidRPr="00A90E28">
        <w:rPr>
          <w:sz w:val="24"/>
          <w:szCs w:val="24"/>
        </w:rPr>
        <w:t xml:space="preserve">. Any differences in response rates can be further investigated through logistic regression analysis, using firm characteristics as predictors, and whether </w:t>
      </w:r>
      <w:r w:rsidR="00A57BEA" w:rsidRPr="00A90E28">
        <w:rPr>
          <w:sz w:val="24"/>
          <w:szCs w:val="24"/>
        </w:rPr>
        <w:t xml:space="preserve">or not </w:t>
      </w:r>
      <w:r w:rsidR="00333423" w:rsidRPr="00A90E28">
        <w:rPr>
          <w:sz w:val="24"/>
          <w:szCs w:val="24"/>
        </w:rPr>
        <w:t xml:space="preserve">a recipient responded to the survey as a binary outcome. </w:t>
      </w:r>
      <w:r>
        <w:rPr>
          <w:sz w:val="24"/>
          <w:szCs w:val="24"/>
        </w:rPr>
        <w:t>I</w:t>
      </w:r>
      <w:r w:rsidR="00333423" w:rsidRPr="00A90E28">
        <w:rPr>
          <w:sz w:val="24"/>
          <w:szCs w:val="24"/>
        </w:rPr>
        <w:t xml:space="preserve">f the results of the logistic regression indicate that one or more of the characteristics investigated above affects the propensity of a survey recipient to respond to the survey, then those characteristics </w:t>
      </w:r>
      <w:r>
        <w:rPr>
          <w:sz w:val="24"/>
          <w:szCs w:val="24"/>
        </w:rPr>
        <w:t>will</w:t>
      </w:r>
      <w:r w:rsidR="00333423" w:rsidRPr="00A90E28">
        <w:rPr>
          <w:sz w:val="24"/>
          <w:szCs w:val="24"/>
        </w:rPr>
        <w:t xml:space="preserve"> be examined to determine whether they are associated with differences in the outcome variables under study across the dataset</w:t>
      </w:r>
      <w:r>
        <w:rPr>
          <w:sz w:val="24"/>
          <w:szCs w:val="24"/>
        </w:rPr>
        <w:t xml:space="preserve"> of survey responses collected.</w:t>
      </w:r>
      <w:r w:rsidR="00333423" w:rsidRPr="00A90E28">
        <w:rPr>
          <w:sz w:val="24"/>
          <w:szCs w:val="24"/>
        </w:rPr>
        <w:t xml:space="preserve"> If any sources of non-response bias are found, they can be controlled for by the development of weights, which can then be used in concert with weighting based on population stratification, in the extrapolation of results to the entire population.</w:t>
      </w:r>
    </w:p>
    <w:p w:rsidR="000A1187" w:rsidRPr="00A90E28" w:rsidRDefault="000A1187" w:rsidP="00154DE5">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947D9" w:rsidRDefault="00C947D9" w:rsidP="00C947D9">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lastRenderedPageBreak/>
        <w:t>Since each frame (based on industry and firm size) from the industry association list has a corresponding frame from the Orbis database, the Commission expects that all sampled information will yield “reliable” data that can be generalized to the universe studied.</w:t>
      </w:r>
      <w:r w:rsidR="00905A71">
        <w:rPr>
          <w:sz w:val="24"/>
          <w:szCs w:val="24"/>
        </w:rPr>
        <w:t xml:space="preserve"> </w:t>
      </w:r>
    </w:p>
    <w:p w:rsidR="00AF35D2" w:rsidRPr="00A90E28" w:rsidRDefault="00AF35D2" w:rsidP="00A90E28">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highlight w:val="white"/>
        </w:rPr>
      </w:pPr>
    </w:p>
    <w:p w:rsidR="00AF35D2" w:rsidRPr="00A90E28" w:rsidRDefault="00AF35D2" w:rsidP="00A90E28">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highlight w:val="white"/>
        </w:rPr>
      </w:pPr>
      <w:r w:rsidRPr="00A90E28">
        <w:rPr>
          <w:b/>
          <w:bCs/>
          <w:sz w:val="24"/>
          <w:szCs w:val="24"/>
          <w:highlight w:val="white"/>
        </w:rPr>
        <w:t>4.</w:t>
      </w:r>
      <w:r w:rsidRPr="00A90E28">
        <w:rPr>
          <w:b/>
          <w:bCs/>
          <w:sz w:val="24"/>
          <w:szCs w:val="24"/>
          <w:highlight w:val="white"/>
        </w:rPr>
        <w:tab/>
      </w:r>
      <w:r w:rsidR="00AB699E" w:rsidRPr="00A90E28">
        <w:rPr>
          <w:b/>
          <w:bCs/>
          <w:sz w:val="24"/>
          <w:szCs w:val="24"/>
          <w:highlight w:val="white"/>
        </w:rPr>
        <w:t>Test</w:t>
      </w:r>
      <w:r w:rsidR="00EA7944">
        <w:rPr>
          <w:b/>
          <w:bCs/>
          <w:sz w:val="24"/>
          <w:szCs w:val="24"/>
          <w:highlight w:val="white"/>
        </w:rPr>
        <w:t>s of</w:t>
      </w:r>
      <w:r w:rsidR="00AB699E" w:rsidRPr="00A90E28">
        <w:rPr>
          <w:b/>
          <w:bCs/>
          <w:sz w:val="24"/>
          <w:szCs w:val="24"/>
          <w:highlight w:val="white"/>
        </w:rPr>
        <w:t xml:space="preserve"> procedures or methods</w:t>
      </w:r>
      <w:r w:rsidR="00B76908">
        <w:rPr>
          <w:b/>
          <w:bCs/>
          <w:sz w:val="24"/>
          <w:szCs w:val="24"/>
          <w:highlight w:val="white"/>
        </w:rPr>
        <w:t xml:space="preserve"> to minimize burden or improve utility</w:t>
      </w:r>
    </w:p>
    <w:p w:rsidR="00154DE5" w:rsidRDefault="00154DE5" w:rsidP="00154DE5">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B699E" w:rsidRPr="00A90E28" w:rsidRDefault="00B76908" w:rsidP="00154DE5">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 Commission field-tested the questionnaire with companies from several industries (</w:t>
      </w:r>
      <w:r w:rsidR="00284158">
        <w:rPr>
          <w:sz w:val="24"/>
          <w:szCs w:val="24"/>
        </w:rPr>
        <w:t xml:space="preserve">e.g., </w:t>
      </w:r>
      <w:r>
        <w:rPr>
          <w:sz w:val="24"/>
          <w:szCs w:val="24"/>
        </w:rPr>
        <w:t>recycling, smelting, repair and manufacturing ).</w:t>
      </w:r>
      <w:r w:rsidR="001C205A">
        <w:rPr>
          <w:sz w:val="24"/>
          <w:szCs w:val="24"/>
        </w:rPr>
        <w:t xml:space="preserve"> </w:t>
      </w:r>
      <w:r>
        <w:rPr>
          <w:sz w:val="24"/>
          <w:szCs w:val="24"/>
        </w:rPr>
        <w:t xml:space="preserve">These testers provided feedback </w:t>
      </w:r>
      <w:r w:rsidR="00284158">
        <w:rPr>
          <w:sz w:val="24"/>
          <w:szCs w:val="24"/>
        </w:rPr>
        <w:t>in areas such as</w:t>
      </w:r>
      <w:r>
        <w:rPr>
          <w:sz w:val="24"/>
          <w:szCs w:val="24"/>
        </w:rPr>
        <w:t xml:space="preserve"> availability of data, product coverage</w:t>
      </w:r>
      <w:r w:rsidR="00284158">
        <w:rPr>
          <w:sz w:val="24"/>
          <w:szCs w:val="24"/>
        </w:rPr>
        <w:t>,</w:t>
      </w:r>
      <w:r>
        <w:rPr>
          <w:sz w:val="24"/>
          <w:szCs w:val="24"/>
        </w:rPr>
        <w:t xml:space="preserve"> definitions, </w:t>
      </w:r>
      <w:r w:rsidR="00284158">
        <w:rPr>
          <w:sz w:val="24"/>
          <w:szCs w:val="24"/>
        </w:rPr>
        <w:t xml:space="preserve">and </w:t>
      </w:r>
      <w:r>
        <w:rPr>
          <w:sz w:val="24"/>
          <w:szCs w:val="24"/>
        </w:rPr>
        <w:t>clarity of instructions.</w:t>
      </w:r>
      <w:r w:rsidR="001C205A">
        <w:rPr>
          <w:sz w:val="24"/>
          <w:szCs w:val="24"/>
        </w:rPr>
        <w:t xml:space="preserve"> </w:t>
      </w:r>
      <w:r>
        <w:rPr>
          <w:sz w:val="24"/>
          <w:szCs w:val="24"/>
        </w:rPr>
        <w:t>See the table in part A for the field-testers comments and the subsequent changes made to the questionnaire.</w:t>
      </w:r>
      <w:r w:rsidR="001C205A">
        <w:rPr>
          <w:sz w:val="24"/>
          <w:szCs w:val="24"/>
        </w:rPr>
        <w:t xml:space="preserve"> </w:t>
      </w:r>
    </w:p>
    <w:p w:rsidR="00AB699E" w:rsidRPr="00A90E28" w:rsidRDefault="00AB699E" w:rsidP="00A90E28">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F35D2" w:rsidRDefault="00B76908" w:rsidP="00154DE5">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In addition to field testing</w:t>
      </w:r>
      <w:r w:rsidR="00AB699E" w:rsidRPr="00A90E28">
        <w:rPr>
          <w:sz w:val="24"/>
          <w:szCs w:val="24"/>
        </w:rPr>
        <w:t xml:space="preserve">, the questionnaire has been </w:t>
      </w:r>
      <w:r w:rsidR="00A26561" w:rsidRPr="00A90E28">
        <w:rPr>
          <w:sz w:val="24"/>
          <w:szCs w:val="24"/>
        </w:rPr>
        <w:t>made available for public comment.</w:t>
      </w:r>
      <w:r w:rsidR="00A57BD0">
        <w:rPr>
          <w:sz w:val="24"/>
          <w:szCs w:val="24"/>
        </w:rPr>
        <w:t xml:space="preserve"> </w:t>
      </w:r>
      <w:r w:rsidR="00A26561" w:rsidRPr="00A90E28">
        <w:rPr>
          <w:sz w:val="24"/>
          <w:szCs w:val="24"/>
        </w:rPr>
        <w:t xml:space="preserve">Notice of the draft questionnaire was published in the Federal Register, and </w:t>
      </w:r>
      <w:r w:rsidR="008A1D68" w:rsidRPr="00A90E28">
        <w:rPr>
          <w:sz w:val="24"/>
          <w:szCs w:val="24"/>
        </w:rPr>
        <w:t xml:space="preserve">the draft questionnaire was </w:t>
      </w:r>
      <w:r w:rsidR="006F6387" w:rsidRPr="00A90E28">
        <w:rPr>
          <w:sz w:val="24"/>
          <w:szCs w:val="24"/>
        </w:rPr>
        <w:t>publicized</w:t>
      </w:r>
      <w:r w:rsidR="008A1D68" w:rsidRPr="00A90E28">
        <w:rPr>
          <w:sz w:val="24"/>
          <w:szCs w:val="24"/>
        </w:rPr>
        <w:t xml:space="preserve"> in </w:t>
      </w:r>
      <w:r w:rsidR="00A26561" w:rsidRPr="00A90E28">
        <w:rPr>
          <w:sz w:val="24"/>
          <w:szCs w:val="24"/>
        </w:rPr>
        <w:t>industry publications</w:t>
      </w:r>
      <w:r w:rsidR="008A1D68" w:rsidRPr="00A90E28">
        <w:rPr>
          <w:sz w:val="24"/>
          <w:szCs w:val="24"/>
        </w:rPr>
        <w:t xml:space="preserve"> and conventions</w:t>
      </w:r>
      <w:r w:rsidR="00A26561" w:rsidRPr="00A90E28">
        <w:rPr>
          <w:sz w:val="24"/>
          <w:szCs w:val="24"/>
        </w:rPr>
        <w:t xml:space="preserve">. It has also been </w:t>
      </w:r>
      <w:r w:rsidR="00AB699E" w:rsidRPr="00A90E28">
        <w:rPr>
          <w:sz w:val="24"/>
          <w:szCs w:val="24"/>
        </w:rPr>
        <w:t xml:space="preserve">extensively reviewed within the Commission. Industry analysts and economists have reviewed the document </w:t>
      </w:r>
      <w:r w:rsidR="00A26561" w:rsidRPr="00A90E28">
        <w:rPr>
          <w:sz w:val="24"/>
          <w:szCs w:val="24"/>
        </w:rPr>
        <w:t>to ensure it contains</w:t>
      </w:r>
      <w:r w:rsidR="00AB699E" w:rsidRPr="00A90E28">
        <w:rPr>
          <w:sz w:val="24"/>
          <w:szCs w:val="24"/>
        </w:rPr>
        <w:t xml:space="preserve"> information needed to adequately </w:t>
      </w:r>
      <w:r w:rsidR="00A57BEA" w:rsidRPr="00A90E28">
        <w:rPr>
          <w:sz w:val="24"/>
          <w:szCs w:val="24"/>
        </w:rPr>
        <w:t xml:space="preserve">answer </w:t>
      </w:r>
      <w:r w:rsidR="00AB699E" w:rsidRPr="00A90E28">
        <w:rPr>
          <w:sz w:val="24"/>
          <w:szCs w:val="24"/>
        </w:rPr>
        <w:t xml:space="preserve">questions </w:t>
      </w:r>
      <w:r w:rsidR="008A1D68" w:rsidRPr="00A90E28">
        <w:rPr>
          <w:sz w:val="24"/>
          <w:szCs w:val="24"/>
        </w:rPr>
        <w:t>posed in the</w:t>
      </w:r>
      <w:r w:rsidR="00AB699E" w:rsidRPr="00A90E28">
        <w:rPr>
          <w:sz w:val="24"/>
          <w:szCs w:val="24"/>
        </w:rPr>
        <w:t xml:space="preserve"> study while imposing a minimum burden on the responding businesses. </w:t>
      </w:r>
      <w:r w:rsidR="00FC10C9">
        <w:rPr>
          <w:sz w:val="24"/>
          <w:szCs w:val="24"/>
        </w:rPr>
        <w:t>The burden on the smallest companies (generally, those with fewer than 10 employees) has been eliminated, as these firms have been excluded from the survey.</w:t>
      </w:r>
    </w:p>
    <w:p w:rsidR="00284158" w:rsidRDefault="00284158" w:rsidP="00154DE5">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84158" w:rsidRPr="00A90E28" w:rsidRDefault="00284158" w:rsidP="00154DE5">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The sampling methodology </w:t>
      </w:r>
      <w:r w:rsidR="001C205A">
        <w:rPr>
          <w:sz w:val="24"/>
          <w:szCs w:val="24"/>
        </w:rPr>
        <w:t xml:space="preserve">and procedures </w:t>
      </w:r>
      <w:r>
        <w:rPr>
          <w:sz w:val="24"/>
          <w:szCs w:val="24"/>
        </w:rPr>
        <w:t xml:space="preserve">in this survey </w:t>
      </w:r>
      <w:r w:rsidR="001C205A">
        <w:rPr>
          <w:sz w:val="24"/>
          <w:szCs w:val="24"/>
        </w:rPr>
        <w:t>are</w:t>
      </w:r>
      <w:r>
        <w:rPr>
          <w:sz w:val="24"/>
          <w:szCs w:val="24"/>
        </w:rPr>
        <w:t xml:space="preserve"> quite similar to</w:t>
      </w:r>
      <w:r w:rsidR="001C205A">
        <w:rPr>
          <w:sz w:val="24"/>
          <w:szCs w:val="24"/>
        </w:rPr>
        <w:t xml:space="preserve"> those in the</w:t>
      </w:r>
      <w:r>
        <w:rPr>
          <w:sz w:val="24"/>
          <w:szCs w:val="24"/>
        </w:rPr>
        <w:t xml:space="preserve"> ongoing </w:t>
      </w:r>
      <w:r w:rsidR="001C205A">
        <w:rPr>
          <w:sz w:val="24"/>
          <w:szCs w:val="24"/>
        </w:rPr>
        <w:t>USITC survey of remanufacturing activities.</w:t>
      </w:r>
      <w:r>
        <w:rPr>
          <w:sz w:val="24"/>
          <w:szCs w:val="24"/>
        </w:rPr>
        <w:t xml:space="preserve"> Both studies, for example, </w:t>
      </w:r>
      <w:r w:rsidR="001C205A">
        <w:rPr>
          <w:sz w:val="24"/>
          <w:szCs w:val="24"/>
        </w:rPr>
        <w:t>have populations drawn from Orbis and an industry association list</w:t>
      </w:r>
      <w:r>
        <w:rPr>
          <w:sz w:val="24"/>
          <w:szCs w:val="24"/>
        </w:rPr>
        <w:t xml:space="preserve">, both studies stratify by industry and size, and both studies use similar methods of survey distribution and data collection. Although the USITC has not specifically tested the methodology </w:t>
      </w:r>
      <w:r w:rsidR="001C205A">
        <w:rPr>
          <w:sz w:val="24"/>
          <w:szCs w:val="24"/>
        </w:rPr>
        <w:t xml:space="preserve">and procedures </w:t>
      </w:r>
      <w:r>
        <w:rPr>
          <w:sz w:val="24"/>
          <w:szCs w:val="24"/>
        </w:rPr>
        <w:t>of the used electronics survey, the remanufacturing survey has p</w:t>
      </w:r>
      <w:r w:rsidR="001C205A">
        <w:rPr>
          <w:sz w:val="24"/>
          <w:szCs w:val="24"/>
        </w:rPr>
        <w:t xml:space="preserve">rovided an implicit test of its practicability and utility. In addition, </w:t>
      </w:r>
      <w:r>
        <w:rPr>
          <w:sz w:val="24"/>
          <w:szCs w:val="24"/>
        </w:rPr>
        <w:t>preliminary results from th</w:t>
      </w:r>
      <w:r w:rsidR="001C205A">
        <w:rPr>
          <w:sz w:val="24"/>
          <w:szCs w:val="24"/>
        </w:rPr>
        <w:t>e</w:t>
      </w:r>
      <w:r>
        <w:rPr>
          <w:sz w:val="24"/>
          <w:szCs w:val="24"/>
        </w:rPr>
        <w:t xml:space="preserve"> </w:t>
      </w:r>
      <w:r w:rsidR="001C205A">
        <w:rPr>
          <w:sz w:val="24"/>
          <w:szCs w:val="24"/>
        </w:rPr>
        <w:t xml:space="preserve">remanufacturing </w:t>
      </w:r>
      <w:r>
        <w:rPr>
          <w:sz w:val="24"/>
          <w:szCs w:val="24"/>
        </w:rPr>
        <w:t xml:space="preserve">survey have helped the used electronics survey </w:t>
      </w:r>
      <w:r w:rsidR="001C205A">
        <w:rPr>
          <w:sz w:val="24"/>
          <w:szCs w:val="24"/>
        </w:rPr>
        <w:t>team refine several questions.</w:t>
      </w:r>
    </w:p>
    <w:p w:rsidR="00AB699E" w:rsidRPr="00A90E28" w:rsidRDefault="00AB699E" w:rsidP="00A90E28">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highlight w:val="white"/>
        </w:rPr>
      </w:pPr>
    </w:p>
    <w:p w:rsidR="00AF35D2" w:rsidRPr="00A90E28" w:rsidRDefault="00AF35D2" w:rsidP="00A90E28">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highlight w:val="white"/>
        </w:rPr>
      </w:pPr>
      <w:r w:rsidRPr="00A90E28">
        <w:rPr>
          <w:b/>
          <w:bCs/>
          <w:sz w:val="24"/>
          <w:szCs w:val="24"/>
          <w:highlight w:val="white"/>
        </w:rPr>
        <w:t>5.</w:t>
      </w:r>
      <w:r w:rsidRPr="00A90E28">
        <w:rPr>
          <w:b/>
          <w:bCs/>
          <w:sz w:val="24"/>
          <w:szCs w:val="24"/>
          <w:highlight w:val="white"/>
        </w:rPr>
        <w:tab/>
      </w:r>
      <w:r w:rsidR="00AB699E" w:rsidRPr="00A90E28">
        <w:rPr>
          <w:b/>
          <w:bCs/>
          <w:sz w:val="24"/>
          <w:szCs w:val="24"/>
          <w:highlight w:val="white"/>
        </w:rPr>
        <w:t>Contact information</w:t>
      </w:r>
    </w:p>
    <w:p w:rsidR="00154DE5" w:rsidRDefault="00154DE5" w:rsidP="00154DE5">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F35D2" w:rsidRPr="00A90E28" w:rsidRDefault="00AB699E" w:rsidP="00154DE5">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90E28">
        <w:rPr>
          <w:sz w:val="24"/>
          <w:szCs w:val="24"/>
        </w:rPr>
        <w:t>Collection and analysis of the data will be the responsibility of the Office of Economics and the Office of Industries within</w:t>
      </w:r>
      <w:r w:rsidR="008A1D68" w:rsidRPr="00A90E28">
        <w:rPr>
          <w:sz w:val="24"/>
          <w:szCs w:val="24"/>
        </w:rPr>
        <w:t xml:space="preserve"> the Commission. Project leader</w:t>
      </w:r>
      <w:r w:rsidRPr="00A90E28">
        <w:rPr>
          <w:sz w:val="24"/>
          <w:szCs w:val="24"/>
        </w:rPr>
        <w:t xml:space="preserve"> </w:t>
      </w:r>
      <w:r w:rsidR="008A1D68" w:rsidRPr="00A90E28">
        <w:rPr>
          <w:sz w:val="24"/>
          <w:szCs w:val="24"/>
        </w:rPr>
        <w:t>Laura Bloodgood</w:t>
      </w:r>
      <w:r w:rsidRPr="00A90E28">
        <w:rPr>
          <w:sz w:val="24"/>
          <w:szCs w:val="24"/>
        </w:rPr>
        <w:t xml:space="preserve"> can be contacted at 202-</w:t>
      </w:r>
      <w:r w:rsidR="00323FA5" w:rsidRPr="00A90E28">
        <w:rPr>
          <w:sz w:val="24"/>
          <w:szCs w:val="24"/>
        </w:rPr>
        <w:t>708</w:t>
      </w:r>
      <w:r w:rsidRPr="00A90E28">
        <w:rPr>
          <w:sz w:val="24"/>
          <w:szCs w:val="24"/>
        </w:rPr>
        <w:t>-</w:t>
      </w:r>
      <w:r w:rsidR="00323FA5" w:rsidRPr="00A90E28">
        <w:rPr>
          <w:sz w:val="24"/>
          <w:szCs w:val="24"/>
        </w:rPr>
        <w:t>4726, deputy project leader</w:t>
      </w:r>
      <w:r w:rsidRPr="00A90E28">
        <w:rPr>
          <w:sz w:val="24"/>
          <w:szCs w:val="24"/>
        </w:rPr>
        <w:t xml:space="preserve"> </w:t>
      </w:r>
      <w:r w:rsidR="008A1D68" w:rsidRPr="00A90E28">
        <w:rPr>
          <w:sz w:val="24"/>
          <w:szCs w:val="24"/>
        </w:rPr>
        <w:t>Andrea Boron</w:t>
      </w:r>
      <w:r w:rsidRPr="00A90E28">
        <w:rPr>
          <w:sz w:val="24"/>
          <w:szCs w:val="24"/>
        </w:rPr>
        <w:t xml:space="preserve"> </w:t>
      </w:r>
      <w:r w:rsidR="008A1D68" w:rsidRPr="00A90E28">
        <w:rPr>
          <w:sz w:val="24"/>
          <w:szCs w:val="24"/>
        </w:rPr>
        <w:t>can be contacted at 202-205-</w:t>
      </w:r>
      <w:r w:rsidR="00323FA5" w:rsidRPr="00A90E28">
        <w:rPr>
          <w:sz w:val="24"/>
          <w:szCs w:val="24"/>
        </w:rPr>
        <w:t>3433</w:t>
      </w:r>
      <w:r w:rsidRPr="00A90E28">
        <w:rPr>
          <w:sz w:val="24"/>
          <w:szCs w:val="24"/>
        </w:rPr>
        <w:t>, and lead e</w:t>
      </w:r>
      <w:r w:rsidR="00323FA5" w:rsidRPr="00A90E28">
        <w:rPr>
          <w:sz w:val="24"/>
          <w:szCs w:val="24"/>
        </w:rPr>
        <w:t>conomist for this study</w:t>
      </w:r>
      <w:r w:rsidRPr="00A90E28">
        <w:rPr>
          <w:sz w:val="24"/>
          <w:szCs w:val="24"/>
        </w:rPr>
        <w:t xml:space="preserve"> </w:t>
      </w:r>
      <w:r w:rsidR="008A1D68" w:rsidRPr="00A90E28">
        <w:rPr>
          <w:sz w:val="24"/>
          <w:szCs w:val="24"/>
        </w:rPr>
        <w:t>William Powers</w:t>
      </w:r>
      <w:r w:rsidRPr="00A90E28">
        <w:rPr>
          <w:sz w:val="24"/>
          <w:szCs w:val="24"/>
        </w:rPr>
        <w:t xml:space="preserve"> can be contacted at 202-</w:t>
      </w:r>
      <w:r w:rsidR="008A1D68" w:rsidRPr="00A90E28">
        <w:rPr>
          <w:sz w:val="24"/>
          <w:szCs w:val="24"/>
        </w:rPr>
        <w:t>708</w:t>
      </w:r>
      <w:r w:rsidRPr="00A90E28">
        <w:rPr>
          <w:sz w:val="24"/>
          <w:szCs w:val="24"/>
        </w:rPr>
        <w:t>-</w:t>
      </w:r>
      <w:r w:rsidR="008A1D68" w:rsidRPr="00A90E28">
        <w:rPr>
          <w:sz w:val="24"/>
          <w:szCs w:val="24"/>
        </w:rPr>
        <w:t>5405</w:t>
      </w:r>
      <w:r w:rsidRPr="00A90E28">
        <w:rPr>
          <w:sz w:val="24"/>
          <w:szCs w:val="24"/>
        </w:rPr>
        <w:t xml:space="preserve">. Commission staff also </w:t>
      </w:r>
      <w:r w:rsidR="00586138" w:rsidRPr="00A90E28">
        <w:rPr>
          <w:sz w:val="24"/>
          <w:szCs w:val="24"/>
        </w:rPr>
        <w:t xml:space="preserve">worked with </w:t>
      </w:r>
      <w:r w:rsidR="009C71CE" w:rsidRPr="00A90E28">
        <w:rPr>
          <w:sz w:val="24"/>
          <w:szCs w:val="24"/>
        </w:rPr>
        <w:t>Boris Rachev</w:t>
      </w:r>
      <w:r w:rsidR="00586138" w:rsidRPr="00A90E28">
        <w:rPr>
          <w:sz w:val="24"/>
          <w:szCs w:val="24"/>
        </w:rPr>
        <w:t xml:space="preserve"> and his </w:t>
      </w:r>
      <w:r w:rsidR="009C71CE" w:rsidRPr="00A90E28">
        <w:rPr>
          <w:sz w:val="24"/>
          <w:szCs w:val="24"/>
        </w:rPr>
        <w:t xml:space="preserve">colleagues </w:t>
      </w:r>
      <w:r w:rsidR="00586138" w:rsidRPr="00A90E28">
        <w:rPr>
          <w:sz w:val="24"/>
          <w:szCs w:val="24"/>
        </w:rPr>
        <w:t>at</w:t>
      </w:r>
      <w:r w:rsidRPr="00A90E28">
        <w:rPr>
          <w:sz w:val="24"/>
          <w:szCs w:val="24"/>
        </w:rPr>
        <w:t xml:space="preserve"> Summit Consulting</w:t>
      </w:r>
      <w:r w:rsidR="00586138" w:rsidRPr="00A90E28">
        <w:rPr>
          <w:sz w:val="24"/>
          <w:szCs w:val="24"/>
        </w:rPr>
        <w:t>, a survey design and data analysis consulting firm</w:t>
      </w:r>
      <w:r w:rsidRPr="00A90E28">
        <w:rPr>
          <w:sz w:val="24"/>
          <w:szCs w:val="24"/>
        </w:rPr>
        <w:t xml:space="preserve">. Mr. </w:t>
      </w:r>
      <w:r w:rsidR="009C71CE" w:rsidRPr="00A90E28">
        <w:rPr>
          <w:sz w:val="24"/>
          <w:szCs w:val="24"/>
        </w:rPr>
        <w:t xml:space="preserve">Rachev </w:t>
      </w:r>
      <w:r w:rsidRPr="00A90E28">
        <w:rPr>
          <w:sz w:val="24"/>
          <w:szCs w:val="24"/>
        </w:rPr>
        <w:t xml:space="preserve">may be contacted at </w:t>
      </w:r>
      <w:r w:rsidR="0077289F" w:rsidRPr="00A90E28">
        <w:rPr>
          <w:sz w:val="24"/>
          <w:szCs w:val="24"/>
        </w:rPr>
        <w:t>202</w:t>
      </w:r>
      <w:r w:rsidR="00EB7D1C" w:rsidRPr="00A90E28">
        <w:rPr>
          <w:sz w:val="24"/>
          <w:szCs w:val="24"/>
        </w:rPr>
        <w:t>-</w:t>
      </w:r>
      <w:r w:rsidR="0077289F" w:rsidRPr="00A90E28">
        <w:rPr>
          <w:sz w:val="24"/>
          <w:szCs w:val="24"/>
        </w:rPr>
        <w:t>407-8300</w:t>
      </w:r>
      <w:r w:rsidR="009C71CE" w:rsidRPr="00A90E28">
        <w:rPr>
          <w:sz w:val="24"/>
          <w:szCs w:val="24"/>
        </w:rPr>
        <w:t xml:space="preserve"> or at </w:t>
      </w:r>
      <w:hyperlink r:id="rId10" w:history="1">
        <w:r w:rsidR="00E438AA" w:rsidRPr="00A90E28">
          <w:rPr>
            <w:rStyle w:val="Hyperlink"/>
            <w:sz w:val="24"/>
            <w:szCs w:val="24"/>
          </w:rPr>
          <w:t>boris.rachev@summitllc.us</w:t>
        </w:r>
      </w:hyperlink>
      <w:r w:rsidRPr="00A90E28">
        <w:rPr>
          <w:sz w:val="24"/>
          <w:szCs w:val="24"/>
        </w:rPr>
        <w:t>.</w:t>
      </w:r>
      <w:r w:rsidR="00E438AA" w:rsidRPr="00A90E28">
        <w:rPr>
          <w:sz w:val="24"/>
          <w:szCs w:val="24"/>
        </w:rPr>
        <w:t xml:space="preserve"> </w:t>
      </w:r>
    </w:p>
    <w:sectPr w:rsidR="00AF35D2" w:rsidRPr="00A90E28" w:rsidSect="00A3675D">
      <w:pgSz w:w="12240" w:h="15840"/>
      <w:pgMar w:top="1440" w:right="1440" w:bottom="1440" w:left="1440" w:header="1440" w:footer="86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A4A" w:rsidRDefault="00FA0A4A" w:rsidP="00283C9A">
      <w:r>
        <w:separator/>
      </w:r>
    </w:p>
  </w:endnote>
  <w:endnote w:type="continuationSeparator" w:id="0">
    <w:p w:rsidR="00FA0A4A" w:rsidRDefault="00FA0A4A" w:rsidP="00283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0919094"/>
      <w:docPartObj>
        <w:docPartGallery w:val="Page Numbers (Bottom of Page)"/>
        <w:docPartUnique/>
      </w:docPartObj>
    </w:sdtPr>
    <w:sdtEndPr>
      <w:rPr>
        <w:noProof/>
      </w:rPr>
    </w:sdtEndPr>
    <w:sdtContent>
      <w:p w:rsidR="00FA0A4A" w:rsidRDefault="00FA0A4A" w:rsidP="00154DE5">
        <w:pPr>
          <w:pStyle w:val="Footer"/>
          <w:spacing w:before="240"/>
          <w:jc w:val="center"/>
        </w:pPr>
        <w:r>
          <w:fldChar w:fldCharType="begin"/>
        </w:r>
        <w:r>
          <w:instrText xml:space="preserve"> PAGE   \* MERGEFORMAT </w:instrText>
        </w:r>
        <w:r>
          <w:fldChar w:fldCharType="separate"/>
        </w:r>
        <w:r w:rsidR="00814B34">
          <w:rPr>
            <w:noProof/>
          </w:rPr>
          <w:t>2</w:t>
        </w:r>
        <w:r>
          <w:rPr>
            <w:noProof/>
          </w:rPr>
          <w:fldChar w:fldCharType="end"/>
        </w:r>
      </w:p>
    </w:sdtContent>
  </w:sdt>
  <w:p w:rsidR="00FA0A4A" w:rsidRDefault="00FA0A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A4A" w:rsidRDefault="00FA0A4A" w:rsidP="00283C9A">
      <w:r>
        <w:separator/>
      </w:r>
    </w:p>
  </w:footnote>
  <w:footnote w:type="continuationSeparator" w:id="0">
    <w:p w:rsidR="00FA0A4A" w:rsidRDefault="00FA0A4A" w:rsidP="00283C9A">
      <w:r>
        <w:continuationSeparator/>
      </w:r>
    </w:p>
  </w:footnote>
  <w:footnote w:id="1">
    <w:p w:rsidR="00FA0A4A" w:rsidRDefault="00FA0A4A">
      <w:pPr>
        <w:pStyle w:val="FootnoteText"/>
      </w:pPr>
      <w:r>
        <w:rPr>
          <w:rStyle w:val="FootnoteReference"/>
        </w:rPr>
        <w:footnoteRef/>
      </w:r>
      <w:r>
        <w:t xml:space="preserve"> </w:t>
      </w:r>
      <w:r w:rsidRPr="003750C7">
        <w:t>O</w:t>
      </w:r>
      <w:r>
        <w:t>rbis</w:t>
      </w:r>
      <w:r w:rsidRPr="003750C7">
        <w:t xml:space="preserve"> is a proprietary </w:t>
      </w:r>
      <w:r>
        <w:t xml:space="preserve">global </w:t>
      </w:r>
      <w:r w:rsidRPr="003750C7">
        <w:t xml:space="preserve">database </w:t>
      </w:r>
      <w:r>
        <w:t>with</w:t>
      </w:r>
      <w:r w:rsidRPr="003750C7">
        <w:t xml:space="preserve"> information </w:t>
      </w:r>
      <w:r>
        <w:t>on public and private companies</w:t>
      </w:r>
      <w:r w:rsidRPr="00FC79F4">
        <w:t>.</w:t>
      </w:r>
    </w:p>
  </w:footnote>
  <w:footnote w:id="2">
    <w:p w:rsidR="00FA0A4A" w:rsidRDefault="00FA0A4A" w:rsidP="00B02E0A">
      <w:pPr>
        <w:pStyle w:val="FootnoteText"/>
      </w:pPr>
      <w:r>
        <w:rPr>
          <w:rStyle w:val="FootnoteReference"/>
        </w:rPr>
        <w:footnoteRef/>
      </w:r>
      <w:r>
        <w:t xml:space="preserve"> In all industries except manufacturing, the</w:t>
      </w:r>
      <w:r w:rsidRPr="00743968">
        <w:t xml:space="preserve"> smallest firms</w:t>
      </w:r>
      <w:r>
        <w:t xml:space="preserve"> are defined as those with fewer than 10 employees. In manufacturing, the cutoff varied by NAICS 6-digit industry, and ranged from 10 to 50 employees. The manufacturing cutoffs were higher because small firms account for a much smaller share of employment and revenue in manufacturing than in the other industries in our sample, according to Orbis data. One caveat: firm size is not known for all firms in the industry association list, so sampling some very small firms from this list will be unavoidable.</w:t>
      </w:r>
    </w:p>
  </w:footnote>
  <w:footnote w:id="3">
    <w:p w:rsidR="00FA0A4A" w:rsidRDefault="00FA0A4A" w:rsidP="00487B02">
      <w:pPr>
        <w:pStyle w:val="FootnoteText"/>
      </w:pPr>
      <w:r>
        <w:rPr>
          <w:rStyle w:val="FootnoteReference"/>
        </w:rPr>
        <w:footnoteRef/>
      </w:r>
      <w:r>
        <w:t xml:space="preserve"> The largest used electronics survey to date was performed in 2011 for the Institute of Scrap Recycling Industries. That survey included 182 U.S. organizations, all in the recycling industry. See Daoud, 2011, “Inside the U.S. electronics recycling industry,” International Data Corporation, </w:t>
      </w:r>
      <w:hyperlink r:id="rId1" w:history="1">
        <w:r w:rsidRPr="00844E40">
          <w:rPr>
            <w:rStyle w:val="Hyperlink"/>
          </w:rPr>
          <w:t>http://ewasteguide.info/files/IDC_2011_ISRIl.pdf</w:t>
        </w:r>
      </w:hyperlink>
      <w:r>
        <w:t xml:space="preserve">. </w:t>
      </w:r>
    </w:p>
  </w:footnote>
  <w:footnote w:id="4">
    <w:p w:rsidR="00FA0A4A" w:rsidRPr="009F26BC" w:rsidRDefault="00FA0A4A" w:rsidP="006D2DB7">
      <w:pPr>
        <w:pStyle w:val="FootnoteText"/>
      </w:pPr>
      <w:r>
        <w:rPr>
          <w:rStyle w:val="FootnoteReference"/>
        </w:rPr>
        <w:footnoteRef/>
      </w:r>
      <w:r>
        <w:t xml:space="preserve"> Shares are based on USITC judgment of the likelihood of handling used electronics; the likelihood of exporting used electronics in each industry could not be estimated in advance. See Christman, Mary, 2009, “Sampling of rare populations,” </w:t>
      </w:r>
      <w:r w:rsidRPr="000935B7">
        <w:rPr>
          <w:i/>
        </w:rPr>
        <w:t>Handbook of Statistics</w:t>
      </w:r>
      <w:r>
        <w:t xml:space="preserve"> vol. 29A, 112; and Kalton, Graham, 2009, “Methods for oversampling rare subpopulations in social surveys,” </w:t>
      </w:r>
      <w:r w:rsidRPr="009F26BC">
        <w:rPr>
          <w:i/>
        </w:rPr>
        <w:t>Survey Methodology</w:t>
      </w:r>
      <w:r>
        <w:t xml:space="preserve"> vol. 35 no. 2, 127. </w:t>
      </w:r>
    </w:p>
  </w:footnote>
  <w:footnote w:id="5">
    <w:p w:rsidR="00FA0A4A" w:rsidRDefault="00FA0A4A">
      <w:pPr>
        <w:pStyle w:val="FootnoteText"/>
      </w:pPr>
      <w:r>
        <w:rPr>
          <w:rStyle w:val="FootnoteReference"/>
        </w:rPr>
        <w:footnoteRef/>
      </w:r>
      <w:r>
        <w:t xml:space="preserve"> The portion of revenue contributed by firms with 0–4 employees was not included in the calculation. </w:t>
      </w:r>
    </w:p>
  </w:footnote>
  <w:footnote w:id="6">
    <w:p w:rsidR="00FA0A4A" w:rsidRDefault="00FA0A4A">
      <w:pPr>
        <w:pStyle w:val="FootnoteText"/>
      </w:pPr>
      <w:r>
        <w:rPr>
          <w:rStyle w:val="FootnoteReference"/>
        </w:rPr>
        <w:footnoteRef/>
      </w:r>
      <w:r>
        <w:t xml:space="preserve"> Previous studies have shown that Orbis data on the number and revenue of firms of this size are unreliable. For example, Orbis generally reports several times more firms of this size than are reported by the U.S. Census Bureau.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56A6"/>
    <w:multiLevelType w:val="hybridMultilevel"/>
    <w:tmpl w:val="B5367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40D44"/>
    <w:multiLevelType w:val="hybridMultilevel"/>
    <w:tmpl w:val="45E83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C5ACA"/>
    <w:multiLevelType w:val="hybridMultilevel"/>
    <w:tmpl w:val="35D231A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C83217"/>
    <w:multiLevelType w:val="hybridMultilevel"/>
    <w:tmpl w:val="3F5E5A5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B14715"/>
    <w:multiLevelType w:val="hybridMultilevel"/>
    <w:tmpl w:val="F0C2EAF2"/>
    <w:lvl w:ilvl="0" w:tplc="72081200">
      <w:start w:val="1"/>
      <w:numFmt w:val="decimal"/>
      <w:lvlText w:val="%1."/>
      <w:lvlJc w:val="left"/>
      <w:pPr>
        <w:ind w:left="720" w:hanging="360"/>
      </w:pPr>
      <w:rPr>
        <w:rFonts w:ascii="Times New Roman" w:hAnsi="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95285F"/>
    <w:multiLevelType w:val="hybridMultilevel"/>
    <w:tmpl w:val="09A693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DD50C00"/>
    <w:multiLevelType w:val="hybridMultilevel"/>
    <w:tmpl w:val="02CA6B10"/>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E6062FE"/>
    <w:multiLevelType w:val="hybridMultilevel"/>
    <w:tmpl w:val="F0C2EAF2"/>
    <w:lvl w:ilvl="0" w:tplc="72081200">
      <w:start w:val="1"/>
      <w:numFmt w:val="decimal"/>
      <w:lvlText w:val="%1."/>
      <w:lvlJc w:val="left"/>
      <w:pPr>
        <w:ind w:left="720" w:hanging="360"/>
      </w:pPr>
      <w:rPr>
        <w:rFonts w:ascii="Times New Roman" w:hAnsi="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C613B6"/>
    <w:multiLevelType w:val="hybridMultilevel"/>
    <w:tmpl w:val="A748EB22"/>
    <w:lvl w:ilvl="0" w:tplc="4ABA1CA8">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B2A6BD1"/>
    <w:multiLevelType w:val="hybridMultilevel"/>
    <w:tmpl w:val="390E2020"/>
    <w:lvl w:ilvl="0" w:tplc="6FD265AA">
      <w:start w:val="1"/>
      <w:numFmt w:val="decimal"/>
      <w:lvlText w:val="%1."/>
      <w:lvlJc w:val="left"/>
      <w:pPr>
        <w:ind w:left="1440" w:hanging="360"/>
      </w:pPr>
      <w:rPr>
        <w:rFonts w:ascii="Calibri" w:eastAsia="Calibri" w:hAnsi="Calibri"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EC6691A"/>
    <w:multiLevelType w:val="hybridMultilevel"/>
    <w:tmpl w:val="8ED29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1A4C82"/>
    <w:multiLevelType w:val="hybridMultilevel"/>
    <w:tmpl w:val="05FAC2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2F729B"/>
    <w:multiLevelType w:val="hybridMultilevel"/>
    <w:tmpl w:val="E4821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596ACA"/>
    <w:multiLevelType w:val="hybridMultilevel"/>
    <w:tmpl w:val="3AB82D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11"/>
  </w:num>
  <w:num w:numId="4">
    <w:abstractNumId w:va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13"/>
  </w:num>
  <w:num w:numId="9">
    <w:abstractNumId w:val="1"/>
  </w:num>
  <w:num w:numId="10">
    <w:abstractNumId w:val="7"/>
  </w:num>
  <w:num w:numId="11">
    <w:abstractNumId w:val="12"/>
  </w:num>
  <w:num w:numId="12">
    <w:abstractNumId w:val="10"/>
  </w:num>
  <w:num w:numId="13">
    <w:abstractNumId w:val="6"/>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5D2"/>
    <w:rsid w:val="0000656D"/>
    <w:rsid w:val="00006CE6"/>
    <w:rsid w:val="00022819"/>
    <w:rsid w:val="00023E80"/>
    <w:rsid w:val="000267D5"/>
    <w:rsid w:val="00031238"/>
    <w:rsid w:val="00040152"/>
    <w:rsid w:val="000539CF"/>
    <w:rsid w:val="00055E72"/>
    <w:rsid w:val="00057398"/>
    <w:rsid w:val="00057918"/>
    <w:rsid w:val="000702FD"/>
    <w:rsid w:val="0009106C"/>
    <w:rsid w:val="000920FB"/>
    <w:rsid w:val="000935B7"/>
    <w:rsid w:val="00096351"/>
    <w:rsid w:val="000A1187"/>
    <w:rsid w:val="000A377E"/>
    <w:rsid w:val="000D2A6E"/>
    <w:rsid w:val="000F3469"/>
    <w:rsid w:val="00106346"/>
    <w:rsid w:val="001120BD"/>
    <w:rsid w:val="001150FF"/>
    <w:rsid w:val="001201DF"/>
    <w:rsid w:val="00120C8C"/>
    <w:rsid w:val="00121683"/>
    <w:rsid w:val="00126399"/>
    <w:rsid w:val="00132BDD"/>
    <w:rsid w:val="001419EE"/>
    <w:rsid w:val="00145162"/>
    <w:rsid w:val="00151AB6"/>
    <w:rsid w:val="0015273B"/>
    <w:rsid w:val="00154DE5"/>
    <w:rsid w:val="0016172F"/>
    <w:rsid w:val="0017284E"/>
    <w:rsid w:val="0017396B"/>
    <w:rsid w:val="00176DE8"/>
    <w:rsid w:val="00186BBB"/>
    <w:rsid w:val="00192E82"/>
    <w:rsid w:val="00192EEB"/>
    <w:rsid w:val="001A1871"/>
    <w:rsid w:val="001B1D92"/>
    <w:rsid w:val="001C205A"/>
    <w:rsid w:val="001E7E6B"/>
    <w:rsid w:val="001F3078"/>
    <w:rsid w:val="001F5E85"/>
    <w:rsid w:val="001F6E13"/>
    <w:rsid w:val="001F71FE"/>
    <w:rsid w:val="0021087E"/>
    <w:rsid w:val="002121DE"/>
    <w:rsid w:val="00212B28"/>
    <w:rsid w:val="00247221"/>
    <w:rsid w:val="00252C29"/>
    <w:rsid w:val="002652B3"/>
    <w:rsid w:val="002669D9"/>
    <w:rsid w:val="002720FA"/>
    <w:rsid w:val="00282941"/>
    <w:rsid w:val="00283C9A"/>
    <w:rsid w:val="00284158"/>
    <w:rsid w:val="00294D38"/>
    <w:rsid w:val="002A058A"/>
    <w:rsid w:val="002A0AF0"/>
    <w:rsid w:val="002A4646"/>
    <w:rsid w:val="002A75B7"/>
    <w:rsid w:val="002C0F2A"/>
    <w:rsid w:val="002C1EB9"/>
    <w:rsid w:val="002C3202"/>
    <w:rsid w:val="002C650D"/>
    <w:rsid w:val="002D6DAB"/>
    <w:rsid w:val="00300348"/>
    <w:rsid w:val="003077B9"/>
    <w:rsid w:val="0031284A"/>
    <w:rsid w:val="00312E35"/>
    <w:rsid w:val="00323FA5"/>
    <w:rsid w:val="00325691"/>
    <w:rsid w:val="003328E7"/>
    <w:rsid w:val="00333423"/>
    <w:rsid w:val="00335227"/>
    <w:rsid w:val="003359BF"/>
    <w:rsid w:val="00343414"/>
    <w:rsid w:val="0034647D"/>
    <w:rsid w:val="0035302A"/>
    <w:rsid w:val="00361D0D"/>
    <w:rsid w:val="003644B9"/>
    <w:rsid w:val="00372979"/>
    <w:rsid w:val="003750C7"/>
    <w:rsid w:val="00384373"/>
    <w:rsid w:val="003A1C02"/>
    <w:rsid w:val="003A6D49"/>
    <w:rsid w:val="003B055F"/>
    <w:rsid w:val="003B258A"/>
    <w:rsid w:val="003B442E"/>
    <w:rsid w:val="003B56FA"/>
    <w:rsid w:val="003C6AAB"/>
    <w:rsid w:val="003C6EBE"/>
    <w:rsid w:val="003C77A4"/>
    <w:rsid w:val="003E78CF"/>
    <w:rsid w:val="003F2882"/>
    <w:rsid w:val="003F4597"/>
    <w:rsid w:val="00405E20"/>
    <w:rsid w:val="00407BD2"/>
    <w:rsid w:val="004219A0"/>
    <w:rsid w:val="0042617E"/>
    <w:rsid w:val="0043230F"/>
    <w:rsid w:val="0043347E"/>
    <w:rsid w:val="00434F75"/>
    <w:rsid w:val="00435324"/>
    <w:rsid w:val="0043772B"/>
    <w:rsid w:val="0044101B"/>
    <w:rsid w:val="004478F1"/>
    <w:rsid w:val="004542E1"/>
    <w:rsid w:val="00455379"/>
    <w:rsid w:val="00462B68"/>
    <w:rsid w:val="00463931"/>
    <w:rsid w:val="004645F0"/>
    <w:rsid w:val="00464A4B"/>
    <w:rsid w:val="00464ED9"/>
    <w:rsid w:val="00484DD7"/>
    <w:rsid w:val="00486D02"/>
    <w:rsid w:val="00487B02"/>
    <w:rsid w:val="004A0905"/>
    <w:rsid w:val="004A096A"/>
    <w:rsid w:val="004A3754"/>
    <w:rsid w:val="004E6983"/>
    <w:rsid w:val="004F03D1"/>
    <w:rsid w:val="004F0618"/>
    <w:rsid w:val="005060F0"/>
    <w:rsid w:val="0051428F"/>
    <w:rsid w:val="00515598"/>
    <w:rsid w:val="005401B0"/>
    <w:rsid w:val="0054414B"/>
    <w:rsid w:val="005547A9"/>
    <w:rsid w:val="00564C8F"/>
    <w:rsid w:val="0056601D"/>
    <w:rsid w:val="005670C0"/>
    <w:rsid w:val="00573741"/>
    <w:rsid w:val="00573F7C"/>
    <w:rsid w:val="00576ACC"/>
    <w:rsid w:val="00586138"/>
    <w:rsid w:val="005905FA"/>
    <w:rsid w:val="005A5658"/>
    <w:rsid w:val="005B2DA0"/>
    <w:rsid w:val="005B2E5E"/>
    <w:rsid w:val="005B3243"/>
    <w:rsid w:val="005B348D"/>
    <w:rsid w:val="005B38CC"/>
    <w:rsid w:val="005D0A4D"/>
    <w:rsid w:val="005E0999"/>
    <w:rsid w:val="005E0B08"/>
    <w:rsid w:val="005E6DD7"/>
    <w:rsid w:val="005F1C01"/>
    <w:rsid w:val="005F62F8"/>
    <w:rsid w:val="005F6858"/>
    <w:rsid w:val="005F749C"/>
    <w:rsid w:val="00604780"/>
    <w:rsid w:val="0060645C"/>
    <w:rsid w:val="00611BE6"/>
    <w:rsid w:val="0061622F"/>
    <w:rsid w:val="00633FAF"/>
    <w:rsid w:val="00634AC6"/>
    <w:rsid w:val="006359D2"/>
    <w:rsid w:val="00637E08"/>
    <w:rsid w:val="00641BE3"/>
    <w:rsid w:val="00647C3D"/>
    <w:rsid w:val="006664DD"/>
    <w:rsid w:val="006909E4"/>
    <w:rsid w:val="006A02C2"/>
    <w:rsid w:val="006B0044"/>
    <w:rsid w:val="006B081C"/>
    <w:rsid w:val="006B2728"/>
    <w:rsid w:val="006C2B1F"/>
    <w:rsid w:val="006C2F09"/>
    <w:rsid w:val="006C51C8"/>
    <w:rsid w:val="006C56E5"/>
    <w:rsid w:val="006D2DB7"/>
    <w:rsid w:val="006D77A5"/>
    <w:rsid w:val="006E01BE"/>
    <w:rsid w:val="006F1B2A"/>
    <w:rsid w:val="006F6387"/>
    <w:rsid w:val="00700661"/>
    <w:rsid w:val="0070336B"/>
    <w:rsid w:val="00717630"/>
    <w:rsid w:val="00724165"/>
    <w:rsid w:val="007351BF"/>
    <w:rsid w:val="0073726F"/>
    <w:rsid w:val="00743AC0"/>
    <w:rsid w:val="00751A33"/>
    <w:rsid w:val="0077289F"/>
    <w:rsid w:val="00777441"/>
    <w:rsid w:val="0078105A"/>
    <w:rsid w:val="0078363A"/>
    <w:rsid w:val="00793AE9"/>
    <w:rsid w:val="00794DF8"/>
    <w:rsid w:val="00797C60"/>
    <w:rsid w:val="007A2DF9"/>
    <w:rsid w:val="007A37F5"/>
    <w:rsid w:val="007C63BF"/>
    <w:rsid w:val="007D052D"/>
    <w:rsid w:val="007D2DC0"/>
    <w:rsid w:val="007F4AF0"/>
    <w:rsid w:val="007F76E4"/>
    <w:rsid w:val="00801B1E"/>
    <w:rsid w:val="00814B34"/>
    <w:rsid w:val="008242A8"/>
    <w:rsid w:val="00834D9A"/>
    <w:rsid w:val="00836458"/>
    <w:rsid w:val="00836704"/>
    <w:rsid w:val="00840315"/>
    <w:rsid w:val="00846C93"/>
    <w:rsid w:val="00853BA1"/>
    <w:rsid w:val="0085784A"/>
    <w:rsid w:val="008743EB"/>
    <w:rsid w:val="00885F67"/>
    <w:rsid w:val="008A1D68"/>
    <w:rsid w:val="008A6559"/>
    <w:rsid w:val="008A6DC0"/>
    <w:rsid w:val="008C6C16"/>
    <w:rsid w:val="008E7D9E"/>
    <w:rsid w:val="008F7E8C"/>
    <w:rsid w:val="00900207"/>
    <w:rsid w:val="00905A71"/>
    <w:rsid w:val="00907841"/>
    <w:rsid w:val="009109B9"/>
    <w:rsid w:val="00910EC4"/>
    <w:rsid w:val="00921561"/>
    <w:rsid w:val="00923465"/>
    <w:rsid w:val="00924A3D"/>
    <w:rsid w:val="009312AA"/>
    <w:rsid w:val="0093197A"/>
    <w:rsid w:val="00935EF7"/>
    <w:rsid w:val="009521C9"/>
    <w:rsid w:val="00953CCB"/>
    <w:rsid w:val="00954A49"/>
    <w:rsid w:val="009645D4"/>
    <w:rsid w:val="00975B2D"/>
    <w:rsid w:val="00986A76"/>
    <w:rsid w:val="00986CEC"/>
    <w:rsid w:val="00990771"/>
    <w:rsid w:val="009A265D"/>
    <w:rsid w:val="009A385D"/>
    <w:rsid w:val="009A5354"/>
    <w:rsid w:val="009C5ADC"/>
    <w:rsid w:val="009C6BBB"/>
    <w:rsid w:val="009C71CE"/>
    <w:rsid w:val="009D1C21"/>
    <w:rsid w:val="009D7B59"/>
    <w:rsid w:val="009F26BC"/>
    <w:rsid w:val="00A208BA"/>
    <w:rsid w:val="00A26561"/>
    <w:rsid w:val="00A26ADC"/>
    <w:rsid w:val="00A3192B"/>
    <w:rsid w:val="00A3675D"/>
    <w:rsid w:val="00A57BD0"/>
    <w:rsid w:val="00A57BEA"/>
    <w:rsid w:val="00A62747"/>
    <w:rsid w:val="00A77A73"/>
    <w:rsid w:val="00A90E28"/>
    <w:rsid w:val="00A9139D"/>
    <w:rsid w:val="00A92A07"/>
    <w:rsid w:val="00A942E1"/>
    <w:rsid w:val="00AA4AE4"/>
    <w:rsid w:val="00AB09BD"/>
    <w:rsid w:val="00AB2C76"/>
    <w:rsid w:val="00AB699E"/>
    <w:rsid w:val="00AC2E09"/>
    <w:rsid w:val="00AC461E"/>
    <w:rsid w:val="00AD2376"/>
    <w:rsid w:val="00AE478D"/>
    <w:rsid w:val="00AF35D2"/>
    <w:rsid w:val="00AF73C2"/>
    <w:rsid w:val="00B02E0A"/>
    <w:rsid w:val="00B04905"/>
    <w:rsid w:val="00B07DAA"/>
    <w:rsid w:val="00B1064D"/>
    <w:rsid w:val="00B12227"/>
    <w:rsid w:val="00B15F97"/>
    <w:rsid w:val="00B32841"/>
    <w:rsid w:val="00B3674E"/>
    <w:rsid w:val="00B37E35"/>
    <w:rsid w:val="00B50E70"/>
    <w:rsid w:val="00B54209"/>
    <w:rsid w:val="00B54F56"/>
    <w:rsid w:val="00B627E5"/>
    <w:rsid w:val="00B64761"/>
    <w:rsid w:val="00B658A3"/>
    <w:rsid w:val="00B71063"/>
    <w:rsid w:val="00B75FEA"/>
    <w:rsid w:val="00B76908"/>
    <w:rsid w:val="00B86EA5"/>
    <w:rsid w:val="00B95298"/>
    <w:rsid w:val="00B97AE8"/>
    <w:rsid w:val="00BD7D74"/>
    <w:rsid w:val="00BE0CC1"/>
    <w:rsid w:val="00BE1735"/>
    <w:rsid w:val="00BF4029"/>
    <w:rsid w:val="00C07B0D"/>
    <w:rsid w:val="00C123DF"/>
    <w:rsid w:val="00C12BF7"/>
    <w:rsid w:val="00C1597C"/>
    <w:rsid w:val="00C20D4C"/>
    <w:rsid w:val="00C260A1"/>
    <w:rsid w:val="00C44159"/>
    <w:rsid w:val="00C5160A"/>
    <w:rsid w:val="00C551D4"/>
    <w:rsid w:val="00C570F1"/>
    <w:rsid w:val="00C73608"/>
    <w:rsid w:val="00C742D0"/>
    <w:rsid w:val="00C82E7A"/>
    <w:rsid w:val="00C85C29"/>
    <w:rsid w:val="00C85F85"/>
    <w:rsid w:val="00C947D9"/>
    <w:rsid w:val="00C97891"/>
    <w:rsid w:val="00CA73B2"/>
    <w:rsid w:val="00CB383B"/>
    <w:rsid w:val="00CC3D97"/>
    <w:rsid w:val="00CD222B"/>
    <w:rsid w:val="00CD402A"/>
    <w:rsid w:val="00CD4D72"/>
    <w:rsid w:val="00CD4D97"/>
    <w:rsid w:val="00CE1DD6"/>
    <w:rsid w:val="00CE241D"/>
    <w:rsid w:val="00CE24A9"/>
    <w:rsid w:val="00CF6890"/>
    <w:rsid w:val="00D049B7"/>
    <w:rsid w:val="00D26B08"/>
    <w:rsid w:val="00D3556F"/>
    <w:rsid w:val="00D45FAA"/>
    <w:rsid w:val="00D462AE"/>
    <w:rsid w:val="00D619D7"/>
    <w:rsid w:val="00D63F6D"/>
    <w:rsid w:val="00D665B6"/>
    <w:rsid w:val="00D7401F"/>
    <w:rsid w:val="00D7574C"/>
    <w:rsid w:val="00D76D82"/>
    <w:rsid w:val="00D9092E"/>
    <w:rsid w:val="00D93BB1"/>
    <w:rsid w:val="00DA091C"/>
    <w:rsid w:val="00DA233F"/>
    <w:rsid w:val="00E22FED"/>
    <w:rsid w:val="00E266F6"/>
    <w:rsid w:val="00E3554B"/>
    <w:rsid w:val="00E40453"/>
    <w:rsid w:val="00E438AA"/>
    <w:rsid w:val="00E50A84"/>
    <w:rsid w:val="00E5755B"/>
    <w:rsid w:val="00E640B8"/>
    <w:rsid w:val="00E6791D"/>
    <w:rsid w:val="00E74CB3"/>
    <w:rsid w:val="00E958CE"/>
    <w:rsid w:val="00EA7944"/>
    <w:rsid w:val="00EB32F9"/>
    <w:rsid w:val="00EB5C6D"/>
    <w:rsid w:val="00EB7D1C"/>
    <w:rsid w:val="00ED2979"/>
    <w:rsid w:val="00ED36C3"/>
    <w:rsid w:val="00ED5829"/>
    <w:rsid w:val="00EE2109"/>
    <w:rsid w:val="00EF233E"/>
    <w:rsid w:val="00EF6C40"/>
    <w:rsid w:val="00F017E8"/>
    <w:rsid w:val="00F040F7"/>
    <w:rsid w:val="00F05608"/>
    <w:rsid w:val="00F15D0E"/>
    <w:rsid w:val="00F26F2D"/>
    <w:rsid w:val="00F31949"/>
    <w:rsid w:val="00F34F7E"/>
    <w:rsid w:val="00F36CC7"/>
    <w:rsid w:val="00F507ED"/>
    <w:rsid w:val="00F52AC8"/>
    <w:rsid w:val="00F81778"/>
    <w:rsid w:val="00F915C5"/>
    <w:rsid w:val="00F94574"/>
    <w:rsid w:val="00F95CE9"/>
    <w:rsid w:val="00FA0A4A"/>
    <w:rsid w:val="00FA24DC"/>
    <w:rsid w:val="00FB2701"/>
    <w:rsid w:val="00FB4347"/>
    <w:rsid w:val="00FC10C9"/>
    <w:rsid w:val="00FC278F"/>
    <w:rsid w:val="00FC3BC0"/>
    <w:rsid w:val="00FC72B0"/>
    <w:rsid w:val="00FC79F4"/>
    <w:rsid w:val="00FD454A"/>
    <w:rsid w:val="00FE417F"/>
    <w:rsid w:val="00FE44EB"/>
    <w:rsid w:val="00FE5A75"/>
    <w:rsid w:val="00FE5E62"/>
    <w:rsid w:val="00FE6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5D2"/>
    <w:pPr>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E241D"/>
    <w:rPr>
      <w:color w:val="0000FF"/>
      <w:u w:val="single"/>
    </w:rPr>
  </w:style>
  <w:style w:type="character" w:styleId="CommentReference">
    <w:name w:val="annotation reference"/>
    <w:semiHidden/>
    <w:rsid w:val="00FE5A75"/>
    <w:rPr>
      <w:sz w:val="16"/>
      <w:szCs w:val="16"/>
    </w:rPr>
  </w:style>
  <w:style w:type="paragraph" w:styleId="CommentText">
    <w:name w:val="annotation text"/>
    <w:basedOn w:val="Normal"/>
    <w:semiHidden/>
    <w:rsid w:val="00FE5A75"/>
  </w:style>
  <w:style w:type="paragraph" w:styleId="CommentSubject">
    <w:name w:val="annotation subject"/>
    <w:basedOn w:val="CommentText"/>
    <w:next w:val="CommentText"/>
    <w:semiHidden/>
    <w:rsid w:val="00FE5A75"/>
    <w:rPr>
      <w:b/>
      <w:bCs/>
    </w:rPr>
  </w:style>
  <w:style w:type="paragraph" w:styleId="BalloonText">
    <w:name w:val="Balloon Text"/>
    <w:basedOn w:val="Normal"/>
    <w:semiHidden/>
    <w:rsid w:val="00FE5A75"/>
    <w:rPr>
      <w:rFonts w:ascii="Tahoma" w:hAnsi="Tahoma" w:cs="Tahoma"/>
      <w:sz w:val="16"/>
      <w:szCs w:val="16"/>
    </w:rPr>
  </w:style>
  <w:style w:type="paragraph" w:styleId="ListParagraph">
    <w:name w:val="List Paragraph"/>
    <w:basedOn w:val="Normal"/>
    <w:uiPriority w:val="34"/>
    <w:qFormat/>
    <w:rsid w:val="00717630"/>
    <w:pPr>
      <w:autoSpaceDE/>
      <w:autoSpaceDN/>
      <w:adjustRightInd/>
      <w:spacing w:after="200" w:line="276" w:lineRule="auto"/>
      <w:ind w:left="720"/>
      <w:contextualSpacing/>
    </w:pPr>
    <w:rPr>
      <w:rFonts w:ascii="Calibri" w:hAnsi="Calibri"/>
      <w:sz w:val="22"/>
      <w:szCs w:val="22"/>
    </w:rPr>
  </w:style>
  <w:style w:type="paragraph" w:styleId="Caption">
    <w:name w:val="caption"/>
    <w:basedOn w:val="Normal"/>
    <w:next w:val="Normal"/>
    <w:uiPriority w:val="35"/>
    <w:qFormat/>
    <w:rsid w:val="00717630"/>
    <w:pPr>
      <w:autoSpaceDE/>
      <w:autoSpaceDN/>
      <w:adjustRightInd/>
      <w:spacing w:after="200"/>
    </w:pPr>
    <w:rPr>
      <w:rFonts w:ascii="Calibri" w:hAnsi="Calibri"/>
      <w:b/>
      <w:bCs/>
      <w:color w:val="4F81BD"/>
      <w:sz w:val="18"/>
      <w:szCs w:val="18"/>
    </w:rPr>
  </w:style>
  <w:style w:type="paragraph" w:styleId="FootnoteText">
    <w:name w:val="footnote text"/>
    <w:basedOn w:val="Normal"/>
    <w:link w:val="FootnoteTextChar"/>
    <w:uiPriority w:val="99"/>
    <w:semiHidden/>
    <w:unhideWhenUsed/>
    <w:rsid w:val="00283C9A"/>
  </w:style>
  <w:style w:type="character" w:customStyle="1" w:styleId="FootnoteTextChar">
    <w:name w:val="Footnote Text Char"/>
    <w:link w:val="FootnoteText"/>
    <w:uiPriority w:val="99"/>
    <w:semiHidden/>
    <w:rsid w:val="00283C9A"/>
    <w:rPr>
      <w:rFonts w:ascii="Times New Roman" w:hAnsi="Times New Roman"/>
    </w:rPr>
  </w:style>
  <w:style w:type="character" w:styleId="FootnoteReference">
    <w:name w:val="footnote reference"/>
    <w:unhideWhenUsed/>
    <w:rsid w:val="00283C9A"/>
    <w:rPr>
      <w:vertAlign w:val="superscript"/>
    </w:rPr>
  </w:style>
  <w:style w:type="paragraph" w:styleId="Header">
    <w:name w:val="header"/>
    <w:basedOn w:val="Normal"/>
    <w:link w:val="HeaderChar"/>
    <w:uiPriority w:val="99"/>
    <w:unhideWhenUsed/>
    <w:rsid w:val="00154DE5"/>
    <w:pPr>
      <w:tabs>
        <w:tab w:val="center" w:pos="4680"/>
        <w:tab w:val="right" w:pos="9360"/>
      </w:tabs>
    </w:pPr>
  </w:style>
  <w:style w:type="character" w:customStyle="1" w:styleId="HeaderChar">
    <w:name w:val="Header Char"/>
    <w:basedOn w:val="DefaultParagraphFont"/>
    <w:link w:val="Header"/>
    <w:uiPriority w:val="99"/>
    <w:rsid w:val="00154DE5"/>
    <w:rPr>
      <w:rFonts w:ascii="Times New Roman" w:hAnsi="Times New Roman"/>
    </w:rPr>
  </w:style>
  <w:style w:type="paragraph" w:styleId="Footer">
    <w:name w:val="footer"/>
    <w:basedOn w:val="Normal"/>
    <w:link w:val="FooterChar"/>
    <w:uiPriority w:val="99"/>
    <w:unhideWhenUsed/>
    <w:rsid w:val="00154DE5"/>
    <w:pPr>
      <w:tabs>
        <w:tab w:val="center" w:pos="4680"/>
        <w:tab w:val="right" w:pos="9360"/>
      </w:tabs>
    </w:pPr>
  </w:style>
  <w:style w:type="character" w:customStyle="1" w:styleId="FooterChar">
    <w:name w:val="Footer Char"/>
    <w:basedOn w:val="DefaultParagraphFont"/>
    <w:link w:val="Footer"/>
    <w:uiPriority w:val="99"/>
    <w:rsid w:val="00154DE5"/>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5D2"/>
    <w:pPr>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E241D"/>
    <w:rPr>
      <w:color w:val="0000FF"/>
      <w:u w:val="single"/>
    </w:rPr>
  </w:style>
  <w:style w:type="character" w:styleId="CommentReference">
    <w:name w:val="annotation reference"/>
    <w:semiHidden/>
    <w:rsid w:val="00FE5A75"/>
    <w:rPr>
      <w:sz w:val="16"/>
      <w:szCs w:val="16"/>
    </w:rPr>
  </w:style>
  <w:style w:type="paragraph" w:styleId="CommentText">
    <w:name w:val="annotation text"/>
    <w:basedOn w:val="Normal"/>
    <w:semiHidden/>
    <w:rsid w:val="00FE5A75"/>
  </w:style>
  <w:style w:type="paragraph" w:styleId="CommentSubject">
    <w:name w:val="annotation subject"/>
    <w:basedOn w:val="CommentText"/>
    <w:next w:val="CommentText"/>
    <w:semiHidden/>
    <w:rsid w:val="00FE5A75"/>
    <w:rPr>
      <w:b/>
      <w:bCs/>
    </w:rPr>
  </w:style>
  <w:style w:type="paragraph" w:styleId="BalloonText">
    <w:name w:val="Balloon Text"/>
    <w:basedOn w:val="Normal"/>
    <w:semiHidden/>
    <w:rsid w:val="00FE5A75"/>
    <w:rPr>
      <w:rFonts w:ascii="Tahoma" w:hAnsi="Tahoma" w:cs="Tahoma"/>
      <w:sz w:val="16"/>
      <w:szCs w:val="16"/>
    </w:rPr>
  </w:style>
  <w:style w:type="paragraph" w:styleId="ListParagraph">
    <w:name w:val="List Paragraph"/>
    <w:basedOn w:val="Normal"/>
    <w:uiPriority w:val="34"/>
    <w:qFormat/>
    <w:rsid w:val="00717630"/>
    <w:pPr>
      <w:autoSpaceDE/>
      <w:autoSpaceDN/>
      <w:adjustRightInd/>
      <w:spacing w:after="200" w:line="276" w:lineRule="auto"/>
      <w:ind w:left="720"/>
      <w:contextualSpacing/>
    </w:pPr>
    <w:rPr>
      <w:rFonts w:ascii="Calibri" w:hAnsi="Calibri"/>
      <w:sz w:val="22"/>
      <w:szCs w:val="22"/>
    </w:rPr>
  </w:style>
  <w:style w:type="paragraph" w:styleId="Caption">
    <w:name w:val="caption"/>
    <w:basedOn w:val="Normal"/>
    <w:next w:val="Normal"/>
    <w:uiPriority w:val="35"/>
    <w:qFormat/>
    <w:rsid w:val="00717630"/>
    <w:pPr>
      <w:autoSpaceDE/>
      <w:autoSpaceDN/>
      <w:adjustRightInd/>
      <w:spacing w:after="200"/>
    </w:pPr>
    <w:rPr>
      <w:rFonts w:ascii="Calibri" w:hAnsi="Calibri"/>
      <w:b/>
      <w:bCs/>
      <w:color w:val="4F81BD"/>
      <w:sz w:val="18"/>
      <w:szCs w:val="18"/>
    </w:rPr>
  </w:style>
  <w:style w:type="paragraph" w:styleId="FootnoteText">
    <w:name w:val="footnote text"/>
    <w:basedOn w:val="Normal"/>
    <w:link w:val="FootnoteTextChar"/>
    <w:uiPriority w:val="99"/>
    <w:semiHidden/>
    <w:unhideWhenUsed/>
    <w:rsid w:val="00283C9A"/>
  </w:style>
  <w:style w:type="character" w:customStyle="1" w:styleId="FootnoteTextChar">
    <w:name w:val="Footnote Text Char"/>
    <w:link w:val="FootnoteText"/>
    <w:uiPriority w:val="99"/>
    <w:semiHidden/>
    <w:rsid w:val="00283C9A"/>
    <w:rPr>
      <w:rFonts w:ascii="Times New Roman" w:hAnsi="Times New Roman"/>
    </w:rPr>
  </w:style>
  <w:style w:type="character" w:styleId="FootnoteReference">
    <w:name w:val="footnote reference"/>
    <w:unhideWhenUsed/>
    <w:rsid w:val="00283C9A"/>
    <w:rPr>
      <w:vertAlign w:val="superscript"/>
    </w:rPr>
  </w:style>
  <w:style w:type="paragraph" w:styleId="Header">
    <w:name w:val="header"/>
    <w:basedOn w:val="Normal"/>
    <w:link w:val="HeaderChar"/>
    <w:uiPriority w:val="99"/>
    <w:unhideWhenUsed/>
    <w:rsid w:val="00154DE5"/>
    <w:pPr>
      <w:tabs>
        <w:tab w:val="center" w:pos="4680"/>
        <w:tab w:val="right" w:pos="9360"/>
      </w:tabs>
    </w:pPr>
  </w:style>
  <w:style w:type="character" w:customStyle="1" w:styleId="HeaderChar">
    <w:name w:val="Header Char"/>
    <w:basedOn w:val="DefaultParagraphFont"/>
    <w:link w:val="Header"/>
    <w:uiPriority w:val="99"/>
    <w:rsid w:val="00154DE5"/>
    <w:rPr>
      <w:rFonts w:ascii="Times New Roman" w:hAnsi="Times New Roman"/>
    </w:rPr>
  </w:style>
  <w:style w:type="paragraph" w:styleId="Footer">
    <w:name w:val="footer"/>
    <w:basedOn w:val="Normal"/>
    <w:link w:val="FooterChar"/>
    <w:uiPriority w:val="99"/>
    <w:unhideWhenUsed/>
    <w:rsid w:val="00154DE5"/>
    <w:pPr>
      <w:tabs>
        <w:tab w:val="center" w:pos="4680"/>
        <w:tab w:val="right" w:pos="9360"/>
      </w:tabs>
    </w:pPr>
  </w:style>
  <w:style w:type="character" w:customStyle="1" w:styleId="FooterChar">
    <w:name w:val="Footer Char"/>
    <w:basedOn w:val="DefaultParagraphFont"/>
    <w:link w:val="Footer"/>
    <w:uiPriority w:val="99"/>
    <w:rsid w:val="00154DE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2508">
      <w:bodyDiv w:val="1"/>
      <w:marLeft w:val="0"/>
      <w:marRight w:val="0"/>
      <w:marTop w:val="0"/>
      <w:marBottom w:val="0"/>
      <w:divBdr>
        <w:top w:val="none" w:sz="0" w:space="0" w:color="auto"/>
        <w:left w:val="none" w:sz="0" w:space="0" w:color="auto"/>
        <w:bottom w:val="none" w:sz="0" w:space="0" w:color="auto"/>
        <w:right w:val="none" w:sz="0" w:space="0" w:color="auto"/>
      </w:divBdr>
    </w:div>
    <w:div w:id="211812927">
      <w:bodyDiv w:val="1"/>
      <w:marLeft w:val="0"/>
      <w:marRight w:val="0"/>
      <w:marTop w:val="0"/>
      <w:marBottom w:val="0"/>
      <w:divBdr>
        <w:top w:val="none" w:sz="0" w:space="0" w:color="auto"/>
        <w:left w:val="none" w:sz="0" w:space="0" w:color="auto"/>
        <w:bottom w:val="none" w:sz="0" w:space="0" w:color="auto"/>
        <w:right w:val="none" w:sz="0" w:space="0" w:color="auto"/>
      </w:divBdr>
    </w:div>
    <w:div w:id="396131911">
      <w:bodyDiv w:val="1"/>
      <w:marLeft w:val="0"/>
      <w:marRight w:val="0"/>
      <w:marTop w:val="0"/>
      <w:marBottom w:val="0"/>
      <w:divBdr>
        <w:top w:val="none" w:sz="0" w:space="0" w:color="auto"/>
        <w:left w:val="none" w:sz="0" w:space="0" w:color="auto"/>
        <w:bottom w:val="none" w:sz="0" w:space="0" w:color="auto"/>
        <w:right w:val="none" w:sz="0" w:space="0" w:color="auto"/>
      </w:divBdr>
    </w:div>
    <w:div w:id="488442714">
      <w:bodyDiv w:val="1"/>
      <w:marLeft w:val="0"/>
      <w:marRight w:val="0"/>
      <w:marTop w:val="0"/>
      <w:marBottom w:val="0"/>
      <w:divBdr>
        <w:top w:val="none" w:sz="0" w:space="0" w:color="auto"/>
        <w:left w:val="none" w:sz="0" w:space="0" w:color="auto"/>
        <w:bottom w:val="none" w:sz="0" w:space="0" w:color="auto"/>
        <w:right w:val="none" w:sz="0" w:space="0" w:color="auto"/>
      </w:divBdr>
    </w:div>
    <w:div w:id="562521131">
      <w:bodyDiv w:val="1"/>
      <w:marLeft w:val="0"/>
      <w:marRight w:val="0"/>
      <w:marTop w:val="0"/>
      <w:marBottom w:val="0"/>
      <w:divBdr>
        <w:top w:val="none" w:sz="0" w:space="0" w:color="auto"/>
        <w:left w:val="none" w:sz="0" w:space="0" w:color="auto"/>
        <w:bottom w:val="none" w:sz="0" w:space="0" w:color="auto"/>
        <w:right w:val="none" w:sz="0" w:space="0" w:color="auto"/>
      </w:divBdr>
    </w:div>
    <w:div w:id="569273769">
      <w:bodyDiv w:val="1"/>
      <w:marLeft w:val="0"/>
      <w:marRight w:val="0"/>
      <w:marTop w:val="0"/>
      <w:marBottom w:val="0"/>
      <w:divBdr>
        <w:top w:val="none" w:sz="0" w:space="0" w:color="auto"/>
        <w:left w:val="none" w:sz="0" w:space="0" w:color="auto"/>
        <w:bottom w:val="none" w:sz="0" w:space="0" w:color="auto"/>
        <w:right w:val="none" w:sz="0" w:space="0" w:color="auto"/>
      </w:divBdr>
    </w:div>
    <w:div w:id="601645075">
      <w:bodyDiv w:val="1"/>
      <w:marLeft w:val="0"/>
      <w:marRight w:val="0"/>
      <w:marTop w:val="0"/>
      <w:marBottom w:val="0"/>
      <w:divBdr>
        <w:top w:val="none" w:sz="0" w:space="0" w:color="auto"/>
        <w:left w:val="none" w:sz="0" w:space="0" w:color="auto"/>
        <w:bottom w:val="none" w:sz="0" w:space="0" w:color="auto"/>
        <w:right w:val="none" w:sz="0" w:space="0" w:color="auto"/>
      </w:divBdr>
    </w:div>
    <w:div w:id="609237148">
      <w:bodyDiv w:val="1"/>
      <w:marLeft w:val="0"/>
      <w:marRight w:val="0"/>
      <w:marTop w:val="0"/>
      <w:marBottom w:val="0"/>
      <w:divBdr>
        <w:top w:val="none" w:sz="0" w:space="0" w:color="auto"/>
        <w:left w:val="none" w:sz="0" w:space="0" w:color="auto"/>
        <w:bottom w:val="none" w:sz="0" w:space="0" w:color="auto"/>
        <w:right w:val="none" w:sz="0" w:space="0" w:color="auto"/>
      </w:divBdr>
    </w:div>
    <w:div w:id="783187103">
      <w:bodyDiv w:val="1"/>
      <w:marLeft w:val="0"/>
      <w:marRight w:val="0"/>
      <w:marTop w:val="0"/>
      <w:marBottom w:val="0"/>
      <w:divBdr>
        <w:top w:val="none" w:sz="0" w:space="0" w:color="auto"/>
        <w:left w:val="none" w:sz="0" w:space="0" w:color="auto"/>
        <w:bottom w:val="none" w:sz="0" w:space="0" w:color="auto"/>
        <w:right w:val="none" w:sz="0" w:space="0" w:color="auto"/>
      </w:divBdr>
    </w:div>
    <w:div w:id="837421788">
      <w:bodyDiv w:val="1"/>
      <w:marLeft w:val="0"/>
      <w:marRight w:val="0"/>
      <w:marTop w:val="0"/>
      <w:marBottom w:val="0"/>
      <w:divBdr>
        <w:top w:val="none" w:sz="0" w:space="0" w:color="auto"/>
        <w:left w:val="none" w:sz="0" w:space="0" w:color="auto"/>
        <w:bottom w:val="none" w:sz="0" w:space="0" w:color="auto"/>
        <w:right w:val="none" w:sz="0" w:space="0" w:color="auto"/>
      </w:divBdr>
    </w:div>
    <w:div w:id="921839508">
      <w:bodyDiv w:val="1"/>
      <w:marLeft w:val="0"/>
      <w:marRight w:val="0"/>
      <w:marTop w:val="0"/>
      <w:marBottom w:val="0"/>
      <w:divBdr>
        <w:top w:val="none" w:sz="0" w:space="0" w:color="auto"/>
        <w:left w:val="none" w:sz="0" w:space="0" w:color="auto"/>
        <w:bottom w:val="none" w:sz="0" w:space="0" w:color="auto"/>
        <w:right w:val="none" w:sz="0" w:space="0" w:color="auto"/>
      </w:divBdr>
    </w:div>
    <w:div w:id="971518527">
      <w:bodyDiv w:val="1"/>
      <w:marLeft w:val="0"/>
      <w:marRight w:val="0"/>
      <w:marTop w:val="0"/>
      <w:marBottom w:val="0"/>
      <w:divBdr>
        <w:top w:val="none" w:sz="0" w:space="0" w:color="auto"/>
        <w:left w:val="none" w:sz="0" w:space="0" w:color="auto"/>
        <w:bottom w:val="none" w:sz="0" w:space="0" w:color="auto"/>
        <w:right w:val="none" w:sz="0" w:space="0" w:color="auto"/>
      </w:divBdr>
    </w:div>
    <w:div w:id="1132484075">
      <w:bodyDiv w:val="1"/>
      <w:marLeft w:val="0"/>
      <w:marRight w:val="0"/>
      <w:marTop w:val="0"/>
      <w:marBottom w:val="0"/>
      <w:divBdr>
        <w:top w:val="none" w:sz="0" w:space="0" w:color="auto"/>
        <w:left w:val="none" w:sz="0" w:space="0" w:color="auto"/>
        <w:bottom w:val="none" w:sz="0" w:space="0" w:color="auto"/>
        <w:right w:val="none" w:sz="0" w:space="0" w:color="auto"/>
      </w:divBdr>
    </w:div>
    <w:div w:id="1260214891">
      <w:bodyDiv w:val="1"/>
      <w:marLeft w:val="0"/>
      <w:marRight w:val="0"/>
      <w:marTop w:val="0"/>
      <w:marBottom w:val="0"/>
      <w:divBdr>
        <w:top w:val="none" w:sz="0" w:space="0" w:color="auto"/>
        <w:left w:val="none" w:sz="0" w:space="0" w:color="auto"/>
        <w:bottom w:val="none" w:sz="0" w:space="0" w:color="auto"/>
        <w:right w:val="none" w:sz="0" w:space="0" w:color="auto"/>
      </w:divBdr>
    </w:div>
    <w:div w:id="1287198984">
      <w:bodyDiv w:val="1"/>
      <w:marLeft w:val="0"/>
      <w:marRight w:val="0"/>
      <w:marTop w:val="0"/>
      <w:marBottom w:val="0"/>
      <w:divBdr>
        <w:top w:val="none" w:sz="0" w:space="0" w:color="auto"/>
        <w:left w:val="none" w:sz="0" w:space="0" w:color="auto"/>
        <w:bottom w:val="none" w:sz="0" w:space="0" w:color="auto"/>
        <w:right w:val="none" w:sz="0" w:space="0" w:color="auto"/>
      </w:divBdr>
    </w:div>
    <w:div w:id="1393037597">
      <w:bodyDiv w:val="1"/>
      <w:marLeft w:val="0"/>
      <w:marRight w:val="0"/>
      <w:marTop w:val="0"/>
      <w:marBottom w:val="0"/>
      <w:divBdr>
        <w:top w:val="none" w:sz="0" w:space="0" w:color="auto"/>
        <w:left w:val="none" w:sz="0" w:space="0" w:color="auto"/>
        <w:bottom w:val="none" w:sz="0" w:space="0" w:color="auto"/>
        <w:right w:val="none" w:sz="0" w:space="0" w:color="auto"/>
      </w:divBdr>
    </w:div>
    <w:div w:id="1546480472">
      <w:bodyDiv w:val="1"/>
      <w:marLeft w:val="0"/>
      <w:marRight w:val="0"/>
      <w:marTop w:val="0"/>
      <w:marBottom w:val="0"/>
      <w:divBdr>
        <w:top w:val="none" w:sz="0" w:space="0" w:color="auto"/>
        <w:left w:val="none" w:sz="0" w:space="0" w:color="auto"/>
        <w:bottom w:val="none" w:sz="0" w:space="0" w:color="auto"/>
        <w:right w:val="none" w:sz="0" w:space="0" w:color="auto"/>
      </w:divBdr>
    </w:div>
    <w:div w:id="1557280936">
      <w:bodyDiv w:val="1"/>
      <w:marLeft w:val="0"/>
      <w:marRight w:val="0"/>
      <w:marTop w:val="0"/>
      <w:marBottom w:val="0"/>
      <w:divBdr>
        <w:top w:val="none" w:sz="0" w:space="0" w:color="auto"/>
        <w:left w:val="none" w:sz="0" w:space="0" w:color="auto"/>
        <w:bottom w:val="none" w:sz="0" w:space="0" w:color="auto"/>
        <w:right w:val="none" w:sz="0" w:space="0" w:color="auto"/>
      </w:divBdr>
    </w:div>
    <w:div w:id="1861973371">
      <w:bodyDiv w:val="1"/>
      <w:marLeft w:val="0"/>
      <w:marRight w:val="0"/>
      <w:marTop w:val="0"/>
      <w:marBottom w:val="0"/>
      <w:divBdr>
        <w:top w:val="none" w:sz="0" w:space="0" w:color="auto"/>
        <w:left w:val="none" w:sz="0" w:space="0" w:color="auto"/>
        <w:bottom w:val="none" w:sz="0" w:space="0" w:color="auto"/>
        <w:right w:val="none" w:sz="0" w:space="0" w:color="auto"/>
      </w:divBdr>
    </w:div>
    <w:div w:id="1978143287">
      <w:bodyDiv w:val="1"/>
      <w:marLeft w:val="0"/>
      <w:marRight w:val="0"/>
      <w:marTop w:val="0"/>
      <w:marBottom w:val="0"/>
      <w:divBdr>
        <w:top w:val="none" w:sz="0" w:space="0" w:color="auto"/>
        <w:left w:val="none" w:sz="0" w:space="0" w:color="auto"/>
        <w:bottom w:val="none" w:sz="0" w:space="0" w:color="auto"/>
        <w:right w:val="none" w:sz="0" w:space="0" w:color="auto"/>
      </w:divBdr>
    </w:div>
    <w:div w:id="211413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boris.rachev@summitllc.us" TargetMode="Externa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wasteguide.info/files/IDC_2011_ISRI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F0A57-5B33-49DB-9866-16CE10804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3301</Words>
  <Characters>18817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USITC</Company>
  <LinksUpToDate>false</LinksUpToDate>
  <CharactersWithSpaces>22074</CharactersWithSpaces>
  <SharedDoc>false</SharedDoc>
  <HLinks>
    <vt:vector size="6" baseType="variant">
      <vt:variant>
        <vt:i4>6815760</vt:i4>
      </vt:variant>
      <vt:variant>
        <vt:i4>14</vt:i4>
      </vt:variant>
      <vt:variant>
        <vt:i4>0</vt:i4>
      </vt:variant>
      <vt:variant>
        <vt:i4>5</vt:i4>
      </vt:variant>
      <vt:variant>
        <vt:lpwstr>mailto:boris.rachev@summitllc.us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Wise, Jeremy</dc:creator>
  <cp:keywords/>
  <dc:description/>
  <cp:lastModifiedBy>Powers</cp:lastModifiedBy>
  <cp:revision>3</cp:revision>
  <cp:lastPrinted>2012-05-16T15:14:00Z</cp:lastPrinted>
  <dcterms:created xsi:type="dcterms:W3CDTF">2012-05-17T15:22:00Z</dcterms:created>
  <dcterms:modified xsi:type="dcterms:W3CDTF">2012-05-17T15:23:00Z</dcterms:modified>
</cp:coreProperties>
</file>