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B68CB" w:rsidRPr="00E11478" w:rsidRDefault="004D5AF7" w:rsidP="008970FF">
      <w:pPr>
        <w:tabs>
          <w:tab w:val="left" w:pos="360"/>
        </w:tabs>
        <w:jc w:val="center"/>
        <w:rPr>
          <w:b/>
          <w:bCs/>
          <w:szCs w:val="24"/>
        </w:rPr>
      </w:pPr>
      <w:r w:rsidRPr="00E11478">
        <w:rPr>
          <w:szCs w:val="24"/>
          <w:lang w:val="en-CA"/>
        </w:rPr>
        <w:fldChar w:fldCharType="begin"/>
      </w:r>
      <w:r w:rsidR="008970FF" w:rsidRPr="00E11478">
        <w:rPr>
          <w:szCs w:val="24"/>
          <w:lang w:val="en-CA"/>
        </w:rPr>
        <w:instrText xml:space="preserve"> SEQ CHAPTER \h \r 1</w:instrText>
      </w:r>
      <w:r w:rsidRPr="00E11478">
        <w:rPr>
          <w:szCs w:val="24"/>
          <w:lang w:val="en-CA"/>
        </w:rPr>
        <w:fldChar w:fldCharType="end"/>
      </w:r>
      <w:r w:rsidR="008970FF" w:rsidRPr="00E11478">
        <w:rPr>
          <w:b/>
          <w:bCs/>
          <w:color w:val="000000"/>
          <w:szCs w:val="24"/>
        </w:rPr>
        <w:t xml:space="preserve">Supporting Statement for </w:t>
      </w:r>
      <w:r w:rsidR="00EB68CB" w:rsidRPr="00E11478">
        <w:rPr>
          <w:b/>
          <w:bCs/>
          <w:color w:val="000000"/>
          <w:szCs w:val="24"/>
        </w:rPr>
        <w:t>the</w:t>
      </w:r>
    </w:p>
    <w:p w:rsidR="008970FF" w:rsidRPr="00E11478" w:rsidRDefault="008970FF" w:rsidP="008970FF">
      <w:pPr>
        <w:tabs>
          <w:tab w:val="left" w:pos="360"/>
        </w:tabs>
        <w:jc w:val="center"/>
        <w:rPr>
          <w:b/>
          <w:bCs/>
          <w:szCs w:val="24"/>
        </w:rPr>
      </w:pPr>
      <w:r w:rsidRPr="00E11478">
        <w:rPr>
          <w:b/>
          <w:bCs/>
          <w:szCs w:val="24"/>
        </w:rPr>
        <w:t xml:space="preserve">Quarterly Report of Interest Rates on Selected Direct Consumer </w:t>
      </w:r>
    </w:p>
    <w:p w:rsidR="008970FF" w:rsidRPr="00E11478" w:rsidRDefault="008970FF" w:rsidP="008970FF">
      <w:pPr>
        <w:tabs>
          <w:tab w:val="left" w:pos="360"/>
        </w:tabs>
        <w:jc w:val="center"/>
        <w:rPr>
          <w:b/>
          <w:bCs/>
          <w:szCs w:val="24"/>
        </w:rPr>
      </w:pPr>
      <w:r w:rsidRPr="00E11478">
        <w:rPr>
          <w:b/>
          <w:bCs/>
          <w:szCs w:val="24"/>
        </w:rPr>
        <w:t>Installment Loans (FR 2835)</w:t>
      </w:r>
      <w:r w:rsidR="00EB68CB" w:rsidRPr="00E11478">
        <w:rPr>
          <w:b/>
          <w:bCs/>
          <w:szCs w:val="24"/>
        </w:rPr>
        <w:t xml:space="preserve"> and </w:t>
      </w:r>
    </w:p>
    <w:p w:rsidR="008970FF" w:rsidRDefault="008970FF" w:rsidP="008970FF">
      <w:pPr>
        <w:tabs>
          <w:tab w:val="left" w:pos="360"/>
        </w:tabs>
        <w:ind w:left="360"/>
        <w:jc w:val="center"/>
        <w:rPr>
          <w:b/>
          <w:bCs/>
          <w:szCs w:val="24"/>
        </w:rPr>
      </w:pPr>
      <w:r w:rsidRPr="00E11478">
        <w:rPr>
          <w:b/>
          <w:bCs/>
          <w:szCs w:val="24"/>
        </w:rPr>
        <w:t>Quarterly Report of Credit Card Plans (FR 2835a)</w:t>
      </w:r>
    </w:p>
    <w:p w:rsidR="00E11478" w:rsidRPr="00E11478" w:rsidRDefault="00E11478" w:rsidP="008970FF">
      <w:pPr>
        <w:tabs>
          <w:tab w:val="left" w:pos="360"/>
        </w:tabs>
        <w:ind w:left="360"/>
        <w:jc w:val="center"/>
        <w:rPr>
          <w:b/>
          <w:bCs/>
          <w:color w:val="000000"/>
          <w:szCs w:val="24"/>
        </w:rPr>
      </w:pPr>
      <w:r>
        <w:rPr>
          <w:b/>
          <w:bCs/>
          <w:color w:val="000000"/>
          <w:szCs w:val="24"/>
        </w:rPr>
        <w:t>(</w:t>
      </w:r>
      <w:r w:rsidRPr="00E11478">
        <w:rPr>
          <w:b/>
          <w:bCs/>
          <w:color w:val="000000"/>
          <w:szCs w:val="24"/>
        </w:rPr>
        <w:t>OMB No. 7100-0085</w:t>
      </w:r>
      <w:r>
        <w:rPr>
          <w:b/>
          <w:bCs/>
          <w:color w:val="000000"/>
          <w:szCs w:val="24"/>
        </w:rPr>
        <w:t>)</w:t>
      </w:r>
    </w:p>
    <w:p w:rsidR="008970FF" w:rsidRPr="00E11478" w:rsidRDefault="008970FF" w:rsidP="00FC6252">
      <w:pPr>
        <w:tabs>
          <w:tab w:val="left" w:pos="360"/>
        </w:tabs>
        <w:rPr>
          <w:b/>
          <w:bCs/>
          <w:szCs w:val="24"/>
        </w:rPr>
      </w:pPr>
    </w:p>
    <w:p w:rsidR="00FC6252" w:rsidRPr="00E11478" w:rsidRDefault="00FC6252" w:rsidP="00FC6252">
      <w:pPr>
        <w:tabs>
          <w:tab w:val="left" w:pos="360"/>
        </w:tabs>
        <w:rPr>
          <w:szCs w:val="24"/>
        </w:rPr>
      </w:pPr>
      <w:r w:rsidRPr="00E11478">
        <w:rPr>
          <w:b/>
          <w:bCs/>
          <w:szCs w:val="24"/>
        </w:rPr>
        <w:t>Summary</w:t>
      </w:r>
    </w:p>
    <w:p w:rsidR="00FC6252" w:rsidRPr="00E11478" w:rsidRDefault="00FC6252" w:rsidP="00FC6252">
      <w:pPr>
        <w:tabs>
          <w:tab w:val="left" w:pos="360"/>
        </w:tabs>
        <w:rPr>
          <w:szCs w:val="24"/>
        </w:rPr>
      </w:pPr>
    </w:p>
    <w:p w:rsidR="00D576E0" w:rsidRDefault="00D576E0" w:rsidP="00D576E0">
      <w:pPr>
        <w:tabs>
          <w:tab w:val="left" w:pos="360"/>
        </w:tabs>
        <w:ind w:firstLine="360"/>
        <w:rPr>
          <w:szCs w:val="24"/>
        </w:rPr>
      </w:pPr>
      <w:r w:rsidRPr="00E11478">
        <w:rPr>
          <w:color w:val="000000"/>
          <w:szCs w:val="24"/>
        </w:rPr>
        <w:t xml:space="preserve">The Board of Governors of the Federal Reserve System, under delegated authority from the Office of Management and Budget (OMB), proposes to </w:t>
      </w:r>
      <w:r w:rsidRPr="00E11478">
        <w:rPr>
          <w:szCs w:val="24"/>
        </w:rPr>
        <w:t>extend for three years, without revision, two voluntary consumer credit reports</w:t>
      </w:r>
      <w:r w:rsidR="00B94573">
        <w:rPr>
          <w:szCs w:val="24"/>
        </w:rPr>
        <w:t>:</w:t>
      </w:r>
      <w:r w:rsidR="00B94573">
        <w:rPr>
          <w:rStyle w:val="FootnoteReference"/>
          <w:szCs w:val="24"/>
        </w:rPr>
        <w:footnoteReference w:id="1"/>
      </w:r>
    </w:p>
    <w:p w:rsidR="00F010DA" w:rsidRPr="00E11478" w:rsidRDefault="00F010DA" w:rsidP="00D576E0">
      <w:pPr>
        <w:tabs>
          <w:tab w:val="left" w:pos="360"/>
        </w:tabs>
        <w:ind w:firstLine="360"/>
        <w:rPr>
          <w:szCs w:val="24"/>
        </w:rPr>
      </w:pPr>
    </w:p>
    <w:p w:rsidR="00FC6252" w:rsidRPr="00E11478" w:rsidRDefault="00FC6252" w:rsidP="00FC6252">
      <w:pPr>
        <w:numPr>
          <w:ilvl w:val="0"/>
          <w:numId w:val="1"/>
        </w:numPr>
        <w:tabs>
          <w:tab w:val="left" w:pos="360"/>
        </w:tabs>
        <w:autoSpaceDE w:val="0"/>
        <w:autoSpaceDN w:val="0"/>
        <w:adjustRightInd w:val="0"/>
        <w:rPr>
          <w:szCs w:val="24"/>
        </w:rPr>
      </w:pPr>
      <w:r w:rsidRPr="00E11478">
        <w:rPr>
          <w:szCs w:val="24"/>
        </w:rPr>
        <w:t>Quarterly Report of Interest Rates on Selected Direct Consumer Installment Loans (</w:t>
      </w:r>
      <w:r w:rsidR="00F010DA">
        <w:t>FR 2835</w:t>
      </w:r>
      <w:r w:rsidRPr="00E11478">
        <w:rPr>
          <w:szCs w:val="24"/>
        </w:rPr>
        <w:t xml:space="preserve">), which collects </w:t>
      </w:r>
      <w:r w:rsidR="00025F7C" w:rsidRPr="00E11478">
        <w:rPr>
          <w:szCs w:val="24"/>
        </w:rPr>
        <w:t xml:space="preserve">interest </w:t>
      </w:r>
      <w:r w:rsidRPr="00E11478">
        <w:rPr>
          <w:szCs w:val="24"/>
        </w:rPr>
        <w:t xml:space="preserve">rates on </w:t>
      </w:r>
      <w:r w:rsidR="007262B6" w:rsidRPr="00E11478">
        <w:rPr>
          <w:szCs w:val="24"/>
        </w:rPr>
        <w:t>loans for new vehicles and loans for other consumer goods</w:t>
      </w:r>
      <w:r w:rsidR="00025F7C" w:rsidRPr="00E11478">
        <w:rPr>
          <w:szCs w:val="24"/>
        </w:rPr>
        <w:t xml:space="preserve"> and personal expenses </w:t>
      </w:r>
      <w:r w:rsidRPr="00E11478">
        <w:rPr>
          <w:szCs w:val="24"/>
        </w:rPr>
        <w:t>from</w:t>
      </w:r>
      <w:r w:rsidR="000F0E40" w:rsidRPr="00E11478">
        <w:rPr>
          <w:szCs w:val="24"/>
        </w:rPr>
        <w:t xml:space="preserve"> a sample of commercial banks.</w:t>
      </w:r>
    </w:p>
    <w:p w:rsidR="00FC6252" w:rsidRPr="00E11478" w:rsidRDefault="00FC6252" w:rsidP="00FC6252">
      <w:pPr>
        <w:numPr>
          <w:ilvl w:val="0"/>
          <w:numId w:val="1"/>
        </w:numPr>
        <w:tabs>
          <w:tab w:val="left" w:pos="360"/>
        </w:tabs>
        <w:autoSpaceDE w:val="0"/>
        <w:autoSpaceDN w:val="0"/>
        <w:adjustRightInd w:val="0"/>
        <w:rPr>
          <w:szCs w:val="24"/>
        </w:rPr>
      </w:pPr>
      <w:r w:rsidRPr="00E11478">
        <w:rPr>
          <w:szCs w:val="24"/>
        </w:rPr>
        <w:t xml:space="preserve">Quarterly Report of Credit Card Plans </w:t>
      </w:r>
      <w:r w:rsidR="00F010DA">
        <w:t xml:space="preserve">(FR 2835a), </w:t>
      </w:r>
      <w:r w:rsidRPr="00E11478">
        <w:rPr>
          <w:szCs w:val="24"/>
        </w:rPr>
        <w:t xml:space="preserve">which collects </w:t>
      </w:r>
      <w:r w:rsidR="00025F7C" w:rsidRPr="00E11478">
        <w:rPr>
          <w:szCs w:val="24"/>
        </w:rPr>
        <w:t xml:space="preserve">interest rates, finance charges, and loan balances for credit card accounts, </w:t>
      </w:r>
      <w:r w:rsidRPr="00E11478">
        <w:rPr>
          <w:szCs w:val="24"/>
        </w:rPr>
        <w:t xml:space="preserve">from a sample of commercial banks.  </w:t>
      </w:r>
    </w:p>
    <w:p w:rsidR="000F33AF" w:rsidRPr="00E11478" w:rsidRDefault="000F33AF" w:rsidP="00195D9C">
      <w:pPr>
        <w:tabs>
          <w:tab w:val="left" w:pos="360"/>
        </w:tabs>
        <w:rPr>
          <w:szCs w:val="24"/>
        </w:rPr>
      </w:pPr>
    </w:p>
    <w:p w:rsidR="00775041" w:rsidRDefault="001D7772" w:rsidP="007835F7">
      <w:pPr>
        <w:ind w:firstLine="360"/>
        <w:rPr>
          <w:szCs w:val="24"/>
        </w:rPr>
      </w:pPr>
      <w:r w:rsidRPr="00E11478">
        <w:rPr>
          <w:szCs w:val="24"/>
        </w:rPr>
        <w:t xml:space="preserve">The data from these reports help the </w:t>
      </w:r>
      <w:r w:rsidR="0066041E" w:rsidRPr="00E11478">
        <w:rPr>
          <w:szCs w:val="24"/>
        </w:rPr>
        <w:t>Federal Reserve</w:t>
      </w:r>
      <w:r w:rsidRPr="00E11478">
        <w:rPr>
          <w:szCs w:val="24"/>
        </w:rPr>
        <w:t xml:space="preserve"> analyze current household financial conditions and the implications of these conditions for household spending</w:t>
      </w:r>
      <w:r w:rsidR="00944828" w:rsidRPr="00E11478">
        <w:rPr>
          <w:szCs w:val="24"/>
        </w:rPr>
        <w:t xml:space="preserve"> and thus</w:t>
      </w:r>
      <w:r w:rsidR="000F33AF" w:rsidRPr="00E11478">
        <w:rPr>
          <w:szCs w:val="24"/>
        </w:rPr>
        <w:t xml:space="preserve"> </w:t>
      </w:r>
      <w:r w:rsidRPr="00E11478">
        <w:rPr>
          <w:szCs w:val="24"/>
        </w:rPr>
        <w:t>these data are a valuable input to the m</w:t>
      </w:r>
      <w:r w:rsidR="000F33AF" w:rsidRPr="00E11478">
        <w:rPr>
          <w:szCs w:val="24"/>
        </w:rPr>
        <w:t xml:space="preserve">onetary policymaking process.  The data are also used to create aggregate statistics on consumer loan terms that are published in the </w:t>
      </w:r>
      <w:r w:rsidR="009835D5" w:rsidRPr="00E11478">
        <w:rPr>
          <w:szCs w:val="24"/>
        </w:rPr>
        <w:t xml:space="preserve">Federal Reserve’s </w:t>
      </w:r>
      <w:r w:rsidR="000F33AF" w:rsidRPr="00E11478">
        <w:rPr>
          <w:szCs w:val="24"/>
        </w:rPr>
        <w:t>monthly</w:t>
      </w:r>
      <w:r w:rsidR="00C50C88" w:rsidRPr="00E11478">
        <w:rPr>
          <w:szCs w:val="24"/>
        </w:rPr>
        <w:t xml:space="preserve"> </w:t>
      </w:r>
      <w:r w:rsidR="009835D5" w:rsidRPr="00E11478">
        <w:rPr>
          <w:szCs w:val="24"/>
        </w:rPr>
        <w:t>statistical releases</w:t>
      </w:r>
      <w:r w:rsidR="00CC7C47" w:rsidRPr="00E11478">
        <w:rPr>
          <w:szCs w:val="24"/>
        </w:rPr>
        <w:t xml:space="preserve"> </w:t>
      </w:r>
      <w:r w:rsidR="000F33AF" w:rsidRPr="00E11478">
        <w:rPr>
          <w:szCs w:val="24"/>
        </w:rPr>
        <w:t>G.19</w:t>
      </w:r>
      <w:r w:rsidR="00F33373" w:rsidRPr="00E11478">
        <w:rPr>
          <w:szCs w:val="24"/>
        </w:rPr>
        <w:t>,</w:t>
      </w:r>
      <w:r w:rsidR="000F33AF" w:rsidRPr="00E11478">
        <w:rPr>
          <w:szCs w:val="24"/>
        </w:rPr>
        <w:t xml:space="preserve"> </w:t>
      </w:r>
      <w:r w:rsidR="00E5557A" w:rsidRPr="00E11478">
        <w:rPr>
          <w:szCs w:val="24"/>
        </w:rPr>
        <w:t>Consumer Credit</w:t>
      </w:r>
      <w:r w:rsidR="00B0420F" w:rsidRPr="00E11478">
        <w:rPr>
          <w:szCs w:val="24"/>
        </w:rPr>
        <w:t>,</w:t>
      </w:r>
      <w:r w:rsidR="00E5557A" w:rsidRPr="00E11478">
        <w:rPr>
          <w:szCs w:val="24"/>
        </w:rPr>
        <w:t xml:space="preserve"> and G.20</w:t>
      </w:r>
      <w:r w:rsidR="00F33373" w:rsidRPr="00E11478">
        <w:rPr>
          <w:szCs w:val="24"/>
        </w:rPr>
        <w:t>,</w:t>
      </w:r>
      <w:r w:rsidR="00E5557A" w:rsidRPr="00E11478">
        <w:rPr>
          <w:szCs w:val="24"/>
        </w:rPr>
        <w:t xml:space="preserve"> Finance Companies</w:t>
      </w:r>
      <w:r w:rsidR="009835D5" w:rsidRPr="00E11478">
        <w:rPr>
          <w:szCs w:val="24"/>
        </w:rPr>
        <w:t>.</w:t>
      </w:r>
      <w:r w:rsidR="000F33AF" w:rsidRPr="00E11478">
        <w:rPr>
          <w:szCs w:val="24"/>
        </w:rPr>
        <w:t xml:space="preserve">  </w:t>
      </w:r>
      <w:r w:rsidR="00F97DF1" w:rsidRPr="00E11478">
        <w:rPr>
          <w:szCs w:val="24"/>
        </w:rPr>
        <w:t xml:space="preserve">Some of the aggregates are </w:t>
      </w:r>
      <w:r w:rsidR="000F33AF" w:rsidRPr="00E11478">
        <w:rPr>
          <w:szCs w:val="24"/>
        </w:rPr>
        <w:t xml:space="preserve">used </w:t>
      </w:r>
      <w:r w:rsidR="00AB5F1F" w:rsidRPr="00E11478">
        <w:rPr>
          <w:szCs w:val="24"/>
        </w:rPr>
        <w:t>by</w:t>
      </w:r>
      <w:r w:rsidR="0066041E" w:rsidRPr="00E11478">
        <w:rPr>
          <w:szCs w:val="24"/>
        </w:rPr>
        <w:t xml:space="preserve"> the Federal Reserve </w:t>
      </w:r>
      <w:r w:rsidR="000F33AF" w:rsidRPr="00E11478">
        <w:rPr>
          <w:szCs w:val="24"/>
        </w:rPr>
        <w:t xml:space="preserve">in the calculation of the aggregate household debt service </w:t>
      </w:r>
      <w:r w:rsidR="000C1F88" w:rsidRPr="00E11478">
        <w:rPr>
          <w:szCs w:val="24"/>
        </w:rPr>
        <w:t xml:space="preserve">and financial obligations </w:t>
      </w:r>
      <w:r w:rsidR="000F33AF" w:rsidRPr="00E11478">
        <w:rPr>
          <w:szCs w:val="24"/>
        </w:rPr>
        <w:t>ratio</w:t>
      </w:r>
      <w:r w:rsidR="000C1F88" w:rsidRPr="00E11478">
        <w:rPr>
          <w:szCs w:val="24"/>
        </w:rPr>
        <w:t>s</w:t>
      </w:r>
      <w:r w:rsidR="000F33AF" w:rsidRPr="00E11478">
        <w:rPr>
          <w:szCs w:val="24"/>
        </w:rPr>
        <w:t xml:space="preserve"> for the </w:t>
      </w:r>
      <w:r w:rsidR="000B2046" w:rsidRPr="00E11478">
        <w:rPr>
          <w:szCs w:val="24"/>
        </w:rPr>
        <w:t xml:space="preserve">Federal Reserve’s </w:t>
      </w:r>
      <w:r w:rsidR="000F33AF" w:rsidRPr="00E11478">
        <w:rPr>
          <w:szCs w:val="24"/>
        </w:rPr>
        <w:t xml:space="preserve">quarterly Financial Obligations </w:t>
      </w:r>
      <w:r w:rsidR="00B0313F" w:rsidRPr="00E11478">
        <w:rPr>
          <w:szCs w:val="24"/>
        </w:rPr>
        <w:t xml:space="preserve">statistical </w:t>
      </w:r>
      <w:r w:rsidR="000F33AF" w:rsidRPr="00E11478">
        <w:rPr>
          <w:szCs w:val="24"/>
        </w:rPr>
        <w:t xml:space="preserve">release and </w:t>
      </w:r>
      <w:r w:rsidR="00AB5F1F" w:rsidRPr="00E11478">
        <w:rPr>
          <w:szCs w:val="24"/>
        </w:rPr>
        <w:t>by the Bureau of Economic Analysis to calculate interest paid by households</w:t>
      </w:r>
      <w:r w:rsidR="001E418E" w:rsidRPr="00E11478">
        <w:rPr>
          <w:szCs w:val="24"/>
        </w:rPr>
        <w:t xml:space="preserve"> as part of the </w:t>
      </w:r>
      <w:r w:rsidR="001E418E" w:rsidRPr="00E11478">
        <w:rPr>
          <w:i/>
          <w:szCs w:val="24"/>
        </w:rPr>
        <w:t>National Income and Product Accounts</w:t>
      </w:r>
      <w:r w:rsidR="007835F7">
        <w:rPr>
          <w:szCs w:val="24"/>
        </w:rPr>
        <w:t xml:space="preserve">.  </w:t>
      </w:r>
      <w:r w:rsidR="00DE2C34" w:rsidRPr="00E11478">
        <w:rPr>
          <w:color w:val="000000"/>
          <w:szCs w:val="24"/>
        </w:rPr>
        <w:t>The</w:t>
      </w:r>
      <w:r w:rsidR="00E11478">
        <w:rPr>
          <w:color w:val="000000"/>
          <w:szCs w:val="24"/>
        </w:rPr>
        <w:t xml:space="preserve"> </w:t>
      </w:r>
      <w:r w:rsidR="00A034E4" w:rsidRPr="00E11478">
        <w:rPr>
          <w:color w:val="000000"/>
          <w:szCs w:val="24"/>
        </w:rPr>
        <w:t xml:space="preserve">total </w:t>
      </w:r>
      <w:r w:rsidR="00DE2C34" w:rsidRPr="00E11478">
        <w:rPr>
          <w:color w:val="000000"/>
          <w:szCs w:val="24"/>
        </w:rPr>
        <w:t xml:space="preserve">annual reporting burden for the </w:t>
      </w:r>
      <w:r w:rsidR="0066041E" w:rsidRPr="00E11478">
        <w:rPr>
          <w:color w:val="000000"/>
          <w:szCs w:val="24"/>
        </w:rPr>
        <w:t xml:space="preserve">two </w:t>
      </w:r>
      <w:r w:rsidR="00DE2C34" w:rsidRPr="00E11478">
        <w:rPr>
          <w:color w:val="000000"/>
          <w:szCs w:val="24"/>
        </w:rPr>
        <w:t xml:space="preserve">consumer credit reports is </w:t>
      </w:r>
      <w:r w:rsidR="00A034E4" w:rsidRPr="00E11478">
        <w:rPr>
          <w:color w:val="000000"/>
          <w:szCs w:val="24"/>
        </w:rPr>
        <w:t xml:space="preserve">estimated to be </w:t>
      </w:r>
      <w:r w:rsidR="0066041E" w:rsidRPr="00E11478">
        <w:rPr>
          <w:color w:val="000000"/>
          <w:szCs w:val="24"/>
        </w:rPr>
        <w:t>232</w:t>
      </w:r>
      <w:r w:rsidR="00DE2C34" w:rsidRPr="00E11478">
        <w:rPr>
          <w:color w:val="000000"/>
          <w:szCs w:val="24"/>
        </w:rPr>
        <w:t xml:space="preserve"> hours</w:t>
      </w:r>
      <w:r w:rsidR="00E11478">
        <w:rPr>
          <w:color w:val="000000"/>
          <w:szCs w:val="24"/>
        </w:rPr>
        <w:t>.</w:t>
      </w:r>
      <w:r w:rsidR="00FC039F" w:rsidRPr="00E11478">
        <w:rPr>
          <w:szCs w:val="24"/>
        </w:rPr>
        <w:t xml:space="preserve">  </w:t>
      </w:r>
    </w:p>
    <w:p w:rsidR="00FC6252" w:rsidRPr="00E11478" w:rsidRDefault="00FC6252" w:rsidP="00195D9C">
      <w:pPr>
        <w:tabs>
          <w:tab w:val="left" w:pos="360"/>
        </w:tabs>
        <w:ind w:firstLine="360"/>
        <w:rPr>
          <w:szCs w:val="24"/>
        </w:rPr>
      </w:pPr>
    </w:p>
    <w:p w:rsidR="00FC6252" w:rsidRPr="00E11478" w:rsidRDefault="00FC6252" w:rsidP="00FC6252">
      <w:pPr>
        <w:tabs>
          <w:tab w:val="left" w:pos="360"/>
        </w:tabs>
        <w:rPr>
          <w:szCs w:val="24"/>
        </w:rPr>
      </w:pPr>
      <w:r w:rsidRPr="00E11478">
        <w:rPr>
          <w:b/>
          <w:bCs/>
          <w:szCs w:val="24"/>
        </w:rPr>
        <w:t>Background and Justification</w:t>
      </w:r>
    </w:p>
    <w:p w:rsidR="00FC6252" w:rsidRPr="00E11478" w:rsidRDefault="00FC6252" w:rsidP="00FC6252">
      <w:pPr>
        <w:tabs>
          <w:tab w:val="left" w:pos="360"/>
        </w:tabs>
        <w:rPr>
          <w:szCs w:val="24"/>
        </w:rPr>
      </w:pPr>
    </w:p>
    <w:p w:rsidR="00EE7DA3" w:rsidRPr="00E11478" w:rsidRDefault="00FC6252" w:rsidP="00FC6252">
      <w:pPr>
        <w:tabs>
          <w:tab w:val="left" w:pos="360"/>
        </w:tabs>
        <w:ind w:firstLine="360"/>
        <w:rPr>
          <w:szCs w:val="24"/>
        </w:rPr>
      </w:pPr>
      <w:r w:rsidRPr="00E11478">
        <w:rPr>
          <w:szCs w:val="24"/>
        </w:rPr>
        <w:t xml:space="preserve">The Federal Reserve has been the primary producer of aggregate statistics </w:t>
      </w:r>
      <w:r w:rsidR="00AB5F1F" w:rsidRPr="00E11478">
        <w:rPr>
          <w:szCs w:val="24"/>
        </w:rPr>
        <w:t xml:space="preserve">related to </w:t>
      </w:r>
      <w:r w:rsidRPr="00E11478">
        <w:rPr>
          <w:szCs w:val="24"/>
        </w:rPr>
        <w:t>consumer credit since 1942.  This role stems from the Federal Reserve</w:t>
      </w:r>
      <w:r w:rsidR="00AB5F1F" w:rsidRPr="00E11478">
        <w:rPr>
          <w:szCs w:val="24"/>
        </w:rPr>
        <w:t>’</w:t>
      </w:r>
      <w:r w:rsidRPr="00E11478">
        <w:rPr>
          <w:szCs w:val="24"/>
        </w:rPr>
        <w:t xml:space="preserve">s </w:t>
      </w:r>
      <w:r w:rsidR="00AB5F1F" w:rsidRPr="00E11478">
        <w:rPr>
          <w:szCs w:val="24"/>
        </w:rPr>
        <w:t xml:space="preserve">need to make well-informed </w:t>
      </w:r>
      <w:r w:rsidRPr="00E11478">
        <w:rPr>
          <w:szCs w:val="24"/>
        </w:rPr>
        <w:t>monetary policy</w:t>
      </w:r>
      <w:r w:rsidR="00AB5F1F" w:rsidRPr="00E11478">
        <w:rPr>
          <w:szCs w:val="24"/>
        </w:rPr>
        <w:t xml:space="preserve"> decisions and its </w:t>
      </w:r>
      <w:r w:rsidR="000C53F7" w:rsidRPr="00E11478">
        <w:rPr>
          <w:szCs w:val="24"/>
        </w:rPr>
        <w:t xml:space="preserve">public policy responsibilities </w:t>
      </w:r>
      <w:r w:rsidR="00AB5F1F" w:rsidRPr="00E11478">
        <w:rPr>
          <w:szCs w:val="24"/>
        </w:rPr>
        <w:t xml:space="preserve">related to </w:t>
      </w:r>
      <w:r w:rsidRPr="00E11478">
        <w:rPr>
          <w:szCs w:val="24"/>
        </w:rPr>
        <w:t>consumer credit.  Since the 1940s, the Federal Reserve has maintained program</w:t>
      </w:r>
      <w:r w:rsidR="00F97DF1" w:rsidRPr="00E11478">
        <w:rPr>
          <w:szCs w:val="24"/>
        </w:rPr>
        <w:t>s</w:t>
      </w:r>
      <w:r w:rsidRPr="00E11478">
        <w:rPr>
          <w:szCs w:val="24"/>
        </w:rPr>
        <w:t xml:space="preserve"> for the direct collection of consumer credit data from commercial banks and finance companies.  It obtains</w:t>
      </w:r>
      <w:r w:rsidR="007628E3" w:rsidRPr="00E11478">
        <w:rPr>
          <w:szCs w:val="24"/>
        </w:rPr>
        <w:t xml:space="preserve"> its </w:t>
      </w:r>
      <w:r w:rsidRPr="00E11478">
        <w:rPr>
          <w:szCs w:val="24"/>
        </w:rPr>
        <w:t xml:space="preserve">information </w:t>
      </w:r>
      <w:r w:rsidR="007628E3" w:rsidRPr="00E11478">
        <w:rPr>
          <w:szCs w:val="24"/>
        </w:rPr>
        <w:t xml:space="preserve">on credit provided by other types of financial institutions </w:t>
      </w:r>
      <w:r w:rsidRPr="00E11478">
        <w:rPr>
          <w:szCs w:val="24"/>
        </w:rPr>
        <w:t>mainly through secondary sources.</w:t>
      </w:r>
      <w:r w:rsidR="00EE7DA3" w:rsidRPr="00E11478">
        <w:rPr>
          <w:rStyle w:val="FootnoteReference"/>
          <w:szCs w:val="24"/>
        </w:rPr>
        <w:footnoteReference w:id="2"/>
      </w:r>
    </w:p>
    <w:p w:rsidR="00EE7DA3" w:rsidRPr="00E11478" w:rsidRDefault="00EE7DA3" w:rsidP="00FC6252">
      <w:pPr>
        <w:tabs>
          <w:tab w:val="left" w:pos="360"/>
        </w:tabs>
        <w:ind w:firstLine="360"/>
        <w:rPr>
          <w:szCs w:val="24"/>
        </w:rPr>
      </w:pPr>
    </w:p>
    <w:p w:rsidR="00FC6252" w:rsidRPr="00E11478" w:rsidRDefault="00FC6252" w:rsidP="00FC6252">
      <w:pPr>
        <w:tabs>
          <w:tab w:val="left" w:pos="360"/>
        </w:tabs>
        <w:ind w:firstLine="360"/>
        <w:rPr>
          <w:szCs w:val="24"/>
        </w:rPr>
      </w:pPr>
      <w:r w:rsidRPr="00E11478">
        <w:rPr>
          <w:szCs w:val="24"/>
        </w:rPr>
        <w:t xml:space="preserve">The Federal Reserve has revised the consumer credit data collection program over the years to lessen reporting burden, to eliminate items of </w:t>
      </w:r>
      <w:r w:rsidR="00AD4653" w:rsidRPr="00E11478">
        <w:rPr>
          <w:szCs w:val="24"/>
        </w:rPr>
        <w:t xml:space="preserve">low </w:t>
      </w:r>
      <w:r w:rsidRPr="00E11478">
        <w:rPr>
          <w:szCs w:val="24"/>
        </w:rPr>
        <w:t xml:space="preserve">quality, and to focus on items of highest </w:t>
      </w:r>
      <w:r w:rsidRPr="00E11478">
        <w:rPr>
          <w:szCs w:val="24"/>
        </w:rPr>
        <w:lastRenderedPageBreak/>
        <w:t xml:space="preserve">priority for </w:t>
      </w:r>
      <w:r w:rsidR="00AD4653" w:rsidRPr="00E11478">
        <w:rPr>
          <w:szCs w:val="24"/>
        </w:rPr>
        <w:t xml:space="preserve">economic </w:t>
      </w:r>
      <w:r w:rsidRPr="00E11478">
        <w:rPr>
          <w:szCs w:val="24"/>
        </w:rPr>
        <w:t>analysis.  An exhaustive review of the program in 1982 resulted in major revisions as of January 1983.  Data on gross credit flows were eliminated for all major lending groups except finance companies, the number of series on interest rates and non</w:t>
      </w:r>
      <w:r w:rsidR="00FD7172" w:rsidRPr="00E11478">
        <w:rPr>
          <w:szCs w:val="24"/>
        </w:rPr>
        <w:t>-</w:t>
      </w:r>
      <w:r w:rsidRPr="00E11478">
        <w:rPr>
          <w:szCs w:val="24"/>
        </w:rPr>
        <w:t>rate loan terms was reduced sharply, and the size of the bank interest rate panel was cut.</w:t>
      </w:r>
      <w:r w:rsidR="00EE7DA3" w:rsidRPr="00E11478">
        <w:rPr>
          <w:rStyle w:val="FootnoteReference"/>
          <w:szCs w:val="24"/>
        </w:rPr>
        <w:footnoteReference w:id="3"/>
      </w:r>
      <w:r w:rsidR="00EE7DA3" w:rsidRPr="00E11478">
        <w:rPr>
          <w:szCs w:val="24"/>
        </w:rPr>
        <w:t xml:space="preserve">  </w:t>
      </w:r>
      <w:r w:rsidRPr="00E11478">
        <w:rPr>
          <w:szCs w:val="24"/>
        </w:rPr>
        <w:t xml:space="preserve">Overall, respondent burden was reduced by almost 50 percent.  In addition, three of four </w:t>
      </w:r>
      <w:r w:rsidR="007628E3" w:rsidRPr="00E11478">
        <w:rPr>
          <w:szCs w:val="24"/>
        </w:rPr>
        <w:t xml:space="preserve">consumer credit </w:t>
      </w:r>
      <w:r w:rsidRPr="00E11478">
        <w:rPr>
          <w:szCs w:val="24"/>
        </w:rPr>
        <w:t>statistical releases were eliminated.</w:t>
      </w:r>
    </w:p>
    <w:p w:rsidR="00FC6252" w:rsidRPr="00E11478" w:rsidRDefault="00FC6252" w:rsidP="00FC6252">
      <w:pPr>
        <w:tabs>
          <w:tab w:val="left" w:pos="360"/>
        </w:tabs>
        <w:rPr>
          <w:szCs w:val="24"/>
        </w:rPr>
      </w:pPr>
    </w:p>
    <w:p w:rsidR="00FC6252" w:rsidRPr="00E11478" w:rsidRDefault="00185210" w:rsidP="00FC6252">
      <w:pPr>
        <w:tabs>
          <w:tab w:val="left" w:pos="360"/>
        </w:tabs>
        <w:ind w:firstLine="360"/>
        <w:rPr>
          <w:szCs w:val="24"/>
        </w:rPr>
      </w:pPr>
      <w:r w:rsidRPr="00E11478">
        <w:rPr>
          <w:szCs w:val="24"/>
        </w:rPr>
        <w:t xml:space="preserve">In 1994, the </w:t>
      </w:r>
      <w:r w:rsidR="0066041E" w:rsidRPr="00E11478">
        <w:rPr>
          <w:szCs w:val="24"/>
        </w:rPr>
        <w:t xml:space="preserve">Federal Reserve </w:t>
      </w:r>
      <w:r w:rsidRPr="00E11478">
        <w:rPr>
          <w:szCs w:val="24"/>
        </w:rPr>
        <w:t>removed a</w:t>
      </w:r>
      <w:r w:rsidR="00836EDD" w:rsidRPr="00E11478">
        <w:rPr>
          <w:szCs w:val="24"/>
        </w:rPr>
        <w:t xml:space="preserve"> data</w:t>
      </w:r>
      <w:r w:rsidRPr="00E11478">
        <w:rPr>
          <w:szCs w:val="24"/>
        </w:rPr>
        <w:t xml:space="preserve"> item on credit card interest rates from the FR 2835 and introduced the FR 2835a in order to collect more useful measures of such rates.  In introducing the FR 2835a, the </w:t>
      </w:r>
      <w:r w:rsidR="00007B29" w:rsidRPr="00E11478">
        <w:rPr>
          <w:szCs w:val="24"/>
        </w:rPr>
        <w:t xml:space="preserve">Federal Reserve </w:t>
      </w:r>
      <w:r w:rsidRPr="00E11478">
        <w:rPr>
          <w:szCs w:val="24"/>
        </w:rPr>
        <w:t xml:space="preserve">was able to ask for more detailed information from </w:t>
      </w:r>
      <w:r w:rsidR="00FC6252" w:rsidRPr="00E11478">
        <w:rPr>
          <w:szCs w:val="24"/>
        </w:rPr>
        <w:t>large issuers of credit cards</w:t>
      </w:r>
      <w:r w:rsidRPr="00E11478">
        <w:rPr>
          <w:szCs w:val="24"/>
        </w:rPr>
        <w:t>,</w:t>
      </w:r>
      <w:r w:rsidR="00FC6252" w:rsidRPr="00E11478">
        <w:rPr>
          <w:szCs w:val="24"/>
        </w:rPr>
        <w:t xml:space="preserve"> without burdening the majority of the FR 2835 respondents</w:t>
      </w:r>
      <w:r w:rsidRPr="00E11478">
        <w:rPr>
          <w:szCs w:val="24"/>
        </w:rPr>
        <w:t>.</w:t>
      </w:r>
      <w:r w:rsidR="00FC6252" w:rsidRPr="00E11478">
        <w:rPr>
          <w:szCs w:val="24"/>
        </w:rPr>
        <w:t xml:space="preserve">  </w:t>
      </w:r>
    </w:p>
    <w:p w:rsidR="00FC6252" w:rsidRPr="00E11478" w:rsidRDefault="00FC6252" w:rsidP="00FC6252">
      <w:pPr>
        <w:tabs>
          <w:tab w:val="left" w:pos="360"/>
        </w:tabs>
        <w:rPr>
          <w:szCs w:val="24"/>
        </w:rPr>
      </w:pPr>
    </w:p>
    <w:p w:rsidR="00FC6252" w:rsidRPr="00E11478" w:rsidRDefault="00FC6252" w:rsidP="00FC6252">
      <w:pPr>
        <w:tabs>
          <w:tab w:val="left" w:pos="360"/>
        </w:tabs>
        <w:ind w:firstLine="360"/>
        <w:rPr>
          <w:szCs w:val="24"/>
        </w:rPr>
      </w:pPr>
      <w:r w:rsidRPr="00E11478">
        <w:rPr>
          <w:szCs w:val="24"/>
        </w:rPr>
        <w:t>The Federal Reserve</w:t>
      </w:r>
      <w:r w:rsidR="00185210" w:rsidRPr="00E11478">
        <w:rPr>
          <w:szCs w:val="24"/>
        </w:rPr>
        <w:t>’</w:t>
      </w:r>
      <w:r w:rsidRPr="00E11478">
        <w:rPr>
          <w:szCs w:val="24"/>
        </w:rPr>
        <w:t>s long</w:t>
      </w:r>
      <w:r w:rsidRPr="00E11478">
        <w:rPr>
          <w:szCs w:val="24"/>
        </w:rPr>
        <w:noBreakHyphen/>
        <w:t xml:space="preserve">standing interest in consumer </w:t>
      </w:r>
      <w:r w:rsidR="006C692E" w:rsidRPr="00E11478">
        <w:rPr>
          <w:szCs w:val="24"/>
        </w:rPr>
        <w:t xml:space="preserve">credit issues </w:t>
      </w:r>
      <w:r w:rsidRPr="00E11478">
        <w:rPr>
          <w:szCs w:val="24"/>
        </w:rPr>
        <w:t>arises from a need to evaluate</w:t>
      </w:r>
      <w:r w:rsidR="004A426F" w:rsidRPr="00E11478">
        <w:rPr>
          <w:szCs w:val="24"/>
        </w:rPr>
        <w:t xml:space="preserve"> macroeconomic conditions and </w:t>
      </w:r>
      <w:r w:rsidRPr="00E11478">
        <w:rPr>
          <w:szCs w:val="24"/>
        </w:rPr>
        <w:t xml:space="preserve">the probable consequences of monetary policy actions.  </w:t>
      </w:r>
      <w:r w:rsidR="006C692E" w:rsidRPr="00E11478">
        <w:rPr>
          <w:szCs w:val="24"/>
        </w:rPr>
        <w:t xml:space="preserve">The amount that consumers borrow and the terms at which they are able to borrow are major determinants of the general financial conditions of households.  These conditions, in turn, play a major role </w:t>
      </w:r>
      <w:r w:rsidR="00DD33E2" w:rsidRPr="00E11478">
        <w:rPr>
          <w:szCs w:val="24"/>
        </w:rPr>
        <w:t xml:space="preserve">in </w:t>
      </w:r>
      <w:r w:rsidR="006C692E" w:rsidRPr="00E11478">
        <w:rPr>
          <w:szCs w:val="24"/>
        </w:rPr>
        <w:t xml:space="preserve">supporting consumer spending, the </w:t>
      </w:r>
      <w:r w:rsidRPr="00E11478">
        <w:rPr>
          <w:szCs w:val="24"/>
        </w:rPr>
        <w:t xml:space="preserve">largest component </w:t>
      </w:r>
      <w:r w:rsidR="004A426F" w:rsidRPr="00E11478">
        <w:rPr>
          <w:szCs w:val="24"/>
        </w:rPr>
        <w:t>of gross domestic product</w:t>
      </w:r>
      <w:r w:rsidR="006C692E" w:rsidRPr="00E11478">
        <w:rPr>
          <w:szCs w:val="24"/>
        </w:rPr>
        <w:t xml:space="preserve"> (more than two-thirds of the total).  Moreover, some of the</w:t>
      </w:r>
      <w:r w:rsidRPr="00E11478">
        <w:rPr>
          <w:szCs w:val="24"/>
        </w:rPr>
        <w:t xml:space="preserve"> more volatile components </w:t>
      </w:r>
      <w:r w:rsidR="006C692E" w:rsidRPr="00E11478">
        <w:rPr>
          <w:szCs w:val="24"/>
        </w:rPr>
        <w:t xml:space="preserve">of consumer spending directly </w:t>
      </w:r>
      <w:r w:rsidR="004A426F" w:rsidRPr="00E11478">
        <w:rPr>
          <w:szCs w:val="24"/>
        </w:rPr>
        <w:t>depend on the</w:t>
      </w:r>
      <w:r w:rsidR="00185210" w:rsidRPr="00E11478">
        <w:rPr>
          <w:szCs w:val="24"/>
        </w:rPr>
        <w:t xml:space="preserve"> terms at which households can obtain consumer loans.</w:t>
      </w:r>
    </w:p>
    <w:p w:rsidR="00573B9B" w:rsidRPr="00E11478" w:rsidRDefault="00573B9B" w:rsidP="00FC6252">
      <w:pPr>
        <w:tabs>
          <w:tab w:val="left" w:pos="360"/>
        </w:tabs>
        <w:ind w:firstLine="360"/>
        <w:rPr>
          <w:szCs w:val="24"/>
        </w:rPr>
      </w:pPr>
    </w:p>
    <w:p w:rsidR="00573B9B" w:rsidRPr="00E11478" w:rsidRDefault="00A55F9F" w:rsidP="00573B9B">
      <w:pPr>
        <w:tabs>
          <w:tab w:val="left" w:pos="360"/>
        </w:tabs>
        <w:rPr>
          <w:szCs w:val="24"/>
        </w:rPr>
      </w:pPr>
      <w:r w:rsidRPr="00E11478">
        <w:rPr>
          <w:szCs w:val="24"/>
        </w:rPr>
        <w:tab/>
      </w:r>
      <w:r w:rsidR="00573B9B" w:rsidRPr="00E11478">
        <w:rPr>
          <w:szCs w:val="24"/>
        </w:rPr>
        <w:t xml:space="preserve">In 2006, </w:t>
      </w:r>
      <w:r w:rsidR="009B0B96" w:rsidRPr="00E11478">
        <w:rPr>
          <w:szCs w:val="24"/>
        </w:rPr>
        <w:t>the Federal Reserve</w:t>
      </w:r>
      <w:r w:rsidR="00573B9B" w:rsidRPr="00E11478">
        <w:rPr>
          <w:szCs w:val="24"/>
        </w:rPr>
        <w:t xml:space="preserve"> added a</w:t>
      </w:r>
      <w:r w:rsidR="00EB0CBB" w:rsidRPr="00E11478">
        <w:rPr>
          <w:szCs w:val="24"/>
        </w:rPr>
        <w:t xml:space="preserve"> </w:t>
      </w:r>
      <w:r w:rsidR="00836EDD" w:rsidRPr="00E11478">
        <w:rPr>
          <w:szCs w:val="24"/>
        </w:rPr>
        <w:t>data</w:t>
      </w:r>
      <w:r w:rsidR="00573B9B" w:rsidRPr="00E11478">
        <w:rPr>
          <w:szCs w:val="24"/>
        </w:rPr>
        <w:t xml:space="preserve"> item to the FR 2835 in order to collect the most common interest rate on 60-month loans for new vehicles. </w:t>
      </w:r>
      <w:r w:rsidR="00582992" w:rsidRPr="00E11478">
        <w:rPr>
          <w:szCs w:val="24"/>
        </w:rPr>
        <w:t xml:space="preserve"> This change was motivated by the growing popularity of </w:t>
      </w:r>
      <w:r w:rsidR="00836EDD" w:rsidRPr="00E11478">
        <w:rPr>
          <w:szCs w:val="24"/>
        </w:rPr>
        <w:t xml:space="preserve">the 60-month </w:t>
      </w:r>
      <w:r w:rsidR="00582992" w:rsidRPr="00E11478">
        <w:rPr>
          <w:szCs w:val="24"/>
        </w:rPr>
        <w:t>loan term</w:t>
      </w:r>
      <w:r w:rsidR="00150E39" w:rsidRPr="00E11478">
        <w:rPr>
          <w:szCs w:val="24"/>
        </w:rPr>
        <w:t>.</w:t>
      </w:r>
    </w:p>
    <w:p w:rsidR="00FC6252" w:rsidRPr="00E11478" w:rsidRDefault="00573B9B" w:rsidP="00FC6252">
      <w:pPr>
        <w:tabs>
          <w:tab w:val="left" w:pos="360"/>
        </w:tabs>
        <w:rPr>
          <w:szCs w:val="24"/>
        </w:rPr>
      </w:pPr>
      <w:r w:rsidRPr="00E11478">
        <w:rPr>
          <w:szCs w:val="24"/>
        </w:rPr>
        <w:tab/>
      </w:r>
    </w:p>
    <w:p w:rsidR="00FC6252" w:rsidRPr="00E11478" w:rsidRDefault="00FC6252" w:rsidP="00FC6252">
      <w:pPr>
        <w:tabs>
          <w:tab w:val="left" w:pos="360"/>
        </w:tabs>
        <w:rPr>
          <w:szCs w:val="24"/>
        </w:rPr>
      </w:pPr>
      <w:r w:rsidRPr="00E11478">
        <w:rPr>
          <w:b/>
          <w:bCs/>
          <w:szCs w:val="24"/>
        </w:rPr>
        <w:t>Description of Information Collection</w:t>
      </w:r>
    </w:p>
    <w:p w:rsidR="00FC6252" w:rsidRPr="00E11478" w:rsidRDefault="00FC6252" w:rsidP="00FC6252">
      <w:pPr>
        <w:tabs>
          <w:tab w:val="left" w:pos="360"/>
        </w:tabs>
        <w:rPr>
          <w:szCs w:val="24"/>
        </w:rPr>
      </w:pPr>
    </w:p>
    <w:p w:rsidR="00FC6252" w:rsidRDefault="00FC6252" w:rsidP="00FC6252">
      <w:pPr>
        <w:tabs>
          <w:tab w:val="left" w:pos="360"/>
        </w:tabs>
        <w:ind w:firstLine="360"/>
        <w:rPr>
          <w:szCs w:val="24"/>
        </w:rPr>
      </w:pPr>
      <w:r w:rsidRPr="00E11478">
        <w:rPr>
          <w:szCs w:val="24"/>
        </w:rPr>
        <w:t xml:space="preserve">The </w:t>
      </w:r>
      <w:r w:rsidR="0066041E" w:rsidRPr="00E11478">
        <w:rPr>
          <w:szCs w:val="24"/>
        </w:rPr>
        <w:t>two</w:t>
      </w:r>
      <w:r w:rsidRPr="00E11478">
        <w:rPr>
          <w:szCs w:val="24"/>
        </w:rPr>
        <w:t xml:space="preserve"> </w:t>
      </w:r>
      <w:r w:rsidR="00D5143A" w:rsidRPr="00E11478">
        <w:rPr>
          <w:szCs w:val="24"/>
        </w:rPr>
        <w:t xml:space="preserve">consumer credit </w:t>
      </w:r>
      <w:r w:rsidRPr="00E11478">
        <w:rPr>
          <w:szCs w:val="24"/>
        </w:rPr>
        <w:t xml:space="preserve">reports gather data from commercial banks and </w:t>
      </w:r>
      <w:r w:rsidR="007C5829" w:rsidRPr="00E11478">
        <w:rPr>
          <w:szCs w:val="24"/>
        </w:rPr>
        <w:t xml:space="preserve">lenders </w:t>
      </w:r>
      <w:r w:rsidR="00A52BA3" w:rsidRPr="00E11478">
        <w:rPr>
          <w:szCs w:val="24"/>
        </w:rPr>
        <w:t xml:space="preserve">affiliated </w:t>
      </w:r>
      <w:r w:rsidR="007C5829" w:rsidRPr="00E11478">
        <w:rPr>
          <w:szCs w:val="24"/>
        </w:rPr>
        <w:t xml:space="preserve">with the major </w:t>
      </w:r>
      <w:r w:rsidRPr="00E11478">
        <w:rPr>
          <w:szCs w:val="24"/>
        </w:rPr>
        <w:t>auto</w:t>
      </w:r>
      <w:r w:rsidR="007C5829" w:rsidRPr="00E11478">
        <w:rPr>
          <w:szCs w:val="24"/>
        </w:rPr>
        <w:t>mobile manufacturers</w:t>
      </w:r>
      <w:r w:rsidRPr="00E11478">
        <w:rPr>
          <w:szCs w:val="24"/>
        </w:rPr>
        <w:t xml:space="preserve"> on </w:t>
      </w:r>
      <w:r w:rsidR="00185210" w:rsidRPr="00E11478">
        <w:rPr>
          <w:szCs w:val="24"/>
        </w:rPr>
        <w:t xml:space="preserve">loan amounts, </w:t>
      </w:r>
      <w:r w:rsidR="00DA5996" w:rsidRPr="00E11478">
        <w:rPr>
          <w:szCs w:val="24"/>
        </w:rPr>
        <w:t xml:space="preserve">loan </w:t>
      </w:r>
      <w:r w:rsidRPr="00E11478">
        <w:rPr>
          <w:szCs w:val="24"/>
        </w:rPr>
        <w:t xml:space="preserve">terms, and collection experience.  </w:t>
      </w:r>
    </w:p>
    <w:p w:rsidR="00F010DA" w:rsidRDefault="00F010DA" w:rsidP="00FC6252">
      <w:pPr>
        <w:tabs>
          <w:tab w:val="left" w:pos="360"/>
        </w:tabs>
        <w:ind w:firstLine="360"/>
        <w:rPr>
          <w:szCs w:val="24"/>
        </w:rPr>
      </w:pPr>
    </w:p>
    <w:p w:rsidR="00F010DA" w:rsidRPr="00A034E4" w:rsidRDefault="00F010DA" w:rsidP="00F010DA">
      <w:pPr>
        <w:pStyle w:val="Heading1"/>
        <w:ind w:firstLine="0"/>
        <w:rPr>
          <w:rFonts w:cs="Times"/>
        </w:rPr>
      </w:pPr>
      <w:r w:rsidRPr="00A034E4">
        <w:t xml:space="preserve">Quarterly Report of Interest Rates on Selected Direct Consumer Installment Loans </w:t>
      </w:r>
      <w:r w:rsidRPr="00A034E4">
        <w:rPr>
          <w:rFonts w:cs="Times"/>
        </w:rPr>
        <w:t>(FR 2835)</w:t>
      </w:r>
    </w:p>
    <w:p w:rsidR="00F010DA" w:rsidRPr="00A034E4" w:rsidRDefault="00F010DA" w:rsidP="00F010DA">
      <w:pPr>
        <w:tabs>
          <w:tab w:val="left" w:pos="360"/>
        </w:tabs>
        <w:rPr>
          <w:rFonts w:ascii="Times" w:hAnsi="Times" w:cs="Times"/>
        </w:rPr>
      </w:pPr>
    </w:p>
    <w:p w:rsidR="00F010DA" w:rsidRPr="00A034E4" w:rsidRDefault="00F010DA" w:rsidP="00F010DA">
      <w:pPr>
        <w:tabs>
          <w:tab w:val="left" w:pos="360"/>
        </w:tabs>
        <w:rPr>
          <w:rFonts w:ascii="Times" w:hAnsi="Times" w:cs="Times"/>
        </w:rPr>
      </w:pPr>
      <w:r w:rsidRPr="00A034E4">
        <w:rPr>
          <w:rFonts w:ascii="Times" w:hAnsi="Times" w:cs="Times"/>
        </w:rPr>
        <w:tab/>
        <w:t xml:space="preserve">The FR 2835 collects information from a sample of commercial banks on interest rates charged on </w:t>
      </w:r>
      <w:r w:rsidRPr="00A034E4">
        <w:rPr>
          <w:rFonts w:ascii="Times" w:hAnsi="Times"/>
        </w:rPr>
        <w:t xml:space="preserve">loans for new vehicles and loans for other consumer goods and personal expenses.  </w:t>
      </w:r>
      <w:r w:rsidRPr="00A034E4">
        <w:rPr>
          <w:rFonts w:ascii="Times" w:hAnsi="Times" w:cs="Times"/>
        </w:rPr>
        <w:t xml:space="preserve">Interest rates on consumer loans made by commercial banks continue to be analytically significant.  Auto and personal loans are major components of bank consumer lending, and changes in the terms of these loans represent an important input to analyses of the household sector prepared for the </w:t>
      </w:r>
      <w:r w:rsidR="00F90AE2">
        <w:rPr>
          <w:rFonts w:ascii="Times" w:hAnsi="Times" w:cs="Times"/>
        </w:rPr>
        <w:t>Federal Reserve</w:t>
      </w:r>
      <w:r w:rsidRPr="00A034E4">
        <w:rPr>
          <w:rFonts w:ascii="Times" w:hAnsi="Times" w:cs="Times"/>
        </w:rPr>
        <w:t>.  The data are used for internal analysis of household financial conditions.</w:t>
      </w:r>
    </w:p>
    <w:p w:rsidR="00F010DA" w:rsidRPr="00A034E4" w:rsidRDefault="00F010DA" w:rsidP="00F010DA">
      <w:pPr>
        <w:tabs>
          <w:tab w:val="left" w:pos="360"/>
        </w:tabs>
        <w:ind w:left="360"/>
        <w:rPr>
          <w:rFonts w:ascii="Times" w:hAnsi="Times" w:cs="Times"/>
        </w:rPr>
      </w:pPr>
    </w:p>
    <w:p w:rsidR="00F010DA" w:rsidRPr="00A034E4" w:rsidRDefault="00F010DA" w:rsidP="00F010DA">
      <w:pPr>
        <w:tabs>
          <w:tab w:val="left" w:pos="360"/>
        </w:tabs>
        <w:rPr>
          <w:rFonts w:ascii="Times" w:hAnsi="Times" w:cs="Times"/>
          <w:b/>
          <w:bCs/>
        </w:rPr>
      </w:pPr>
      <w:r w:rsidRPr="00A034E4">
        <w:rPr>
          <w:rFonts w:ascii="Times" w:hAnsi="Times" w:cs="Times"/>
          <w:b/>
          <w:bCs/>
        </w:rPr>
        <w:lastRenderedPageBreak/>
        <w:tab/>
      </w:r>
      <w:proofErr w:type="gramStart"/>
      <w:r w:rsidRPr="00A034E4">
        <w:rPr>
          <w:rFonts w:ascii="Times" w:hAnsi="Times" w:cs="Times"/>
          <w:b/>
          <w:bCs/>
        </w:rPr>
        <w:t>Data Coverage.</w:t>
      </w:r>
      <w:proofErr w:type="gramEnd"/>
      <w:r w:rsidRPr="00A034E4">
        <w:rPr>
          <w:rFonts w:ascii="Times" w:hAnsi="Times" w:cs="Times"/>
          <w:b/>
          <w:bCs/>
        </w:rPr>
        <w:t xml:space="preserve">  </w:t>
      </w:r>
      <w:r w:rsidRPr="00A034E4">
        <w:rPr>
          <w:rFonts w:ascii="Times" w:hAnsi="Times" w:cs="Times"/>
          <w:bCs/>
        </w:rPr>
        <w:t>The FR 2835 r</w:t>
      </w:r>
      <w:r w:rsidRPr="00A034E4">
        <w:rPr>
          <w:rFonts w:ascii="Times" w:hAnsi="Times" w:cs="Times"/>
        </w:rPr>
        <w:t xml:space="preserve">espondents are asked to provide “the most common rate,” meaning the rate at which the largest dollar volume of loans of a particular type was made during the reporting week.  For </w:t>
      </w:r>
      <w:proofErr w:type="spellStart"/>
      <w:r w:rsidRPr="00A034E4">
        <w:rPr>
          <w:rFonts w:ascii="Times" w:hAnsi="Times" w:cs="Times"/>
        </w:rPr>
        <w:t>adjustable</w:t>
      </w:r>
      <w:r w:rsidRPr="00A034E4">
        <w:rPr>
          <w:rFonts w:ascii="Times" w:hAnsi="Times" w:cs="Times"/>
        </w:rPr>
        <w:noBreakHyphen/>
        <w:t>rate</w:t>
      </w:r>
      <w:proofErr w:type="spellEnd"/>
      <w:r w:rsidRPr="00A034E4">
        <w:rPr>
          <w:rFonts w:ascii="Times" w:hAnsi="Times" w:cs="Times"/>
        </w:rPr>
        <w:t xml:space="preserve"> loans, the initial rate is reported.  </w:t>
      </w:r>
    </w:p>
    <w:p w:rsidR="00F010DA" w:rsidRPr="00A034E4" w:rsidRDefault="00F010DA" w:rsidP="00F010DA">
      <w:pPr>
        <w:tabs>
          <w:tab w:val="left" w:pos="360"/>
        </w:tabs>
        <w:rPr>
          <w:rFonts w:ascii="Times" w:hAnsi="Times" w:cs="Times"/>
        </w:rPr>
      </w:pPr>
    </w:p>
    <w:p w:rsidR="00F010DA" w:rsidRDefault="00F010DA" w:rsidP="00F010DA">
      <w:pPr>
        <w:tabs>
          <w:tab w:val="left" w:pos="360"/>
        </w:tabs>
        <w:rPr>
          <w:rFonts w:ascii="Times" w:hAnsi="Times" w:cs="Times"/>
        </w:rPr>
      </w:pPr>
      <w:r w:rsidRPr="00A034E4">
        <w:rPr>
          <w:rFonts w:ascii="Times" w:hAnsi="Times" w:cs="Times"/>
        </w:rPr>
        <w:tab/>
      </w:r>
      <w:proofErr w:type="gramStart"/>
      <w:r w:rsidRPr="00A034E4">
        <w:rPr>
          <w:rFonts w:ascii="Times" w:hAnsi="Times" w:cs="Times"/>
          <w:b/>
        </w:rPr>
        <w:t xml:space="preserve">Reporting </w:t>
      </w:r>
      <w:r w:rsidRPr="00A034E4">
        <w:rPr>
          <w:rFonts w:ascii="Times" w:hAnsi="Times" w:cs="Times"/>
          <w:b/>
          <w:bCs/>
        </w:rPr>
        <w:t>Frequency.</w:t>
      </w:r>
      <w:proofErr w:type="gramEnd"/>
      <w:r w:rsidRPr="00A034E4">
        <w:rPr>
          <w:rFonts w:ascii="Times" w:hAnsi="Times" w:cs="Times"/>
          <w:b/>
          <w:bCs/>
          <w:i/>
        </w:rPr>
        <w:t xml:space="preserve"> </w:t>
      </w:r>
      <w:r w:rsidRPr="00A034E4">
        <w:rPr>
          <w:rFonts w:ascii="Times" w:hAnsi="Times" w:cs="Times"/>
          <w:b/>
          <w:bCs/>
        </w:rPr>
        <w:t xml:space="preserve"> </w:t>
      </w:r>
      <w:r w:rsidRPr="00A034E4">
        <w:rPr>
          <w:rFonts w:ascii="Times" w:hAnsi="Times" w:cs="Times"/>
        </w:rPr>
        <w:t>The data are collected for February, May, August, and November and correspond to the calendar week beginning on the first Monday of the survey month.  Continued collection of these data at least quarterly is necessary to prepare timely analyses of</w:t>
      </w:r>
      <w:r>
        <w:rPr>
          <w:rFonts w:ascii="Times" w:hAnsi="Times" w:cs="Times"/>
        </w:rPr>
        <w:t xml:space="preserve"> current macroeconomic conditions and the effect of monetary policy for the </w:t>
      </w:r>
      <w:r w:rsidR="00F90AE2">
        <w:rPr>
          <w:rFonts w:ascii="Times" w:hAnsi="Times" w:cs="Times"/>
        </w:rPr>
        <w:t>Federal Reserve</w:t>
      </w:r>
      <w:r>
        <w:rPr>
          <w:rFonts w:ascii="Times" w:hAnsi="Times" w:cs="Times"/>
        </w:rPr>
        <w:t xml:space="preserve">.  </w:t>
      </w:r>
    </w:p>
    <w:p w:rsidR="00F010DA" w:rsidRDefault="00F010DA" w:rsidP="00F010DA">
      <w:pPr>
        <w:tabs>
          <w:tab w:val="left" w:pos="360"/>
        </w:tabs>
        <w:rPr>
          <w:rFonts w:ascii="Times" w:hAnsi="Times" w:cs="Times"/>
        </w:rPr>
      </w:pPr>
    </w:p>
    <w:p w:rsidR="00F010DA" w:rsidRPr="00F931C9" w:rsidRDefault="00F010DA" w:rsidP="00F010DA">
      <w:pPr>
        <w:tabs>
          <w:tab w:val="left" w:pos="360"/>
        </w:tabs>
        <w:rPr>
          <w:rFonts w:ascii="Times" w:hAnsi="Times"/>
          <w:szCs w:val="24"/>
        </w:rPr>
      </w:pPr>
      <w:r>
        <w:rPr>
          <w:rFonts w:ascii="Times" w:hAnsi="Times" w:cs="Times"/>
        </w:rPr>
        <w:tab/>
      </w:r>
      <w:proofErr w:type="gramStart"/>
      <w:r w:rsidRPr="00EC331C">
        <w:rPr>
          <w:rFonts w:ascii="Times" w:hAnsi="Times" w:cs="Times"/>
          <w:b/>
          <w:bCs/>
        </w:rPr>
        <w:t>Reporting Panel.</w:t>
      </w:r>
      <w:proofErr w:type="gramEnd"/>
      <w:r w:rsidRPr="00822F55">
        <w:rPr>
          <w:rFonts w:ascii="Times" w:hAnsi="Times" w:cs="Times"/>
          <w:bCs/>
        </w:rPr>
        <w:t xml:space="preserve">  </w:t>
      </w:r>
      <w:r>
        <w:rPr>
          <w:rFonts w:ascii="Times" w:hAnsi="Times" w:cs="Times"/>
        </w:rPr>
        <w:t xml:space="preserve">The reporting panel for the FR 2835 consists of commercial banks.  There are currently 128 commercial banks on the panel.  </w:t>
      </w:r>
      <w:r w:rsidR="00F90AE2">
        <w:rPr>
          <w:rFonts w:ascii="Times" w:hAnsi="Times" w:cs="Times"/>
        </w:rPr>
        <w:t>Although some banks have merged or other</w:t>
      </w:r>
      <w:r w:rsidR="00F90AE2">
        <w:rPr>
          <w:rFonts w:ascii="Times" w:hAnsi="Times" w:cs="Times"/>
        </w:rPr>
        <w:softHyphen/>
        <w:t>wise dropped out of this voluntary survey, the Federal Reserve</w:t>
      </w:r>
      <w:r w:rsidRPr="00F931C9">
        <w:rPr>
          <w:rFonts w:ascii="Times" w:hAnsi="Times"/>
          <w:szCs w:val="24"/>
        </w:rPr>
        <w:t xml:space="preserve"> has attempted to maintain the panel as close as possible to the authorized size of 150.</w:t>
      </w:r>
      <w:r>
        <w:rPr>
          <w:rFonts w:ascii="Times" w:hAnsi="Times"/>
          <w:szCs w:val="24"/>
        </w:rPr>
        <w:t xml:space="preserve">  T</w:t>
      </w:r>
      <w:r>
        <w:t>he FR 2835 panel is drawn from a sample of 150 member banks (most large banks and a random sample of smaller banks).</w:t>
      </w:r>
    </w:p>
    <w:p w:rsidR="00F010DA" w:rsidRPr="00E11478" w:rsidRDefault="00F010DA" w:rsidP="00FC6252">
      <w:pPr>
        <w:tabs>
          <w:tab w:val="left" w:pos="360"/>
        </w:tabs>
        <w:ind w:firstLine="360"/>
        <w:rPr>
          <w:szCs w:val="24"/>
        </w:rPr>
      </w:pPr>
    </w:p>
    <w:p w:rsidR="00FC6252" w:rsidRPr="00E11478" w:rsidRDefault="00FC6252" w:rsidP="00FC6252">
      <w:pPr>
        <w:tabs>
          <w:tab w:val="left" w:pos="360"/>
        </w:tabs>
        <w:ind w:firstLine="360"/>
        <w:rPr>
          <w:szCs w:val="24"/>
        </w:rPr>
      </w:pPr>
      <w:r w:rsidRPr="00E11478">
        <w:rPr>
          <w:b/>
          <w:bCs/>
          <w:szCs w:val="24"/>
        </w:rPr>
        <w:t>Quarterly Report of Credit Card Plans (FR 2835a)</w:t>
      </w:r>
    </w:p>
    <w:p w:rsidR="00C1658D" w:rsidRPr="00E11478" w:rsidRDefault="00C1658D" w:rsidP="00C1658D">
      <w:pPr>
        <w:tabs>
          <w:tab w:val="left" w:pos="360"/>
        </w:tabs>
        <w:rPr>
          <w:szCs w:val="24"/>
        </w:rPr>
      </w:pPr>
    </w:p>
    <w:p w:rsidR="00C1658D" w:rsidRPr="00E11478" w:rsidRDefault="00C1658D" w:rsidP="00C1658D">
      <w:pPr>
        <w:tabs>
          <w:tab w:val="left" w:pos="360"/>
        </w:tabs>
        <w:rPr>
          <w:szCs w:val="24"/>
        </w:rPr>
      </w:pPr>
      <w:r w:rsidRPr="00E11478">
        <w:rPr>
          <w:szCs w:val="24"/>
        </w:rPr>
        <w:tab/>
      </w:r>
      <w:r w:rsidR="00FC6252" w:rsidRPr="00E11478">
        <w:rPr>
          <w:szCs w:val="24"/>
        </w:rPr>
        <w:t>The FR 2835a collects information on two measures of credit card interest rates</w:t>
      </w:r>
    </w:p>
    <w:p w:rsidR="00A4385D" w:rsidRPr="00E11478" w:rsidRDefault="00FC6252" w:rsidP="00C1658D">
      <w:pPr>
        <w:tabs>
          <w:tab w:val="left" w:pos="360"/>
        </w:tabs>
        <w:rPr>
          <w:szCs w:val="24"/>
        </w:rPr>
      </w:pPr>
      <w:proofErr w:type="gramStart"/>
      <w:r w:rsidRPr="00E11478">
        <w:rPr>
          <w:szCs w:val="24"/>
        </w:rPr>
        <w:t>from</w:t>
      </w:r>
      <w:proofErr w:type="gramEnd"/>
      <w:r w:rsidRPr="00E11478">
        <w:rPr>
          <w:szCs w:val="24"/>
        </w:rPr>
        <w:t xml:space="preserve"> a sample of commercial banks</w:t>
      </w:r>
      <w:r w:rsidR="00AB6B3A" w:rsidRPr="00E11478">
        <w:rPr>
          <w:szCs w:val="24"/>
        </w:rPr>
        <w:t xml:space="preserve"> </w:t>
      </w:r>
      <w:r w:rsidRPr="00E11478">
        <w:rPr>
          <w:szCs w:val="24"/>
        </w:rPr>
        <w:t xml:space="preserve">with $1 billion or </w:t>
      </w:r>
      <w:r w:rsidR="00AB6B3A" w:rsidRPr="00E11478">
        <w:rPr>
          <w:szCs w:val="24"/>
        </w:rPr>
        <w:t>more in credit card receivables</w:t>
      </w:r>
      <w:r w:rsidRPr="00E11478">
        <w:rPr>
          <w:szCs w:val="24"/>
        </w:rPr>
        <w:t xml:space="preserve"> and a representative group of smaller issuers.  Th</w:t>
      </w:r>
      <w:r w:rsidR="00AB6B3A" w:rsidRPr="00E11478">
        <w:rPr>
          <w:szCs w:val="24"/>
        </w:rPr>
        <w:t xml:space="preserve">is panel design is used so that the </w:t>
      </w:r>
      <w:r w:rsidRPr="00E11478">
        <w:rPr>
          <w:szCs w:val="24"/>
        </w:rPr>
        <w:t xml:space="preserve">data </w:t>
      </w:r>
      <w:r w:rsidR="00AB6B3A" w:rsidRPr="00E11478">
        <w:rPr>
          <w:szCs w:val="24"/>
        </w:rPr>
        <w:t xml:space="preserve">will be </w:t>
      </w:r>
      <w:r w:rsidRPr="00E11478">
        <w:rPr>
          <w:szCs w:val="24"/>
        </w:rPr>
        <w:t>representative of interest rates paid by consumers on bank credit cards</w:t>
      </w:r>
      <w:r w:rsidR="00AB6B3A" w:rsidRPr="00E11478">
        <w:rPr>
          <w:szCs w:val="24"/>
        </w:rPr>
        <w:t>.</w:t>
      </w:r>
      <w:r w:rsidRPr="00E11478">
        <w:rPr>
          <w:szCs w:val="24"/>
        </w:rPr>
        <w:t xml:space="preserve"> </w:t>
      </w:r>
      <w:r w:rsidR="00AB6B3A" w:rsidRPr="00E11478">
        <w:rPr>
          <w:szCs w:val="24"/>
        </w:rPr>
        <w:t xml:space="preserve"> The </w:t>
      </w:r>
      <w:r w:rsidRPr="00E11478">
        <w:rPr>
          <w:szCs w:val="24"/>
        </w:rPr>
        <w:t xml:space="preserve">outstanding balances </w:t>
      </w:r>
      <w:r w:rsidR="00AB6B3A" w:rsidRPr="00E11478">
        <w:rPr>
          <w:szCs w:val="24"/>
        </w:rPr>
        <w:t xml:space="preserve">of the respondents </w:t>
      </w:r>
      <w:r w:rsidRPr="00E11478">
        <w:rPr>
          <w:szCs w:val="24"/>
        </w:rPr>
        <w:t xml:space="preserve">represent about </w:t>
      </w:r>
      <w:r w:rsidR="00CA6FD4" w:rsidRPr="00E11478">
        <w:rPr>
          <w:szCs w:val="24"/>
        </w:rPr>
        <w:t>60</w:t>
      </w:r>
      <w:r w:rsidRPr="00E11478">
        <w:rPr>
          <w:szCs w:val="24"/>
        </w:rPr>
        <w:t xml:space="preserve"> percent of all owned and managed credit card receivables at commercial banks. The</w:t>
      </w:r>
      <w:r w:rsidR="00AB6B3A" w:rsidRPr="00E11478">
        <w:rPr>
          <w:szCs w:val="24"/>
        </w:rPr>
        <w:t xml:space="preserve"> </w:t>
      </w:r>
      <w:r w:rsidR="00007B29" w:rsidRPr="00E11478">
        <w:rPr>
          <w:szCs w:val="24"/>
        </w:rPr>
        <w:t xml:space="preserve">Federal Reserve </w:t>
      </w:r>
      <w:r w:rsidR="00AB6B3A" w:rsidRPr="00E11478">
        <w:rPr>
          <w:szCs w:val="24"/>
        </w:rPr>
        <w:t>uses the data to analyze the credit card market and draw implications for the household sector.</w:t>
      </w:r>
      <w:r w:rsidR="00A4385D" w:rsidRPr="00E11478" w:rsidDel="00A4385D">
        <w:rPr>
          <w:szCs w:val="24"/>
        </w:rPr>
        <w:t xml:space="preserve"> </w:t>
      </w:r>
    </w:p>
    <w:p w:rsidR="00E77BE2" w:rsidRPr="00E11478" w:rsidRDefault="00C1658D" w:rsidP="00E77BE2">
      <w:pPr>
        <w:tabs>
          <w:tab w:val="left" w:pos="360"/>
        </w:tabs>
        <w:rPr>
          <w:szCs w:val="24"/>
        </w:rPr>
      </w:pPr>
      <w:r w:rsidRPr="00E11478">
        <w:rPr>
          <w:szCs w:val="24"/>
        </w:rPr>
        <w:tab/>
      </w:r>
    </w:p>
    <w:p w:rsidR="00FC6252" w:rsidRPr="00E11478" w:rsidRDefault="00E77BE2" w:rsidP="00E77BE2">
      <w:pPr>
        <w:tabs>
          <w:tab w:val="left" w:pos="360"/>
        </w:tabs>
        <w:rPr>
          <w:szCs w:val="24"/>
        </w:rPr>
      </w:pPr>
      <w:r w:rsidRPr="00E11478">
        <w:rPr>
          <w:szCs w:val="24"/>
        </w:rPr>
        <w:tab/>
      </w:r>
      <w:proofErr w:type="gramStart"/>
      <w:r w:rsidR="00C50C88" w:rsidRPr="00E11478">
        <w:rPr>
          <w:b/>
          <w:bCs/>
          <w:szCs w:val="24"/>
        </w:rPr>
        <w:t>Data</w:t>
      </w:r>
      <w:r w:rsidR="00FC6252" w:rsidRPr="00E11478">
        <w:rPr>
          <w:b/>
          <w:bCs/>
          <w:szCs w:val="24"/>
        </w:rPr>
        <w:t xml:space="preserve"> </w:t>
      </w:r>
      <w:r w:rsidR="008E5236" w:rsidRPr="00E11478">
        <w:rPr>
          <w:b/>
          <w:bCs/>
          <w:szCs w:val="24"/>
        </w:rPr>
        <w:t>Coverage</w:t>
      </w:r>
      <w:r w:rsidR="00FC6252" w:rsidRPr="00E11478">
        <w:rPr>
          <w:b/>
          <w:bCs/>
          <w:szCs w:val="24"/>
        </w:rPr>
        <w:t>.</w:t>
      </w:r>
      <w:proofErr w:type="gramEnd"/>
      <w:r w:rsidR="00FC6252" w:rsidRPr="00E11478">
        <w:rPr>
          <w:bCs/>
          <w:szCs w:val="24"/>
        </w:rPr>
        <w:t xml:space="preserve"> </w:t>
      </w:r>
      <w:r w:rsidR="00FC6252" w:rsidRPr="00E11478">
        <w:rPr>
          <w:b/>
          <w:bCs/>
          <w:szCs w:val="24"/>
        </w:rPr>
        <w:t xml:space="preserve"> </w:t>
      </w:r>
      <w:r w:rsidR="00255898" w:rsidRPr="00E11478">
        <w:rPr>
          <w:bCs/>
          <w:szCs w:val="24"/>
        </w:rPr>
        <w:t>T</w:t>
      </w:r>
      <w:r w:rsidR="00FC6252" w:rsidRPr="00E11478">
        <w:rPr>
          <w:szCs w:val="24"/>
        </w:rPr>
        <w:t xml:space="preserve">he FR 2835a collects information on two measures of average </w:t>
      </w:r>
      <w:r w:rsidR="00255898" w:rsidRPr="00E11478">
        <w:rPr>
          <w:szCs w:val="24"/>
        </w:rPr>
        <w:t xml:space="preserve">credit card interest </w:t>
      </w:r>
      <w:r w:rsidR="00FC6252" w:rsidRPr="00E11478">
        <w:rPr>
          <w:szCs w:val="24"/>
        </w:rPr>
        <w:t xml:space="preserve">rates from </w:t>
      </w:r>
      <w:r w:rsidR="00255898" w:rsidRPr="00E11478">
        <w:rPr>
          <w:szCs w:val="24"/>
        </w:rPr>
        <w:t xml:space="preserve">card-issuing </w:t>
      </w:r>
      <w:r w:rsidR="00FC6252" w:rsidRPr="00E11478">
        <w:rPr>
          <w:szCs w:val="24"/>
        </w:rPr>
        <w:t xml:space="preserve">commercial banks.  </w:t>
      </w:r>
      <w:r w:rsidR="00255898" w:rsidRPr="00E11478">
        <w:rPr>
          <w:szCs w:val="24"/>
        </w:rPr>
        <w:t xml:space="preserve">One measure </w:t>
      </w:r>
      <w:r w:rsidR="00FC6252" w:rsidRPr="00E11478">
        <w:rPr>
          <w:szCs w:val="24"/>
        </w:rPr>
        <w:t>reflect</w:t>
      </w:r>
      <w:r w:rsidR="00255898" w:rsidRPr="00E11478">
        <w:rPr>
          <w:szCs w:val="24"/>
        </w:rPr>
        <w:t>s</w:t>
      </w:r>
      <w:r w:rsidR="00FC6252" w:rsidRPr="00E11478">
        <w:rPr>
          <w:szCs w:val="24"/>
        </w:rPr>
        <w:t xml:space="preserve"> the interest rate offered </w:t>
      </w:r>
      <w:r w:rsidR="006016BB" w:rsidRPr="00E11478">
        <w:rPr>
          <w:szCs w:val="24"/>
        </w:rPr>
        <w:t xml:space="preserve">to credit cardholders, </w:t>
      </w:r>
      <w:r w:rsidR="00FC6252" w:rsidRPr="00E11478">
        <w:rPr>
          <w:szCs w:val="24"/>
        </w:rPr>
        <w:t xml:space="preserve">and the </w:t>
      </w:r>
      <w:r w:rsidR="00255898" w:rsidRPr="00E11478">
        <w:rPr>
          <w:szCs w:val="24"/>
        </w:rPr>
        <w:t xml:space="preserve">other reflects </w:t>
      </w:r>
      <w:r w:rsidR="00FC6252" w:rsidRPr="00E11478">
        <w:rPr>
          <w:szCs w:val="24"/>
        </w:rPr>
        <w:t>finance charges paid by cardholders</w:t>
      </w:r>
      <w:r w:rsidR="00255898" w:rsidRPr="00E11478">
        <w:rPr>
          <w:szCs w:val="24"/>
        </w:rPr>
        <w:t xml:space="preserve"> with balances</w:t>
      </w:r>
      <w:r w:rsidR="00FC6252" w:rsidRPr="00E11478">
        <w:rPr>
          <w:szCs w:val="24"/>
        </w:rPr>
        <w:t>.</w:t>
      </w:r>
    </w:p>
    <w:p w:rsidR="00E77BE2" w:rsidRPr="00E11478" w:rsidRDefault="00E77BE2" w:rsidP="00E77BE2">
      <w:pPr>
        <w:tabs>
          <w:tab w:val="left" w:pos="360"/>
        </w:tabs>
        <w:rPr>
          <w:szCs w:val="24"/>
        </w:rPr>
      </w:pPr>
    </w:p>
    <w:p w:rsidR="00FC6252" w:rsidRPr="00E11478" w:rsidRDefault="00FC6252" w:rsidP="00E77BE2">
      <w:pPr>
        <w:tabs>
          <w:tab w:val="left" w:pos="360"/>
        </w:tabs>
        <w:ind w:left="360"/>
        <w:rPr>
          <w:iCs/>
          <w:szCs w:val="24"/>
        </w:rPr>
      </w:pPr>
      <w:r w:rsidRPr="00E11478">
        <w:rPr>
          <w:bCs/>
          <w:i/>
          <w:szCs w:val="24"/>
        </w:rPr>
        <w:t>(1) Average nominal finance rate.</w:t>
      </w:r>
      <w:r w:rsidRPr="00E11478">
        <w:rPr>
          <w:b/>
          <w:bCs/>
          <w:szCs w:val="24"/>
        </w:rPr>
        <w:t xml:space="preserve"> </w:t>
      </w:r>
      <w:r w:rsidRPr="00E11478">
        <w:rPr>
          <w:szCs w:val="24"/>
        </w:rPr>
        <w:t xml:space="preserve"> </w:t>
      </w:r>
      <w:r w:rsidR="00DB7E30" w:rsidRPr="00E11478">
        <w:rPr>
          <w:szCs w:val="24"/>
        </w:rPr>
        <w:t>For t</w:t>
      </w:r>
      <w:r w:rsidRPr="00E11478">
        <w:rPr>
          <w:szCs w:val="24"/>
        </w:rPr>
        <w:t xml:space="preserve">he </w:t>
      </w:r>
      <w:r w:rsidR="0082390C" w:rsidRPr="00E11478">
        <w:rPr>
          <w:szCs w:val="24"/>
        </w:rPr>
        <w:t>measure</w:t>
      </w:r>
      <w:r w:rsidRPr="00E11478">
        <w:rPr>
          <w:szCs w:val="24"/>
        </w:rPr>
        <w:t xml:space="preserve"> </w:t>
      </w:r>
      <w:r w:rsidR="00153E16" w:rsidRPr="00E11478">
        <w:rPr>
          <w:szCs w:val="24"/>
        </w:rPr>
        <w:t xml:space="preserve">termed </w:t>
      </w:r>
      <w:r w:rsidRPr="00E11478">
        <w:rPr>
          <w:szCs w:val="24"/>
        </w:rPr>
        <w:t xml:space="preserve">the </w:t>
      </w:r>
      <w:r w:rsidR="0082390C" w:rsidRPr="00E11478">
        <w:rPr>
          <w:szCs w:val="24"/>
        </w:rPr>
        <w:t>“</w:t>
      </w:r>
      <w:r w:rsidR="00153E16" w:rsidRPr="00E11478">
        <w:rPr>
          <w:szCs w:val="24"/>
        </w:rPr>
        <w:t>a</w:t>
      </w:r>
      <w:r w:rsidRPr="00E11478">
        <w:rPr>
          <w:iCs/>
          <w:szCs w:val="24"/>
        </w:rPr>
        <w:t>verage nominal finance rate, all accounts</w:t>
      </w:r>
      <w:r w:rsidR="00DB7E30" w:rsidRPr="00E11478">
        <w:rPr>
          <w:szCs w:val="24"/>
        </w:rPr>
        <w:t>,</w:t>
      </w:r>
      <w:r w:rsidR="0082390C" w:rsidRPr="00E11478">
        <w:rPr>
          <w:szCs w:val="24"/>
        </w:rPr>
        <w:t>”</w:t>
      </w:r>
      <w:r w:rsidR="00DB7E30" w:rsidRPr="00E11478">
        <w:rPr>
          <w:szCs w:val="24"/>
        </w:rPr>
        <w:t xml:space="preserve"> respondents are asked to report </w:t>
      </w:r>
      <w:r w:rsidRPr="00E11478">
        <w:rPr>
          <w:szCs w:val="24"/>
        </w:rPr>
        <w:t>the simple average</w:t>
      </w:r>
      <w:r w:rsidR="007A24B6" w:rsidRPr="00E11478">
        <w:rPr>
          <w:szCs w:val="24"/>
        </w:rPr>
        <w:t xml:space="preserve"> of interest rates</w:t>
      </w:r>
      <w:r w:rsidRPr="00E11478">
        <w:rPr>
          <w:szCs w:val="24"/>
        </w:rPr>
        <w:t xml:space="preserve"> across all </w:t>
      </w:r>
      <w:r w:rsidR="00DB7E30" w:rsidRPr="00E11478">
        <w:rPr>
          <w:szCs w:val="24"/>
        </w:rPr>
        <w:t xml:space="preserve">of the issuer’s </w:t>
      </w:r>
      <w:r w:rsidR="007A24B6" w:rsidRPr="00E11478">
        <w:rPr>
          <w:szCs w:val="24"/>
        </w:rPr>
        <w:t xml:space="preserve">card </w:t>
      </w:r>
      <w:r w:rsidRPr="00E11478">
        <w:rPr>
          <w:szCs w:val="24"/>
        </w:rPr>
        <w:t>accounts</w:t>
      </w:r>
      <w:r w:rsidR="0082390C" w:rsidRPr="00E11478">
        <w:rPr>
          <w:szCs w:val="24"/>
        </w:rPr>
        <w:t>.</w:t>
      </w:r>
      <w:r w:rsidRPr="00E11478">
        <w:rPr>
          <w:rStyle w:val="FootnoteReference"/>
          <w:szCs w:val="24"/>
        </w:rPr>
        <w:footnoteReference w:id="4"/>
      </w:r>
      <w:r w:rsidRPr="00E11478">
        <w:rPr>
          <w:szCs w:val="24"/>
        </w:rPr>
        <w:t xml:space="preserve">  Equivalently, respondents may </w:t>
      </w:r>
      <w:r w:rsidR="007A24B6" w:rsidRPr="00E11478">
        <w:rPr>
          <w:szCs w:val="24"/>
        </w:rPr>
        <w:t xml:space="preserve">provide </w:t>
      </w:r>
      <w:r w:rsidRPr="00E11478">
        <w:rPr>
          <w:szCs w:val="24"/>
        </w:rPr>
        <w:t>the weighted average of interest rates</w:t>
      </w:r>
      <w:r w:rsidR="007A24B6" w:rsidRPr="00E11478">
        <w:rPr>
          <w:szCs w:val="24"/>
        </w:rPr>
        <w:t xml:space="preserve"> across types of accounts that carry different rates</w:t>
      </w:r>
      <w:r w:rsidRPr="00E11478">
        <w:rPr>
          <w:szCs w:val="24"/>
        </w:rPr>
        <w:t xml:space="preserve">, with the </w:t>
      </w:r>
      <w:r w:rsidR="007A24B6" w:rsidRPr="00E11478">
        <w:rPr>
          <w:szCs w:val="24"/>
        </w:rPr>
        <w:t xml:space="preserve">weights equaling the </w:t>
      </w:r>
      <w:r w:rsidRPr="00E11478">
        <w:rPr>
          <w:szCs w:val="24"/>
        </w:rPr>
        <w:t>percentage of accounts</w:t>
      </w:r>
      <w:r w:rsidR="007A24B6" w:rsidRPr="00E11478">
        <w:rPr>
          <w:szCs w:val="24"/>
        </w:rPr>
        <w:t xml:space="preserve"> of each type.  </w:t>
      </w:r>
      <w:r w:rsidRPr="00E11478">
        <w:rPr>
          <w:szCs w:val="24"/>
        </w:rPr>
        <w:t>Respondents also are asked to provide</w:t>
      </w:r>
      <w:r w:rsidR="007A24B6" w:rsidRPr="00E11478">
        <w:rPr>
          <w:szCs w:val="24"/>
        </w:rPr>
        <w:t xml:space="preserve"> the t</w:t>
      </w:r>
      <w:r w:rsidR="007A24B6" w:rsidRPr="00E11478">
        <w:rPr>
          <w:iCs/>
          <w:szCs w:val="24"/>
        </w:rPr>
        <w:t xml:space="preserve">otal number of accounts, </w:t>
      </w:r>
      <w:r w:rsidR="001D71FF" w:rsidRPr="00E11478">
        <w:rPr>
          <w:iCs/>
          <w:szCs w:val="24"/>
        </w:rPr>
        <w:t xml:space="preserve">which </w:t>
      </w:r>
      <w:r w:rsidR="007A24B6" w:rsidRPr="00E11478">
        <w:rPr>
          <w:iCs/>
          <w:szCs w:val="24"/>
        </w:rPr>
        <w:t xml:space="preserve">the </w:t>
      </w:r>
      <w:r w:rsidR="00007B29" w:rsidRPr="00E11478">
        <w:rPr>
          <w:iCs/>
          <w:szCs w:val="24"/>
        </w:rPr>
        <w:t xml:space="preserve">Federal Reserve </w:t>
      </w:r>
      <w:r w:rsidR="001D71FF" w:rsidRPr="00E11478">
        <w:rPr>
          <w:iCs/>
          <w:szCs w:val="24"/>
        </w:rPr>
        <w:t xml:space="preserve">uses to calculate </w:t>
      </w:r>
      <w:r w:rsidR="009E1951" w:rsidRPr="00E11478">
        <w:rPr>
          <w:iCs/>
          <w:szCs w:val="24"/>
        </w:rPr>
        <w:t xml:space="preserve">the weighted average </w:t>
      </w:r>
      <w:r w:rsidR="001D71FF" w:rsidRPr="00E11478">
        <w:rPr>
          <w:iCs/>
          <w:szCs w:val="24"/>
        </w:rPr>
        <w:t xml:space="preserve">of the nominal finance rate </w:t>
      </w:r>
      <w:r w:rsidR="009E1951" w:rsidRPr="00E11478">
        <w:rPr>
          <w:iCs/>
          <w:szCs w:val="24"/>
        </w:rPr>
        <w:t>across banks.</w:t>
      </w:r>
    </w:p>
    <w:p w:rsidR="00E77BE2" w:rsidRPr="00E11478" w:rsidRDefault="00E77BE2" w:rsidP="00E77BE2">
      <w:pPr>
        <w:tabs>
          <w:tab w:val="left" w:pos="360"/>
        </w:tabs>
        <w:rPr>
          <w:szCs w:val="24"/>
        </w:rPr>
      </w:pPr>
    </w:p>
    <w:p w:rsidR="00FC6252" w:rsidRPr="00E11478" w:rsidRDefault="00FC6252" w:rsidP="00E77BE2">
      <w:pPr>
        <w:tabs>
          <w:tab w:val="left" w:pos="360"/>
        </w:tabs>
        <w:ind w:left="360"/>
        <w:rPr>
          <w:szCs w:val="24"/>
        </w:rPr>
      </w:pPr>
      <w:r w:rsidRPr="00E11478">
        <w:rPr>
          <w:szCs w:val="24"/>
        </w:rPr>
        <w:t>Th</w:t>
      </w:r>
      <w:r w:rsidR="00722C4A" w:rsidRPr="00E11478">
        <w:rPr>
          <w:szCs w:val="24"/>
        </w:rPr>
        <w:t xml:space="preserve">is measure represents the rate at which </w:t>
      </w:r>
      <w:r w:rsidRPr="00E11478">
        <w:rPr>
          <w:szCs w:val="24"/>
        </w:rPr>
        <w:t xml:space="preserve">banks are offering to make credit available to cardholders.  </w:t>
      </w:r>
      <w:r w:rsidR="00722C4A" w:rsidRPr="00E11478">
        <w:rPr>
          <w:szCs w:val="24"/>
        </w:rPr>
        <w:t xml:space="preserve">It </w:t>
      </w:r>
      <w:r w:rsidRPr="00E11478">
        <w:rPr>
          <w:szCs w:val="24"/>
        </w:rPr>
        <w:t xml:space="preserve">abstracts from </w:t>
      </w:r>
      <w:r w:rsidR="009E1951" w:rsidRPr="00E11478">
        <w:rPr>
          <w:szCs w:val="24"/>
        </w:rPr>
        <w:t xml:space="preserve">what </w:t>
      </w:r>
      <w:r w:rsidRPr="00E11478">
        <w:rPr>
          <w:szCs w:val="24"/>
        </w:rPr>
        <w:t xml:space="preserve">cardholders actually pay on average. </w:t>
      </w:r>
      <w:r w:rsidR="009E1951" w:rsidRPr="00E11478">
        <w:rPr>
          <w:szCs w:val="24"/>
        </w:rPr>
        <w:t xml:space="preserve"> In particular, </w:t>
      </w:r>
      <w:r w:rsidRPr="00E11478">
        <w:rPr>
          <w:szCs w:val="24"/>
        </w:rPr>
        <w:t xml:space="preserve">many cardholders are </w:t>
      </w:r>
      <w:r w:rsidR="009E1951" w:rsidRPr="00E11478">
        <w:rPr>
          <w:szCs w:val="24"/>
        </w:rPr>
        <w:t>“</w:t>
      </w:r>
      <w:r w:rsidRPr="00E11478">
        <w:rPr>
          <w:szCs w:val="24"/>
        </w:rPr>
        <w:t>convenience users</w:t>
      </w:r>
      <w:r w:rsidR="009E1951" w:rsidRPr="00E11478">
        <w:rPr>
          <w:szCs w:val="24"/>
        </w:rPr>
        <w:t>”</w:t>
      </w:r>
      <w:r w:rsidRPr="00E11478">
        <w:rPr>
          <w:szCs w:val="24"/>
        </w:rPr>
        <w:t xml:space="preserve"> who </w:t>
      </w:r>
      <w:r w:rsidR="00722C4A" w:rsidRPr="00E11478">
        <w:rPr>
          <w:szCs w:val="24"/>
        </w:rPr>
        <w:t xml:space="preserve">generally </w:t>
      </w:r>
      <w:r w:rsidRPr="00E11478">
        <w:rPr>
          <w:szCs w:val="24"/>
        </w:rPr>
        <w:t>avoid finance charges by paying b</w:t>
      </w:r>
      <w:r w:rsidR="0082390C" w:rsidRPr="00E11478">
        <w:rPr>
          <w:szCs w:val="24"/>
        </w:rPr>
        <w:t xml:space="preserve">alances </w:t>
      </w:r>
      <w:r w:rsidRPr="00E11478">
        <w:rPr>
          <w:szCs w:val="24"/>
        </w:rPr>
        <w:t xml:space="preserve">in full within an </w:t>
      </w:r>
      <w:proofErr w:type="spellStart"/>
      <w:r w:rsidRPr="00E11478">
        <w:rPr>
          <w:szCs w:val="24"/>
        </w:rPr>
        <w:t>inter</w:t>
      </w:r>
      <w:r w:rsidRPr="00E11478">
        <w:rPr>
          <w:szCs w:val="24"/>
        </w:rPr>
        <w:softHyphen/>
        <w:t>est</w:t>
      </w:r>
      <w:r w:rsidRPr="00E11478">
        <w:rPr>
          <w:szCs w:val="24"/>
        </w:rPr>
        <w:noBreakHyphen/>
        <w:t>free</w:t>
      </w:r>
      <w:proofErr w:type="spellEnd"/>
      <w:r w:rsidRPr="00E11478">
        <w:rPr>
          <w:szCs w:val="24"/>
        </w:rPr>
        <w:t xml:space="preserve"> grace period.  </w:t>
      </w:r>
      <w:r w:rsidR="0082390C" w:rsidRPr="00E11478">
        <w:rPr>
          <w:szCs w:val="24"/>
        </w:rPr>
        <w:t>For a variety of reasons, i</w:t>
      </w:r>
      <w:r w:rsidRPr="00E11478">
        <w:rPr>
          <w:szCs w:val="24"/>
        </w:rPr>
        <w:t xml:space="preserve">nterest rates on </w:t>
      </w:r>
      <w:r w:rsidR="0082390C" w:rsidRPr="00E11478">
        <w:rPr>
          <w:szCs w:val="24"/>
        </w:rPr>
        <w:t xml:space="preserve">the </w:t>
      </w:r>
      <w:r w:rsidRPr="00E11478">
        <w:rPr>
          <w:szCs w:val="24"/>
        </w:rPr>
        <w:t xml:space="preserve">accounts of convenience users may </w:t>
      </w:r>
      <w:r w:rsidR="00722C4A" w:rsidRPr="00E11478">
        <w:rPr>
          <w:szCs w:val="24"/>
        </w:rPr>
        <w:t>tend to d</w:t>
      </w:r>
      <w:r w:rsidRPr="00E11478">
        <w:rPr>
          <w:szCs w:val="24"/>
        </w:rPr>
        <w:t xml:space="preserve">iffer from rates </w:t>
      </w:r>
      <w:r w:rsidR="0082390C" w:rsidRPr="00E11478">
        <w:rPr>
          <w:szCs w:val="24"/>
        </w:rPr>
        <w:t xml:space="preserve">on the accounts </w:t>
      </w:r>
      <w:r w:rsidRPr="00E11478">
        <w:rPr>
          <w:szCs w:val="24"/>
        </w:rPr>
        <w:t xml:space="preserve">cardholders who </w:t>
      </w:r>
      <w:r w:rsidR="0082390C" w:rsidRPr="00E11478">
        <w:rPr>
          <w:szCs w:val="24"/>
        </w:rPr>
        <w:lastRenderedPageBreak/>
        <w:t xml:space="preserve">revolve balances and </w:t>
      </w:r>
      <w:r w:rsidRPr="00E11478">
        <w:rPr>
          <w:szCs w:val="24"/>
        </w:rPr>
        <w:t>incur finance charges.</w:t>
      </w:r>
      <w:r w:rsidRPr="00E11478">
        <w:rPr>
          <w:rStyle w:val="FootnoteReference"/>
          <w:szCs w:val="24"/>
        </w:rPr>
        <w:footnoteReference w:id="5"/>
      </w:r>
      <w:r w:rsidRPr="00E11478">
        <w:rPr>
          <w:szCs w:val="24"/>
        </w:rPr>
        <w:t xml:space="preserve">  </w:t>
      </w:r>
      <w:r w:rsidR="009E1951" w:rsidRPr="00E11478">
        <w:rPr>
          <w:szCs w:val="24"/>
        </w:rPr>
        <w:t>Although these</w:t>
      </w:r>
      <w:r w:rsidR="0082390C" w:rsidRPr="00E11478">
        <w:rPr>
          <w:szCs w:val="24"/>
        </w:rPr>
        <w:t xml:space="preserve"> convenience users may rarely pay interest on credit card balances, t</w:t>
      </w:r>
      <w:r w:rsidRPr="00E11478">
        <w:rPr>
          <w:szCs w:val="24"/>
        </w:rPr>
        <w:t xml:space="preserve">he average nominal </w:t>
      </w:r>
      <w:r w:rsidR="0082390C" w:rsidRPr="00E11478">
        <w:rPr>
          <w:szCs w:val="24"/>
        </w:rPr>
        <w:t xml:space="preserve">finance </w:t>
      </w:r>
      <w:r w:rsidRPr="00E11478">
        <w:rPr>
          <w:szCs w:val="24"/>
        </w:rPr>
        <w:t xml:space="preserve">rate </w:t>
      </w:r>
      <w:r w:rsidR="0082390C" w:rsidRPr="00E11478">
        <w:rPr>
          <w:szCs w:val="24"/>
        </w:rPr>
        <w:t>reflects the interest rate at which they could borrow (in ad</w:t>
      </w:r>
      <w:r w:rsidR="00722C4A" w:rsidRPr="00E11478">
        <w:rPr>
          <w:szCs w:val="24"/>
        </w:rPr>
        <w:t>dition to the rate paid by cardholders</w:t>
      </w:r>
      <w:r w:rsidR="0082390C" w:rsidRPr="00E11478">
        <w:rPr>
          <w:szCs w:val="24"/>
        </w:rPr>
        <w:t xml:space="preserve"> revolving balances).</w:t>
      </w:r>
    </w:p>
    <w:p w:rsidR="00E77BE2" w:rsidRPr="00E11478" w:rsidRDefault="00E77BE2" w:rsidP="00E77BE2">
      <w:pPr>
        <w:tabs>
          <w:tab w:val="left" w:pos="360"/>
        </w:tabs>
        <w:rPr>
          <w:szCs w:val="24"/>
        </w:rPr>
      </w:pPr>
    </w:p>
    <w:p w:rsidR="00FC6252" w:rsidRPr="00E11478" w:rsidRDefault="00FC6252" w:rsidP="00E77BE2">
      <w:pPr>
        <w:tabs>
          <w:tab w:val="left" w:pos="360"/>
        </w:tabs>
        <w:ind w:left="360"/>
        <w:rPr>
          <w:szCs w:val="24"/>
        </w:rPr>
      </w:pPr>
      <w:r w:rsidRPr="00E11478">
        <w:rPr>
          <w:bCs/>
          <w:i/>
          <w:szCs w:val="24"/>
        </w:rPr>
        <w:t>(2) Average computed finance rate.</w:t>
      </w:r>
      <w:r w:rsidRPr="00E11478">
        <w:rPr>
          <w:szCs w:val="24"/>
        </w:rPr>
        <w:t xml:space="preserve">  For the </w:t>
      </w:r>
      <w:r w:rsidR="00722C4A" w:rsidRPr="00E11478">
        <w:rPr>
          <w:szCs w:val="24"/>
        </w:rPr>
        <w:t>measure termed</w:t>
      </w:r>
      <w:r w:rsidRPr="00E11478">
        <w:rPr>
          <w:szCs w:val="24"/>
        </w:rPr>
        <w:t xml:space="preserve"> the </w:t>
      </w:r>
      <w:r w:rsidR="00722C4A" w:rsidRPr="00E11478">
        <w:rPr>
          <w:szCs w:val="24"/>
        </w:rPr>
        <w:t>“</w:t>
      </w:r>
      <w:r w:rsidRPr="00E11478">
        <w:rPr>
          <w:szCs w:val="24"/>
        </w:rPr>
        <w:t>average computed finance rate,</w:t>
      </w:r>
      <w:r w:rsidR="00722C4A" w:rsidRPr="00E11478">
        <w:rPr>
          <w:szCs w:val="24"/>
        </w:rPr>
        <w:t>”</w:t>
      </w:r>
      <w:r w:rsidRPr="00E11478">
        <w:rPr>
          <w:szCs w:val="24"/>
        </w:rPr>
        <w:t xml:space="preserve"> respondents report </w:t>
      </w:r>
      <w:r w:rsidR="00722C4A" w:rsidRPr="00E11478">
        <w:rPr>
          <w:szCs w:val="24"/>
        </w:rPr>
        <w:t>the t</w:t>
      </w:r>
      <w:r w:rsidRPr="00E11478">
        <w:rPr>
          <w:iCs/>
          <w:szCs w:val="24"/>
        </w:rPr>
        <w:t xml:space="preserve">otal finance charges billed </w:t>
      </w:r>
      <w:r w:rsidR="00722C4A" w:rsidRPr="00E11478">
        <w:rPr>
          <w:iCs/>
          <w:szCs w:val="24"/>
        </w:rPr>
        <w:t>during the survey month and the t</w:t>
      </w:r>
      <w:r w:rsidRPr="00E11478">
        <w:rPr>
          <w:iCs/>
          <w:szCs w:val="24"/>
        </w:rPr>
        <w:t>otal balances on which finance charges are computed</w:t>
      </w:r>
      <w:r w:rsidR="001D71FF" w:rsidRPr="00E11478">
        <w:rPr>
          <w:iCs/>
          <w:szCs w:val="24"/>
        </w:rPr>
        <w:t xml:space="preserve">.  </w:t>
      </w:r>
      <w:proofErr w:type="gramStart"/>
      <w:r w:rsidRPr="00E11478">
        <w:rPr>
          <w:szCs w:val="24"/>
        </w:rPr>
        <w:t xml:space="preserve">The </w:t>
      </w:r>
      <w:r w:rsidR="00007B29" w:rsidRPr="00E11478">
        <w:rPr>
          <w:szCs w:val="24"/>
        </w:rPr>
        <w:t xml:space="preserve"> Federal</w:t>
      </w:r>
      <w:proofErr w:type="gramEnd"/>
      <w:r w:rsidR="00007B29" w:rsidRPr="00E11478">
        <w:rPr>
          <w:szCs w:val="24"/>
        </w:rPr>
        <w:t xml:space="preserve"> Reserve </w:t>
      </w:r>
      <w:r w:rsidRPr="00E11478">
        <w:rPr>
          <w:szCs w:val="24"/>
        </w:rPr>
        <w:t>calculates the average computed finance rate by dividing</w:t>
      </w:r>
      <w:r w:rsidR="001D71FF" w:rsidRPr="00E11478">
        <w:rPr>
          <w:szCs w:val="24"/>
        </w:rPr>
        <w:t xml:space="preserve"> reported finance charges by the balances to which they apply (</w:t>
      </w:r>
      <w:r w:rsidRPr="00E11478">
        <w:rPr>
          <w:szCs w:val="24"/>
        </w:rPr>
        <w:t xml:space="preserve">multiplying the result by </w:t>
      </w:r>
      <w:r w:rsidR="00836EDD" w:rsidRPr="00E11478">
        <w:rPr>
          <w:szCs w:val="24"/>
        </w:rPr>
        <w:t xml:space="preserve">12 </w:t>
      </w:r>
      <w:r w:rsidRPr="00E11478">
        <w:rPr>
          <w:szCs w:val="24"/>
        </w:rPr>
        <w:t>to obtain an annualized rate</w:t>
      </w:r>
      <w:r w:rsidR="001D71FF" w:rsidRPr="00E11478">
        <w:rPr>
          <w:szCs w:val="24"/>
        </w:rPr>
        <w:t>)</w:t>
      </w:r>
      <w:r w:rsidRPr="00E11478">
        <w:rPr>
          <w:szCs w:val="24"/>
        </w:rPr>
        <w:t xml:space="preserve">.  </w:t>
      </w:r>
      <w:r w:rsidR="001D71FF" w:rsidRPr="00E11478">
        <w:rPr>
          <w:szCs w:val="24"/>
        </w:rPr>
        <w:t xml:space="preserve">The </w:t>
      </w:r>
      <w:r w:rsidR="00007B29" w:rsidRPr="00E11478">
        <w:rPr>
          <w:szCs w:val="24"/>
        </w:rPr>
        <w:t xml:space="preserve">Federal Reserve </w:t>
      </w:r>
      <w:r w:rsidR="001D71FF" w:rsidRPr="00E11478">
        <w:rPr>
          <w:szCs w:val="24"/>
        </w:rPr>
        <w:t xml:space="preserve">then computes </w:t>
      </w:r>
      <w:r w:rsidRPr="00E11478">
        <w:rPr>
          <w:szCs w:val="24"/>
        </w:rPr>
        <w:t xml:space="preserve">a </w:t>
      </w:r>
      <w:proofErr w:type="spellStart"/>
      <w:r w:rsidRPr="00E11478">
        <w:rPr>
          <w:szCs w:val="24"/>
        </w:rPr>
        <w:t>volume</w:t>
      </w:r>
      <w:r w:rsidRPr="00E11478">
        <w:rPr>
          <w:szCs w:val="24"/>
        </w:rPr>
        <w:noBreakHyphen/>
        <w:t>weighted</w:t>
      </w:r>
      <w:proofErr w:type="spellEnd"/>
      <w:r w:rsidRPr="00E11478">
        <w:rPr>
          <w:szCs w:val="24"/>
        </w:rPr>
        <w:t xml:space="preserve"> average finance rate </w:t>
      </w:r>
      <w:r w:rsidR="001D71FF" w:rsidRPr="00E11478">
        <w:rPr>
          <w:szCs w:val="24"/>
        </w:rPr>
        <w:t xml:space="preserve">across banks.  </w:t>
      </w:r>
    </w:p>
    <w:p w:rsidR="00E77BE2" w:rsidRPr="00E11478" w:rsidRDefault="00E77BE2" w:rsidP="00E77BE2">
      <w:pPr>
        <w:tabs>
          <w:tab w:val="left" w:pos="360"/>
        </w:tabs>
        <w:rPr>
          <w:szCs w:val="24"/>
        </w:rPr>
      </w:pPr>
    </w:p>
    <w:p w:rsidR="00FC6252" w:rsidRPr="00E11478" w:rsidRDefault="00FC6252" w:rsidP="00E77BE2">
      <w:pPr>
        <w:tabs>
          <w:tab w:val="left" w:pos="360"/>
        </w:tabs>
        <w:ind w:left="360"/>
        <w:rPr>
          <w:szCs w:val="24"/>
        </w:rPr>
      </w:pPr>
      <w:r w:rsidRPr="00E11478">
        <w:rPr>
          <w:szCs w:val="24"/>
        </w:rPr>
        <w:t xml:space="preserve">The average computed finance rate reveals the interest rates actually paid by those consumers who use their credit cards to obtain credit (beyond any initial grace period), as distinct from the rates </w:t>
      </w:r>
      <w:r w:rsidR="001D71FF" w:rsidRPr="00E11478">
        <w:rPr>
          <w:szCs w:val="24"/>
        </w:rPr>
        <w:t xml:space="preserve">offered to all </w:t>
      </w:r>
      <w:r w:rsidRPr="00E11478">
        <w:rPr>
          <w:szCs w:val="24"/>
        </w:rPr>
        <w:t>card</w:t>
      </w:r>
      <w:r w:rsidRPr="00E11478">
        <w:rPr>
          <w:szCs w:val="24"/>
        </w:rPr>
        <w:softHyphen/>
        <w:t>holders.</w:t>
      </w:r>
      <w:r w:rsidRPr="00E11478">
        <w:rPr>
          <w:rStyle w:val="FootnoteReference"/>
          <w:szCs w:val="24"/>
        </w:rPr>
        <w:footnoteReference w:id="6"/>
      </w:r>
    </w:p>
    <w:p w:rsidR="00FC6252" w:rsidRPr="00E11478" w:rsidRDefault="00FC6252" w:rsidP="008B1636">
      <w:pPr>
        <w:tabs>
          <w:tab w:val="left" w:pos="360"/>
        </w:tabs>
        <w:ind w:left="360"/>
        <w:rPr>
          <w:szCs w:val="24"/>
        </w:rPr>
      </w:pPr>
    </w:p>
    <w:p w:rsidR="00FC6252" w:rsidRPr="00E11478" w:rsidRDefault="006016BB" w:rsidP="008B1636">
      <w:pPr>
        <w:tabs>
          <w:tab w:val="left" w:pos="360"/>
        </w:tabs>
        <w:ind w:left="360"/>
        <w:rPr>
          <w:szCs w:val="24"/>
        </w:rPr>
      </w:pPr>
      <w:r w:rsidRPr="00E11478">
        <w:rPr>
          <w:szCs w:val="24"/>
        </w:rPr>
        <w:t>B</w:t>
      </w:r>
      <w:r w:rsidR="00FC6252" w:rsidRPr="00E11478">
        <w:rPr>
          <w:szCs w:val="24"/>
        </w:rPr>
        <w:t>oth measures</w:t>
      </w:r>
      <w:r w:rsidRPr="00E11478">
        <w:rPr>
          <w:szCs w:val="24"/>
        </w:rPr>
        <w:t xml:space="preserve"> of credit card interest rates are </w:t>
      </w:r>
      <w:r w:rsidR="00FC6252" w:rsidRPr="00E11478">
        <w:rPr>
          <w:szCs w:val="24"/>
        </w:rPr>
        <w:t xml:space="preserve">necessary, given the </w:t>
      </w:r>
      <w:r w:rsidRPr="00E11478">
        <w:rPr>
          <w:szCs w:val="24"/>
        </w:rPr>
        <w:t xml:space="preserve">range </w:t>
      </w:r>
      <w:r w:rsidR="00FC6252" w:rsidRPr="00E11478">
        <w:rPr>
          <w:szCs w:val="24"/>
        </w:rPr>
        <w:t>of</w:t>
      </w:r>
      <w:r w:rsidRPr="00E11478">
        <w:rPr>
          <w:szCs w:val="24"/>
        </w:rPr>
        <w:t xml:space="preserve"> Board activities </w:t>
      </w:r>
      <w:r w:rsidR="00FC6252" w:rsidRPr="00E11478">
        <w:rPr>
          <w:szCs w:val="24"/>
        </w:rPr>
        <w:t xml:space="preserve">that require data on credit card interest rates. </w:t>
      </w:r>
      <w:r w:rsidRPr="00E11478">
        <w:rPr>
          <w:szCs w:val="24"/>
        </w:rPr>
        <w:t xml:space="preserve"> F</w:t>
      </w:r>
      <w:r w:rsidR="00FC6252" w:rsidRPr="00E11478">
        <w:rPr>
          <w:szCs w:val="24"/>
        </w:rPr>
        <w:t xml:space="preserve">or example, Board members have been asked </w:t>
      </w:r>
      <w:r w:rsidR="004B2F8E" w:rsidRPr="00E11478">
        <w:rPr>
          <w:szCs w:val="24"/>
        </w:rPr>
        <w:t xml:space="preserve">in the past </w:t>
      </w:r>
      <w:r w:rsidR="00FC6252" w:rsidRPr="00E11478">
        <w:rPr>
          <w:szCs w:val="24"/>
        </w:rPr>
        <w:t xml:space="preserve">to testify before the Congress on proposed federal legislation to set ceilings on credit card rates.  </w:t>
      </w:r>
      <w:r w:rsidR="004B2F8E" w:rsidRPr="00E11478">
        <w:rPr>
          <w:szCs w:val="24"/>
        </w:rPr>
        <w:t>T</w:t>
      </w:r>
      <w:r w:rsidRPr="00E11478">
        <w:rPr>
          <w:szCs w:val="24"/>
        </w:rPr>
        <w:t xml:space="preserve">he average nominal </w:t>
      </w:r>
      <w:r w:rsidR="004B2F8E" w:rsidRPr="00E11478">
        <w:rPr>
          <w:szCs w:val="24"/>
        </w:rPr>
        <w:t xml:space="preserve">finance </w:t>
      </w:r>
      <w:r w:rsidRPr="00E11478">
        <w:rPr>
          <w:szCs w:val="24"/>
        </w:rPr>
        <w:t>rate is more relevant to the</w:t>
      </w:r>
      <w:r w:rsidR="004B2F8E" w:rsidRPr="00E11478">
        <w:rPr>
          <w:szCs w:val="24"/>
        </w:rPr>
        <w:t>se</w:t>
      </w:r>
      <w:r w:rsidRPr="00E11478">
        <w:rPr>
          <w:szCs w:val="24"/>
        </w:rPr>
        <w:t xml:space="preserve"> inquiries</w:t>
      </w:r>
      <w:r w:rsidR="004B2F8E" w:rsidRPr="00E11478">
        <w:rPr>
          <w:szCs w:val="24"/>
        </w:rPr>
        <w:t xml:space="preserve">.  On the other hand, </w:t>
      </w:r>
      <w:r w:rsidRPr="00E11478">
        <w:rPr>
          <w:szCs w:val="24"/>
        </w:rPr>
        <w:t xml:space="preserve">the average computed </w:t>
      </w:r>
      <w:r w:rsidR="004B2F8E" w:rsidRPr="00E11478">
        <w:rPr>
          <w:szCs w:val="24"/>
        </w:rPr>
        <w:t xml:space="preserve">finance </w:t>
      </w:r>
      <w:r w:rsidRPr="00E11478">
        <w:rPr>
          <w:szCs w:val="24"/>
        </w:rPr>
        <w:t>rate is usually more relevant to the macro</w:t>
      </w:r>
      <w:r w:rsidRPr="00E11478">
        <w:rPr>
          <w:szCs w:val="24"/>
        </w:rPr>
        <w:softHyphen/>
        <w:t>economic issues addressed in monetary policy deliberations.  For example, in analyzing consumer spending behavior</w:t>
      </w:r>
      <w:r w:rsidR="004B2F8E" w:rsidRPr="00E11478">
        <w:rPr>
          <w:szCs w:val="24"/>
        </w:rPr>
        <w:t xml:space="preserve">, the </w:t>
      </w:r>
      <w:r w:rsidR="00007B29" w:rsidRPr="00E11478">
        <w:rPr>
          <w:szCs w:val="24"/>
        </w:rPr>
        <w:t>Federal Reserve</w:t>
      </w:r>
      <w:r w:rsidR="004B2F8E" w:rsidRPr="00E11478">
        <w:rPr>
          <w:szCs w:val="24"/>
        </w:rPr>
        <w:t xml:space="preserve"> needs </w:t>
      </w:r>
      <w:r w:rsidRPr="00E11478">
        <w:rPr>
          <w:szCs w:val="24"/>
        </w:rPr>
        <w:t>accurate data on rates faced by those who are actually in debt</w:t>
      </w:r>
      <w:r w:rsidR="004B2F8E" w:rsidRPr="00E11478">
        <w:rPr>
          <w:szCs w:val="24"/>
        </w:rPr>
        <w:t xml:space="preserve"> and thus most vulnerable to income disruptions.  </w:t>
      </w:r>
    </w:p>
    <w:p w:rsidR="00FC6252" w:rsidRPr="00E11478" w:rsidRDefault="00FC6252" w:rsidP="008B1636">
      <w:pPr>
        <w:tabs>
          <w:tab w:val="left" w:pos="360"/>
        </w:tabs>
        <w:ind w:left="360"/>
        <w:rPr>
          <w:szCs w:val="24"/>
        </w:rPr>
      </w:pPr>
    </w:p>
    <w:p w:rsidR="004B2F8E" w:rsidRPr="00E11478" w:rsidRDefault="00FC6252" w:rsidP="008B1636">
      <w:pPr>
        <w:tabs>
          <w:tab w:val="left" w:pos="360"/>
        </w:tabs>
        <w:ind w:left="360"/>
        <w:rPr>
          <w:szCs w:val="24"/>
        </w:rPr>
      </w:pPr>
      <w:r w:rsidRPr="00E11478">
        <w:rPr>
          <w:szCs w:val="24"/>
        </w:rPr>
        <w:t xml:space="preserve">Respondents also are asked to provide </w:t>
      </w:r>
      <w:r w:rsidR="00836EDD" w:rsidRPr="00E11478">
        <w:rPr>
          <w:i/>
          <w:szCs w:val="24"/>
        </w:rPr>
        <w:t xml:space="preserve">initial </w:t>
      </w:r>
      <w:r w:rsidRPr="00E11478">
        <w:rPr>
          <w:i/>
          <w:szCs w:val="24"/>
        </w:rPr>
        <w:t>total ending balances</w:t>
      </w:r>
      <w:r w:rsidRPr="00E11478">
        <w:rPr>
          <w:szCs w:val="24"/>
        </w:rPr>
        <w:t xml:space="preserve"> for all accounts </w:t>
      </w:r>
      <w:r w:rsidR="004B2F8E" w:rsidRPr="00E11478">
        <w:rPr>
          <w:szCs w:val="24"/>
        </w:rPr>
        <w:t xml:space="preserve">and </w:t>
      </w:r>
      <w:r w:rsidRPr="00E11478">
        <w:rPr>
          <w:szCs w:val="24"/>
        </w:rPr>
        <w:t xml:space="preserve">for accounts with finance charges.  </w:t>
      </w:r>
      <w:r w:rsidR="004B2F8E" w:rsidRPr="00E11478">
        <w:rPr>
          <w:szCs w:val="24"/>
        </w:rPr>
        <w:t xml:space="preserve">The difference between these amounts represents a measure of convenience credit—balances that are incurred during the billing cycle but are paid off in full within the grace period.  The share of convenience credit in total debt has varied over time in a way that potentially distorts traditional measures of household financial vulnerability.  For example, the </w:t>
      </w:r>
      <w:r w:rsidR="00007B29" w:rsidRPr="00E11478">
        <w:rPr>
          <w:szCs w:val="24"/>
        </w:rPr>
        <w:t xml:space="preserve">Federal Reserve </w:t>
      </w:r>
      <w:r w:rsidR="004B2F8E" w:rsidRPr="00E11478">
        <w:rPr>
          <w:szCs w:val="24"/>
        </w:rPr>
        <w:t xml:space="preserve">has done research showing </w:t>
      </w:r>
      <w:r w:rsidR="00EA241D" w:rsidRPr="00E11478">
        <w:rPr>
          <w:szCs w:val="24"/>
        </w:rPr>
        <w:t>that some of the uptrend in the aggregate financial obligations ratio has stemmed from greater convenience use of credit; this complicates the interpretation of the evolution of the financial obligations ratio since convenience balances are not necessarily associated with greater household financial strain in the way that longer-term debt might be.</w:t>
      </w:r>
    </w:p>
    <w:p w:rsidR="00B61E5B" w:rsidRPr="00E11478" w:rsidRDefault="00B61E5B" w:rsidP="008B1636">
      <w:pPr>
        <w:tabs>
          <w:tab w:val="left" w:pos="360"/>
        </w:tabs>
        <w:ind w:left="360"/>
        <w:rPr>
          <w:szCs w:val="24"/>
        </w:rPr>
      </w:pPr>
    </w:p>
    <w:p w:rsidR="00FC6252" w:rsidRPr="00E11478" w:rsidRDefault="00B44285" w:rsidP="00E77BE2">
      <w:pPr>
        <w:tabs>
          <w:tab w:val="left" w:pos="360"/>
        </w:tabs>
        <w:rPr>
          <w:szCs w:val="24"/>
        </w:rPr>
      </w:pPr>
      <w:r w:rsidRPr="00E11478">
        <w:rPr>
          <w:szCs w:val="24"/>
        </w:rPr>
        <w:tab/>
      </w:r>
      <w:proofErr w:type="gramStart"/>
      <w:r w:rsidR="008E5236" w:rsidRPr="00E11478">
        <w:rPr>
          <w:b/>
          <w:szCs w:val="24"/>
        </w:rPr>
        <w:t xml:space="preserve">Reporting </w:t>
      </w:r>
      <w:r w:rsidR="00FC6252" w:rsidRPr="00E11478">
        <w:rPr>
          <w:b/>
          <w:bCs/>
          <w:szCs w:val="24"/>
        </w:rPr>
        <w:t>Frequency.</w:t>
      </w:r>
      <w:proofErr w:type="gramEnd"/>
      <w:r w:rsidR="00FC6252" w:rsidRPr="00E11478">
        <w:rPr>
          <w:b/>
          <w:bCs/>
          <w:i/>
          <w:szCs w:val="24"/>
        </w:rPr>
        <w:t xml:space="preserve"> </w:t>
      </w:r>
      <w:r w:rsidR="00FC6252" w:rsidRPr="00E11478">
        <w:rPr>
          <w:b/>
          <w:bCs/>
          <w:szCs w:val="24"/>
        </w:rPr>
        <w:t xml:space="preserve"> </w:t>
      </w:r>
      <w:r w:rsidR="008E5236" w:rsidRPr="00E11478">
        <w:rPr>
          <w:szCs w:val="24"/>
        </w:rPr>
        <w:t xml:space="preserve">The data are collected for February, May, August, and November. </w:t>
      </w:r>
      <w:r w:rsidR="00FC6252" w:rsidRPr="00E11478">
        <w:rPr>
          <w:szCs w:val="24"/>
        </w:rPr>
        <w:t xml:space="preserve">As with the FR 2835, the quarterly frequency </w:t>
      </w:r>
      <w:r w:rsidR="00EA241D" w:rsidRPr="00E11478">
        <w:rPr>
          <w:szCs w:val="24"/>
        </w:rPr>
        <w:t xml:space="preserve">of the FR 2835a </w:t>
      </w:r>
      <w:r w:rsidR="00FC6252" w:rsidRPr="00E11478">
        <w:rPr>
          <w:szCs w:val="24"/>
        </w:rPr>
        <w:t>is adequate to track movements in credit card finance rates, but reporting on a less frequent schedule would not be sufficient for cyclical analysis.</w:t>
      </w:r>
    </w:p>
    <w:p w:rsidR="00E77BE2" w:rsidRPr="00E11478" w:rsidRDefault="00E77BE2" w:rsidP="00E77BE2">
      <w:pPr>
        <w:tabs>
          <w:tab w:val="left" w:pos="360"/>
        </w:tabs>
        <w:rPr>
          <w:szCs w:val="24"/>
        </w:rPr>
      </w:pPr>
    </w:p>
    <w:p w:rsidR="00690DFA" w:rsidRPr="00E11478" w:rsidRDefault="00E77BE2" w:rsidP="00690DFA">
      <w:pPr>
        <w:tabs>
          <w:tab w:val="left" w:pos="360"/>
        </w:tabs>
        <w:rPr>
          <w:szCs w:val="24"/>
        </w:rPr>
      </w:pPr>
      <w:r w:rsidRPr="00E11478">
        <w:rPr>
          <w:szCs w:val="24"/>
        </w:rPr>
        <w:tab/>
      </w:r>
      <w:proofErr w:type="gramStart"/>
      <w:r w:rsidR="00FC6252" w:rsidRPr="00E11478">
        <w:rPr>
          <w:b/>
          <w:bCs/>
          <w:szCs w:val="24"/>
        </w:rPr>
        <w:t>Reporting Panel.</w:t>
      </w:r>
      <w:proofErr w:type="gramEnd"/>
      <w:r w:rsidR="00FC6252" w:rsidRPr="00E11478">
        <w:rPr>
          <w:bCs/>
          <w:szCs w:val="24"/>
        </w:rPr>
        <w:t xml:space="preserve"> </w:t>
      </w:r>
      <w:r w:rsidR="00FC6252" w:rsidRPr="00E11478">
        <w:rPr>
          <w:b/>
          <w:bCs/>
          <w:szCs w:val="24"/>
        </w:rPr>
        <w:t xml:space="preserve"> </w:t>
      </w:r>
      <w:r w:rsidR="008F2295" w:rsidRPr="00E11478">
        <w:rPr>
          <w:szCs w:val="24"/>
        </w:rPr>
        <w:t xml:space="preserve">Currently, there are </w:t>
      </w:r>
      <w:r w:rsidR="00F979B4" w:rsidRPr="00E11478">
        <w:rPr>
          <w:szCs w:val="24"/>
        </w:rPr>
        <w:t>43</w:t>
      </w:r>
      <w:r w:rsidR="008F2295" w:rsidRPr="00E11478">
        <w:rPr>
          <w:szCs w:val="24"/>
        </w:rPr>
        <w:t xml:space="preserve"> commercial banks on the panel</w:t>
      </w:r>
      <w:r w:rsidR="00F55864" w:rsidRPr="00E11478">
        <w:rPr>
          <w:szCs w:val="24"/>
        </w:rPr>
        <w:t>.</w:t>
      </w:r>
      <w:r w:rsidR="003F6EB5" w:rsidRPr="00E11478">
        <w:rPr>
          <w:szCs w:val="24"/>
        </w:rPr>
        <w:t xml:space="preserve"> </w:t>
      </w:r>
      <w:r w:rsidR="00345203" w:rsidRPr="00E11478">
        <w:rPr>
          <w:szCs w:val="24"/>
        </w:rPr>
        <w:t xml:space="preserve">Although the </w:t>
      </w:r>
      <w:r w:rsidR="009A42A8" w:rsidRPr="00E11478">
        <w:rPr>
          <w:szCs w:val="24"/>
        </w:rPr>
        <w:t xml:space="preserve">current </w:t>
      </w:r>
      <w:r w:rsidR="00345203" w:rsidRPr="00E11478">
        <w:rPr>
          <w:szCs w:val="24"/>
        </w:rPr>
        <w:t>respondents represent the largest issuers of bank credit cards</w:t>
      </w:r>
      <w:r w:rsidR="009A42A8" w:rsidRPr="00E11478">
        <w:rPr>
          <w:szCs w:val="24"/>
        </w:rPr>
        <w:t>,</w:t>
      </w:r>
      <w:r w:rsidR="00007B29" w:rsidRPr="00E11478">
        <w:rPr>
          <w:szCs w:val="24"/>
        </w:rPr>
        <w:t xml:space="preserve"> the Federal Reserve</w:t>
      </w:r>
      <w:r w:rsidR="008F2295" w:rsidRPr="00E11478">
        <w:rPr>
          <w:szCs w:val="24"/>
        </w:rPr>
        <w:t xml:space="preserve"> will increase its efforts to recruit additional respondents to bring the panel up to its authorized size (50 commercial banks) so that the data will better represent the </w:t>
      </w:r>
      <w:r w:rsidR="009A42A8" w:rsidRPr="00E11478">
        <w:rPr>
          <w:szCs w:val="24"/>
        </w:rPr>
        <w:t xml:space="preserve">entire </w:t>
      </w:r>
      <w:r w:rsidR="008F2295" w:rsidRPr="00E11478">
        <w:rPr>
          <w:szCs w:val="24"/>
        </w:rPr>
        <w:t>industry</w:t>
      </w:r>
      <w:r w:rsidR="00690DFA" w:rsidRPr="00E11478">
        <w:rPr>
          <w:szCs w:val="24"/>
        </w:rPr>
        <w:t xml:space="preserve">.  </w:t>
      </w:r>
    </w:p>
    <w:p w:rsidR="008F2295" w:rsidRPr="00E11478" w:rsidRDefault="008F2295" w:rsidP="00D6606C">
      <w:pPr>
        <w:tabs>
          <w:tab w:val="left" w:pos="360"/>
        </w:tabs>
        <w:rPr>
          <w:szCs w:val="24"/>
        </w:rPr>
      </w:pPr>
    </w:p>
    <w:p w:rsidR="009C27CA" w:rsidRPr="00E11478" w:rsidRDefault="0038603A" w:rsidP="00D6606C">
      <w:pPr>
        <w:tabs>
          <w:tab w:val="left" w:pos="360"/>
        </w:tabs>
        <w:rPr>
          <w:szCs w:val="24"/>
        </w:rPr>
      </w:pPr>
      <w:r w:rsidRPr="00E11478">
        <w:rPr>
          <w:szCs w:val="24"/>
        </w:rPr>
        <w:tab/>
      </w:r>
      <w:r w:rsidR="00762FC5" w:rsidRPr="00E11478">
        <w:rPr>
          <w:szCs w:val="24"/>
        </w:rPr>
        <w:t xml:space="preserve">Given the current financial crisis and the pivotal roles played by </w:t>
      </w:r>
      <w:r w:rsidR="00402E06" w:rsidRPr="00E11478">
        <w:rPr>
          <w:szCs w:val="24"/>
        </w:rPr>
        <w:t xml:space="preserve">the </w:t>
      </w:r>
      <w:r w:rsidR="00762FC5" w:rsidRPr="00E11478">
        <w:rPr>
          <w:szCs w:val="24"/>
        </w:rPr>
        <w:t xml:space="preserve">consumer credit industry, </w:t>
      </w:r>
      <w:r w:rsidR="00B50A8A" w:rsidRPr="00E11478">
        <w:rPr>
          <w:szCs w:val="24"/>
        </w:rPr>
        <w:t xml:space="preserve">it </w:t>
      </w:r>
      <w:r w:rsidR="00EB455E" w:rsidRPr="00E11478">
        <w:rPr>
          <w:szCs w:val="24"/>
        </w:rPr>
        <w:t xml:space="preserve">is </w:t>
      </w:r>
      <w:r w:rsidR="00B50A8A" w:rsidRPr="00E11478">
        <w:rPr>
          <w:szCs w:val="24"/>
        </w:rPr>
        <w:t>increasingly likely that Board</w:t>
      </w:r>
      <w:r w:rsidR="00EB455E" w:rsidRPr="00E11478">
        <w:rPr>
          <w:szCs w:val="24"/>
        </w:rPr>
        <w:t xml:space="preserve"> members</w:t>
      </w:r>
      <w:r w:rsidR="00B50A8A" w:rsidRPr="00E11478">
        <w:rPr>
          <w:szCs w:val="24"/>
        </w:rPr>
        <w:t xml:space="preserve"> and Congress</w:t>
      </w:r>
      <w:r w:rsidR="00362198" w:rsidRPr="00E11478">
        <w:rPr>
          <w:szCs w:val="24"/>
        </w:rPr>
        <w:t xml:space="preserve"> will</w:t>
      </w:r>
      <w:r w:rsidR="008755A4" w:rsidRPr="00E11478">
        <w:rPr>
          <w:szCs w:val="24"/>
        </w:rPr>
        <w:t xml:space="preserve"> request more information about </w:t>
      </w:r>
      <w:r w:rsidR="00EB455E" w:rsidRPr="00E11478">
        <w:rPr>
          <w:szCs w:val="24"/>
        </w:rPr>
        <w:t xml:space="preserve">the availability of </w:t>
      </w:r>
      <w:r w:rsidR="008755A4" w:rsidRPr="00E11478">
        <w:rPr>
          <w:szCs w:val="24"/>
        </w:rPr>
        <w:t>general revolving credit</w:t>
      </w:r>
      <w:r w:rsidR="00FE19AF" w:rsidRPr="00E11478">
        <w:rPr>
          <w:szCs w:val="24"/>
        </w:rPr>
        <w:t>,</w:t>
      </w:r>
      <w:r w:rsidR="008755A4" w:rsidRPr="00E11478">
        <w:rPr>
          <w:szCs w:val="24"/>
        </w:rPr>
        <w:t xml:space="preserve"> credit usage</w:t>
      </w:r>
      <w:r w:rsidR="00FE19AF" w:rsidRPr="00E11478">
        <w:rPr>
          <w:szCs w:val="24"/>
        </w:rPr>
        <w:t>,</w:t>
      </w:r>
      <w:r w:rsidR="008755A4" w:rsidRPr="00E11478">
        <w:rPr>
          <w:szCs w:val="24"/>
        </w:rPr>
        <w:t xml:space="preserve"> and pricing practice.  To meet </w:t>
      </w:r>
      <w:r w:rsidR="00FE19AF" w:rsidRPr="00E11478">
        <w:rPr>
          <w:szCs w:val="24"/>
        </w:rPr>
        <w:t>potential</w:t>
      </w:r>
      <w:r w:rsidR="008755A4" w:rsidRPr="00E11478">
        <w:rPr>
          <w:szCs w:val="24"/>
        </w:rPr>
        <w:t xml:space="preserve"> request</w:t>
      </w:r>
      <w:r w:rsidR="00FE19AF" w:rsidRPr="00E11478">
        <w:rPr>
          <w:szCs w:val="24"/>
        </w:rPr>
        <w:t>s</w:t>
      </w:r>
      <w:r w:rsidR="008755A4" w:rsidRPr="00E11478">
        <w:rPr>
          <w:szCs w:val="24"/>
        </w:rPr>
        <w:t xml:space="preserve">, </w:t>
      </w:r>
      <w:r w:rsidR="00762FC5" w:rsidRPr="00E11478">
        <w:rPr>
          <w:szCs w:val="24"/>
        </w:rPr>
        <w:t xml:space="preserve">it </w:t>
      </w:r>
      <w:r w:rsidR="00362198" w:rsidRPr="00E11478">
        <w:rPr>
          <w:szCs w:val="24"/>
        </w:rPr>
        <w:t>will be</w:t>
      </w:r>
      <w:r w:rsidR="00762FC5" w:rsidRPr="00E11478">
        <w:rPr>
          <w:szCs w:val="24"/>
        </w:rPr>
        <w:t xml:space="preserve"> critical to </w:t>
      </w:r>
      <w:r w:rsidR="008755A4" w:rsidRPr="00E11478">
        <w:rPr>
          <w:szCs w:val="24"/>
        </w:rPr>
        <w:t>monitor credit card industry dynamics</w:t>
      </w:r>
      <w:r w:rsidR="00762FC5" w:rsidRPr="00E11478">
        <w:rPr>
          <w:szCs w:val="24"/>
        </w:rPr>
        <w:t xml:space="preserve"> using a sample of commercial banks that is as representative as possible</w:t>
      </w:r>
      <w:r w:rsidR="00FA2EBD" w:rsidRPr="00E11478">
        <w:rPr>
          <w:szCs w:val="24"/>
        </w:rPr>
        <w:t xml:space="preserve"> – </w:t>
      </w:r>
      <w:r w:rsidR="00836EDD" w:rsidRPr="00E11478">
        <w:rPr>
          <w:szCs w:val="24"/>
        </w:rPr>
        <w:t xml:space="preserve">consisting of </w:t>
      </w:r>
      <w:r w:rsidR="00CE0960" w:rsidRPr="00E11478">
        <w:rPr>
          <w:szCs w:val="24"/>
        </w:rPr>
        <w:t xml:space="preserve">both large </w:t>
      </w:r>
      <w:r w:rsidR="00FA2EBD" w:rsidRPr="00E11478">
        <w:rPr>
          <w:szCs w:val="24"/>
        </w:rPr>
        <w:t xml:space="preserve">banks </w:t>
      </w:r>
      <w:r w:rsidR="00FF5A09" w:rsidRPr="00E11478">
        <w:rPr>
          <w:szCs w:val="24"/>
        </w:rPr>
        <w:t xml:space="preserve">that operate nationally </w:t>
      </w:r>
      <w:r w:rsidR="00FA2EBD" w:rsidRPr="00E11478">
        <w:rPr>
          <w:szCs w:val="24"/>
        </w:rPr>
        <w:t>and smaller regional and community banks</w:t>
      </w:r>
      <w:r w:rsidR="00762FC5" w:rsidRPr="00E11478">
        <w:rPr>
          <w:szCs w:val="24"/>
        </w:rPr>
        <w:t xml:space="preserve">. </w:t>
      </w:r>
      <w:r w:rsidR="00FE19AF" w:rsidRPr="00E11478">
        <w:rPr>
          <w:rStyle w:val="CommentReference"/>
          <w:vanish/>
          <w:sz w:val="24"/>
          <w:szCs w:val="24"/>
        </w:rPr>
        <w:t>To supportTo su</w:t>
      </w:r>
      <w:r w:rsidR="008A1F74" w:rsidRPr="00E11478">
        <w:rPr>
          <w:szCs w:val="24"/>
        </w:rPr>
        <w:t xml:space="preserve"> </w:t>
      </w:r>
    </w:p>
    <w:p w:rsidR="00E77BE2" w:rsidRPr="00E11478" w:rsidRDefault="00E77BE2" w:rsidP="00E77BE2">
      <w:pPr>
        <w:tabs>
          <w:tab w:val="left" w:pos="360"/>
        </w:tabs>
        <w:rPr>
          <w:szCs w:val="24"/>
        </w:rPr>
      </w:pPr>
    </w:p>
    <w:p w:rsidR="00FC6252" w:rsidRPr="00E11478" w:rsidRDefault="00FC6252" w:rsidP="00B82CBB">
      <w:pPr>
        <w:tabs>
          <w:tab w:val="left" w:pos="360"/>
        </w:tabs>
        <w:rPr>
          <w:szCs w:val="24"/>
        </w:rPr>
      </w:pPr>
      <w:r w:rsidRPr="00E11478">
        <w:rPr>
          <w:b/>
          <w:bCs/>
          <w:szCs w:val="24"/>
        </w:rPr>
        <w:t xml:space="preserve">Consultation </w:t>
      </w:r>
      <w:proofErr w:type="gramStart"/>
      <w:r w:rsidRPr="00E11478">
        <w:rPr>
          <w:b/>
          <w:bCs/>
          <w:szCs w:val="24"/>
        </w:rPr>
        <w:t>Outside</w:t>
      </w:r>
      <w:proofErr w:type="gramEnd"/>
      <w:r w:rsidRPr="00E11478">
        <w:rPr>
          <w:b/>
          <w:bCs/>
          <w:szCs w:val="24"/>
        </w:rPr>
        <w:t xml:space="preserve"> the Federal Reserve System</w:t>
      </w:r>
    </w:p>
    <w:p w:rsidR="00FC6252" w:rsidRPr="00E11478" w:rsidRDefault="00FC6252" w:rsidP="00FC6252">
      <w:pPr>
        <w:tabs>
          <w:tab w:val="left" w:pos="360"/>
        </w:tabs>
        <w:rPr>
          <w:szCs w:val="24"/>
        </w:rPr>
      </w:pPr>
    </w:p>
    <w:p w:rsidR="000119E0" w:rsidRDefault="00FC6252" w:rsidP="000119E0">
      <w:pPr>
        <w:pStyle w:val="Header"/>
        <w:tabs>
          <w:tab w:val="clear" w:pos="4320"/>
          <w:tab w:val="clear" w:pos="8640"/>
        </w:tabs>
        <w:outlineLvl w:val="0"/>
        <w:rPr>
          <w:rFonts w:ascii="Times" w:hAnsi="Times"/>
        </w:rPr>
      </w:pPr>
      <w:r w:rsidRPr="00E11478">
        <w:rPr>
          <w:szCs w:val="24"/>
        </w:rPr>
        <w:t>There has been no consultation outside the Federal Reserve System.</w:t>
      </w:r>
      <w:r w:rsidR="00E11478">
        <w:rPr>
          <w:szCs w:val="24"/>
        </w:rPr>
        <w:t xml:space="preserve">  </w:t>
      </w:r>
      <w:r w:rsidR="002778A1" w:rsidRPr="00A86F68">
        <w:t xml:space="preserve">On </w:t>
      </w:r>
      <w:r w:rsidR="002778A1">
        <w:t>December 8</w:t>
      </w:r>
      <w:r w:rsidR="002778A1" w:rsidRPr="00A86F68">
        <w:t xml:space="preserve">, 2011, the Federal Reserve published a notice in the </w:t>
      </w:r>
      <w:r w:rsidR="002778A1" w:rsidRPr="00A86F68">
        <w:rPr>
          <w:i/>
          <w:iCs/>
        </w:rPr>
        <w:t xml:space="preserve">Federal Register </w:t>
      </w:r>
      <w:r w:rsidR="002778A1" w:rsidRPr="00A86F68">
        <w:t xml:space="preserve">(76 FR </w:t>
      </w:r>
      <w:r w:rsidR="002778A1">
        <w:t>76730</w:t>
      </w:r>
      <w:r w:rsidR="002778A1" w:rsidRPr="00A86F68">
        <w:t xml:space="preserve">) requesting public comment for 60 days on the </w:t>
      </w:r>
      <w:r w:rsidR="002778A1">
        <w:t xml:space="preserve">extension, without revision, of </w:t>
      </w:r>
      <w:r w:rsidR="002778A1" w:rsidRPr="00A86F68">
        <w:t>this information collection.  The comment period for this notice expire</w:t>
      </w:r>
      <w:r w:rsidR="00471D87">
        <w:t>d</w:t>
      </w:r>
      <w:r w:rsidR="002778A1" w:rsidRPr="00A86F68">
        <w:t xml:space="preserve"> </w:t>
      </w:r>
      <w:r w:rsidR="002778A1">
        <w:t>February 6</w:t>
      </w:r>
      <w:r w:rsidR="002778A1" w:rsidRPr="00A86F68">
        <w:t>, 201</w:t>
      </w:r>
      <w:r w:rsidR="002778A1">
        <w:t>2</w:t>
      </w:r>
      <w:r w:rsidR="002778A1" w:rsidRPr="00A86F68">
        <w:t>.</w:t>
      </w:r>
      <w:r w:rsidR="00471D87">
        <w:t xml:space="preserve">  </w:t>
      </w:r>
      <w:r w:rsidR="000119E0" w:rsidRPr="000119E0">
        <w:rPr>
          <w:snapToGrid/>
          <w:szCs w:val="24"/>
        </w:rPr>
        <w:t>The Federal Reserve did not receive any comments.</w:t>
      </w:r>
      <w:r w:rsidR="009D3B77">
        <w:rPr>
          <w:snapToGrid/>
          <w:szCs w:val="24"/>
        </w:rPr>
        <w:t xml:space="preserve">  </w:t>
      </w:r>
      <w:r w:rsidR="000119E0" w:rsidRPr="000119E0">
        <w:t xml:space="preserve">On </w:t>
      </w:r>
      <w:r w:rsidR="000119E0">
        <w:t>February 28</w:t>
      </w:r>
      <w:r w:rsidR="000119E0" w:rsidRPr="000119E0">
        <w:t xml:space="preserve">, 2012, the Federal Reserve published a final notice in the </w:t>
      </w:r>
      <w:r w:rsidR="000119E0" w:rsidRPr="000119E0">
        <w:rPr>
          <w:i/>
          <w:iCs/>
        </w:rPr>
        <w:t xml:space="preserve">Federal Register </w:t>
      </w:r>
      <w:r w:rsidR="000119E0" w:rsidRPr="000119E0">
        <w:t>(</w:t>
      </w:r>
      <w:r w:rsidR="000119E0">
        <w:t xml:space="preserve">77 </w:t>
      </w:r>
      <w:r w:rsidR="000119E0" w:rsidRPr="000119E0">
        <w:t xml:space="preserve">FR </w:t>
      </w:r>
      <w:r w:rsidR="000119E0">
        <w:t>12056</w:t>
      </w:r>
      <w:r w:rsidR="000119E0" w:rsidRPr="000119E0">
        <w:t>).</w:t>
      </w:r>
    </w:p>
    <w:p w:rsidR="00305D4B" w:rsidRPr="000119E0" w:rsidRDefault="00305D4B" w:rsidP="000119E0">
      <w:pPr>
        <w:autoSpaceDE w:val="0"/>
        <w:autoSpaceDN w:val="0"/>
        <w:adjustRightInd w:val="0"/>
        <w:rPr>
          <w:snapToGrid/>
          <w:szCs w:val="24"/>
        </w:rPr>
      </w:pPr>
    </w:p>
    <w:p w:rsidR="00FC6252" w:rsidRPr="00E11478" w:rsidRDefault="00FC6252" w:rsidP="00FC6252">
      <w:pPr>
        <w:tabs>
          <w:tab w:val="left" w:pos="360"/>
        </w:tabs>
        <w:rPr>
          <w:szCs w:val="24"/>
        </w:rPr>
      </w:pPr>
      <w:r w:rsidRPr="00E11478">
        <w:rPr>
          <w:b/>
          <w:bCs/>
          <w:szCs w:val="24"/>
        </w:rPr>
        <w:t>Sensitive Questions</w:t>
      </w:r>
    </w:p>
    <w:p w:rsidR="00FC6252" w:rsidRPr="00E11478" w:rsidRDefault="00FC6252" w:rsidP="00FC6252">
      <w:pPr>
        <w:tabs>
          <w:tab w:val="left" w:pos="360"/>
        </w:tabs>
        <w:rPr>
          <w:szCs w:val="24"/>
        </w:rPr>
      </w:pPr>
    </w:p>
    <w:p w:rsidR="00F8157B" w:rsidRDefault="00FC6252">
      <w:pPr>
        <w:tabs>
          <w:tab w:val="left" w:pos="360"/>
        </w:tabs>
        <w:ind w:firstLine="360"/>
        <w:rPr>
          <w:szCs w:val="24"/>
        </w:rPr>
      </w:pPr>
      <w:r w:rsidRPr="00E11478">
        <w:rPr>
          <w:szCs w:val="24"/>
        </w:rPr>
        <w:t>These collections of information contain no questions of a sensitive nature, as defined by OMB guidelines.</w:t>
      </w:r>
    </w:p>
    <w:p w:rsidR="000119E0" w:rsidRDefault="000119E0">
      <w:pPr>
        <w:tabs>
          <w:tab w:val="left" w:pos="360"/>
        </w:tabs>
        <w:ind w:firstLine="360"/>
        <w:rPr>
          <w:szCs w:val="24"/>
        </w:rPr>
      </w:pPr>
    </w:p>
    <w:p w:rsidR="000119E0" w:rsidRDefault="000119E0">
      <w:pPr>
        <w:tabs>
          <w:tab w:val="left" w:pos="360"/>
        </w:tabs>
        <w:ind w:firstLine="360"/>
        <w:rPr>
          <w:szCs w:val="24"/>
        </w:rPr>
      </w:pPr>
    </w:p>
    <w:p w:rsidR="000119E0" w:rsidRDefault="000119E0">
      <w:pPr>
        <w:tabs>
          <w:tab w:val="left" w:pos="360"/>
        </w:tabs>
        <w:ind w:firstLine="360"/>
        <w:rPr>
          <w:szCs w:val="24"/>
        </w:rPr>
      </w:pPr>
    </w:p>
    <w:p w:rsidR="000119E0" w:rsidRDefault="000119E0">
      <w:pPr>
        <w:tabs>
          <w:tab w:val="left" w:pos="360"/>
        </w:tabs>
        <w:ind w:firstLine="360"/>
        <w:rPr>
          <w:szCs w:val="24"/>
        </w:rPr>
      </w:pPr>
    </w:p>
    <w:p w:rsidR="000119E0" w:rsidRDefault="000119E0">
      <w:pPr>
        <w:tabs>
          <w:tab w:val="left" w:pos="360"/>
        </w:tabs>
        <w:ind w:firstLine="360"/>
        <w:rPr>
          <w:szCs w:val="24"/>
        </w:rPr>
      </w:pPr>
    </w:p>
    <w:p w:rsidR="000119E0" w:rsidRDefault="000119E0">
      <w:pPr>
        <w:tabs>
          <w:tab w:val="left" w:pos="360"/>
        </w:tabs>
        <w:ind w:firstLine="360"/>
        <w:rPr>
          <w:szCs w:val="24"/>
        </w:rPr>
      </w:pPr>
    </w:p>
    <w:p w:rsidR="000119E0" w:rsidRDefault="000119E0">
      <w:pPr>
        <w:tabs>
          <w:tab w:val="left" w:pos="360"/>
        </w:tabs>
        <w:ind w:firstLine="360"/>
        <w:rPr>
          <w:szCs w:val="24"/>
        </w:rPr>
      </w:pPr>
    </w:p>
    <w:p w:rsidR="000119E0" w:rsidRDefault="000119E0">
      <w:pPr>
        <w:tabs>
          <w:tab w:val="left" w:pos="360"/>
        </w:tabs>
        <w:ind w:firstLine="360"/>
        <w:rPr>
          <w:szCs w:val="24"/>
        </w:rPr>
      </w:pPr>
    </w:p>
    <w:p w:rsidR="000119E0" w:rsidRDefault="000119E0">
      <w:pPr>
        <w:tabs>
          <w:tab w:val="left" w:pos="360"/>
        </w:tabs>
        <w:ind w:firstLine="360"/>
        <w:rPr>
          <w:szCs w:val="24"/>
        </w:rPr>
      </w:pPr>
    </w:p>
    <w:p w:rsidR="000119E0" w:rsidRDefault="000119E0">
      <w:pPr>
        <w:tabs>
          <w:tab w:val="left" w:pos="360"/>
        </w:tabs>
        <w:ind w:firstLine="360"/>
        <w:rPr>
          <w:szCs w:val="24"/>
        </w:rPr>
      </w:pPr>
    </w:p>
    <w:p w:rsidR="000119E0" w:rsidRDefault="000119E0">
      <w:pPr>
        <w:tabs>
          <w:tab w:val="left" w:pos="360"/>
        </w:tabs>
        <w:ind w:firstLine="360"/>
        <w:rPr>
          <w:szCs w:val="24"/>
        </w:rPr>
      </w:pPr>
    </w:p>
    <w:p w:rsidR="000119E0" w:rsidRDefault="000119E0">
      <w:pPr>
        <w:tabs>
          <w:tab w:val="left" w:pos="360"/>
        </w:tabs>
        <w:ind w:firstLine="360"/>
        <w:rPr>
          <w:szCs w:val="24"/>
        </w:rPr>
      </w:pPr>
    </w:p>
    <w:p w:rsidR="000119E0" w:rsidRDefault="000119E0">
      <w:pPr>
        <w:tabs>
          <w:tab w:val="left" w:pos="360"/>
        </w:tabs>
        <w:ind w:firstLine="360"/>
        <w:rPr>
          <w:szCs w:val="24"/>
        </w:rPr>
      </w:pPr>
    </w:p>
    <w:p w:rsidR="000119E0" w:rsidRPr="00E11478" w:rsidRDefault="000119E0">
      <w:pPr>
        <w:tabs>
          <w:tab w:val="left" w:pos="360"/>
        </w:tabs>
        <w:ind w:firstLine="360"/>
        <w:rPr>
          <w:szCs w:val="24"/>
        </w:rPr>
      </w:pPr>
    </w:p>
    <w:p w:rsidR="00F8157B" w:rsidRPr="00E11478" w:rsidRDefault="00F8157B">
      <w:pPr>
        <w:rPr>
          <w:szCs w:val="24"/>
        </w:rPr>
      </w:pPr>
    </w:p>
    <w:p w:rsidR="00FC6252" w:rsidRPr="00E11478" w:rsidRDefault="00FC6252" w:rsidP="00FC6252">
      <w:pPr>
        <w:tabs>
          <w:tab w:val="left" w:pos="360"/>
        </w:tabs>
        <w:rPr>
          <w:szCs w:val="24"/>
        </w:rPr>
      </w:pPr>
      <w:r w:rsidRPr="00E11478">
        <w:rPr>
          <w:b/>
          <w:bCs/>
          <w:szCs w:val="24"/>
        </w:rPr>
        <w:lastRenderedPageBreak/>
        <w:t>Time Schedule for Information Collection and Publication</w:t>
      </w:r>
    </w:p>
    <w:p w:rsidR="00FC6252" w:rsidRPr="00E11478" w:rsidRDefault="00FC6252" w:rsidP="00FC6252">
      <w:pPr>
        <w:tabs>
          <w:tab w:val="left" w:pos="360"/>
        </w:tabs>
        <w:rPr>
          <w:szCs w:val="24"/>
        </w:rPr>
      </w:pPr>
    </w:p>
    <w:p w:rsidR="00FC6252" w:rsidRPr="00E11478" w:rsidRDefault="00FC6252" w:rsidP="00FC6252">
      <w:pPr>
        <w:tabs>
          <w:tab w:val="left" w:pos="360"/>
        </w:tabs>
        <w:ind w:firstLine="360"/>
        <w:rPr>
          <w:szCs w:val="24"/>
        </w:rPr>
      </w:pPr>
      <w:r w:rsidRPr="00E11478">
        <w:rPr>
          <w:szCs w:val="24"/>
        </w:rPr>
        <w:t>The reporting schedules are listed below:</w:t>
      </w:r>
    </w:p>
    <w:p w:rsidR="00FC6252" w:rsidRPr="00E11478" w:rsidRDefault="00FC6252" w:rsidP="00FC6252">
      <w:pPr>
        <w:tabs>
          <w:tab w:val="left" w:pos="360"/>
        </w:tabs>
        <w:rPr>
          <w:szCs w:val="24"/>
        </w:rPr>
      </w:pPr>
    </w:p>
    <w:tbl>
      <w:tblPr>
        <w:tblW w:w="8640" w:type="dxa"/>
        <w:tblInd w:w="112" w:type="dxa"/>
        <w:tblLayout w:type="fixed"/>
        <w:tblCellMar>
          <w:left w:w="112" w:type="dxa"/>
          <w:right w:w="112" w:type="dxa"/>
        </w:tblCellMar>
        <w:tblLook w:val="0000"/>
      </w:tblPr>
      <w:tblGrid>
        <w:gridCol w:w="1170"/>
        <w:gridCol w:w="1260"/>
        <w:gridCol w:w="3240"/>
        <w:gridCol w:w="2970"/>
      </w:tblGrid>
      <w:tr w:rsidR="00FC6252" w:rsidRPr="00E11478" w:rsidTr="003F4E47">
        <w:tc>
          <w:tcPr>
            <w:tcW w:w="1170" w:type="dxa"/>
            <w:tcBorders>
              <w:top w:val="single" w:sz="7" w:space="0" w:color="000000"/>
              <w:left w:val="single" w:sz="7" w:space="0" w:color="000000"/>
              <w:bottom w:val="single" w:sz="6" w:space="0" w:color="FFFFFF"/>
              <w:right w:val="single" w:sz="6" w:space="0" w:color="FFFFFF"/>
            </w:tcBorders>
            <w:shd w:val="pct5" w:color="000000" w:fill="FFFFFF"/>
            <w:vAlign w:val="center"/>
          </w:tcPr>
          <w:p w:rsidR="00FC6252" w:rsidRPr="00E11478" w:rsidRDefault="00FC6252" w:rsidP="003F4E47">
            <w:pPr>
              <w:spacing w:line="120" w:lineRule="exact"/>
              <w:jc w:val="center"/>
              <w:rPr>
                <w:szCs w:val="24"/>
              </w:rPr>
            </w:pPr>
          </w:p>
          <w:p w:rsidR="00FC6252" w:rsidRPr="00E11478" w:rsidRDefault="00FC6252" w:rsidP="003F4E47">
            <w:pPr>
              <w:tabs>
                <w:tab w:val="left" w:pos="360"/>
              </w:tabs>
              <w:spacing w:after="54"/>
              <w:jc w:val="center"/>
              <w:rPr>
                <w:i/>
                <w:iCs/>
                <w:szCs w:val="24"/>
              </w:rPr>
            </w:pPr>
            <w:r w:rsidRPr="00E11478">
              <w:rPr>
                <w:i/>
                <w:iCs/>
                <w:szCs w:val="24"/>
              </w:rPr>
              <w:t>Report</w:t>
            </w:r>
          </w:p>
        </w:tc>
        <w:tc>
          <w:tcPr>
            <w:tcW w:w="1260" w:type="dxa"/>
            <w:tcBorders>
              <w:top w:val="single" w:sz="7" w:space="0" w:color="000000"/>
              <w:left w:val="single" w:sz="7" w:space="0" w:color="000000"/>
              <w:bottom w:val="single" w:sz="6" w:space="0" w:color="FFFFFF"/>
              <w:right w:val="single" w:sz="6" w:space="0" w:color="FFFFFF"/>
            </w:tcBorders>
            <w:shd w:val="pct5" w:color="000000" w:fill="FFFFFF"/>
            <w:vAlign w:val="center"/>
          </w:tcPr>
          <w:p w:rsidR="00FC6252" w:rsidRPr="00E11478" w:rsidRDefault="00FC6252" w:rsidP="003F4E47">
            <w:pPr>
              <w:spacing w:line="120" w:lineRule="exact"/>
              <w:jc w:val="center"/>
              <w:rPr>
                <w:i/>
                <w:iCs/>
                <w:szCs w:val="24"/>
              </w:rPr>
            </w:pPr>
          </w:p>
          <w:p w:rsidR="00FC6252" w:rsidRPr="00E11478" w:rsidRDefault="00FC6252" w:rsidP="003F4E47">
            <w:pPr>
              <w:tabs>
                <w:tab w:val="left" w:pos="360"/>
              </w:tabs>
              <w:spacing w:after="54"/>
              <w:jc w:val="center"/>
              <w:rPr>
                <w:i/>
                <w:iCs/>
                <w:szCs w:val="24"/>
              </w:rPr>
            </w:pPr>
            <w:r w:rsidRPr="00E11478">
              <w:rPr>
                <w:i/>
                <w:iCs/>
                <w:szCs w:val="24"/>
              </w:rPr>
              <w:t>Frequency</w:t>
            </w:r>
          </w:p>
        </w:tc>
        <w:tc>
          <w:tcPr>
            <w:tcW w:w="3240" w:type="dxa"/>
            <w:tcBorders>
              <w:top w:val="single" w:sz="7" w:space="0" w:color="000000"/>
              <w:left w:val="single" w:sz="7" w:space="0" w:color="000000"/>
              <w:bottom w:val="single" w:sz="6" w:space="0" w:color="FFFFFF"/>
              <w:right w:val="single" w:sz="6" w:space="0" w:color="FFFFFF"/>
            </w:tcBorders>
            <w:shd w:val="pct5" w:color="000000" w:fill="FFFFFF"/>
            <w:vAlign w:val="center"/>
          </w:tcPr>
          <w:p w:rsidR="00FC6252" w:rsidRPr="00E11478" w:rsidRDefault="00FC6252" w:rsidP="003F4E47">
            <w:pPr>
              <w:spacing w:line="120" w:lineRule="exact"/>
              <w:jc w:val="center"/>
              <w:rPr>
                <w:i/>
                <w:iCs/>
                <w:szCs w:val="24"/>
              </w:rPr>
            </w:pPr>
          </w:p>
          <w:p w:rsidR="00FC6252" w:rsidRPr="00E11478" w:rsidRDefault="00FC6252" w:rsidP="003F4E47">
            <w:pPr>
              <w:tabs>
                <w:tab w:val="left" w:pos="360"/>
              </w:tabs>
              <w:spacing w:after="54"/>
              <w:jc w:val="center"/>
              <w:rPr>
                <w:i/>
                <w:iCs/>
                <w:szCs w:val="24"/>
              </w:rPr>
            </w:pPr>
            <w:r w:rsidRPr="00E11478">
              <w:rPr>
                <w:i/>
                <w:iCs/>
                <w:szCs w:val="24"/>
              </w:rPr>
              <w:t>Reference period</w:t>
            </w:r>
          </w:p>
        </w:tc>
        <w:tc>
          <w:tcPr>
            <w:tcW w:w="2970" w:type="dxa"/>
            <w:tcBorders>
              <w:top w:val="single" w:sz="7" w:space="0" w:color="000000"/>
              <w:left w:val="single" w:sz="7" w:space="0" w:color="000000"/>
              <w:bottom w:val="single" w:sz="6" w:space="0" w:color="FFFFFF"/>
              <w:right w:val="single" w:sz="7" w:space="0" w:color="000000"/>
            </w:tcBorders>
            <w:shd w:val="pct5" w:color="000000" w:fill="FFFFFF"/>
            <w:vAlign w:val="center"/>
          </w:tcPr>
          <w:p w:rsidR="00FC6252" w:rsidRPr="00E11478" w:rsidRDefault="00FC6252" w:rsidP="003F4E47">
            <w:pPr>
              <w:spacing w:line="120" w:lineRule="exact"/>
              <w:jc w:val="center"/>
              <w:rPr>
                <w:i/>
                <w:iCs/>
                <w:szCs w:val="24"/>
              </w:rPr>
            </w:pPr>
          </w:p>
          <w:p w:rsidR="00FC6252" w:rsidRPr="00E11478" w:rsidRDefault="00FC6252" w:rsidP="003F4E47">
            <w:pPr>
              <w:tabs>
                <w:tab w:val="left" w:pos="360"/>
              </w:tabs>
              <w:spacing w:after="54"/>
              <w:jc w:val="center"/>
              <w:rPr>
                <w:i/>
                <w:szCs w:val="24"/>
              </w:rPr>
            </w:pPr>
            <w:r w:rsidRPr="00E11478">
              <w:rPr>
                <w:i/>
                <w:iCs/>
                <w:szCs w:val="24"/>
              </w:rPr>
              <w:t>Due date at Board</w:t>
            </w:r>
            <w:r w:rsidRPr="00E11478">
              <w:rPr>
                <w:rStyle w:val="FootnoteReference"/>
                <w:i/>
                <w:szCs w:val="24"/>
              </w:rPr>
              <w:footnoteReference w:id="7"/>
            </w:r>
          </w:p>
        </w:tc>
      </w:tr>
      <w:tr w:rsidR="00FC6252" w:rsidRPr="00E11478" w:rsidTr="002778A1">
        <w:trPr>
          <w:trHeight w:val="1021"/>
        </w:trPr>
        <w:tc>
          <w:tcPr>
            <w:tcW w:w="1170" w:type="dxa"/>
            <w:tcBorders>
              <w:top w:val="single" w:sz="7" w:space="0" w:color="000000"/>
              <w:left w:val="single" w:sz="7" w:space="0" w:color="000000"/>
              <w:bottom w:val="single" w:sz="6" w:space="0" w:color="FFFFFF"/>
              <w:right w:val="single" w:sz="6" w:space="0" w:color="FFFFFF"/>
            </w:tcBorders>
            <w:vAlign w:val="bottom"/>
          </w:tcPr>
          <w:p w:rsidR="00FC6252" w:rsidRPr="00E11478" w:rsidRDefault="00FC6252" w:rsidP="002778A1">
            <w:pPr>
              <w:spacing w:line="120" w:lineRule="exact"/>
              <w:rPr>
                <w:szCs w:val="24"/>
              </w:rPr>
            </w:pPr>
          </w:p>
          <w:p w:rsidR="00FC6252" w:rsidRPr="00E11478" w:rsidRDefault="00FC6252" w:rsidP="002778A1">
            <w:pPr>
              <w:tabs>
                <w:tab w:val="left" w:pos="360"/>
              </w:tabs>
              <w:spacing w:after="54"/>
              <w:rPr>
                <w:szCs w:val="24"/>
              </w:rPr>
            </w:pPr>
            <w:r w:rsidRPr="00E11478">
              <w:rPr>
                <w:szCs w:val="24"/>
              </w:rPr>
              <w:t>FR 2835</w:t>
            </w:r>
          </w:p>
        </w:tc>
        <w:tc>
          <w:tcPr>
            <w:tcW w:w="1260" w:type="dxa"/>
            <w:tcBorders>
              <w:top w:val="single" w:sz="7" w:space="0" w:color="000000"/>
              <w:left w:val="single" w:sz="7" w:space="0" w:color="000000"/>
              <w:bottom w:val="single" w:sz="6" w:space="0" w:color="FFFFFF"/>
              <w:right w:val="single" w:sz="6" w:space="0" w:color="FFFFFF"/>
            </w:tcBorders>
            <w:vAlign w:val="bottom"/>
          </w:tcPr>
          <w:p w:rsidR="00FC6252" w:rsidRPr="00E11478" w:rsidRDefault="00FC6252" w:rsidP="002778A1">
            <w:pPr>
              <w:spacing w:line="120" w:lineRule="exact"/>
              <w:rPr>
                <w:szCs w:val="24"/>
              </w:rPr>
            </w:pPr>
          </w:p>
          <w:p w:rsidR="00FC6252" w:rsidRPr="00E11478" w:rsidRDefault="00FC6252" w:rsidP="002778A1">
            <w:pPr>
              <w:tabs>
                <w:tab w:val="left" w:pos="360"/>
              </w:tabs>
              <w:spacing w:after="54"/>
              <w:rPr>
                <w:szCs w:val="24"/>
              </w:rPr>
            </w:pPr>
            <w:r w:rsidRPr="00E11478">
              <w:rPr>
                <w:szCs w:val="24"/>
              </w:rPr>
              <w:t>quarterly</w:t>
            </w:r>
          </w:p>
        </w:tc>
        <w:tc>
          <w:tcPr>
            <w:tcW w:w="3240" w:type="dxa"/>
            <w:tcBorders>
              <w:top w:val="single" w:sz="7" w:space="0" w:color="000000"/>
              <w:left w:val="single" w:sz="7" w:space="0" w:color="000000"/>
              <w:bottom w:val="single" w:sz="6" w:space="0" w:color="FFFFFF"/>
              <w:right w:val="single" w:sz="6" w:space="0" w:color="FFFFFF"/>
            </w:tcBorders>
            <w:vAlign w:val="bottom"/>
          </w:tcPr>
          <w:p w:rsidR="00FC6252" w:rsidRPr="00E11478" w:rsidRDefault="00FC6252" w:rsidP="002778A1">
            <w:pPr>
              <w:tabs>
                <w:tab w:val="left" w:pos="360"/>
              </w:tabs>
              <w:spacing w:after="54"/>
              <w:rPr>
                <w:szCs w:val="24"/>
              </w:rPr>
            </w:pPr>
            <w:r w:rsidRPr="00E11478">
              <w:rPr>
                <w:szCs w:val="24"/>
              </w:rPr>
              <w:t>first full week of the mid-month of the quarter</w:t>
            </w:r>
          </w:p>
        </w:tc>
        <w:tc>
          <w:tcPr>
            <w:tcW w:w="2970" w:type="dxa"/>
            <w:tcBorders>
              <w:top w:val="single" w:sz="7" w:space="0" w:color="000000"/>
              <w:left w:val="single" w:sz="7" w:space="0" w:color="000000"/>
              <w:bottom w:val="single" w:sz="6" w:space="0" w:color="FFFFFF"/>
              <w:right w:val="single" w:sz="7" w:space="0" w:color="000000"/>
            </w:tcBorders>
            <w:vAlign w:val="bottom"/>
          </w:tcPr>
          <w:p w:rsidR="00FC6252" w:rsidRPr="00E11478" w:rsidRDefault="00FC6252" w:rsidP="002778A1">
            <w:pPr>
              <w:tabs>
                <w:tab w:val="left" w:pos="360"/>
              </w:tabs>
              <w:spacing w:after="54"/>
              <w:rPr>
                <w:szCs w:val="24"/>
              </w:rPr>
            </w:pPr>
            <w:r w:rsidRPr="00E11478">
              <w:rPr>
                <w:szCs w:val="24"/>
              </w:rPr>
              <w:t>second week following the refer</w:t>
            </w:r>
            <w:r w:rsidRPr="00E11478">
              <w:rPr>
                <w:szCs w:val="24"/>
              </w:rPr>
              <w:softHyphen/>
              <w:t>ence week</w:t>
            </w:r>
          </w:p>
        </w:tc>
      </w:tr>
      <w:tr w:rsidR="00FC6252" w:rsidRPr="00E11478" w:rsidTr="002778A1">
        <w:trPr>
          <w:trHeight w:val="1021"/>
        </w:trPr>
        <w:tc>
          <w:tcPr>
            <w:tcW w:w="1170" w:type="dxa"/>
            <w:tcBorders>
              <w:top w:val="single" w:sz="7" w:space="0" w:color="000000"/>
              <w:left w:val="single" w:sz="7" w:space="0" w:color="000000"/>
              <w:bottom w:val="single" w:sz="7" w:space="0" w:color="000000"/>
              <w:right w:val="single" w:sz="6" w:space="0" w:color="FFFFFF"/>
            </w:tcBorders>
            <w:vAlign w:val="bottom"/>
          </w:tcPr>
          <w:p w:rsidR="00FC6252" w:rsidRPr="00E11478" w:rsidRDefault="00FC6252" w:rsidP="002778A1">
            <w:pPr>
              <w:spacing w:line="120" w:lineRule="exact"/>
              <w:rPr>
                <w:szCs w:val="24"/>
              </w:rPr>
            </w:pPr>
          </w:p>
          <w:p w:rsidR="00FC6252" w:rsidRPr="00E11478" w:rsidRDefault="00FC6252" w:rsidP="002778A1">
            <w:pPr>
              <w:tabs>
                <w:tab w:val="left" w:pos="360"/>
              </w:tabs>
              <w:spacing w:after="73"/>
              <w:rPr>
                <w:szCs w:val="24"/>
              </w:rPr>
            </w:pPr>
            <w:r w:rsidRPr="00E11478">
              <w:rPr>
                <w:szCs w:val="24"/>
              </w:rPr>
              <w:t>FR 2835a</w:t>
            </w:r>
          </w:p>
        </w:tc>
        <w:tc>
          <w:tcPr>
            <w:tcW w:w="1260" w:type="dxa"/>
            <w:tcBorders>
              <w:top w:val="single" w:sz="7" w:space="0" w:color="000000"/>
              <w:left w:val="single" w:sz="7" w:space="0" w:color="000000"/>
              <w:bottom w:val="single" w:sz="7" w:space="0" w:color="000000"/>
              <w:right w:val="single" w:sz="6" w:space="0" w:color="FFFFFF"/>
            </w:tcBorders>
            <w:vAlign w:val="bottom"/>
          </w:tcPr>
          <w:p w:rsidR="00FC6252" w:rsidRPr="00E11478" w:rsidRDefault="00FC6252" w:rsidP="002778A1">
            <w:pPr>
              <w:spacing w:line="120" w:lineRule="exact"/>
              <w:rPr>
                <w:szCs w:val="24"/>
              </w:rPr>
            </w:pPr>
          </w:p>
          <w:p w:rsidR="00FC6252" w:rsidRPr="00E11478" w:rsidRDefault="00FC6252" w:rsidP="002778A1">
            <w:pPr>
              <w:tabs>
                <w:tab w:val="left" w:pos="360"/>
              </w:tabs>
              <w:spacing w:after="73"/>
              <w:rPr>
                <w:szCs w:val="24"/>
              </w:rPr>
            </w:pPr>
            <w:r w:rsidRPr="00E11478">
              <w:rPr>
                <w:szCs w:val="24"/>
              </w:rPr>
              <w:t>quarterly</w:t>
            </w:r>
          </w:p>
        </w:tc>
        <w:tc>
          <w:tcPr>
            <w:tcW w:w="3240" w:type="dxa"/>
            <w:tcBorders>
              <w:top w:val="single" w:sz="7" w:space="0" w:color="000000"/>
              <w:left w:val="single" w:sz="7" w:space="0" w:color="000000"/>
              <w:bottom w:val="single" w:sz="7" w:space="0" w:color="000000"/>
              <w:right w:val="single" w:sz="6" w:space="0" w:color="FFFFFF"/>
            </w:tcBorders>
            <w:vAlign w:val="bottom"/>
          </w:tcPr>
          <w:p w:rsidR="00FC6252" w:rsidRPr="00E11478" w:rsidRDefault="001567F8" w:rsidP="002778A1">
            <w:pPr>
              <w:tabs>
                <w:tab w:val="left" w:pos="360"/>
              </w:tabs>
              <w:spacing w:after="73"/>
              <w:rPr>
                <w:szCs w:val="24"/>
              </w:rPr>
            </w:pPr>
            <w:r w:rsidRPr="00E11478">
              <w:rPr>
                <w:szCs w:val="24"/>
              </w:rPr>
              <w:t xml:space="preserve">end of </w:t>
            </w:r>
            <w:r w:rsidR="00FC6252" w:rsidRPr="00E11478">
              <w:rPr>
                <w:szCs w:val="24"/>
              </w:rPr>
              <w:t>mid-month of the quarter</w:t>
            </w:r>
            <w:r w:rsidRPr="00E11478">
              <w:rPr>
                <w:szCs w:val="24"/>
              </w:rPr>
              <w:t xml:space="preserve">, or activity during the </w:t>
            </w:r>
            <w:r w:rsidR="00C661B3" w:rsidRPr="00E11478">
              <w:rPr>
                <w:szCs w:val="24"/>
              </w:rPr>
              <w:t>mid-</w:t>
            </w:r>
            <w:r w:rsidRPr="00E11478">
              <w:rPr>
                <w:szCs w:val="24"/>
              </w:rPr>
              <w:t>month</w:t>
            </w:r>
            <w:r w:rsidR="00C661B3" w:rsidRPr="00E11478">
              <w:rPr>
                <w:szCs w:val="24"/>
              </w:rPr>
              <w:t xml:space="preserve"> of the quarter</w:t>
            </w:r>
          </w:p>
        </w:tc>
        <w:tc>
          <w:tcPr>
            <w:tcW w:w="2970" w:type="dxa"/>
            <w:tcBorders>
              <w:top w:val="single" w:sz="7" w:space="0" w:color="000000"/>
              <w:left w:val="single" w:sz="7" w:space="0" w:color="000000"/>
              <w:bottom w:val="single" w:sz="7" w:space="0" w:color="000000"/>
              <w:right w:val="single" w:sz="7" w:space="0" w:color="000000"/>
            </w:tcBorders>
            <w:vAlign w:val="bottom"/>
          </w:tcPr>
          <w:p w:rsidR="00FC6252" w:rsidRPr="00E11478" w:rsidRDefault="00FC6252" w:rsidP="002778A1">
            <w:pPr>
              <w:tabs>
                <w:tab w:val="left" w:pos="360"/>
              </w:tabs>
              <w:spacing w:after="73"/>
              <w:rPr>
                <w:szCs w:val="24"/>
              </w:rPr>
            </w:pPr>
            <w:r w:rsidRPr="00E11478">
              <w:rPr>
                <w:szCs w:val="24"/>
              </w:rPr>
              <w:t>21</w:t>
            </w:r>
            <w:r w:rsidR="001567F8" w:rsidRPr="00E11478">
              <w:rPr>
                <w:szCs w:val="24"/>
                <w:vertAlign w:val="superscript"/>
              </w:rPr>
              <w:t>st</w:t>
            </w:r>
            <w:r w:rsidR="001567F8" w:rsidRPr="00E11478">
              <w:rPr>
                <w:szCs w:val="24"/>
              </w:rPr>
              <w:t xml:space="preserve"> </w:t>
            </w:r>
            <w:r w:rsidRPr="00E11478">
              <w:rPr>
                <w:szCs w:val="24"/>
              </w:rPr>
              <w:t>day of month following the ref</w:t>
            </w:r>
            <w:r w:rsidRPr="00E11478">
              <w:rPr>
                <w:szCs w:val="24"/>
              </w:rPr>
              <w:softHyphen/>
              <w:t>erence month</w:t>
            </w:r>
          </w:p>
        </w:tc>
      </w:tr>
    </w:tbl>
    <w:p w:rsidR="00FC6252" w:rsidRPr="00E11478" w:rsidRDefault="00FC6252" w:rsidP="00FC6252">
      <w:pPr>
        <w:tabs>
          <w:tab w:val="left" w:pos="360"/>
        </w:tabs>
        <w:rPr>
          <w:szCs w:val="24"/>
        </w:rPr>
      </w:pPr>
    </w:p>
    <w:p w:rsidR="000C1F88" w:rsidRPr="00E11478" w:rsidRDefault="00C63916" w:rsidP="000C1F88">
      <w:pPr>
        <w:ind w:firstLine="360"/>
        <w:rPr>
          <w:szCs w:val="24"/>
        </w:rPr>
      </w:pPr>
      <w:r w:rsidRPr="00E11478">
        <w:rPr>
          <w:szCs w:val="24"/>
        </w:rPr>
        <w:t>The</w:t>
      </w:r>
      <w:r w:rsidR="00A4385D" w:rsidRPr="00E11478">
        <w:rPr>
          <w:szCs w:val="24"/>
        </w:rPr>
        <w:t xml:space="preserve"> data from </w:t>
      </w:r>
      <w:r w:rsidR="000C1F88" w:rsidRPr="00E11478">
        <w:rPr>
          <w:szCs w:val="24"/>
        </w:rPr>
        <w:t>the</w:t>
      </w:r>
      <w:r w:rsidR="00E46CC4" w:rsidRPr="00E11478">
        <w:rPr>
          <w:szCs w:val="24"/>
        </w:rPr>
        <w:t xml:space="preserve"> FR 2835 and FR 2835a</w:t>
      </w:r>
      <w:r w:rsidR="000C1F88" w:rsidRPr="00E11478">
        <w:rPr>
          <w:szCs w:val="24"/>
        </w:rPr>
        <w:t xml:space="preserve"> </w:t>
      </w:r>
      <w:r w:rsidR="00A4385D" w:rsidRPr="00E11478">
        <w:rPr>
          <w:szCs w:val="24"/>
        </w:rPr>
        <w:t xml:space="preserve">are </w:t>
      </w:r>
      <w:r w:rsidR="001567F8" w:rsidRPr="00E11478">
        <w:rPr>
          <w:szCs w:val="24"/>
        </w:rPr>
        <w:t xml:space="preserve">used to create aggregates that </w:t>
      </w:r>
      <w:r w:rsidR="00FC6252" w:rsidRPr="00E11478">
        <w:rPr>
          <w:szCs w:val="24"/>
        </w:rPr>
        <w:t>are publishe</w:t>
      </w:r>
      <w:r w:rsidR="00E5557A" w:rsidRPr="00E11478">
        <w:rPr>
          <w:szCs w:val="24"/>
        </w:rPr>
        <w:t>d in the</w:t>
      </w:r>
      <w:r w:rsidR="00E2409D" w:rsidRPr="00E11478">
        <w:rPr>
          <w:szCs w:val="24"/>
        </w:rPr>
        <w:t xml:space="preserve"> Federal Reserve</w:t>
      </w:r>
      <w:r w:rsidR="001567F8" w:rsidRPr="00E11478">
        <w:rPr>
          <w:szCs w:val="24"/>
        </w:rPr>
        <w:t>’</w:t>
      </w:r>
      <w:r w:rsidR="00FC6252" w:rsidRPr="00E11478">
        <w:rPr>
          <w:szCs w:val="24"/>
        </w:rPr>
        <w:t>s monthly G.19 statist</w:t>
      </w:r>
      <w:r w:rsidR="000C1F88" w:rsidRPr="00E11478">
        <w:rPr>
          <w:szCs w:val="24"/>
        </w:rPr>
        <w:t>ical release</w:t>
      </w:r>
      <w:r w:rsidR="00B14DCE" w:rsidRPr="00E11478">
        <w:rPr>
          <w:szCs w:val="24"/>
        </w:rPr>
        <w:t>.</w:t>
      </w:r>
      <w:r w:rsidR="00FC6252" w:rsidRPr="00E11478">
        <w:rPr>
          <w:szCs w:val="24"/>
        </w:rPr>
        <w:t xml:space="preserve">  The G.19 is released on or about the fifth business day of the second month following the reference month</w:t>
      </w:r>
      <w:r w:rsidR="006A1DA7" w:rsidRPr="00E11478">
        <w:rPr>
          <w:szCs w:val="24"/>
        </w:rPr>
        <w:t xml:space="preserve">.  </w:t>
      </w:r>
      <w:r w:rsidR="00FC6252" w:rsidRPr="00E11478">
        <w:rPr>
          <w:szCs w:val="24"/>
        </w:rPr>
        <w:t>The release contains aggregate data on consumer credit outstanding and lending terms</w:t>
      </w:r>
      <w:r w:rsidR="006A1DA7" w:rsidRPr="00E11478">
        <w:rPr>
          <w:szCs w:val="24"/>
        </w:rPr>
        <w:t xml:space="preserve">.  </w:t>
      </w:r>
      <w:r w:rsidR="00E5557A" w:rsidRPr="00E11478">
        <w:rPr>
          <w:szCs w:val="24"/>
        </w:rPr>
        <w:t xml:space="preserve">Additional information about finance company lending terms is included in the </w:t>
      </w:r>
      <w:r w:rsidRPr="00E11478">
        <w:rPr>
          <w:szCs w:val="24"/>
        </w:rPr>
        <w:t>Federal Reserve’</w:t>
      </w:r>
      <w:r w:rsidR="00E5557A" w:rsidRPr="00E11478">
        <w:rPr>
          <w:szCs w:val="24"/>
        </w:rPr>
        <w:t>s monthly G.20 statistical release</w:t>
      </w:r>
      <w:r w:rsidR="006A1DA7" w:rsidRPr="00E11478">
        <w:rPr>
          <w:szCs w:val="24"/>
        </w:rPr>
        <w:t xml:space="preserve">. </w:t>
      </w:r>
      <w:r w:rsidR="00E5557A" w:rsidRPr="00E11478">
        <w:rPr>
          <w:szCs w:val="24"/>
        </w:rPr>
        <w:t xml:space="preserve"> Loan term data </w:t>
      </w:r>
      <w:r w:rsidR="000C1F88" w:rsidRPr="00E11478">
        <w:rPr>
          <w:szCs w:val="24"/>
        </w:rPr>
        <w:t xml:space="preserve">are also used by the </w:t>
      </w:r>
      <w:r w:rsidR="00E14280" w:rsidRPr="00E11478">
        <w:rPr>
          <w:szCs w:val="24"/>
        </w:rPr>
        <w:t>Federal Reserve</w:t>
      </w:r>
      <w:r w:rsidR="000C1F88" w:rsidRPr="00E11478">
        <w:rPr>
          <w:szCs w:val="24"/>
        </w:rPr>
        <w:t xml:space="preserve"> in the calculation of the aggregate household debt service and financial obligations ratio for the </w:t>
      </w:r>
      <w:r w:rsidRPr="00E11478">
        <w:rPr>
          <w:szCs w:val="24"/>
        </w:rPr>
        <w:t xml:space="preserve">Federal Reserve’s </w:t>
      </w:r>
      <w:r w:rsidR="000C1F88" w:rsidRPr="00E11478">
        <w:rPr>
          <w:szCs w:val="24"/>
        </w:rPr>
        <w:t>quarterly Financial Obligations release, and they are used by the Bureau of Economic Analysis to calculate interest paid by households</w:t>
      </w:r>
      <w:r w:rsidRPr="00E11478">
        <w:rPr>
          <w:szCs w:val="24"/>
        </w:rPr>
        <w:t xml:space="preserve"> as part of the </w:t>
      </w:r>
      <w:r w:rsidRPr="00E11478">
        <w:rPr>
          <w:i/>
          <w:szCs w:val="24"/>
        </w:rPr>
        <w:t>National Income and Product Accounts.</w:t>
      </w:r>
    </w:p>
    <w:p w:rsidR="000C1F88" w:rsidRPr="00E11478" w:rsidRDefault="000C1F88" w:rsidP="00FC6252">
      <w:pPr>
        <w:tabs>
          <w:tab w:val="left" w:pos="360"/>
        </w:tabs>
        <w:ind w:firstLine="360"/>
        <w:rPr>
          <w:szCs w:val="24"/>
        </w:rPr>
      </w:pPr>
    </w:p>
    <w:p w:rsidR="00FC6252" w:rsidRPr="00E11478" w:rsidRDefault="00FC6252" w:rsidP="00FC6252">
      <w:pPr>
        <w:tabs>
          <w:tab w:val="left" w:pos="360"/>
        </w:tabs>
        <w:ind w:firstLine="360"/>
        <w:rPr>
          <w:szCs w:val="24"/>
        </w:rPr>
      </w:pPr>
      <w:r w:rsidRPr="00E11478">
        <w:rPr>
          <w:szCs w:val="24"/>
        </w:rPr>
        <w:t>Copies of the statistical releases</w:t>
      </w:r>
      <w:r w:rsidR="000C1F88" w:rsidRPr="00E11478">
        <w:rPr>
          <w:szCs w:val="24"/>
        </w:rPr>
        <w:t xml:space="preserve"> </w:t>
      </w:r>
      <w:r w:rsidRPr="00E11478">
        <w:rPr>
          <w:szCs w:val="24"/>
        </w:rPr>
        <w:t xml:space="preserve">and all </w:t>
      </w:r>
      <w:r w:rsidR="001A3463" w:rsidRPr="00E11478">
        <w:rPr>
          <w:szCs w:val="24"/>
        </w:rPr>
        <w:t xml:space="preserve">reporting </w:t>
      </w:r>
      <w:r w:rsidRPr="00E11478">
        <w:rPr>
          <w:szCs w:val="24"/>
        </w:rPr>
        <w:t>forms and instructions are available on the Federal Reserve</w:t>
      </w:r>
      <w:r w:rsidR="003F4E47" w:rsidRPr="00E11478">
        <w:rPr>
          <w:szCs w:val="24"/>
        </w:rPr>
        <w:t>’</w:t>
      </w:r>
      <w:r w:rsidRPr="00E11478">
        <w:rPr>
          <w:szCs w:val="24"/>
        </w:rPr>
        <w:t>s public web site (</w:t>
      </w:r>
      <w:hyperlink r:id="rId8" w:history="1">
        <w:r w:rsidR="00A4385D" w:rsidRPr="00E11478">
          <w:rPr>
            <w:rStyle w:val="Hyperlink"/>
            <w:szCs w:val="24"/>
          </w:rPr>
          <w:t>www.federalreserve.gov</w:t>
        </w:r>
      </w:hyperlink>
      <w:r w:rsidRPr="00E11478">
        <w:rPr>
          <w:szCs w:val="24"/>
        </w:rPr>
        <w:t>).</w:t>
      </w:r>
    </w:p>
    <w:p w:rsidR="00305D4B" w:rsidRPr="00E11478" w:rsidRDefault="00305D4B" w:rsidP="00AF7298">
      <w:pPr>
        <w:tabs>
          <w:tab w:val="left" w:pos="360"/>
        </w:tabs>
        <w:rPr>
          <w:szCs w:val="24"/>
        </w:rPr>
      </w:pPr>
    </w:p>
    <w:p w:rsidR="00FC6252" w:rsidRPr="00E11478" w:rsidRDefault="00FC6252" w:rsidP="00FC6252">
      <w:pPr>
        <w:tabs>
          <w:tab w:val="left" w:pos="360"/>
        </w:tabs>
        <w:rPr>
          <w:szCs w:val="24"/>
        </w:rPr>
      </w:pPr>
      <w:r w:rsidRPr="00E11478">
        <w:rPr>
          <w:b/>
          <w:bCs/>
          <w:szCs w:val="24"/>
        </w:rPr>
        <w:t>Legal Status</w:t>
      </w:r>
    </w:p>
    <w:p w:rsidR="00FC6252" w:rsidRPr="00E11478" w:rsidRDefault="00FC6252" w:rsidP="00FC6252">
      <w:pPr>
        <w:tabs>
          <w:tab w:val="left" w:pos="360"/>
        </w:tabs>
        <w:rPr>
          <w:szCs w:val="24"/>
        </w:rPr>
      </w:pPr>
    </w:p>
    <w:p w:rsidR="00B755A2" w:rsidRPr="00E11478" w:rsidRDefault="00F90AE2">
      <w:pPr>
        <w:tabs>
          <w:tab w:val="left" w:pos="360"/>
        </w:tabs>
        <w:rPr>
          <w:szCs w:val="24"/>
        </w:rPr>
      </w:pPr>
      <w:r>
        <w:rPr>
          <w:szCs w:val="24"/>
        </w:rPr>
        <w:tab/>
      </w:r>
      <w:r w:rsidR="00FC6252" w:rsidRPr="00E11478">
        <w:rPr>
          <w:szCs w:val="24"/>
        </w:rPr>
        <w:t>The Board</w:t>
      </w:r>
      <w:r w:rsidR="000C1F88" w:rsidRPr="00E11478">
        <w:rPr>
          <w:szCs w:val="24"/>
        </w:rPr>
        <w:t>’</w:t>
      </w:r>
      <w:r w:rsidR="00FC6252" w:rsidRPr="00E11478">
        <w:rPr>
          <w:szCs w:val="24"/>
        </w:rPr>
        <w:t xml:space="preserve">s Legal Division </w:t>
      </w:r>
      <w:r w:rsidR="00000FD0" w:rsidRPr="00E11478">
        <w:rPr>
          <w:szCs w:val="24"/>
        </w:rPr>
        <w:t xml:space="preserve">has </w:t>
      </w:r>
      <w:r w:rsidR="00FC6252" w:rsidRPr="00E11478">
        <w:rPr>
          <w:szCs w:val="24"/>
        </w:rPr>
        <w:t xml:space="preserve">determined that these reports are voluntary and are authorized by law </w:t>
      </w:r>
      <w:r w:rsidR="00127536">
        <w:rPr>
          <w:szCs w:val="24"/>
        </w:rPr>
        <w:t>(</w:t>
      </w:r>
      <w:r w:rsidR="00FC6252" w:rsidRPr="00E11478">
        <w:rPr>
          <w:szCs w:val="24"/>
        </w:rPr>
        <w:t xml:space="preserve">12 U.S.C. </w:t>
      </w:r>
      <w:r w:rsidR="00B82CBB" w:rsidRPr="00E11478">
        <w:rPr>
          <w:szCs w:val="24"/>
        </w:rPr>
        <w:t>§</w:t>
      </w:r>
      <w:r w:rsidR="00FC6252" w:rsidRPr="00E11478">
        <w:rPr>
          <w:szCs w:val="24"/>
        </w:rPr>
        <w:t>248(a</w:t>
      </w:r>
      <w:proofErr w:type="gramStart"/>
      <w:r w:rsidR="00FC6252" w:rsidRPr="00E11478">
        <w:rPr>
          <w:szCs w:val="24"/>
        </w:rPr>
        <w:t>)(</w:t>
      </w:r>
      <w:proofErr w:type="gramEnd"/>
      <w:r w:rsidR="00FC6252" w:rsidRPr="00E11478">
        <w:rPr>
          <w:szCs w:val="24"/>
        </w:rPr>
        <w:t>2)</w:t>
      </w:r>
      <w:r w:rsidR="00127536">
        <w:rPr>
          <w:szCs w:val="24"/>
        </w:rPr>
        <w:t>)</w:t>
      </w:r>
      <w:r w:rsidR="00FC6252" w:rsidRPr="00E11478">
        <w:rPr>
          <w:szCs w:val="24"/>
        </w:rPr>
        <w:t>.</w:t>
      </w:r>
      <w:r w:rsidR="00127536">
        <w:rPr>
          <w:szCs w:val="24"/>
        </w:rPr>
        <w:t xml:space="preserve">  </w:t>
      </w:r>
      <w:r w:rsidR="00FC6252" w:rsidRPr="00E11478">
        <w:rPr>
          <w:szCs w:val="24"/>
        </w:rPr>
        <w:t>Individual respondent data from the FR 2835a are confiden</w:t>
      </w:r>
      <w:r w:rsidR="00FC6252" w:rsidRPr="00E11478">
        <w:rPr>
          <w:szCs w:val="24"/>
        </w:rPr>
        <w:softHyphen/>
        <w:t xml:space="preserve">tial under the Freedom of Information Act (5 U.S.C. </w:t>
      </w:r>
      <w:r w:rsidR="00B82CBB" w:rsidRPr="00E11478">
        <w:rPr>
          <w:szCs w:val="24"/>
        </w:rPr>
        <w:t>§</w:t>
      </w:r>
      <w:r w:rsidR="00FC6252" w:rsidRPr="00E11478">
        <w:rPr>
          <w:szCs w:val="24"/>
        </w:rPr>
        <w:t xml:space="preserve">552(b)(4)).  Data from the FR 2835, which collects information on interest rates at commercial banks, are not confidential.  Each FR 2835 respondent is notified that the information it reports is available to the public upon request.  </w:t>
      </w:r>
    </w:p>
    <w:p w:rsidR="00E11478" w:rsidRDefault="00E11478">
      <w:pPr>
        <w:rPr>
          <w:b/>
          <w:bCs/>
          <w:szCs w:val="24"/>
        </w:rPr>
      </w:pPr>
    </w:p>
    <w:p w:rsidR="00FC6252" w:rsidRPr="00E11478" w:rsidRDefault="00FC6252" w:rsidP="00FC6252">
      <w:pPr>
        <w:tabs>
          <w:tab w:val="left" w:pos="360"/>
        </w:tabs>
        <w:rPr>
          <w:szCs w:val="24"/>
        </w:rPr>
      </w:pPr>
      <w:r w:rsidRPr="00E11478">
        <w:rPr>
          <w:b/>
          <w:bCs/>
          <w:szCs w:val="24"/>
        </w:rPr>
        <w:t>Estimate of Respondent Burden</w:t>
      </w:r>
    </w:p>
    <w:p w:rsidR="00FC6252" w:rsidRPr="00E11478" w:rsidRDefault="00FC6252" w:rsidP="00FC6252">
      <w:pPr>
        <w:tabs>
          <w:tab w:val="left" w:pos="360"/>
        </w:tabs>
        <w:rPr>
          <w:szCs w:val="24"/>
        </w:rPr>
      </w:pPr>
    </w:p>
    <w:p w:rsidR="00C661B3" w:rsidRPr="00E11478" w:rsidRDefault="00FC6252" w:rsidP="00C64D3D">
      <w:pPr>
        <w:tabs>
          <w:tab w:val="left" w:pos="360"/>
          <w:tab w:val="left" w:pos="1080"/>
          <w:tab w:val="left" w:pos="1800"/>
          <w:tab w:val="left" w:pos="2520"/>
        </w:tabs>
        <w:ind w:firstLine="360"/>
        <w:rPr>
          <w:szCs w:val="24"/>
        </w:rPr>
      </w:pPr>
      <w:r w:rsidRPr="00E11478">
        <w:rPr>
          <w:szCs w:val="24"/>
        </w:rPr>
        <w:t xml:space="preserve">As shown in </w:t>
      </w:r>
      <w:r w:rsidR="00E46CC4" w:rsidRPr="00E11478">
        <w:rPr>
          <w:szCs w:val="24"/>
        </w:rPr>
        <w:t xml:space="preserve">the </w:t>
      </w:r>
      <w:r w:rsidRPr="00E11478">
        <w:rPr>
          <w:szCs w:val="24"/>
        </w:rPr>
        <w:t xml:space="preserve">table, </w:t>
      </w:r>
      <w:r w:rsidR="00DE2D6C" w:rsidRPr="00E11478">
        <w:rPr>
          <w:szCs w:val="24"/>
        </w:rPr>
        <w:t>t</w:t>
      </w:r>
      <w:r w:rsidR="00515197" w:rsidRPr="00E11478">
        <w:rPr>
          <w:szCs w:val="24"/>
        </w:rPr>
        <w:t xml:space="preserve">he total estimated annual burden </w:t>
      </w:r>
      <w:r w:rsidR="00F16D90" w:rsidRPr="00E11478">
        <w:rPr>
          <w:szCs w:val="24"/>
        </w:rPr>
        <w:t xml:space="preserve">is </w:t>
      </w:r>
      <w:r w:rsidR="00951DCE" w:rsidRPr="00E11478">
        <w:rPr>
          <w:szCs w:val="24"/>
        </w:rPr>
        <w:t>232</w:t>
      </w:r>
      <w:r w:rsidR="000D69B8" w:rsidRPr="00E11478">
        <w:rPr>
          <w:szCs w:val="24"/>
        </w:rPr>
        <w:t xml:space="preserve"> </w:t>
      </w:r>
      <w:r w:rsidR="00515197" w:rsidRPr="00E11478">
        <w:rPr>
          <w:szCs w:val="24"/>
        </w:rPr>
        <w:t>hours</w:t>
      </w:r>
      <w:r w:rsidR="00E11478">
        <w:rPr>
          <w:szCs w:val="24"/>
        </w:rPr>
        <w:t xml:space="preserve">.  </w:t>
      </w:r>
      <w:r w:rsidRPr="00E11478">
        <w:rPr>
          <w:szCs w:val="24"/>
        </w:rPr>
        <w:t>The estimated burden represents less than 1 percent of total Federal Reserve System</w:t>
      </w:r>
      <w:r w:rsidR="003F4E47" w:rsidRPr="00E11478">
        <w:rPr>
          <w:szCs w:val="24"/>
        </w:rPr>
        <w:t xml:space="preserve"> paperwork</w:t>
      </w:r>
      <w:r w:rsidRPr="00E11478">
        <w:rPr>
          <w:szCs w:val="24"/>
        </w:rPr>
        <w:t xml:space="preserve"> burden</w:t>
      </w:r>
      <w:r w:rsidR="001A3463" w:rsidRPr="00E11478">
        <w:rPr>
          <w:szCs w:val="24"/>
        </w:rPr>
        <w:t>.</w:t>
      </w:r>
    </w:p>
    <w:p w:rsidR="0038603A" w:rsidRPr="00E11478" w:rsidRDefault="0038603A" w:rsidP="00C661B3">
      <w:pPr>
        <w:tabs>
          <w:tab w:val="left" w:pos="360"/>
        </w:tabs>
        <w:ind w:firstLine="360"/>
        <w:jc w:val="center"/>
        <w:rPr>
          <w:szCs w:val="24"/>
        </w:rPr>
      </w:pPr>
    </w:p>
    <w:tbl>
      <w:tblPr>
        <w:tblW w:w="0" w:type="auto"/>
        <w:tblBorders>
          <w:top w:val="single" w:sz="4" w:space="0" w:color="auto"/>
          <w:bottom w:val="single" w:sz="4" w:space="0" w:color="auto"/>
        </w:tblBorders>
        <w:tblLook w:val="0000"/>
      </w:tblPr>
      <w:tblGrid>
        <w:gridCol w:w="2493"/>
        <w:gridCol w:w="1611"/>
        <w:gridCol w:w="1640"/>
        <w:gridCol w:w="1501"/>
        <w:gridCol w:w="1445"/>
      </w:tblGrid>
      <w:tr w:rsidR="00FC6252" w:rsidRPr="00E11478" w:rsidTr="002778A1">
        <w:trPr>
          <w:trHeight w:val="1038"/>
        </w:trPr>
        <w:tc>
          <w:tcPr>
            <w:tcW w:w="2493" w:type="dxa"/>
            <w:vAlign w:val="center"/>
          </w:tcPr>
          <w:p w:rsidR="00FC6252" w:rsidRPr="00E11478" w:rsidRDefault="00FC6252" w:rsidP="003F4E47">
            <w:pPr>
              <w:tabs>
                <w:tab w:val="left" w:pos="360"/>
              </w:tabs>
              <w:jc w:val="center"/>
              <w:rPr>
                <w:szCs w:val="24"/>
              </w:rPr>
            </w:pPr>
          </w:p>
        </w:tc>
        <w:tc>
          <w:tcPr>
            <w:tcW w:w="1611" w:type="dxa"/>
            <w:vAlign w:val="center"/>
          </w:tcPr>
          <w:p w:rsidR="00A92C41" w:rsidRPr="00E11478" w:rsidRDefault="00FC6252" w:rsidP="003F4E47">
            <w:pPr>
              <w:tabs>
                <w:tab w:val="left" w:pos="360"/>
              </w:tabs>
              <w:jc w:val="center"/>
              <w:rPr>
                <w:i/>
                <w:iCs/>
                <w:szCs w:val="24"/>
              </w:rPr>
            </w:pPr>
            <w:r w:rsidRPr="00E11478">
              <w:rPr>
                <w:i/>
                <w:iCs/>
                <w:szCs w:val="24"/>
              </w:rPr>
              <w:t>Number</w:t>
            </w:r>
          </w:p>
          <w:p w:rsidR="00FC6252" w:rsidRPr="00E11478" w:rsidRDefault="00FC6252" w:rsidP="003F4E47">
            <w:pPr>
              <w:tabs>
                <w:tab w:val="left" w:pos="360"/>
              </w:tabs>
              <w:jc w:val="center"/>
              <w:rPr>
                <w:i/>
                <w:iCs/>
                <w:szCs w:val="24"/>
              </w:rPr>
            </w:pPr>
            <w:r w:rsidRPr="00E11478">
              <w:rPr>
                <w:i/>
                <w:iCs/>
                <w:szCs w:val="24"/>
              </w:rPr>
              <w:t>of respondents</w:t>
            </w:r>
          </w:p>
        </w:tc>
        <w:tc>
          <w:tcPr>
            <w:tcW w:w="1640" w:type="dxa"/>
            <w:vAlign w:val="center"/>
          </w:tcPr>
          <w:p w:rsidR="00FC6252" w:rsidRPr="00E11478" w:rsidRDefault="00FC6252" w:rsidP="003F4E47">
            <w:pPr>
              <w:tabs>
                <w:tab w:val="left" w:pos="360"/>
              </w:tabs>
              <w:jc w:val="center"/>
              <w:rPr>
                <w:i/>
                <w:iCs/>
                <w:szCs w:val="24"/>
              </w:rPr>
            </w:pPr>
            <w:r w:rsidRPr="00E11478">
              <w:rPr>
                <w:i/>
                <w:iCs/>
                <w:szCs w:val="24"/>
              </w:rPr>
              <w:t>Annual frequency</w:t>
            </w:r>
          </w:p>
        </w:tc>
        <w:tc>
          <w:tcPr>
            <w:tcW w:w="1501" w:type="dxa"/>
            <w:vAlign w:val="center"/>
          </w:tcPr>
          <w:p w:rsidR="00FC6252" w:rsidRPr="00E11478" w:rsidRDefault="00FC6252" w:rsidP="003F4E47">
            <w:pPr>
              <w:tabs>
                <w:tab w:val="left" w:pos="360"/>
              </w:tabs>
              <w:jc w:val="center"/>
              <w:rPr>
                <w:i/>
                <w:iCs/>
                <w:szCs w:val="24"/>
              </w:rPr>
            </w:pPr>
            <w:r w:rsidRPr="00E11478">
              <w:rPr>
                <w:i/>
                <w:iCs/>
                <w:szCs w:val="24"/>
              </w:rPr>
              <w:t>Estimated average hours per response</w:t>
            </w:r>
          </w:p>
        </w:tc>
        <w:tc>
          <w:tcPr>
            <w:tcW w:w="1445" w:type="dxa"/>
            <w:vAlign w:val="center"/>
          </w:tcPr>
          <w:p w:rsidR="00FC6252" w:rsidRPr="00E11478" w:rsidRDefault="00FC6252" w:rsidP="003F4E47">
            <w:pPr>
              <w:tabs>
                <w:tab w:val="left" w:pos="360"/>
              </w:tabs>
              <w:jc w:val="center"/>
              <w:rPr>
                <w:i/>
                <w:iCs/>
                <w:szCs w:val="24"/>
              </w:rPr>
            </w:pPr>
            <w:r w:rsidRPr="00E11478">
              <w:rPr>
                <w:i/>
                <w:iCs/>
                <w:szCs w:val="24"/>
              </w:rPr>
              <w:t>Estimated annual burden hours</w:t>
            </w:r>
          </w:p>
        </w:tc>
      </w:tr>
      <w:tr w:rsidR="00FC6252" w:rsidRPr="00E11478" w:rsidTr="002778A1">
        <w:trPr>
          <w:trHeight w:val="366"/>
        </w:trPr>
        <w:tc>
          <w:tcPr>
            <w:tcW w:w="2493" w:type="dxa"/>
            <w:vAlign w:val="bottom"/>
          </w:tcPr>
          <w:p w:rsidR="00FC6252" w:rsidRPr="002778A1" w:rsidRDefault="00FC6252" w:rsidP="002778A1">
            <w:pPr>
              <w:tabs>
                <w:tab w:val="left" w:pos="360"/>
              </w:tabs>
              <w:rPr>
                <w:szCs w:val="24"/>
              </w:rPr>
            </w:pPr>
            <w:r w:rsidRPr="00E11478">
              <w:rPr>
                <w:szCs w:val="24"/>
              </w:rPr>
              <w:t>FR 2835</w:t>
            </w:r>
          </w:p>
        </w:tc>
        <w:tc>
          <w:tcPr>
            <w:tcW w:w="1611" w:type="dxa"/>
            <w:vAlign w:val="bottom"/>
          </w:tcPr>
          <w:p w:rsidR="00FC6252" w:rsidRPr="00E11478" w:rsidRDefault="002778A1" w:rsidP="002778A1">
            <w:pPr>
              <w:tabs>
                <w:tab w:val="left" w:pos="360"/>
              </w:tabs>
              <w:jc w:val="center"/>
              <w:rPr>
                <w:szCs w:val="24"/>
              </w:rPr>
            </w:pPr>
            <w:r>
              <w:rPr>
                <w:szCs w:val="24"/>
              </w:rPr>
              <w:t>1</w:t>
            </w:r>
            <w:r w:rsidR="00FC6252" w:rsidRPr="00E11478">
              <w:rPr>
                <w:szCs w:val="24"/>
              </w:rPr>
              <w:t>50</w:t>
            </w:r>
          </w:p>
        </w:tc>
        <w:tc>
          <w:tcPr>
            <w:tcW w:w="1640" w:type="dxa"/>
            <w:vAlign w:val="bottom"/>
          </w:tcPr>
          <w:p w:rsidR="00FC6252" w:rsidRPr="00E11478" w:rsidRDefault="00FC6252" w:rsidP="002778A1">
            <w:pPr>
              <w:tabs>
                <w:tab w:val="left" w:pos="360"/>
              </w:tabs>
              <w:jc w:val="center"/>
              <w:rPr>
                <w:szCs w:val="24"/>
              </w:rPr>
            </w:pPr>
            <w:r w:rsidRPr="00E11478">
              <w:rPr>
                <w:szCs w:val="24"/>
              </w:rPr>
              <w:t>4</w:t>
            </w:r>
          </w:p>
        </w:tc>
        <w:tc>
          <w:tcPr>
            <w:tcW w:w="1501" w:type="dxa"/>
            <w:vAlign w:val="bottom"/>
          </w:tcPr>
          <w:p w:rsidR="00FC6252" w:rsidRPr="00E11478" w:rsidRDefault="000215DB" w:rsidP="002778A1">
            <w:pPr>
              <w:tabs>
                <w:tab w:val="left" w:pos="360"/>
              </w:tabs>
              <w:jc w:val="center"/>
              <w:rPr>
                <w:szCs w:val="24"/>
              </w:rPr>
            </w:pPr>
            <w:r w:rsidRPr="00E11478">
              <w:rPr>
                <w:szCs w:val="24"/>
              </w:rPr>
              <w:t>.22</w:t>
            </w:r>
          </w:p>
        </w:tc>
        <w:tc>
          <w:tcPr>
            <w:tcW w:w="1445" w:type="dxa"/>
            <w:vAlign w:val="bottom"/>
          </w:tcPr>
          <w:p w:rsidR="00FC6252" w:rsidRPr="00E11478" w:rsidRDefault="000215DB" w:rsidP="002778A1">
            <w:pPr>
              <w:tabs>
                <w:tab w:val="left" w:pos="360"/>
              </w:tabs>
              <w:jc w:val="center"/>
              <w:rPr>
                <w:szCs w:val="24"/>
              </w:rPr>
            </w:pPr>
            <w:r w:rsidRPr="00E11478">
              <w:rPr>
                <w:szCs w:val="24"/>
              </w:rPr>
              <w:t>132</w:t>
            </w:r>
          </w:p>
        </w:tc>
      </w:tr>
      <w:tr w:rsidR="00F70300" w:rsidRPr="00E11478" w:rsidTr="002778A1">
        <w:trPr>
          <w:trHeight w:val="366"/>
        </w:trPr>
        <w:tc>
          <w:tcPr>
            <w:tcW w:w="2493" w:type="dxa"/>
            <w:vAlign w:val="bottom"/>
          </w:tcPr>
          <w:p w:rsidR="00F70300" w:rsidRPr="002778A1" w:rsidRDefault="002778A1" w:rsidP="002778A1">
            <w:pPr>
              <w:tabs>
                <w:tab w:val="left" w:pos="360"/>
              </w:tabs>
              <w:rPr>
                <w:szCs w:val="24"/>
              </w:rPr>
            </w:pPr>
            <w:r w:rsidRPr="00E11478">
              <w:rPr>
                <w:szCs w:val="24"/>
              </w:rPr>
              <w:t>FR 2835</w:t>
            </w:r>
            <w:r>
              <w:rPr>
                <w:szCs w:val="24"/>
              </w:rPr>
              <w:t>a</w:t>
            </w:r>
          </w:p>
        </w:tc>
        <w:tc>
          <w:tcPr>
            <w:tcW w:w="1611" w:type="dxa"/>
            <w:vAlign w:val="bottom"/>
          </w:tcPr>
          <w:p w:rsidR="00F70300" w:rsidRPr="00E11478" w:rsidRDefault="002778A1" w:rsidP="002778A1">
            <w:pPr>
              <w:tabs>
                <w:tab w:val="left" w:pos="360"/>
              </w:tabs>
              <w:jc w:val="center"/>
              <w:rPr>
                <w:szCs w:val="24"/>
              </w:rPr>
            </w:pPr>
            <w:r w:rsidRPr="00E11478">
              <w:rPr>
                <w:szCs w:val="24"/>
              </w:rPr>
              <w:t>50</w:t>
            </w:r>
          </w:p>
        </w:tc>
        <w:tc>
          <w:tcPr>
            <w:tcW w:w="1640" w:type="dxa"/>
            <w:vAlign w:val="bottom"/>
          </w:tcPr>
          <w:p w:rsidR="00F70300" w:rsidRPr="00E11478" w:rsidRDefault="002778A1" w:rsidP="002778A1">
            <w:pPr>
              <w:tabs>
                <w:tab w:val="left" w:pos="360"/>
              </w:tabs>
              <w:jc w:val="center"/>
              <w:rPr>
                <w:szCs w:val="24"/>
              </w:rPr>
            </w:pPr>
            <w:r>
              <w:rPr>
                <w:szCs w:val="24"/>
              </w:rPr>
              <w:t>4</w:t>
            </w:r>
          </w:p>
        </w:tc>
        <w:tc>
          <w:tcPr>
            <w:tcW w:w="1501" w:type="dxa"/>
            <w:vAlign w:val="bottom"/>
          </w:tcPr>
          <w:p w:rsidR="00F70300" w:rsidRPr="00E11478" w:rsidRDefault="002778A1" w:rsidP="002778A1">
            <w:pPr>
              <w:tabs>
                <w:tab w:val="left" w:pos="360"/>
              </w:tabs>
              <w:jc w:val="center"/>
              <w:rPr>
                <w:szCs w:val="24"/>
              </w:rPr>
            </w:pPr>
            <w:r>
              <w:rPr>
                <w:szCs w:val="24"/>
              </w:rPr>
              <w:t>.50</w:t>
            </w:r>
          </w:p>
        </w:tc>
        <w:tc>
          <w:tcPr>
            <w:tcW w:w="1445" w:type="dxa"/>
            <w:vAlign w:val="bottom"/>
          </w:tcPr>
          <w:p w:rsidR="00F70300" w:rsidRPr="00775041" w:rsidRDefault="002778A1" w:rsidP="002778A1">
            <w:pPr>
              <w:tabs>
                <w:tab w:val="left" w:pos="360"/>
              </w:tabs>
              <w:jc w:val="center"/>
              <w:rPr>
                <w:szCs w:val="24"/>
                <w:u w:val="single"/>
              </w:rPr>
            </w:pPr>
            <w:r w:rsidRPr="00775041">
              <w:rPr>
                <w:szCs w:val="24"/>
                <w:u w:val="single"/>
              </w:rPr>
              <w:t>100</w:t>
            </w:r>
          </w:p>
        </w:tc>
      </w:tr>
      <w:tr w:rsidR="00F70300" w:rsidRPr="00E11478" w:rsidTr="002778A1">
        <w:trPr>
          <w:trHeight w:val="366"/>
        </w:trPr>
        <w:tc>
          <w:tcPr>
            <w:tcW w:w="2493" w:type="dxa"/>
            <w:vAlign w:val="bottom"/>
          </w:tcPr>
          <w:p w:rsidR="00F70300" w:rsidRPr="00E11478" w:rsidRDefault="002778A1" w:rsidP="002778A1">
            <w:pPr>
              <w:tabs>
                <w:tab w:val="left" w:pos="360"/>
              </w:tabs>
              <w:jc w:val="right"/>
              <w:rPr>
                <w:i/>
                <w:iCs/>
                <w:szCs w:val="24"/>
              </w:rPr>
            </w:pPr>
            <w:r w:rsidRPr="00E11478">
              <w:rPr>
                <w:i/>
                <w:iCs/>
                <w:szCs w:val="24"/>
              </w:rPr>
              <w:t>Total</w:t>
            </w:r>
          </w:p>
        </w:tc>
        <w:tc>
          <w:tcPr>
            <w:tcW w:w="1611" w:type="dxa"/>
            <w:vAlign w:val="bottom"/>
          </w:tcPr>
          <w:p w:rsidR="00F70300" w:rsidRPr="00E11478" w:rsidRDefault="00F70300" w:rsidP="002778A1">
            <w:pPr>
              <w:tabs>
                <w:tab w:val="left" w:pos="360"/>
              </w:tabs>
              <w:jc w:val="center"/>
              <w:rPr>
                <w:szCs w:val="24"/>
              </w:rPr>
            </w:pPr>
          </w:p>
        </w:tc>
        <w:tc>
          <w:tcPr>
            <w:tcW w:w="1640" w:type="dxa"/>
            <w:vAlign w:val="bottom"/>
          </w:tcPr>
          <w:p w:rsidR="00F70300" w:rsidRPr="00E11478" w:rsidRDefault="00F70300" w:rsidP="002778A1">
            <w:pPr>
              <w:tabs>
                <w:tab w:val="left" w:pos="360"/>
              </w:tabs>
              <w:jc w:val="center"/>
              <w:rPr>
                <w:szCs w:val="24"/>
              </w:rPr>
            </w:pPr>
          </w:p>
        </w:tc>
        <w:tc>
          <w:tcPr>
            <w:tcW w:w="1501" w:type="dxa"/>
            <w:vAlign w:val="bottom"/>
          </w:tcPr>
          <w:p w:rsidR="00F70300" w:rsidRPr="00E11478" w:rsidRDefault="00F70300" w:rsidP="002778A1">
            <w:pPr>
              <w:tabs>
                <w:tab w:val="left" w:pos="360"/>
              </w:tabs>
              <w:jc w:val="center"/>
              <w:rPr>
                <w:szCs w:val="24"/>
              </w:rPr>
            </w:pPr>
          </w:p>
        </w:tc>
        <w:tc>
          <w:tcPr>
            <w:tcW w:w="1445" w:type="dxa"/>
            <w:vAlign w:val="bottom"/>
          </w:tcPr>
          <w:p w:rsidR="00B44285" w:rsidRPr="00E11478" w:rsidRDefault="002778A1" w:rsidP="002778A1">
            <w:pPr>
              <w:tabs>
                <w:tab w:val="left" w:pos="360"/>
              </w:tabs>
              <w:jc w:val="center"/>
              <w:rPr>
                <w:szCs w:val="24"/>
              </w:rPr>
            </w:pPr>
            <w:r>
              <w:rPr>
                <w:szCs w:val="24"/>
              </w:rPr>
              <w:t>232</w:t>
            </w:r>
          </w:p>
        </w:tc>
      </w:tr>
    </w:tbl>
    <w:p w:rsidR="00FC6252" w:rsidRPr="00E11478" w:rsidRDefault="00FC6252" w:rsidP="00FC6252">
      <w:pPr>
        <w:tabs>
          <w:tab w:val="left" w:pos="360"/>
        </w:tabs>
        <w:rPr>
          <w:szCs w:val="24"/>
        </w:rPr>
      </w:pPr>
    </w:p>
    <w:p w:rsidR="00F16D90" w:rsidRPr="00E11478" w:rsidRDefault="00F16D90" w:rsidP="00F16D90">
      <w:pPr>
        <w:rPr>
          <w:szCs w:val="24"/>
        </w:rPr>
      </w:pPr>
      <w:r w:rsidRPr="00E11478">
        <w:rPr>
          <w:szCs w:val="24"/>
        </w:rPr>
        <w:t>The total cost to the public is estimated to be $</w:t>
      </w:r>
      <w:r w:rsidR="00FA5BDD" w:rsidRPr="00E11478">
        <w:rPr>
          <w:szCs w:val="24"/>
        </w:rPr>
        <w:t>10,069</w:t>
      </w:r>
      <w:r w:rsidRPr="00E11478">
        <w:rPr>
          <w:szCs w:val="24"/>
        </w:rPr>
        <w:t>.</w:t>
      </w:r>
      <w:r w:rsidRPr="00E11478">
        <w:rPr>
          <w:rStyle w:val="FootnoteReference"/>
          <w:szCs w:val="24"/>
        </w:rPr>
        <w:footnoteReference w:id="8"/>
      </w:r>
    </w:p>
    <w:p w:rsidR="000119E0" w:rsidRDefault="000119E0" w:rsidP="002778A1">
      <w:pPr>
        <w:tabs>
          <w:tab w:val="left" w:pos="360"/>
        </w:tabs>
        <w:rPr>
          <w:b/>
          <w:bCs/>
          <w:szCs w:val="24"/>
        </w:rPr>
      </w:pPr>
    </w:p>
    <w:p w:rsidR="002778A1" w:rsidRDefault="00F90AE2" w:rsidP="002778A1">
      <w:pPr>
        <w:tabs>
          <w:tab w:val="left" w:pos="360"/>
        </w:tabs>
        <w:rPr>
          <w:szCs w:val="24"/>
        </w:rPr>
      </w:pPr>
      <w:r>
        <w:rPr>
          <w:b/>
          <w:bCs/>
          <w:szCs w:val="24"/>
        </w:rPr>
        <w:t>E</w:t>
      </w:r>
      <w:r w:rsidR="00FC6252" w:rsidRPr="00E11478">
        <w:rPr>
          <w:b/>
          <w:bCs/>
          <w:szCs w:val="24"/>
        </w:rPr>
        <w:t>stimates of Costs to the Federal Reserve System</w:t>
      </w:r>
    </w:p>
    <w:p w:rsidR="002778A1" w:rsidRDefault="002778A1" w:rsidP="002778A1">
      <w:pPr>
        <w:tabs>
          <w:tab w:val="left" w:pos="360"/>
        </w:tabs>
        <w:rPr>
          <w:szCs w:val="24"/>
        </w:rPr>
      </w:pPr>
    </w:p>
    <w:p w:rsidR="00674CE0" w:rsidRDefault="00674CE0" w:rsidP="00674CE0">
      <w:pPr>
        <w:autoSpaceDE w:val="0"/>
        <w:autoSpaceDN w:val="0"/>
        <w:adjustRightInd w:val="0"/>
        <w:ind w:firstLine="360"/>
      </w:pPr>
      <w:r>
        <w:rPr>
          <w:snapToGrid/>
          <w:szCs w:val="24"/>
        </w:rPr>
        <w:t>Current costs to the Federal Reserve System for collecting and processing the FR 2835 is estimated to be $25,800. Current costs to the Federal Reserve System for collecting and processing t</w:t>
      </w:r>
      <w:r w:rsidR="00B073A9">
        <w:rPr>
          <w:snapToGrid/>
          <w:szCs w:val="24"/>
        </w:rPr>
        <w:t xml:space="preserve">he FR 2835a is estimated to be $25,250 </w:t>
      </w:r>
      <w:r>
        <w:rPr>
          <w:snapToGrid/>
          <w:szCs w:val="24"/>
        </w:rPr>
        <w:t>per year. This amount includes the routine annual costs of personnel, printing, and computer processing, as well as internal software development costs for maintaining and modifying existing operating systems used to edit and validate submitted data.</w:t>
      </w:r>
    </w:p>
    <w:p w:rsidR="00004E02" w:rsidRPr="00E11478" w:rsidRDefault="00004E02" w:rsidP="00674CE0">
      <w:pPr>
        <w:autoSpaceDE w:val="0"/>
        <w:autoSpaceDN w:val="0"/>
        <w:adjustRightInd w:val="0"/>
        <w:rPr>
          <w:szCs w:val="24"/>
        </w:rPr>
      </w:pPr>
    </w:p>
    <w:sectPr w:rsidR="00004E02" w:rsidRPr="00E11478" w:rsidSect="003F4E47">
      <w:footerReference w:type="even" r:id="rId9"/>
      <w:footerReference w:type="default" r:id="rId10"/>
      <w:endnotePr>
        <w:numFmt w:val="decimal"/>
      </w:endnotePr>
      <w:pgSz w:w="12240" w:h="15840" w:code="1"/>
      <w:pgMar w:top="1440" w:right="1440" w:bottom="1440" w:left="1440" w:header="720" w:footer="720" w:gutter="0"/>
      <w:cols w:space="720"/>
      <w:noEndnote/>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67710" w:rsidRDefault="00F67710">
      <w:r>
        <w:separator/>
      </w:r>
    </w:p>
  </w:endnote>
  <w:endnote w:type="continuationSeparator" w:id="0">
    <w:p w:rsidR="00F67710" w:rsidRDefault="00F67710">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61002A87" w:usb1="80000000" w:usb2="00000008" w:usb3="00000000" w:csb0="000101F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67710" w:rsidRDefault="00F67710" w:rsidP="00DA599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F67710" w:rsidRDefault="00F67710">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67710" w:rsidRDefault="00F67710" w:rsidP="00DA599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B073A9">
      <w:rPr>
        <w:rStyle w:val="PageNumber"/>
        <w:noProof/>
      </w:rPr>
      <w:t>7</w:t>
    </w:r>
    <w:r>
      <w:rPr>
        <w:rStyle w:val="PageNumber"/>
      </w:rPr>
      <w:fldChar w:fldCharType="end"/>
    </w:r>
  </w:p>
  <w:p w:rsidR="00F67710" w:rsidRDefault="00F67710">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67710" w:rsidRDefault="00F67710">
      <w:r>
        <w:separator/>
      </w:r>
    </w:p>
  </w:footnote>
  <w:footnote w:type="continuationSeparator" w:id="0">
    <w:p w:rsidR="00F67710" w:rsidRDefault="00F67710">
      <w:r>
        <w:continuationSeparator/>
      </w:r>
    </w:p>
  </w:footnote>
  <w:footnote w:id="1">
    <w:p w:rsidR="00F67710" w:rsidRDefault="00F67710">
      <w:pPr>
        <w:pStyle w:val="FootnoteText"/>
      </w:pPr>
      <w:r>
        <w:rPr>
          <w:rStyle w:val="FootnoteReference"/>
        </w:rPr>
        <w:footnoteRef/>
      </w:r>
      <w:r>
        <w:t xml:space="preserve"> </w:t>
      </w:r>
      <w:r>
        <w:rPr>
          <w:snapToGrid/>
          <w:color w:val="000000"/>
        </w:rPr>
        <w:t>This family of reports also contains the following voluntary reports, which have fewer than 10 respondents and do not require an OMB control number:  Automobile Finance Terms (FR 2005) and the Passenger Auto Contract Collection Trends (FR 2012).  The Federal Reserve proposes to combine FR 2005 and the FR 2012 into one reporting form, the Automobile Finance Company Report (FR 2512) with no changes to the data items reported.</w:t>
      </w:r>
    </w:p>
  </w:footnote>
  <w:footnote w:id="2">
    <w:p w:rsidR="00F67710" w:rsidRPr="00E11478" w:rsidRDefault="00F67710" w:rsidP="00EE7DA3">
      <w:pPr>
        <w:tabs>
          <w:tab w:val="left" w:pos="360"/>
        </w:tabs>
        <w:spacing w:after="144"/>
        <w:rPr>
          <w:sz w:val="20"/>
        </w:rPr>
      </w:pPr>
      <w:r w:rsidRPr="00E11478">
        <w:rPr>
          <w:rStyle w:val="FootnoteReference"/>
          <w:sz w:val="20"/>
        </w:rPr>
        <w:footnoteRef/>
      </w:r>
      <w:r w:rsidRPr="00E11478">
        <w:rPr>
          <w:sz w:val="20"/>
        </w:rPr>
        <w:t xml:space="preserve"> Prior to 1963, the Federal Reserve also operated an extensive data collection and publication program covering department store credit; that responsibility was subsequently transferred to the Bureau of the Census.</w:t>
      </w:r>
    </w:p>
  </w:footnote>
  <w:footnote w:id="3">
    <w:p w:rsidR="00F67710" w:rsidRPr="00A034E4" w:rsidRDefault="00F67710" w:rsidP="00EE7DA3">
      <w:pPr>
        <w:tabs>
          <w:tab w:val="left" w:pos="360"/>
        </w:tabs>
        <w:spacing w:after="144"/>
        <w:rPr>
          <w:rFonts w:ascii="Times" w:hAnsi="Times"/>
          <w:sz w:val="20"/>
        </w:rPr>
      </w:pPr>
      <w:r w:rsidRPr="00A034E4">
        <w:rPr>
          <w:rStyle w:val="FootnoteReference"/>
          <w:rFonts w:ascii="Times" w:hAnsi="Times"/>
          <w:sz w:val="20"/>
        </w:rPr>
        <w:footnoteRef/>
      </w:r>
      <w:r w:rsidRPr="00A034E4">
        <w:rPr>
          <w:rFonts w:ascii="Times" w:hAnsi="Times"/>
          <w:sz w:val="20"/>
        </w:rPr>
        <w:t xml:space="preserve"> In 1988, gross flow data were eliminated from the Domestic Finance Company Report of Consolidated Assets and Liabilities (FR 2248; OMB No. 7100-0005).</w:t>
      </w:r>
    </w:p>
    <w:p w:rsidR="00F67710" w:rsidRDefault="00F67710">
      <w:pPr>
        <w:pStyle w:val="FootnoteText"/>
      </w:pPr>
    </w:p>
  </w:footnote>
  <w:footnote w:id="4">
    <w:p w:rsidR="00F67710" w:rsidRPr="00E11478" w:rsidRDefault="00F67710" w:rsidP="00FC6252">
      <w:pPr>
        <w:tabs>
          <w:tab w:val="left" w:pos="360"/>
        </w:tabs>
        <w:spacing w:after="144"/>
        <w:rPr>
          <w:sz w:val="20"/>
        </w:rPr>
      </w:pPr>
      <w:r w:rsidRPr="00E11478">
        <w:rPr>
          <w:rStyle w:val="FootnoteReference"/>
          <w:sz w:val="20"/>
        </w:rPr>
        <w:footnoteRef/>
      </w:r>
      <w:r w:rsidRPr="00E11478">
        <w:rPr>
          <w:sz w:val="20"/>
        </w:rPr>
        <w:t xml:space="preserve"> In both cases, respondents are asked to report the rate applicable to purchases, as opposed to cash advances (which often are associated with a different rate).</w:t>
      </w:r>
    </w:p>
  </w:footnote>
  <w:footnote w:id="5">
    <w:p w:rsidR="00F67710" w:rsidRPr="00E11478" w:rsidRDefault="00F67710" w:rsidP="00FC6252">
      <w:pPr>
        <w:tabs>
          <w:tab w:val="left" w:pos="360"/>
        </w:tabs>
        <w:spacing w:after="144"/>
        <w:rPr>
          <w:sz w:val="20"/>
        </w:rPr>
      </w:pPr>
      <w:r w:rsidRPr="00E11478">
        <w:rPr>
          <w:rStyle w:val="FootnoteReference"/>
          <w:sz w:val="20"/>
        </w:rPr>
        <w:footnoteRef/>
      </w:r>
      <w:r w:rsidRPr="00E11478">
        <w:rPr>
          <w:sz w:val="20"/>
        </w:rPr>
        <w:t xml:space="preserve"> The magnitude and even sign of differences in interest rates across cardholders of differing payment habits are </w:t>
      </w:r>
      <w:r w:rsidRPr="00E11478">
        <w:rPr>
          <w:i/>
          <w:iCs/>
          <w:sz w:val="20"/>
        </w:rPr>
        <w:t>a priori</w:t>
      </w:r>
      <w:r w:rsidRPr="00E11478">
        <w:rPr>
          <w:sz w:val="20"/>
        </w:rPr>
        <w:t xml:space="preserve"> unclear.  Convenience users, since they ordinarily do not incur finance changes, should be fairly insensitive to rates and thus seem as likely to choose a high-rate card as a low-rate card.  However, insofar as convenience users are low-risk customers, card issuers may offer them lower rates (perhaps hoping that a low enough rate may stimulate some revolving of balances).  Cardholders who revolve balances would be likely to seek low-rate cards.  But insofar as they are higher-risk customers, card issuers may not offer them lower rates.  </w:t>
      </w:r>
    </w:p>
  </w:footnote>
  <w:footnote w:id="6">
    <w:p w:rsidR="00F67710" w:rsidRPr="00E11478" w:rsidRDefault="00F67710" w:rsidP="00FC6252">
      <w:pPr>
        <w:tabs>
          <w:tab w:val="left" w:pos="360"/>
        </w:tabs>
        <w:spacing w:after="144"/>
        <w:rPr>
          <w:sz w:val="20"/>
        </w:rPr>
      </w:pPr>
      <w:r w:rsidRPr="00E11478">
        <w:rPr>
          <w:rStyle w:val="FootnoteReference"/>
          <w:sz w:val="20"/>
        </w:rPr>
        <w:footnoteRef/>
      </w:r>
      <w:r w:rsidRPr="00E11478">
        <w:rPr>
          <w:sz w:val="20"/>
        </w:rPr>
        <w:t xml:space="preserve"> It might appear that data from the Consolidated Reports of Condition and Income (Call Report; FFIEC 031 &amp; 041; 7100-0036) could be used to calculate a similar finance rate, as it collects outstanding receivables and interest income for revolving credit.  However, the report does not distinguish the balances of convenience users from those of cardholders revolving balances; only the latter should be used in deriving an implicit interest rate from finance charges.  In addition, the Call Report provides data corresponding to a mixture of revolving credit types rather than data exclusively for credit cards.</w:t>
      </w:r>
    </w:p>
  </w:footnote>
  <w:footnote w:id="7">
    <w:p w:rsidR="00F67710" w:rsidRPr="00E11478" w:rsidRDefault="00F67710" w:rsidP="00FC6252">
      <w:pPr>
        <w:tabs>
          <w:tab w:val="left" w:pos="360"/>
        </w:tabs>
        <w:spacing w:after="144"/>
        <w:rPr>
          <w:sz w:val="20"/>
        </w:rPr>
      </w:pPr>
      <w:r w:rsidRPr="00E11478">
        <w:rPr>
          <w:rStyle w:val="FootnoteReference"/>
          <w:sz w:val="20"/>
        </w:rPr>
        <w:footnoteRef/>
      </w:r>
      <w:r>
        <w:rPr>
          <w:sz w:val="20"/>
        </w:rPr>
        <w:t xml:space="preserve">  </w:t>
      </w:r>
      <w:r w:rsidRPr="00E11478">
        <w:rPr>
          <w:sz w:val="20"/>
        </w:rPr>
        <w:t xml:space="preserve">Respondents submit the FR 2835 and FR 2835a data to the Federal Reserve Banks. </w:t>
      </w:r>
      <w:r>
        <w:rPr>
          <w:sz w:val="20"/>
        </w:rPr>
        <w:t xml:space="preserve"> </w:t>
      </w:r>
      <w:r w:rsidRPr="00E11478">
        <w:rPr>
          <w:sz w:val="20"/>
        </w:rPr>
        <w:t>Subsequently, the Reserve Banks edit and transmit the data to the Board for central processing.</w:t>
      </w:r>
    </w:p>
  </w:footnote>
  <w:footnote w:id="8">
    <w:p w:rsidR="00F67710" w:rsidRPr="00A1519A" w:rsidRDefault="00F67710" w:rsidP="00B44285">
      <w:pPr>
        <w:pStyle w:val="FootnoteText"/>
        <w:rPr>
          <w:sz w:val="18"/>
          <w:szCs w:val="18"/>
        </w:rPr>
      </w:pPr>
      <w:r>
        <w:rPr>
          <w:rStyle w:val="FootnoteReference"/>
        </w:rPr>
        <w:footnoteRef/>
      </w:r>
      <w:r>
        <w:t xml:space="preserve"> </w:t>
      </w:r>
      <w:r w:rsidRPr="00BA02BF">
        <w:t xml:space="preserve">Total cost to the public was estimated using the following formula: percent of staff time, multiplied by annual burden hours, multiplied by hourly rate (30% Office &amp; Administrative Support @ $16, 45% Financial Managers @ $50, 15% Legal Counsel @ $54, and 10% Chief Executives @ $80).  Hourly rate for each occupational group are the median hourly wages (rounded up) from the Bureau of Labor and Statistics (BLS), Occupational Employment and Wages 2010, </w:t>
      </w:r>
      <w:hyperlink r:id="rId1" w:history="1">
        <w:r w:rsidRPr="00F7274D">
          <w:rPr>
            <w:rStyle w:val="Hyperlink"/>
          </w:rPr>
          <w:t>www.bls.gov/news.release/ocwage.nr0.htm</w:t>
        </w:r>
      </w:hyperlink>
      <w:r>
        <w:t xml:space="preserve">  </w:t>
      </w:r>
      <w:r w:rsidRPr="00BA02BF">
        <w:t xml:space="preserve">Occupations are defined using the BLS Occupational Classification System,  </w:t>
      </w:r>
      <w:hyperlink r:id="rId2" w:history="1">
        <w:r w:rsidRPr="00F7274D">
          <w:rPr>
            <w:rStyle w:val="Hyperlink"/>
          </w:rPr>
          <w:t>www.bls.gov/soc/</w:t>
        </w:r>
      </w:hyperlink>
      <w:r>
        <w:t xml:space="preserve"> </w:t>
      </w:r>
    </w:p>
    <w:p w:rsidR="00F67710" w:rsidRDefault="00F67710" w:rsidP="00B44285"/>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1323B6"/>
    <w:multiLevelType w:val="hybridMultilevel"/>
    <w:tmpl w:val="6358C18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7AD103B3"/>
    <w:multiLevelType w:val="hybridMultilevel"/>
    <w:tmpl w:val="506A7E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activeWritingStyle w:appName="MSWord" w:lang="en-US" w:vendorID="64" w:dllVersion="131077" w:nlCheck="1" w:checkStyle="1"/>
  <w:activeWritingStyle w:appName="MSWord" w:lang="en-US" w:vendorID="64" w:dllVersion="131078" w:nlCheck="1" w:checkStyle="1"/>
  <w:proofState w:spelling="clean" w:grammar="clean"/>
  <w:attachedTemplate r:id="rId1"/>
  <w:stylePaneFormatFilter w:val="3F01"/>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numFmt w:val="decimal"/>
    <w:endnote w:id="-1"/>
    <w:endnote w:id="0"/>
  </w:endnotePr>
  <w:compat/>
  <w:rsids>
    <w:rsidRoot w:val="00152262"/>
    <w:rsid w:val="00000FD0"/>
    <w:rsid w:val="00004E02"/>
    <w:rsid w:val="00007181"/>
    <w:rsid w:val="00007B29"/>
    <w:rsid w:val="000119E0"/>
    <w:rsid w:val="000215DB"/>
    <w:rsid w:val="000253ED"/>
    <w:rsid w:val="00025F7C"/>
    <w:rsid w:val="00026040"/>
    <w:rsid w:val="00071F35"/>
    <w:rsid w:val="0007255F"/>
    <w:rsid w:val="00074E11"/>
    <w:rsid w:val="00075092"/>
    <w:rsid w:val="00093A9C"/>
    <w:rsid w:val="000949A8"/>
    <w:rsid w:val="000B2046"/>
    <w:rsid w:val="000C1F88"/>
    <w:rsid w:val="000C53F7"/>
    <w:rsid w:val="000D69B8"/>
    <w:rsid w:val="000F0E40"/>
    <w:rsid w:val="000F31BC"/>
    <w:rsid w:val="000F33AF"/>
    <w:rsid w:val="000F4B52"/>
    <w:rsid w:val="000F6D7C"/>
    <w:rsid w:val="00103FC6"/>
    <w:rsid w:val="00125528"/>
    <w:rsid w:val="0012702D"/>
    <w:rsid w:val="00127536"/>
    <w:rsid w:val="00131A0E"/>
    <w:rsid w:val="00144B10"/>
    <w:rsid w:val="00150E39"/>
    <w:rsid w:val="00152262"/>
    <w:rsid w:val="001525FD"/>
    <w:rsid w:val="00153E16"/>
    <w:rsid w:val="001567F8"/>
    <w:rsid w:val="0016233E"/>
    <w:rsid w:val="00165DCE"/>
    <w:rsid w:val="00177F18"/>
    <w:rsid w:val="00185210"/>
    <w:rsid w:val="00194092"/>
    <w:rsid w:val="00195D9C"/>
    <w:rsid w:val="00196D1E"/>
    <w:rsid w:val="001A148B"/>
    <w:rsid w:val="001A2967"/>
    <w:rsid w:val="001A3463"/>
    <w:rsid w:val="001B07AD"/>
    <w:rsid w:val="001B2E2D"/>
    <w:rsid w:val="001B4D51"/>
    <w:rsid w:val="001B7D37"/>
    <w:rsid w:val="001C16E2"/>
    <w:rsid w:val="001C2CB3"/>
    <w:rsid w:val="001C497C"/>
    <w:rsid w:val="001C6F5D"/>
    <w:rsid w:val="001C71F3"/>
    <w:rsid w:val="001D71FF"/>
    <w:rsid w:val="001D7772"/>
    <w:rsid w:val="001E418E"/>
    <w:rsid w:val="001E52BA"/>
    <w:rsid w:val="001E65DA"/>
    <w:rsid w:val="001F54FE"/>
    <w:rsid w:val="001F7198"/>
    <w:rsid w:val="001F75C4"/>
    <w:rsid w:val="002009FA"/>
    <w:rsid w:val="00212EF4"/>
    <w:rsid w:val="002251A1"/>
    <w:rsid w:val="00234311"/>
    <w:rsid w:val="00255898"/>
    <w:rsid w:val="00257BEA"/>
    <w:rsid w:val="00265857"/>
    <w:rsid w:val="00267CFA"/>
    <w:rsid w:val="00277299"/>
    <w:rsid w:val="002778A1"/>
    <w:rsid w:val="00282761"/>
    <w:rsid w:val="00294213"/>
    <w:rsid w:val="00295F03"/>
    <w:rsid w:val="00296637"/>
    <w:rsid w:val="002B1ADA"/>
    <w:rsid w:val="002B1C8B"/>
    <w:rsid w:val="002B76A7"/>
    <w:rsid w:val="002C03FB"/>
    <w:rsid w:val="002D5EEF"/>
    <w:rsid w:val="002E4B3E"/>
    <w:rsid w:val="002F1833"/>
    <w:rsid w:val="002F477C"/>
    <w:rsid w:val="00305D4B"/>
    <w:rsid w:val="00310BE4"/>
    <w:rsid w:val="003162AD"/>
    <w:rsid w:val="0031667C"/>
    <w:rsid w:val="00331F68"/>
    <w:rsid w:val="00345203"/>
    <w:rsid w:val="00352294"/>
    <w:rsid w:val="00355C5A"/>
    <w:rsid w:val="00362198"/>
    <w:rsid w:val="00372CC8"/>
    <w:rsid w:val="0038529D"/>
    <w:rsid w:val="0038603A"/>
    <w:rsid w:val="003A183B"/>
    <w:rsid w:val="003A45D2"/>
    <w:rsid w:val="003C13D2"/>
    <w:rsid w:val="003C7317"/>
    <w:rsid w:val="003D5F9F"/>
    <w:rsid w:val="003D70EF"/>
    <w:rsid w:val="003E3A53"/>
    <w:rsid w:val="003F4E47"/>
    <w:rsid w:val="003F6EB5"/>
    <w:rsid w:val="0040153E"/>
    <w:rsid w:val="004022D7"/>
    <w:rsid w:val="00402E06"/>
    <w:rsid w:val="00403AE9"/>
    <w:rsid w:val="00410DFF"/>
    <w:rsid w:val="00425FD3"/>
    <w:rsid w:val="004261BE"/>
    <w:rsid w:val="004304DC"/>
    <w:rsid w:val="004344E0"/>
    <w:rsid w:val="00434C5F"/>
    <w:rsid w:val="00442722"/>
    <w:rsid w:val="00443797"/>
    <w:rsid w:val="00450708"/>
    <w:rsid w:val="004617B9"/>
    <w:rsid w:val="00463C67"/>
    <w:rsid w:val="00466E1E"/>
    <w:rsid w:val="004707F1"/>
    <w:rsid w:val="00471D87"/>
    <w:rsid w:val="0048022F"/>
    <w:rsid w:val="00480259"/>
    <w:rsid w:val="00485342"/>
    <w:rsid w:val="00487EE9"/>
    <w:rsid w:val="004937C7"/>
    <w:rsid w:val="004958CE"/>
    <w:rsid w:val="00496EBC"/>
    <w:rsid w:val="004A001C"/>
    <w:rsid w:val="004A0A1A"/>
    <w:rsid w:val="004A426F"/>
    <w:rsid w:val="004A7065"/>
    <w:rsid w:val="004B0666"/>
    <w:rsid w:val="004B28E3"/>
    <w:rsid w:val="004B2F8E"/>
    <w:rsid w:val="004B6465"/>
    <w:rsid w:val="004B6D21"/>
    <w:rsid w:val="004C5435"/>
    <w:rsid w:val="004D2681"/>
    <w:rsid w:val="004D3999"/>
    <w:rsid w:val="004D5AF7"/>
    <w:rsid w:val="004E1F08"/>
    <w:rsid w:val="004F0864"/>
    <w:rsid w:val="004F1863"/>
    <w:rsid w:val="004F5B04"/>
    <w:rsid w:val="00515197"/>
    <w:rsid w:val="00517EF1"/>
    <w:rsid w:val="00522E81"/>
    <w:rsid w:val="00527F87"/>
    <w:rsid w:val="00545557"/>
    <w:rsid w:val="005466BF"/>
    <w:rsid w:val="00573B9B"/>
    <w:rsid w:val="0058192F"/>
    <w:rsid w:val="00582992"/>
    <w:rsid w:val="00583B7F"/>
    <w:rsid w:val="00584B3B"/>
    <w:rsid w:val="0058640F"/>
    <w:rsid w:val="005905F1"/>
    <w:rsid w:val="005A53DA"/>
    <w:rsid w:val="005A7573"/>
    <w:rsid w:val="005B4373"/>
    <w:rsid w:val="005C2048"/>
    <w:rsid w:val="005C22E2"/>
    <w:rsid w:val="005C2ABE"/>
    <w:rsid w:val="005C7631"/>
    <w:rsid w:val="005E5185"/>
    <w:rsid w:val="005E7EE7"/>
    <w:rsid w:val="006015F4"/>
    <w:rsid w:val="006016BB"/>
    <w:rsid w:val="00607100"/>
    <w:rsid w:val="00612D7A"/>
    <w:rsid w:val="006225D3"/>
    <w:rsid w:val="00622ECA"/>
    <w:rsid w:val="00631637"/>
    <w:rsid w:val="00637A30"/>
    <w:rsid w:val="0066041E"/>
    <w:rsid w:val="00674CE0"/>
    <w:rsid w:val="00690DFA"/>
    <w:rsid w:val="00692AF2"/>
    <w:rsid w:val="00693A6A"/>
    <w:rsid w:val="006A0302"/>
    <w:rsid w:val="006A1DA7"/>
    <w:rsid w:val="006C4E2D"/>
    <w:rsid w:val="006C692E"/>
    <w:rsid w:val="006C6FB2"/>
    <w:rsid w:val="006C7F9F"/>
    <w:rsid w:val="006D07CC"/>
    <w:rsid w:val="006D2EF5"/>
    <w:rsid w:val="006E1544"/>
    <w:rsid w:val="006E4BB1"/>
    <w:rsid w:val="006E586F"/>
    <w:rsid w:val="006F24AD"/>
    <w:rsid w:val="006F459A"/>
    <w:rsid w:val="006F49DE"/>
    <w:rsid w:val="00703C35"/>
    <w:rsid w:val="00704D16"/>
    <w:rsid w:val="007130A6"/>
    <w:rsid w:val="0071357D"/>
    <w:rsid w:val="00713744"/>
    <w:rsid w:val="00714059"/>
    <w:rsid w:val="00720087"/>
    <w:rsid w:val="00722C4A"/>
    <w:rsid w:val="00725241"/>
    <w:rsid w:val="007262B6"/>
    <w:rsid w:val="007459F0"/>
    <w:rsid w:val="00746029"/>
    <w:rsid w:val="00752167"/>
    <w:rsid w:val="00762327"/>
    <w:rsid w:val="007628E3"/>
    <w:rsid w:val="00762FC5"/>
    <w:rsid w:val="00775041"/>
    <w:rsid w:val="00780289"/>
    <w:rsid w:val="00781F62"/>
    <w:rsid w:val="007835F7"/>
    <w:rsid w:val="00791813"/>
    <w:rsid w:val="00794375"/>
    <w:rsid w:val="007957F7"/>
    <w:rsid w:val="00797E7F"/>
    <w:rsid w:val="007A24B6"/>
    <w:rsid w:val="007A6134"/>
    <w:rsid w:val="007B272C"/>
    <w:rsid w:val="007C5164"/>
    <w:rsid w:val="007C5829"/>
    <w:rsid w:val="007C6ACD"/>
    <w:rsid w:val="007E602C"/>
    <w:rsid w:val="00821D4F"/>
    <w:rsid w:val="00821F72"/>
    <w:rsid w:val="00822F55"/>
    <w:rsid w:val="0082390C"/>
    <w:rsid w:val="00827C6B"/>
    <w:rsid w:val="00836EDD"/>
    <w:rsid w:val="00842F30"/>
    <w:rsid w:val="00845FA5"/>
    <w:rsid w:val="0085210F"/>
    <w:rsid w:val="0086335F"/>
    <w:rsid w:val="00872F83"/>
    <w:rsid w:val="00874942"/>
    <w:rsid w:val="008753D8"/>
    <w:rsid w:val="008755A4"/>
    <w:rsid w:val="00887BF3"/>
    <w:rsid w:val="0089664C"/>
    <w:rsid w:val="008970FF"/>
    <w:rsid w:val="008A1F74"/>
    <w:rsid w:val="008A20F4"/>
    <w:rsid w:val="008A27F2"/>
    <w:rsid w:val="008B1636"/>
    <w:rsid w:val="008B61FA"/>
    <w:rsid w:val="008C2D2F"/>
    <w:rsid w:val="008C4AD7"/>
    <w:rsid w:val="008C55BB"/>
    <w:rsid w:val="008D4213"/>
    <w:rsid w:val="008E1AAC"/>
    <w:rsid w:val="008E3AC3"/>
    <w:rsid w:val="008E3FD3"/>
    <w:rsid w:val="008E5236"/>
    <w:rsid w:val="008F2295"/>
    <w:rsid w:val="008F3E43"/>
    <w:rsid w:val="00900301"/>
    <w:rsid w:val="00902A00"/>
    <w:rsid w:val="00910EC7"/>
    <w:rsid w:val="00911148"/>
    <w:rsid w:val="009160CE"/>
    <w:rsid w:val="0093062E"/>
    <w:rsid w:val="00932984"/>
    <w:rsid w:val="009366A6"/>
    <w:rsid w:val="00936961"/>
    <w:rsid w:val="0094133E"/>
    <w:rsid w:val="00943559"/>
    <w:rsid w:val="00944828"/>
    <w:rsid w:val="00951DCE"/>
    <w:rsid w:val="009530B7"/>
    <w:rsid w:val="00957F0B"/>
    <w:rsid w:val="00964B57"/>
    <w:rsid w:val="009747D9"/>
    <w:rsid w:val="00974987"/>
    <w:rsid w:val="00975C53"/>
    <w:rsid w:val="009835D5"/>
    <w:rsid w:val="0098507F"/>
    <w:rsid w:val="0099775D"/>
    <w:rsid w:val="009A42A8"/>
    <w:rsid w:val="009A552A"/>
    <w:rsid w:val="009A785A"/>
    <w:rsid w:val="009B0B96"/>
    <w:rsid w:val="009C27CA"/>
    <w:rsid w:val="009D09EF"/>
    <w:rsid w:val="009D3B77"/>
    <w:rsid w:val="009D3D5C"/>
    <w:rsid w:val="009E1951"/>
    <w:rsid w:val="00A034E4"/>
    <w:rsid w:val="00A13691"/>
    <w:rsid w:val="00A13CAF"/>
    <w:rsid w:val="00A143CF"/>
    <w:rsid w:val="00A26383"/>
    <w:rsid w:val="00A27C26"/>
    <w:rsid w:val="00A32528"/>
    <w:rsid w:val="00A4385D"/>
    <w:rsid w:val="00A52BA3"/>
    <w:rsid w:val="00A55F9F"/>
    <w:rsid w:val="00A67564"/>
    <w:rsid w:val="00A74427"/>
    <w:rsid w:val="00A91806"/>
    <w:rsid w:val="00A92C41"/>
    <w:rsid w:val="00A93122"/>
    <w:rsid w:val="00A943D2"/>
    <w:rsid w:val="00AB5F1F"/>
    <w:rsid w:val="00AB6B08"/>
    <w:rsid w:val="00AB6B3A"/>
    <w:rsid w:val="00AB71EC"/>
    <w:rsid w:val="00AC0EF8"/>
    <w:rsid w:val="00AD4653"/>
    <w:rsid w:val="00AD7127"/>
    <w:rsid w:val="00AE2196"/>
    <w:rsid w:val="00AE272F"/>
    <w:rsid w:val="00AE56D8"/>
    <w:rsid w:val="00AF7298"/>
    <w:rsid w:val="00B0313F"/>
    <w:rsid w:val="00B0420F"/>
    <w:rsid w:val="00B073A9"/>
    <w:rsid w:val="00B14DCE"/>
    <w:rsid w:val="00B16431"/>
    <w:rsid w:val="00B44285"/>
    <w:rsid w:val="00B47466"/>
    <w:rsid w:val="00B4765E"/>
    <w:rsid w:val="00B50724"/>
    <w:rsid w:val="00B509EF"/>
    <w:rsid w:val="00B50A8A"/>
    <w:rsid w:val="00B5171F"/>
    <w:rsid w:val="00B61E5B"/>
    <w:rsid w:val="00B64FB3"/>
    <w:rsid w:val="00B66867"/>
    <w:rsid w:val="00B67566"/>
    <w:rsid w:val="00B723D0"/>
    <w:rsid w:val="00B73071"/>
    <w:rsid w:val="00B755A2"/>
    <w:rsid w:val="00B804DE"/>
    <w:rsid w:val="00B82CBB"/>
    <w:rsid w:val="00B85EE1"/>
    <w:rsid w:val="00B9073A"/>
    <w:rsid w:val="00B94573"/>
    <w:rsid w:val="00BA02BF"/>
    <w:rsid w:val="00BA3A49"/>
    <w:rsid w:val="00BC1C45"/>
    <w:rsid w:val="00BD079E"/>
    <w:rsid w:val="00BD0B41"/>
    <w:rsid w:val="00BD3E05"/>
    <w:rsid w:val="00BD7EFA"/>
    <w:rsid w:val="00BE52D2"/>
    <w:rsid w:val="00BE7126"/>
    <w:rsid w:val="00BF205C"/>
    <w:rsid w:val="00C044B5"/>
    <w:rsid w:val="00C04989"/>
    <w:rsid w:val="00C04D0C"/>
    <w:rsid w:val="00C13F0D"/>
    <w:rsid w:val="00C1658D"/>
    <w:rsid w:val="00C170DE"/>
    <w:rsid w:val="00C45BD5"/>
    <w:rsid w:val="00C50C88"/>
    <w:rsid w:val="00C54C36"/>
    <w:rsid w:val="00C622B7"/>
    <w:rsid w:val="00C63916"/>
    <w:rsid w:val="00C64D3D"/>
    <w:rsid w:val="00C65B37"/>
    <w:rsid w:val="00C661B3"/>
    <w:rsid w:val="00C675F6"/>
    <w:rsid w:val="00C7723E"/>
    <w:rsid w:val="00C77762"/>
    <w:rsid w:val="00C834FA"/>
    <w:rsid w:val="00C8613E"/>
    <w:rsid w:val="00C9208D"/>
    <w:rsid w:val="00CA0564"/>
    <w:rsid w:val="00CA6250"/>
    <w:rsid w:val="00CA6693"/>
    <w:rsid w:val="00CA6FD4"/>
    <w:rsid w:val="00CB0306"/>
    <w:rsid w:val="00CC1283"/>
    <w:rsid w:val="00CC7C47"/>
    <w:rsid w:val="00CE0960"/>
    <w:rsid w:val="00CE214E"/>
    <w:rsid w:val="00CE642F"/>
    <w:rsid w:val="00D02F5B"/>
    <w:rsid w:val="00D03CC2"/>
    <w:rsid w:val="00D106AE"/>
    <w:rsid w:val="00D14A78"/>
    <w:rsid w:val="00D1628C"/>
    <w:rsid w:val="00D300B2"/>
    <w:rsid w:val="00D33756"/>
    <w:rsid w:val="00D439F2"/>
    <w:rsid w:val="00D472EA"/>
    <w:rsid w:val="00D5143A"/>
    <w:rsid w:val="00D54CD4"/>
    <w:rsid w:val="00D568D9"/>
    <w:rsid w:val="00D576E0"/>
    <w:rsid w:val="00D6606C"/>
    <w:rsid w:val="00D7351D"/>
    <w:rsid w:val="00D91EA7"/>
    <w:rsid w:val="00D965B1"/>
    <w:rsid w:val="00D97D42"/>
    <w:rsid w:val="00DA5996"/>
    <w:rsid w:val="00DB7E30"/>
    <w:rsid w:val="00DC6927"/>
    <w:rsid w:val="00DD33E2"/>
    <w:rsid w:val="00DD7E34"/>
    <w:rsid w:val="00DE0D23"/>
    <w:rsid w:val="00DE2C34"/>
    <w:rsid w:val="00DE2D6C"/>
    <w:rsid w:val="00DE32DF"/>
    <w:rsid w:val="00DE38A3"/>
    <w:rsid w:val="00DE5B33"/>
    <w:rsid w:val="00DF1777"/>
    <w:rsid w:val="00DF189E"/>
    <w:rsid w:val="00E11478"/>
    <w:rsid w:val="00E14280"/>
    <w:rsid w:val="00E2409D"/>
    <w:rsid w:val="00E257FE"/>
    <w:rsid w:val="00E30D26"/>
    <w:rsid w:val="00E32397"/>
    <w:rsid w:val="00E34260"/>
    <w:rsid w:val="00E41B56"/>
    <w:rsid w:val="00E46CC4"/>
    <w:rsid w:val="00E470AA"/>
    <w:rsid w:val="00E4776D"/>
    <w:rsid w:val="00E5557A"/>
    <w:rsid w:val="00E573B9"/>
    <w:rsid w:val="00E624EA"/>
    <w:rsid w:val="00E75B2C"/>
    <w:rsid w:val="00E77BE2"/>
    <w:rsid w:val="00E86547"/>
    <w:rsid w:val="00E911F0"/>
    <w:rsid w:val="00EA241D"/>
    <w:rsid w:val="00EB0CBB"/>
    <w:rsid w:val="00EB455E"/>
    <w:rsid w:val="00EB68CB"/>
    <w:rsid w:val="00EC331C"/>
    <w:rsid w:val="00ED4ED6"/>
    <w:rsid w:val="00ED5C65"/>
    <w:rsid w:val="00EE3B22"/>
    <w:rsid w:val="00EE3CAB"/>
    <w:rsid w:val="00EE5644"/>
    <w:rsid w:val="00EE7DA3"/>
    <w:rsid w:val="00EF18E6"/>
    <w:rsid w:val="00F010DA"/>
    <w:rsid w:val="00F1100B"/>
    <w:rsid w:val="00F11D9C"/>
    <w:rsid w:val="00F16D90"/>
    <w:rsid w:val="00F2271B"/>
    <w:rsid w:val="00F25921"/>
    <w:rsid w:val="00F25FAB"/>
    <w:rsid w:val="00F33373"/>
    <w:rsid w:val="00F408FA"/>
    <w:rsid w:val="00F41930"/>
    <w:rsid w:val="00F4337B"/>
    <w:rsid w:val="00F44D5C"/>
    <w:rsid w:val="00F473BF"/>
    <w:rsid w:val="00F55864"/>
    <w:rsid w:val="00F63961"/>
    <w:rsid w:val="00F67710"/>
    <w:rsid w:val="00F70300"/>
    <w:rsid w:val="00F713B5"/>
    <w:rsid w:val="00F72084"/>
    <w:rsid w:val="00F73F3A"/>
    <w:rsid w:val="00F8157B"/>
    <w:rsid w:val="00F862EA"/>
    <w:rsid w:val="00F90AE2"/>
    <w:rsid w:val="00F931C9"/>
    <w:rsid w:val="00F95EDD"/>
    <w:rsid w:val="00F979B4"/>
    <w:rsid w:val="00F97DF1"/>
    <w:rsid w:val="00FA2EBD"/>
    <w:rsid w:val="00FA5BDD"/>
    <w:rsid w:val="00FA7B80"/>
    <w:rsid w:val="00FC039F"/>
    <w:rsid w:val="00FC1FB4"/>
    <w:rsid w:val="00FC6252"/>
    <w:rsid w:val="00FD7172"/>
    <w:rsid w:val="00FE1488"/>
    <w:rsid w:val="00FE19AF"/>
    <w:rsid w:val="00FE41BD"/>
    <w:rsid w:val="00FE59BF"/>
    <w:rsid w:val="00FF3E8F"/>
    <w:rsid w:val="00FF5A0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100B"/>
    <w:rPr>
      <w:snapToGrid w:val="0"/>
      <w:sz w:val="24"/>
    </w:rPr>
  </w:style>
  <w:style w:type="paragraph" w:styleId="Heading1">
    <w:name w:val="heading 1"/>
    <w:basedOn w:val="Normal"/>
    <w:next w:val="Normal"/>
    <w:qFormat/>
    <w:rsid w:val="00FC6252"/>
    <w:pPr>
      <w:keepNext/>
      <w:tabs>
        <w:tab w:val="center" w:pos="4680"/>
      </w:tabs>
      <w:autoSpaceDE w:val="0"/>
      <w:autoSpaceDN w:val="0"/>
      <w:adjustRightInd w:val="0"/>
      <w:ind w:firstLine="360"/>
      <w:outlineLvl w:val="0"/>
    </w:pPr>
    <w:rPr>
      <w:rFonts w:ascii="Times" w:hAnsi="Times"/>
      <w:b/>
      <w:bCs/>
      <w:snapToGrid/>
      <w:szCs w:val="24"/>
    </w:rPr>
  </w:style>
  <w:style w:type="paragraph" w:styleId="Heading2">
    <w:name w:val="heading 2"/>
    <w:basedOn w:val="Normal"/>
    <w:next w:val="Normal"/>
    <w:qFormat/>
    <w:rsid w:val="00FC6252"/>
    <w:pPr>
      <w:keepNext/>
      <w:widowControl w:val="0"/>
      <w:autoSpaceDE w:val="0"/>
      <w:autoSpaceDN w:val="0"/>
      <w:adjustRightInd w:val="0"/>
      <w:spacing w:line="115" w:lineRule="exact"/>
      <w:outlineLvl w:val="1"/>
    </w:pPr>
    <w:rPr>
      <w:rFonts w:ascii="Times" w:hAnsi="Times"/>
      <w:i/>
      <w:iCs/>
      <w:snapToGrid/>
      <w:szCs w:val="24"/>
    </w:rPr>
  </w:style>
  <w:style w:type="paragraph" w:styleId="Heading4">
    <w:name w:val="heading 4"/>
    <w:basedOn w:val="Normal"/>
    <w:next w:val="Normal"/>
    <w:link w:val="Heading4Char"/>
    <w:uiPriority w:val="9"/>
    <w:semiHidden/>
    <w:unhideWhenUsed/>
    <w:qFormat/>
    <w:rsid w:val="00F8157B"/>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F1100B"/>
    <w:rPr>
      <w:vertAlign w:val="superscript"/>
    </w:rPr>
  </w:style>
  <w:style w:type="paragraph" w:styleId="Title">
    <w:name w:val="Title"/>
    <w:basedOn w:val="Normal"/>
    <w:qFormat/>
    <w:rsid w:val="00F1100B"/>
    <w:pPr>
      <w:tabs>
        <w:tab w:val="center" w:pos="4320"/>
      </w:tabs>
      <w:spacing w:line="287" w:lineRule="auto"/>
      <w:jc w:val="center"/>
    </w:pPr>
    <w:rPr>
      <w:smallCaps/>
      <w:sz w:val="32"/>
    </w:rPr>
  </w:style>
  <w:style w:type="paragraph" w:styleId="Header">
    <w:name w:val="header"/>
    <w:basedOn w:val="Normal"/>
    <w:link w:val="HeaderChar"/>
    <w:rsid w:val="00F1100B"/>
    <w:pPr>
      <w:tabs>
        <w:tab w:val="center" w:pos="4320"/>
        <w:tab w:val="right" w:pos="8640"/>
      </w:tabs>
    </w:pPr>
  </w:style>
  <w:style w:type="paragraph" w:styleId="Footer">
    <w:name w:val="footer"/>
    <w:basedOn w:val="Normal"/>
    <w:rsid w:val="00F1100B"/>
    <w:pPr>
      <w:tabs>
        <w:tab w:val="center" w:pos="4320"/>
        <w:tab w:val="right" w:pos="8640"/>
      </w:tabs>
    </w:pPr>
  </w:style>
  <w:style w:type="character" w:styleId="CommentReference">
    <w:name w:val="annotation reference"/>
    <w:basedOn w:val="DefaultParagraphFont"/>
    <w:semiHidden/>
    <w:rsid w:val="000F33AF"/>
    <w:rPr>
      <w:sz w:val="16"/>
      <w:szCs w:val="16"/>
    </w:rPr>
  </w:style>
  <w:style w:type="paragraph" w:styleId="CommentText">
    <w:name w:val="annotation text"/>
    <w:basedOn w:val="Normal"/>
    <w:semiHidden/>
    <w:rsid w:val="000F33AF"/>
    <w:rPr>
      <w:sz w:val="20"/>
    </w:rPr>
  </w:style>
  <w:style w:type="paragraph" w:styleId="CommentSubject">
    <w:name w:val="annotation subject"/>
    <w:basedOn w:val="CommentText"/>
    <w:next w:val="CommentText"/>
    <w:semiHidden/>
    <w:rsid w:val="000F33AF"/>
    <w:rPr>
      <w:b/>
      <w:bCs/>
    </w:rPr>
  </w:style>
  <w:style w:type="paragraph" w:styleId="BalloonText">
    <w:name w:val="Balloon Text"/>
    <w:basedOn w:val="Normal"/>
    <w:semiHidden/>
    <w:rsid w:val="000F33AF"/>
    <w:rPr>
      <w:rFonts w:ascii="Tahoma" w:hAnsi="Tahoma" w:cs="Tahoma"/>
      <w:sz w:val="16"/>
      <w:szCs w:val="16"/>
    </w:rPr>
  </w:style>
  <w:style w:type="paragraph" w:styleId="FootnoteText">
    <w:name w:val="footnote text"/>
    <w:basedOn w:val="Normal"/>
    <w:link w:val="FootnoteTextChar"/>
    <w:uiPriority w:val="99"/>
    <w:semiHidden/>
    <w:rsid w:val="00D33756"/>
    <w:rPr>
      <w:sz w:val="20"/>
    </w:rPr>
  </w:style>
  <w:style w:type="character" w:styleId="PageNumber">
    <w:name w:val="page number"/>
    <w:basedOn w:val="DefaultParagraphFont"/>
    <w:rsid w:val="009C27CA"/>
  </w:style>
  <w:style w:type="character" w:styleId="Hyperlink">
    <w:name w:val="Hyperlink"/>
    <w:basedOn w:val="DefaultParagraphFont"/>
    <w:rsid w:val="00A4385D"/>
    <w:rPr>
      <w:color w:val="0000FF"/>
      <w:u w:val="single"/>
    </w:rPr>
  </w:style>
  <w:style w:type="paragraph" w:styleId="BodyTextIndent">
    <w:name w:val="Body Text Indent"/>
    <w:basedOn w:val="Normal"/>
    <w:link w:val="BodyTextIndentChar"/>
    <w:rsid w:val="00F70300"/>
    <w:pPr>
      <w:tabs>
        <w:tab w:val="left" w:pos="360"/>
      </w:tabs>
      <w:ind w:firstLine="360"/>
    </w:pPr>
  </w:style>
  <w:style w:type="character" w:customStyle="1" w:styleId="BodyTextIndentChar">
    <w:name w:val="Body Text Indent Char"/>
    <w:basedOn w:val="DefaultParagraphFont"/>
    <w:link w:val="BodyTextIndent"/>
    <w:rsid w:val="00F70300"/>
    <w:rPr>
      <w:snapToGrid w:val="0"/>
      <w:sz w:val="24"/>
    </w:rPr>
  </w:style>
  <w:style w:type="paragraph" w:customStyle="1" w:styleId="Default">
    <w:name w:val="Default"/>
    <w:rsid w:val="00425FD3"/>
    <w:pPr>
      <w:autoSpaceDE w:val="0"/>
      <w:autoSpaceDN w:val="0"/>
      <w:adjustRightInd w:val="0"/>
    </w:pPr>
    <w:rPr>
      <w:color w:val="000000"/>
      <w:sz w:val="24"/>
      <w:szCs w:val="24"/>
    </w:rPr>
  </w:style>
  <w:style w:type="character" w:customStyle="1" w:styleId="Heading4Char">
    <w:name w:val="Heading 4 Char"/>
    <w:basedOn w:val="DefaultParagraphFont"/>
    <w:link w:val="Heading4"/>
    <w:uiPriority w:val="9"/>
    <w:semiHidden/>
    <w:rsid w:val="00F8157B"/>
    <w:rPr>
      <w:rFonts w:asciiTheme="majorHAnsi" w:eastAsiaTheme="majorEastAsia" w:hAnsiTheme="majorHAnsi" w:cstheme="majorBidi"/>
      <w:b/>
      <w:bCs/>
      <w:i/>
      <w:iCs/>
      <w:snapToGrid w:val="0"/>
      <w:color w:val="4F81BD" w:themeColor="accent1"/>
      <w:sz w:val="24"/>
    </w:rPr>
  </w:style>
  <w:style w:type="character" w:customStyle="1" w:styleId="HeaderChar">
    <w:name w:val="Header Char"/>
    <w:basedOn w:val="DefaultParagraphFont"/>
    <w:link w:val="Header"/>
    <w:rsid w:val="001B7D37"/>
    <w:rPr>
      <w:snapToGrid w:val="0"/>
      <w:sz w:val="24"/>
    </w:rPr>
  </w:style>
  <w:style w:type="paragraph" w:styleId="ListParagraph">
    <w:name w:val="List Paragraph"/>
    <w:basedOn w:val="Normal"/>
    <w:uiPriority w:val="34"/>
    <w:qFormat/>
    <w:rsid w:val="00845FA5"/>
    <w:pPr>
      <w:ind w:left="720"/>
      <w:contextualSpacing/>
    </w:pPr>
  </w:style>
  <w:style w:type="character" w:customStyle="1" w:styleId="FootnoteTextChar">
    <w:name w:val="Footnote Text Char"/>
    <w:basedOn w:val="DefaultParagraphFont"/>
    <w:link w:val="FootnoteText"/>
    <w:uiPriority w:val="99"/>
    <w:semiHidden/>
    <w:rsid w:val="00B94573"/>
    <w:rPr>
      <w:snapToGrid w:val="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federalreserve.gov"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2" Type="http://schemas.openxmlformats.org/officeDocument/2006/relationships/hyperlink" Target="http://www.bls.gov/soc/" TargetMode="External"/><Relationship Id="rId1" Type="http://schemas.openxmlformats.org/officeDocument/2006/relationships/hyperlink" Target="http://www.bls.gov/news.release/ocwage.nr0.ht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RSMA\Microsoft%20Office\Templates\FRB\rs_memo.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A706122-96A9-440B-9E72-B83C328D66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rs_memo.dot</Template>
  <TotalTime>24</TotalTime>
  <Pages>7</Pages>
  <Words>2348</Words>
  <Characters>13389</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BOARD OF GOVERNORS OF THE FEDERAL RESERVE SYSTEM</vt:lpstr>
    </vt:vector>
  </TitlesOfParts>
  <Company>Federal Reserve Board</Company>
  <LinksUpToDate>false</LinksUpToDate>
  <CharactersWithSpaces>15706</CharactersWithSpaces>
  <SharedDoc>false</SharedDoc>
  <HLinks>
    <vt:vector size="6" baseType="variant">
      <vt:variant>
        <vt:i4>3080246</vt:i4>
      </vt:variant>
      <vt:variant>
        <vt:i4>0</vt:i4>
      </vt:variant>
      <vt:variant>
        <vt:i4>0</vt:i4>
      </vt:variant>
      <vt:variant>
        <vt:i4>5</vt:i4>
      </vt:variant>
      <vt:variant>
        <vt:lpwstr>http://www.federalreserve.gov/</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BOARD OF GOVERNORS OF THE FEDERAL RESERVE SYSTEM</dc:title>
  <dc:creator>Karen Dynan</dc:creator>
  <cp:lastModifiedBy>m1nsp00</cp:lastModifiedBy>
  <cp:revision>4</cp:revision>
  <cp:lastPrinted>2012-05-15T18:10:00Z</cp:lastPrinted>
  <dcterms:created xsi:type="dcterms:W3CDTF">2012-05-15T18:08:00Z</dcterms:created>
  <dcterms:modified xsi:type="dcterms:W3CDTF">2012-05-15T20:03:00Z</dcterms:modified>
</cp:coreProperties>
</file>