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EC9" w:rsidRPr="00AB6A90" w:rsidRDefault="00F06EC9" w:rsidP="00F06EC9">
      <w:pPr>
        <w:pStyle w:val="Header"/>
        <w:jc w:val="center"/>
        <w:rPr>
          <w:rFonts w:ascii="Times New Roman" w:hAnsi="Times New Roman"/>
          <w:b/>
        </w:rPr>
      </w:pPr>
      <w:r w:rsidRPr="00AB6A90">
        <w:rPr>
          <w:rFonts w:ascii="Times New Roman" w:hAnsi="Times New Roman"/>
          <w:b/>
        </w:rPr>
        <w:t>Supporting Statement B</w:t>
      </w:r>
    </w:p>
    <w:p w:rsidR="00F06EC9" w:rsidRPr="00AB6A90" w:rsidRDefault="00F06EC9" w:rsidP="00F06EC9">
      <w:pPr>
        <w:widowControl/>
        <w:tabs>
          <w:tab w:val="left" w:pos="1080"/>
        </w:tabs>
        <w:jc w:val="center"/>
        <w:rPr>
          <w:rFonts w:ascii="Times New Roman" w:hAnsi="Times New Roman"/>
          <w:b/>
          <w:bCs/>
        </w:rPr>
      </w:pPr>
      <w:r w:rsidRPr="00AB6A90">
        <w:rPr>
          <w:rFonts w:ascii="Times New Roman" w:hAnsi="Times New Roman"/>
          <w:b/>
          <w:bCs/>
        </w:rPr>
        <w:t>The Senior Financial Officer Survey</w:t>
      </w:r>
    </w:p>
    <w:p w:rsidR="00F06EC9" w:rsidRPr="00AB6A90" w:rsidRDefault="00F06EC9" w:rsidP="00F06EC9">
      <w:pPr>
        <w:widowControl/>
        <w:tabs>
          <w:tab w:val="left" w:pos="1080"/>
        </w:tabs>
        <w:jc w:val="center"/>
        <w:rPr>
          <w:rFonts w:ascii="Times New Roman" w:hAnsi="Times New Roman"/>
        </w:rPr>
      </w:pPr>
      <w:r w:rsidRPr="00AB6A90">
        <w:rPr>
          <w:rFonts w:ascii="Times New Roman" w:hAnsi="Times New Roman"/>
          <w:b/>
          <w:bCs/>
        </w:rPr>
        <w:t xml:space="preserve"> (FR 2023; OMB No. 7100</w:t>
      </w:r>
      <w:r w:rsidRPr="00AB6A90">
        <w:rPr>
          <w:rFonts w:ascii="Times New Roman" w:hAnsi="Times New Roman"/>
          <w:b/>
          <w:bCs/>
        </w:rPr>
        <w:noBreakHyphen/>
        <w:t>0223)</w:t>
      </w:r>
    </w:p>
    <w:p w:rsidR="00F06EC9" w:rsidRPr="00AB6A90" w:rsidRDefault="00F06EC9" w:rsidP="00F06EC9">
      <w:pPr>
        <w:jc w:val="center"/>
        <w:rPr>
          <w:rFonts w:ascii="Times New Roman" w:hAnsi="Times New Roman"/>
          <w:b/>
        </w:rPr>
      </w:pPr>
      <w:r w:rsidRPr="00AB6A90">
        <w:rPr>
          <w:rFonts w:ascii="Times New Roman" w:hAnsi="Times New Roman"/>
          <w:b/>
        </w:rPr>
        <w:t>Attachment 2</w:t>
      </w:r>
    </w:p>
    <w:p w:rsidR="00F06EC9" w:rsidRPr="00AB6A90" w:rsidRDefault="00F06EC9" w:rsidP="00F06EC9">
      <w:pPr>
        <w:jc w:val="center"/>
        <w:rPr>
          <w:rFonts w:ascii="Times New Roman" w:hAnsi="Times New Roman"/>
          <w:b/>
        </w:rPr>
      </w:pPr>
      <w:r w:rsidRPr="00AB6A90">
        <w:rPr>
          <w:rFonts w:ascii="Times New Roman" w:hAnsi="Times New Roman"/>
          <w:b/>
        </w:rPr>
        <w:t>Overview of Statistical Methods</w:t>
      </w:r>
    </w:p>
    <w:p w:rsidR="00F06EC9" w:rsidRDefault="00F06EC9" w:rsidP="00686BB9">
      <w:pPr>
        <w:widowControl/>
        <w:tabs>
          <w:tab w:val="left" w:pos="1080"/>
        </w:tabs>
        <w:jc w:val="center"/>
        <w:rPr>
          <w:rFonts w:ascii="Times New Roman" w:hAnsi="Times New Roman"/>
          <w:b/>
          <w:bCs/>
        </w:rPr>
      </w:pPr>
    </w:p>
    <w:p w:rsidR="00686BB9" w:rsidRDefault="00686BB9" w:rsidP="00686BB9">
      <w:pPr>
        <w:widowControl/>
        <w:tabs>
          <w:tab w:val="left" w:pos="360"/>
        </w:tabs>
        <w:rPr>
          <w:rFonts w:ascii="Times" w:hAnsi="Times"/>
        </w:rPr>
      </w:pPr>
    </w:p>
    <w:p w:rsidR="00F06EC9" w:rsidRPr="00AB6A90" w:rsidRDefault="00F06EC9" w:rsidP="00F06EC9">
      <w:pPr>
        <w:pStyle w:val="Heading1"/>
        <w:rPr>
          <w:sz w:val="24"/>
          <w:szCs w:val="24"/>
        </w:rPr>
      </w:pPr>
      <w:r w:rsidRPr="00AB6A90">
        <w:rPr>
          <w:sz w:val="24"/>
          <w:szCs w:val="24"/>
        </w:rPr>
        <w:t xml:space="preserve">Statistical Methods </w:t>
      </w:r>
    </w:p>
    <w:p w:rsidR="00686BB9" w:rsidRPr="00AB6A90" w:rsidRDefault="00686BB9" w:rsidP="00686BB9">
      <w:pPr>
        <w:widowControl/>
        <w:tabs>
          <w:tab w:val="left" w:pos="360"/>
        </w:tabs>
        <w:rPr>
          <w:rFonts w:ascii="Times" w:hAnsi="Times"/>
          <w:sz w:val="22"/>
          <w:szCs w:val="22"/>
        </w:rPr>
      </w:pPr>
    </w:p>
    <w:p w:rsidR="00604EC8" w:rsidRDefault="006F4A4B" w:rsidP="00686BB9">
      <w:pPr>
        <w:widowControl/>
        <w:tabs>
          <w:tab w:val="left" w:pos="360"/>
        </w:tabs>
        <w:ind w:firstLine="360"/>
        <w:rPr>
          <w:rFonts w:ascii="Times" w:hAnsi="Times"/>
        </w:rPr>
      </w:pPr>
      <w:r w:rsidRPr="00A42A08">
        <w:rPr>
          <w:rFonts w:ascii="Times" w:hAnsi="Times"/>
        </w:rPr>
        <w:t xml:space="preserve">The Federal Reserve uses this voluntary survey to collect qualitative and limited quantitative information about liability management, the provision of financial services, and the functioning of key financial markets from a selection of </w:t>
      </w:r>
      <w:r w:rsidR="00603895">
        <w:rPr>
          <w:rFonts w:ascii="Times" w:hAnsi="Times"/>
        </w:rPr>
        <w:t xml:space="preserve">up to </w:t>
      </w:r>
      <w:r w:rsidR="00BD3DB9">
        <w:rPr>
          <w:rFonts w:ascii="Times" w:hAnsi="Times"/>
        </w:rPr>
        <w:t>8</w:t>
      </w:r>
      <w:r w:rsidR="00D136BF">
        <w:rPr>
          <w:rFonts w:ascii="Times" w:hAnsi="Times"/>
        </w:rPr>
        <w:t>0</w:t>
      </w:r>
      <w:r w:rsidR="00D136BF" w:rsidRPr="00A42A08">
        <w:rPr>
          <w:rFonts w:ascii="Times" w:hAnsi="Times"/>
        </w:rPr>
        <w:t xml:space="preserve"> </w:t>
      </w:r>
      <w:r w:rsidRPr="00A42A08">
        <w:rPr>
          <w:rFonts w:ascii="Times" w:hAnsi="Times"/>
        </w:rPr>
        <w:t xml:space="preserve">large commercial banks (or, if appropriate, from other depository institutions or major financial market participants).  </w:t>
      </w:r>
      <w:r w:rsidR="00604EC8">
        <w:rPr>
          <w:rFonts w:ascii="Times" w:hAnsi="Times"/>
        </w:rPr>
        <w:t>R</w:t>
      </w:r>
      <w:r w:rsidRPr="00A42A08">
        <w:rPr>
          <w:rFonts w:ascii="Times" w:hAnsi="Times"/>
        </w:rPr>
        <w:t xml:space="preserve">esponses are obtained from a senior officer at each participating institution through a telephone interview conducted by </w:t>
      </w:r>
      <w:r w:rsidR="00EA6307">
        <w:rPr>
          <w:rFonts w:ascii="Times" w:hAnsi="Times"/>
        </w:rPr>
        <w:t>the Federal Reserve</w:t>
      </w:r>
      <w:r w:rsidRPr="00A42A08">
        <w:rPr>
          <w:rFonts w:ascii="Times" w:hAnsi="Times"/>
        </w:rPr>
        <w:t>.</w:t>
      </w:r>
      <w:r w:rsidR="00563599">
        <w:rPr>
          <w:rFonts w:ascii="Times" w:hAnsi="Times"/>
        </w:rPr>
        <w:t xml:space="preserve">  </w:t>
      </w:r>
    </w:p>
    <w:p w:rsidR="00604EC8" w:rsidRDefault="00604EC8" w:rsidP="00686BB9">
      <w:pPr>
        <w:widowControl/>
        <w:tabs>
          <w:tab w:val="left" w:pos="360"/>
        </w:tabs>
        <w:ind w:firstLine="360"/>
        <w:rPr>
          <w:rFonts w:ascii="Times" w:hAnsi="Times"/>
        </w:rPr>
      </w:pPr>
    </w:p>
    <w:p w:rsidR="00604EC8" w:rsidRPr="00A42A08" w:rsidRDefault="00604EC8" w:rsidP="00604EC8">
      <w:pPr>
        <w:widowControl/>
        <w:tabs>
          <w:tab w:val="left" w:pos="360"/>
        </w:tabs>
        <w:ind w:firstLine="360"/>
        <w:rPr>
          <w:rFonts w:ascii="Times" w:hAnsi="Times"/>
        </w:rPr>
      </w:pPr>
      <w:r w:rsidRPr="00A42A08">
        <w:rPr>
          <w:rFonts w:ascii="Times" w:hAnsi="Times"/>
        </w:rPr>
        <w:t xml:space="preserve">The primary panel of respondents currently comprises </w:t>
      </w:r>
      <w:r w:rsidR="00BD3DB9">
        <w:rPr>
          <w:rFonts w:ascii="Times" w:hAnsi="Times"/>
        </w:rPr>
        <w:t>55</w:t>
      </w:r>
      <w:r w:rsidRPr="00A42A08">
        <w:rPr>
          <w:rFonts w:ascii="Times" w:hAnsi="Times"/>
        </w:rPr>
        <w:t xml:space="preserve"> large</w:t>
      </w:r>
      <w:r>
        <w:rPr>
          <w:rFonts w:ascii="Times" w:hAnsi="Times"/>
        </w:rPr>
        <w:t>,</w:t>
      </w:r>
      <w:r w:rsidRPr="00A42A08">
        <w:rPr>
          <w:rFonts w:ascii="Times" w:hAnsi="Times"/>
        </w:rPr>
        <w:t xml:space="preserve"> domestically chartered commercial banks, distributed as evenly as possible across Federal Reserve districts.</w:t>
      </w:r>
      <w:r>
        <w:rPr>
          <w:rFonts w:ascii="Times" w:hAnsi="Times"/>
        </w:rPr>
        <w:t xml:space="preserve">  </w:t>
      </w:r>
      <w:r w:rsidRPr="00A42A08">
        <w:rPr>
          <w:rFonts w:ascii="Times" w:hAnsi="Times"/>
        </w:rPr>
        <w:t>Although the primary panel of respondents has been, and will likely continue to be, appropriate for most survey topics, panels based on alternative criteria may be more appropriate and efficient for some situations.  Consequently, the option would continue to be available to survey other depository institutions or major participants in financial markets.  This option greatly enhances the potential scope and utility of the survey.</w:t>
      </w:r>
    </w:p>
    <w:p w:rsidR="00604EC8" w:rsidRDefault="00604EC8" w:rsidP="00686BB9">
      <w:pPr>
        <w:widowControl/>
        <w:tabs>
          <w:tab w:val="left" w:pos="360"/>
        </w:tabs>
        <w:ind w:firstLine="360"/>
        <w:rPr>
          <w:rFonts w:ascii="Times" w:hAnsi="Times"/>
        </w:rPr>
      </w:pPr>
    </w:p>
    <w:p w:rsidR="00AB6A90" w:rsidRDefault="00AB6A90" w:rsidP="00AB6A90">
      <w:pPr>
        <w:widowControl/>
        <w:tabs>
          <w:tab w:val="left" w:pos="360"/>
        </w:tabs>
        <w:ind w:firstLine="360"/>
        <w:rPr>
          <w:rFonts w:ascii="Times" w:hAnsi="Times"/>
        </w:rPr>
      </w:pPr>
      <w:r w:rsidRPr="00A42A08">
        <w:rPr>
          <w:rFonts w:ascii="Times" w:hAnsi="Times"/>
        </w:rPr>
        <w:t>The survey does not have a fixed set of questions; each survey consists of a limited number of questions directed at topics of timely interest.</w:t>
      </w:r>
      <w:r>
        <w:rPr>
          <w:rFonts w:ascii="Times" w:hAnsi="Times"/>
        </w:rPr>
        <w:t xml:space="preserve">  </w:t>
      </w:r>
      <w:r w:rsidRPr="00A42A08">
        <w:rPr>
          <w:rFonts w:ascii="Times" w:hAnsi="Times"/>
        </w:rPr>
        <w:t>To the extent possible, the Federal Reserve notifies respondents in advance as to the topic(s) to be covered in an impending survey.  In extraordinary circumstances, when such notice is not possible, the decision to waive this advance notice provision would be made only by Federal Reserve officials.  Responses are collected through a telephone interview with a senior officer at each respondent either by a Reserve Bank officer or senior</w:t>
      </w:r>
      <w:r w:rsidRPr="00A42A08">
        <w:rPr>
          <w:rFonts w:ascii="Times" w:hAnsi="Times"/>
        </w:rPr>
        <w:noBreakHyphen/>
        <w:t xml:space="preserve">level </w:t>
      </w:r>
      <w:r>
        <w:rPr>
          <w:rFonts w:ascii="Times" w:hAnsi="Times"/>
        </w:rPr>
        <w:t xml:space="preserve">Federal Reserve </w:t>
      </w:r>
      <w:r w:rsidRPr="00A42A08">
        <w:rPr>
          <w:rFonts w:ascii="Times" w:hAnsi="Times"/>
        </w:rPr>
        <w:t xml:space="preserve">staff member who has expertise in the area of bank liability management, or by a </w:t>
      </w:r>
      <w:r>
        <w:rPr>
          <w:rFonts w:ascii="Times" w:hAnsi="Times"/>
        </w:rPr>
        <w:t xml:space="preserve">Federal Reserve </w:t>
      </w:r>
      <w:r w:rsidRPr="00A42A08">
        <w:rPr>
          <w:rFonts w:ascii="Times" w:hAnsi="Times"/>
        </w:rPr>
        <w:t>staff member, as appropriate.</w:t>
      </w:r>
    </w:p>
    <w:p w:rsidR="00AB6A90" w:rsidRDefault="00AB6A90" w:rsidP="00AB6A90">
      <w:pPr>
        <w:widowControl/>
        <w:tabs>
          <w:tab w:val="left" w:pos="360"/>
        </w:tabs>
        <w:rPr>
          <w:rFonts w:ascii="Times" w:hAnsi="Times"/>
        </w:rPr>
      </w:pPr>
    </w:p>
    <w:p w:rsidR="00BD3DB9" w:rsidRDefault="00BD3DB9" w:rsidP="005B44CD">
      <w:pPr>
        <w:widowControl/>
        <w:ind w:firstLine="360"/>
        <w:rPr>
          <w:rFonts w:ascii="Times New Roman" w:hAnsi="Times New Roman"/>
          <w:color w:val="000000"/>
        </w:rPr>
      </w:pPr>
      <w:r>
        <w:rPr>
          <w:rFonts w:ascii="Times New Roman" w:hAnsi="Times New Roman"/>
          <w:color w:val="000000"/>
        </w:rPr>
        <w:t>The survey may be conducted up to four times per year.  In 1994, two surveys were conducted that assisted the Federal Reserve in its assessment of bank behavior and financial market conditions.  Since then, only two surveys have been conducted (in May 1996 and May 1998), as there were no circumstances requiring more frequent surveys. However, such circumstances could arise in the future and the Federal Reserve believes that the authority to conduct up to four surveys a year is essential in order for the Federal Reserve to maintain the ability to keep abreast of important market developments.</w:t>
      </w:r>
    </w:p>
    <w:p w:rsidR="00432C6E" w:rsidRDefault="006F4A4B" w:rsidP="00BD3DB9">
      <w:pPr>
        <w:widowControl/>
        <w:tabs>
          <w:tab w:val="left" w:pos="360"/>
        </w:tabs>
        <w:rPr>
          <w:rFonts w:ascii="Times" w:hAnsi="Times"/>
        </w:rPr>
      </w:pPr>
      <w:r w:rsidRPr="00A42A08">
        <w:rPr>
          <w:rFonts w:ascii="Times" w:hAnsi="Times"/>
        </w:rPr>
        <w:t xml:space="preserve">  </w:t>
      </w:r>
    </w:p>
    <w:p w:rsidR="00604EC8" w:rsidRDefault="00604EC8" w:rsidP="00604EC8">
      <w:pPr>
        <w:widowControl/>
        <w:tabs>
          <w:tab w:val="left" w:pos="360"/>
        </w:tabs>
        <w:ind w:firstLine="360"/>
        <w:rPr>
          <w:rFonts w:ascii="Times" w:hAnsi="Times"/>
        </w:rPr>
      </w:pPr>
      <w:r w:rsidRPr="00A42A08">
        <w:rPr>
          <w:rFonts w:ascii="Times" w:hAnsi="Times"/>
        </w:rPr>
        <w:t xml:space="preserve">The Federal Reserve uses the Senior Financial Officer Survey to obtain information about deposit pricing and behavior, bank liability management, the provision of financial services, and reserve management practices.  The survey helps pinpoint developing trends in bank funding practices, enabling the Federal Reserve to distinguish these trends from transitory phenomena.  It </w:t>
      </w:r>
      <w:r w:rsidRPr="00A42A08">
        <w:rPr>
          <w:rFonts w:ascii="Times" w:hAnsi="Times"/>
        </w:rPr>
        <w:lastRenderedPageBreak/>
        <w:t>also complements other deposit reports that, by themselves, provi</w:t>
      </w:r>
      <w:r>
        <w:rPr>
          <w:rFonts w:ascii="Times" w:hAnsi="Times"/>
        </w:rPr>
        <w:t>de limited</w:t>
      </w:r>
      <w:r w:rsidRPr="00A42A08">
        <w:rPr>
          <w:rFonts w:ascii="Times" w:hAnsi="Times"/>
        </w:rPr>
        <w:t xml:space="preserve"> insight into the causes of the changing behavior of deposit holders and depository institutions.  Moreover, the survey has given the Federal Reserve the opportunity to follow periodic developments in financial markets related to extraordinary events that are beyond the scope of other reports.</w:t>
      </w:r>
    </w:p>
    <w:p w:rsidR="00604EC8" w:rsidRDefault="00604EC8" w:rsidP="00604EC8">
      <w:pPr>
        <w:widowControl/>
        <w:tabs>
          <w:tab w:val="left" w:pos="360"/>
        </w:tabs>
        <w:ind w:firstLine="360"/>
        <w:rPr>
          <w:rFonts w:ascii="Times" w:hAnsi="Times"/>
        </w:rPr>
      </w:pPr>
    </w:p>
    <w:p w:rsidR="00604EC8" w:rsidRDefault="00604EC8" w:rsidP="00604EC8">
      <w:pPr>
        <w:widowControl/>
        <w:tabs>
          <w:tab w:val="left" w:pos="360"/>
        </w:tabs>
        <w:ind w:firstLine="360"/>
        <w:rPr>
          <w:rFonts w:ascii="Times" w:hAnsi="Times"/>
        </w:rPr>
      </w:pPr>
      <w:r>
        <w:rPr>
          <w:rFonts w:ascii="Times" w:hAnsi="Times"/>
        </w:rPr>
        <w:t>T</w:t>
      </w:r>
      <w:r w:rsidRPr="00A42A08">
        <w:rPr>
          <w:rFonts w:ascii="Times" w:hAnsi="Times"/>
        </w:rPr>
        <w:t>he Senior Financial Officer Survey has assisted the Federal Reserve in its assessment of bank behavior and financial market conditions by improving knowledge of institutional arrangements and by permitting prompt inquiries in response to unusual circumstances.  Information collected through the survey has also been used by the Federal Open Market Committee and has contributed to the</w:t>
      </w:r>
      <w:r>
        <w:rPr>
          <w:rFonts w:ascii="Times" w:hAnsi="Times"/>
        </w:rPr>
        <w:t xml:space="preserve"> formulation of monetary policy.</w:t>
      </w:r>
    </w:p>
    <w:p w:rsidR="00604EC8" w:rsidRDefault="00604EC8" w:rsidP="00604EC8">
      <w:pPr>
        <w:widowControl/>
        <w:tabs>
          <w:tab w:val="left" w:pos="360"/>
        </w:tabs>
        <w:ind w:firstLine="360"/>
        <w:rPr>
          <w:rFonts w:ascii="Times" w:hAnsi="Times"/>
        </w:rPr>
      </w:pPr>
    </w:p>
    <w:p w:rsidR="006F4A4B" w:rsidRPr="00A42A08" w:rsidRDefault="00604EC8" w:rsidP="00604EC8">
      <w:pPr>
        <w:widowControl/>
        <w:tabs>
          <w:tab w:val="left" w:pos="360"/>
        </w:tabs>
        <w:ind w:firstLine="360"/>
        <w:rPr>
          <w:rFonts w:ascii="Times" w:hAnsi="Times"/>
        </w:rPr>
      </w:pPr>
      <w:r w:rsidRPr="00A42A08">
        <w:rPr>
          <w:rFonts w:ascii="Times" w:hAnsi="Times"/>
        </w:rPr>
        <w:t xml:space="preserve">Survey responses are tabulated and summarized at the </w:t>
      </w:r>
      <w:r>
        <w:rPr>
          <w:rFonts w:ascii="Times" w:hAnsi="Times"/>
        </w:rPr>
        <w:t xml:space="preserve">Federal Reserve </w:t>
      </w:r>
      <w:r w:rsidRPr="00A42A08">
        <w:rPr>
          <w:rFonts w:ascii="Times" w:hAnsi="Times"/>
        </w:rPr>
        <w:t>Board.  Summary data are forwarded to Reserve Banks for distribution to respondents and also are available to other members of the public.</w:t>
      </w:r>
      <w:r w:rsidR="006F4A4B" w:rsidRPr="00A42A08">
        <w:rPr>
          <w:rFonts w:ascii="Times" w:hAnsi="Times"/>
        </w:rPr>
        <w:t xml:space="preserve"> </w:t>
      </w:r>
    </w:p>
    <w:p w:rsidR="006F4A4B" w:rsidRPr="00A42A08" w:rsidRDefault="006F4A4B">
      <w:pPr>
        <w:widowControl/>
        <w:tabs>
          <w:tab w:val="left" w:pos="360"/>
        </w:tabs>
        <w:rPr>
          <w:rFonts w:ascii="Times" w:hAnsi="Times"/>
        </w:rPr>
      </w:pPr>
    </w:p>
    <w:p w:rsidR="006F4A4B" w:rsidRPr="00A42A08" w:rsidRDefault="00344245">
      <w:pPr>
        <w:widowControl/>
        <w:tabs>
          <w:tab w:val="left" w:pos="360"/>
        </w:tabs>
        <w:rPr>
          <w:rFonts w:ascii="Times" w:hAnsi="Times"/>
        </w:rPr>
      </w:pPr>
      <w:r>
        <w:rPr>
          <w:rFonts w:ascii="Times" w:hAnsi="Times"/>
        </w:rPr>
        <w:tab/>
      </w:r>
    </w:p>
    <w:p w:rsidR="006F4A4B" w:rsidRPr="00A42A08" w:rsidRDefault="006F4A4B">
      <w:pPr>
        <w:widowControl/>
        <w:tabs>
          <w:tab w:val="left" w:pos="360"/>
        </w:tabs>
        <w:rPr>
          <w:rFonts w:ascii="Times" w:hAnsi="Times"/>
        </w:rPr>
      </w:pPr>
    </w:p>
    <w:p w:rsidR="006C205A" w:rsidRDefault="006C205A" w:rsidP="006C205A">
      <w:pPr>
        <w:widowControl/>
        <w:tabs>
          <w:tab w:val="left" w:pos="360"/>
        </w:tabs>
        <w:ind w:firstLine="360"/>
        <w:rPr>
          <w:rFonts w:ascii="Times" w:hAnsi="Times"/>
        </w:rPr>
      </w:pPr>
    </w:p>
    <w:p w:rsidR="006C205A" w:rsidRDefault="006C205A" w:rsidP="006C205A">
      <w:pPr>
        <w:widowControl/>
        <w:tabs>
          <w:tab w:val="left" w:pos="360"/>
        </w:tabs>
        <w:ind w:firstLine="360"/>
        <w:rPr>
          <w:rFonts w:ascii="Times" w:hAnsi="Times"/>
        </w:rPr>
      </w:pPr>
    </w:p>
    <w:sectPr w:rsidR="006C205A" w:rsidSect="00AB6A90">
      <w:footerReference w:type="even" r:id="rId6"/>
      <w:footerReference w:type="default" r:id="rId7"/>
      <w:endnotePr>
        <w:numFmt w:val="decimal"/>
      </w:endnotePr>
      <w:type w:val="continuous"/>
      <w:pgSz w:w="12240" w:h="15840"/>
      <w:pgMar w:top="1440" w:right="1440" w:bottom="1440" w:left="1440" w:header="1440" w:footer="135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DA" w:rsidRDefault="00BD3DB9" w:rsidP="00825670">
      <w:r>
        <w:separator/>
      </w:r>
    </w:p>
  </w:endnote>
  <w:endnote w:type="continuationSeparator" w:id="0">
    <w:p w:rsidR="00AE28DA" w:rsidRDefault="00BD3DB9" w:rsidP="00825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C8" w:rsidRDefault="00AE28DA" w:rsidP="00224924">
    <w:pPr>
      <w:pStyle w:val="Footer"/>
      <w:framePr w:wrap="around" w:vAnchor="text" w:hAnchor="margin" w:xAlign="center" w:y="1"/>
      <w:rPr>
        <w:rStyle w:val="PageNumber"/>
      </w:rPr>
    </w:pPr>
    <w:r>
      <w:rPr>
        <w:rStyle w:val="PageNumber"/>
      </w:rPr>
      <w:fldChar w:fldCharType="begin"/>
    </w:r>
    <w:r w:rsidR="00604EC8">
      <w:rPr>
        <w:rStyle w:val="PageNumber"/>
      </w:rPr>
      <w:instrText xml:space="preserve">PAGE  </w:instrText>
    </w:r>
    <w:r>
      <w:rPr>
        <w:rStyle w:val="PageNumber"/>
      </w:rPr>
      <w:fldChar w:fldCharType="end"/>
    </w:r>
  </w:p>
  <w:p w:rsidR="00604EC8" w:rsidRDefault="00604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C8" w:rsidRPr="00224924" w:rsidRDefault="00AE28DA" w:rsidP="00224924">
    <w:pPr>
      <w:pStyle w:val="Footer"/>
      <w:framePr w:wrap="around" w:vAnchor="text" w:hAnchor="margin" w:xAlign="center" w:y="1"/>
      <w:rPr>
        <w:rStyle w:val="PageNumber"/>
        <w:rFonts w:ascii="Times" w:hAnsi="Times"/>
      </w:rPr>
    </w:pPr>
    <w:r w:rsidRPr="00224924">
      <w:rPr>
        <w:rStyle w:val="PageNumber"/>
        <w:rFonts w:ascii="Times" w:hAnsi="Times"/>
      </w:rPr>
      <w:fldChar w:fldCharType="begin"/>
    </w:r>
    <w:r w:rsidR="00604EC8" w:rsidRPr="00224924">
      <w:rPr>
        <w:rStyle w:val="PageNumber"/>
        <w:rFonts w:ascii="Times" w:hAnsi="Times"/>
      </w:rPr>
      <w:instrText xml:space="preserve">PAGE  </w:instrText>
    </w:r>
    <w:r w:rsidRPr="00224924">
      <w:rPr>
        <w:rStyle w:val="PageNumber"/>
        <w:rFonts w:ascii="Times" w:hAnsi="Times"/>
      </w:rPr>
      <w:fldChar w:fldCharType="separate"/>
    </w:r>
    <w:r w:rsidR="00270A91">
      <w:rPr>
        <w:rStyle w:val="PageNumber"/>
        <w:rFonts w:ascii="Times" w:hAnsi="Times"/>
        <w:noProof/>
      </w:rPr>
      <w:t>1</w:t>
    </w:r>
    <w:r w:rsidRPr="00224924">
      <w:rPr>
        <w:rStyle w:val="PageNumber"/>
        <w:rFonts w:ascii="Times" w:hAnsi="Times"/>
      </w:rPr>
      <w:fldChar w:fldCharType="end"/>
    </w:r>
  </w:p>
  <w:p w:rsidR="00604EC8" w:rsidRDefault="00604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DA" w:rsidRDefault="00BD3DB9" w:rsidP="00825670">
      <w:r>
        <w:separator/>
      </w:r>
    </w:p>
  </w:footnote>
  <w:footnote w:type="continuationSeparator" w:id="0">
    <w:p w:rsidR="00AE28DA" w:rsidRDefault="00BD3DB9" w:rsidP="00825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5C0"/>
    <w:rsid w:val="00057F40"/>
    <w:rsid w:val="00063618"/>
    <w:rsid w:val="00154CB9"/>
    <w:rsid w:val="001B7E85"/>
    <w:rsid w:val="002059AA"/>
    <w:rsid w:val="00224924"/>
    <w:rsid w:val="00231BE8"/>
    <w:rsid w:val="00270A91"/>
    <w:rsid w:val="00273BE3"/>
    <w:rsid w:val="002A55DA"/>
    <w:rsid w:val="002B7161"/>
    <w:rsid w:val="002C4B68"/>
    <w:rsid w:val="003161AE"/>
    <w:rsid w:val="00333F76"/>
    <w:rsid w:val="00335071"/>
    <w:rsid w:val="00344245"/>
    <w:rsid w:val="00363AD1"/>
    <w:rsid w:val="00372FDE"/>
    <w:rsid w:val="003B0765"/>
    <w:rsid w:val="003B35D6"/>
    <w:rsid w:val="00414776"/>
    <w:rsid w:val="00432C6E"/>
    <w:rsid w:val="004551E7"/>
    <w:rsid w:val="00470849"/>
    <w:rsid w:val="00482C13"/>
    <w:rsid w:val="004F189B"/>
    <w:rsid w:val="005261B6"/>
    <w:rsid w:val="00542B0F"/>
    <w:rsid w:val="00546321"/>
    <w:rsid w:val="00563599"/>
    <w:rsid w:val="00563ECC"/>
    <w:rsid w:val="00572E05"/>
    <w:rsid w:val="005A656E"/>
    <w:rsid w:val="005B44CD"/>
    <w:rsid w:val="005D0856"/>
    <w:rsid w:val="00603895"/>
    <w:rsid w:val="00604EC8"/>
    <w:rsid w:val="0068058A"/>
    <w:rsid w:val="00686BB9"/>
    <w:rsid w:val="006A24BE"/>
    <w:rsid w:val="006C205A"/>
    <w:rsid w:val="006D36BA"/>
    <w:rsid w:val="006E2DDE"/>
    <w:rsid w:val="006F4A4B"/>
    <w:rsid w:val="007115A6"/>
    <w:rsid w:val="007325C1"/>
    <w:rsid w:val="00735D97"/>
    <w:rsid w:val="007427A4"/>
    <w:rsid w:val="00791511"/>
    <w:rsid w:val="00794C11"/>
    <w:rsid w:val="007D1294"/>
    <w:rsid w:val="007F0B9C"/>
    <w:rsid w:val="007F391B"/>
    <w:rsid w:val="00806755"/>
    <w:rsid w:val="00834553"/>
    <w:rsid w:val="00855EED"/>
    <w:rsid w:val="008F0AEE"/>
    <w:rsid w:val="00900BE6"/>
    <w:rsid w:val="009215C0"/>
    <w:rsid w:val="009B0728"/>
    <w:rsid w:val="009B4F2F"/>
    <w:rsid w:val="00A11BD8"/>
    <w:rsid w:val="00A42A08"/>
    <w:rsid w:val="00AB2DEC"/>
    <w:rsid w:val="00AB59C8"/>
    <w:rsid w:val="00AB6A90"/>
    <w:rsid w:val="00AD5228"/>
    <w:rsid w:val="00AD6635"/>
    <w:rsid w:val="00AE28DA"/>
    <w:rsid w:val="00AE6E9F"/>
    <w:rsid w:val="00B0768E"/>
    <w:rsid w:val="00B22D07"/>
    <w:rsid w:val="00B31FD8"/>
    <w:rsid w:val="00B36E5A"/>
    <w:rsid w:val="00B72078"/>
    <w:rsid w:val="00B823D9"/>
    <w:rsid w:val="00BD2C0C"/>
    <w:rsid w:val="00BD3DB9"/>
    <w:rsid w:val="00BE7A92"/>
    <w:rsid w:val="00C54F6F"/>
    <w:rsid w:val="00CA25CF"/>
    <w:rsid w:val="00CD3310"/>
    <w:rsid w:val="00D136BF"/>
    <w:rsid w:val="00D22F17"/>
    <w:rsid w:val="00D53BC8"/>
    <w:rsid w:val="00D90B43"/>
    <w:rsid w:val="00D94F88"/>
    <w:rsid w:val="00DA1821"/>
    <w:rsid w:val="00DC27D5"/>
    <w:rsid w:val="00DC512B"/>
    <w:rsid w:val="00E219A2"/>
    <w:rsid w:val="00E60570"/>
    <w:rsid w:val="00E81E2E"/>
    <w:rsid w:val="00E93A5A"/>
    <w:rsid w:val="00EA6307"/>
    <w:rsid w:val="00EC54E7"/>
    <w:rsid w:val="00EC6BC9"/>
    <w:rsid w:val="00ED5FAA"/>
    <w:rsid w:val="00EE6C9B"/>
    <w:rsid w:val="00F06EC9"/>
    <w:rsid w:val="00F22DB0"/>
    <w:rsid w:val="00F44DC2"/>
    <w:rsid w:val="00F63209"/>
    <w:rsid w:val="00FC23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D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F06EC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0"/>
    </w:pPr>
    <w:rPr>
      <w:rFonts w:ascii="Times New Roman" w:hAnsi="Times New Roman"/>
      <w:b/>
      <w:bCs/>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E28DA"/>
  </w:style>
  <w:style w:type="paragraph" w:styleId="Title">
    <w:name w:val="Title"/>
    <w:basedOn w:val="Normal"/>
    <w:qFormat/>
    <w:rsid w:val="00AE28DA"/>
    <w:pPr>
      <w:widowControl/>
      <w:tabs>
        <w:tab w:val="left" w:pos="1440"/>
      </w:tabs>
      <w:jc w:val="center"/>
    </w:pPr>
    <w:rPr>
      <w:rFonts w:ascii="Times" w:hAnsi="Times"/>
      <w:b/>
      <w:bCs/>
    </w:rPr>
  </w:style>
  <w:style w:type="paragraph" w:styleId="Header">
    <w:name w:val="header"/>
    <w:basedOn w:val="Normal"/>
    <w:link w:val="HeaderChar"/>
    <w:rsid w:val="00AE28DA"/>
    <w:pPr>
      <w:tabs>
        <w:tab w:val="center" w:pos="4320"/>
        <w:tab w:val="right" w:pos="8640"/>
      </w:tabs>
    </w:pPr>
  </w:style>
  <w:style w:type="paragraph" w:styleId="Footer">
    <w:name w:val="footer"/>
    <w:basedOn w:val="Normal"/>
    <w:rsid w:val="00AE28DA"/>
    <w:pPr>
      <w:tabs>
        <w:tab w:val="center" w:pos="4320"/>
        <w:tab w:val="right" w:pos="8640"/>
      </w:tabs>
    </w:pPr>
  </w:style>
  <w:style w:type="character" w:styleId="PageNumber">
    <w:name w:val="page number"/>
    <w:basedOn w:val="DefaultParagraphFont"/>
    <w:rsid w:val="00A42A08"/>
  </w:style>
  <w:style w:type="paragraph" w:styleId="BalloonText">
    <w:name w:val="Balloon Text"/>
    <w:basedOn w:val="Normal"/>
    <w:semiHidden/>
    <w:rsid w:val="00414776"/>
    <w:rPr>
      <w:rFonts w:ascii="Tahoma" w:hAnsi="Tahoma" w:cs="Tahoma"/>
      <w:sz w:val="16"/>
      <w:szCs w:val="16"/>
    </w:rPr>
  </w:style>
  <w:style w:type="character" w:styleId="CommentReference">
    <w:name w:val="annotation reference"/>
    <w:basedOn w:val="DefaultParagraphFont"/>
    <w:semiHidden/>
    <w:rsid w:val="00CA25CF"/>
    <w:rPr>
      <w:sz w:val="16"/>
      <w:szCs w:val="16"/>
    </w:rPr>
  </w:style>
  <w:style w:type="paragraph" w:styleId="CommentText">
    <w:name w:val="annotation text"/>
    <w:basedOn w:val="Normal"/>
    <w:semiHidden/>
    <w:rsid w:val="00CA25CF"/>
    <w:rPr>
      <w:sz w:val="20"/>
      <w:szCs w:val="20"/>
    </w:rPr>
  </w:style>
  <w:style w:type="paragraph" w:styleId="CommentSubject">
    <w:name w:val="annotation subject"/>
    <w:basedOn w:val="CommentText"/>
    <w:next w:val="CommentText"/>
    <w:semiHidden/>
    <w:rsid w:val="00CA25CF"/>
    <w:rPr>
      <w:b/>
      <w:bCs/>
    </w:rPr>
  </w:style>
  <w:style w:type="paragraph" w:styleId="FootnoteText">
    <w:name w:val="footnote text"/>
    <w:basedOn w:val="Normal"/>
    <w:link w:val="FootnoteTextChar"/>
    <w:semiHidden/>
    <w:rsid w:val="00E60570"/>
    <w:rPr>
      <w:sz w:val="20"/>
      <w:szCs w:val="20"/>
    </w:rPr>
  </w:style>
  <w:style w:type="character" w:customStyle="1" w:styleId="FootnoteTextChar">
    <w:name w:val="Footnote Text Char"/>
    <w:basedOn w:val="DefaultParagraphFont"/>
    <w:link w:val="FootnoteText"/>
    <w:rsid w:val="009B4F2F"/>
    <w:rPr>
      <w:rFonts w:ascii="Courier" w:hAnsi="Courier"/>
      <w:lang w:val="en-US" w:eastAsia="en-US" w:bidi="ar-SA"/>
    </w:rPr>
  </w:style>
  <w:style w:type="character" w:customStyle="1" w:styleId="HeaderChar">
    <w:name w:val="Header Char"/>
    <w:basedOn w:val="DefaultParagraphFont"/>
    <w:link w:val="Header"/>
    <w:rsid w:val="00F06EC9"/>
    <w:rPr>
      <w:rFonts w:ascii="Courier" w:hAnsi="Courier"/>
      <w:sz w:val="24"/>
      <w:szCs w:val="24"/>
      <w:lang w:val="en-US" w:eastAsia="en-US" w:bidi="ar-SA"/>
    </w:rPr>
  </w:style>
  <w:style w:type="character" w:customStyle="1" w:styleId="Heading1Char">
    <w:name w:val="Heading 1 Char"/>
    <w:basedOn w:val="DefaultParagraphFont"/>
    <w:link w:val="Heading1"/>
    <w:rsid w:val="00F06EC9"/>
    <w:rPr>
      <w:b/>
      <w:bCs/>
      <w:snapToGrid w:val="0"/>
      <w:sz w:val="32"/>
      <w:szCs w:val="3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589</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Division of  Research and Statistics</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Nicole S. Padar</dc:creator>
  <cp:keywords/>
  <dc:description/>
  <cp:lastModifiedBy>Scott William Farmer</cp:lastModifiedBy>
  <cp:revision>5</cp:revision>
  <cp:lastPrinted>2009-04-07T19:45:00Z</cp:lastPrinted>
  <dcterms:created xsi:type="dcterms:W3CDTF">2012-05-15T14:51:00Z</dcterms:created>
  <dcterms:modified xsi:type="dcterms:W3CDTF">2012-05-31T18:03:00Z</dcterms:modified>
</cp:coreProperties>
</file>