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86" w:rsidRPr="00DC3686" w:rsidRDefault="00DC3686" w:rsidP="00DC3686">
      <w:pPr>
        <w:rPr>
          <w:rFonts w:ascii="Arial" w:hAnsi="Arial" w:cs="Arial"/>
          <w:b/>
          <w:bCs/>
          <w:sz w:val="24"/>
          <w:szCs w:val="24"/>
        </w:rPr>
      </w:pPr>
      <w:r w:rsidRPr="00DC3686">
        <w:rPr>
          <w:rFonts w:ascii="Arial" w:hAnsi="Arial" w:cs="Arial"/>
          <w:b/>
          <w:bCs/>
          <w:sz w:val="24"/>
          <w:szCs w:val="24"/>
        </w:rPr>
        <w:t>Response to OMB Terms of Clearance for the CEAP Docket (0535-0245)</w:t>
      </w:r>
    </w:p>
    <w:p w:rsidR="00DC3686" w:rsidRPr="00DC3686" w:rsidRDefault="00DC3686" w:rsidP="00DC3686">
      <w:pPr>
        <w:rPr>
          <w:rFonts w:ascii="Arial" w:hAnsi="Arial" w:cs="Arial"/>
          <w:b/>
          <w:bCs/>
          <w:sz w:val="24"/>
          <w:szCs w:val="24"/>
        </w:rPr>
      </w:pPr>
    </w:p>
    <w:p w:rsidR="00DC3686" w:rsidRPr="00DC3686" w:rsidRDefault="00DC3686" w:rsidP="00DC3686">
      <w:pPr>
        <w:rPr>
          <w:rFonts w:ascii="Arial" w:hAnsi="Arial" w:cs="Arial"/>
          <w:b/>
          <w:bCs/>
          <w:sz w:val="24"/>
          <w:szCs w:val="24"/>
        </w:rPr>
      </w:pPr>
      <w:r w:rsidRPr="00DC3686">
        <w:rPr>
          <w:rFonts w:ascii="Arial" w:hAnsi="Arial" w:cs="Arial"/>
          <w:b/>
          <w:bCs/>
          <w:sz w:val="24"/>
          <w:szCs w:val="24"/>
        </w:rPr>
        <w:t>CEAP response rate computation</w:t>
      </w:r>
    </w:p>
    <w:p w:rsidR="00DC3686" w:rsidRPr="00DC3686" w:rsidRDefault="00DC3686" w:rsidP="00DC3686">
      <w:pPr>
        <w:rPr>
          <w:rFonts w:ascii="Arial" w:hAnsi="Arial" w:cs="Arial"/>
          <w:b/>
          <w:bCs/>
          <w:sz w:val="24"/>
          <w:szCs w:val="24"/>
        </w:rPr>
      </w:pPr>
    </w:p>
    <w:p w:rsidR="00DC3686" w:rsidRPr="00E86E81" w:rsidRDefault="00DC3686" w:rsidP="00DC3686">
      <w:pPr>
        <w:rPr>
          <w:rFonts w:ascii="Arial" w:hAnsi="Arial" w:cs="Arial"/>
          <w:sz w:val="24"/>
          <w:szCs w:val="24"/>
        </w:rPr>
      </w:pPr>
      <w:r w:rsidRPr="00E86E81">
        <w:rPr>
          <w:rFonts w:ascii="Arial" w:hAnsi="Arial" w:cs="Arial"/>
          <w:sz w:val="24"/>
          <w:szCs w:val="24"/>
        </w:rPr>
        <w:t>The CEAP survey is a sample of points, targeting cropland, from the National Resource Inventory frame developed at Iowa State University  for the National Resource Conservation Service.  NASS enumerators determine the individual operating the field containing each sampled point and conduct interviews to determine if the land is used for the purposes covered by the program and, if qualified, chemical use and production practices in those fields.  Since the interviews are very comprehensive and lengthy, NRCS and NASS agreed that all respondents will have a one interview limit.  Any points that result in a second interview for a respondent are removed from the sample.  Therefore, the operating sample size is less than the original number of points selected.</w:t>
      </w:r>
    </w:p>
    <w:p w:rsidR="00DC3686" w:rsidRPr="00E86E81" w:rsidRDefault="00DC3686" w:rsidP="00DC3686">
      <w:pPr>
        <w:rPr>
          <w:rFonts w:ascii="Arial" w:hAnsi="Arial" w:cs="Arial"/>
          <w:sz w:val="24"/>
          <w:szCs w:val="24"/>
        </w:rPr>
      </w:pPr>
    </w:p>
    <w:p w:rsidR="00DC3686" w:rsidRPr="00E86E81" w:rsidRDefault="00DC3686" w:rsidP="00DC3686">
      <w:pPr>
        <w:rPr>
          <w:rFonts w:ascii="Arial" w:hAnsi="Arial" w:cs="Arial"/>
          <w:sz w:val="24"/>
          <w:szCs w:val="24"/>
        </w:rPr>
      </w:pPr>
      <w:r w:rsidRPr="00E86E81">
        <w:rPr>
          <w:rFonts w:ascii="Arial" w:hAnsi="Arial" w:cs="Arial"/>
          <w:sz w:val="24"/>
          <w:szCs w:val="24"/>
        </w:rPr>
        <w:t>The response rate is derived as the sum of the completed interviews plus those determined to be out of scope divided by the number of operating samples.  Out of scope are those points falling in fields that are not used for agricultural production or used for commodities not studied under the CEAP.  This would include urban uses like housing developments or commercial use; fruit, nut, nursery, and CRP uses as they are not under continuous cultivation; and recreational use like parks and golf courses.</w:t>
      </w:r>
    </w:p>
    <w:p w:rsidR="00470C88" w:rsidRPr="00E86E81" w:rsidRDefault="00470C88" w:rsidP="00DC3686">
      <w:pPr>
        <w:rPr>
          <w:rFonts w:ascii="Arial" w:hAnsi="Arial" w:cs="Arial"/>
          <w:sz w:val="24"/>
          <w:szCs w:val="24"/>
        </w:rPr>
      </w:pPr>
    </w:p>
    <w:p w:rsidR="00470C88" w:rsidRPr="00E86E81" w:rsidRDefault="00FF61CC" w:rsidP="00470C88">
      <w:pPr>
        <w:pStyle w:val="Default"/>
        <w:rPr>
          <w:rFonts w:ascii="Arial" w:hAnsi="Arial" w:cs="Arial"/>
          <w:color w:val="auto"/>
        </w:rPr>
      </w:pPr>
      <w:r w:rsidRPr="00E86E81">
        <w:rPr>
          <w:rFonts w:ascii="Arial" w:hAnsi="Arial" w:cs="Arial"/>
          <w:color w:val="auto"/>
        </w:rPr>
        <w:t xml:space="preserve">The response rate (RR) for CEAP is calculated </w:t>
      </w:r>
      <w:r w:rsidR="00B848F5" w:rsidRPr="00E86E81">
        <w:rPr>
          <w:rFonts w:ascii="Arial" w:hAnsi="Arial" w:cs="Arial"/>
          <w:color w:val="auto"/>
        </w:rPr>
        <w:t>using the following components</w:t>
      </w:r>
      <w:r w:rsidRPr="00E86E81">
        <w:rPr>
          <w:rFonts w:ascii="Arial" w:hAnsi="Arial" w:cs="Arial"/>
          <w:color w:val="auto"/>
        </w:rPr>
        <w:t>:</w:t>
      </w:r>
    </w:p>
    <w:p w:rsidR="00FF61CC" w:rsidRPr="00E86E81" w:rsidRDefault="00FF61CC" w:rsidP="00470C88">
      <w:pPr>
        <w:pStyle w:val="Default"/>
        <w:rPr>
          <w:rFonts w:ascii="Arial" w:hAnsi="Arial" w:cs="Arial"/>
          <w:color w:val="auto"/>
        </w:rPr>
      </w:pPr>
    </w:p>
    <w:p w:rsidR="00470C88" w:rsidRPr="00E86E81" w:rsidRDefault="00470C88" w:rsidP="00470C88">
      <w:pPr>
        <w:pStyle w:val="Default"/>
        <w:ind w:left="720"/>
        <w:rPr>
          <w:rFonts w:ascii="Arial" w:hAnsi="Arial" w:cs="Arial"/>
          <w:color w:val="auto"/>
        </w:rPr>
      </w:pPr>
      <w:r w:rsidRPr="00E86E81">
        <w:rPr>
          <w:rFonts w:ascii="Arial" w:hAnsi="Arial" w:cs="Arial"/>
          <w:color w:val="auto"/>
        </w:rPr>
        <w:t xml:space="preserve">C = number of completed cases or sufficient partials; </w:t>
      </w:r>
    </w:p>
    <w:p w:rsidR="00470C88" w:rsidRPr="00E86E81" w:rsidRDefault="00470C88" w:rsidP="00470C88">
      <w:pPr>
        <w:pStyle w:val="Default"/>
        <w:ind w:left="720"/>
        <w:rPr>
          <w:rFonts w:ascii="Arial" w:hAnsi="Arial" w:cs="Arial"/>
          <w:color w:val="auto"/>
        </w:rPr>
      </w:pPr>
      <w:r w:rsidRPr="00E86E81">
        <w:rPr>
          <w:rFonts w:ascii="Arial" w:hAnsi="Arial" w:cs="Arial"/>
          <w:color w:val="auto"/>
        </w:rPr>
        <w:t xml:space="preserve">R = number of refused cases; </w:t>
      </w:r>
    </w:p>
    <w:p w:rsidR="00FF61CC" w:rsidRPr="00E86E81" w:rsidRDefault="00FF61CC" w:rsidP="00470C88">
      <w:pPr>
        <w:pStyle w:val="Default"/>
        <w:ind w:left="720"/>
        <w:rPr>
          <w:rFonts w:ascii="Arial" w:hAnsi="Arial" w:cs="Arial"/>
          <w:color w:val="auto"/>
        </w:rPr>
      </w:pPr>
      <w:r w:rsidRPr="00E86E81">
        <w:rPr>
          <w:rFonts w:ascii="Arial" w:hAnsi="Arial" w:cs="Arial"/>
          <w:color w:val="auto"/>
        </w:rPr>
        <w:t>I = number of inaccessible cases;</w:t>
      </w:r>
    </w:p>
    <w:p w:rsidR="00470C88" w:rsidRPr="00E86E81" w:rsidRDefault="00470C88" w:rsidP="00470C88">
      <w:pPr>
        <w:pStyle w:val="Default"/>
        <w:ind w:left="720"/>
        <w:rPr>
          <w:rFonts w:ascii="Arial" w:hAnsi="Arial" w:cs="Arial"/>
          <w:color w:val="auto"/>
        </w:rPr>
      </w:pPr>
      <w:r w:rsidRPr="00E86E81">
        <w:rPr>
          <w:rFonts w:ascii="Arial" w:hAnsi="Arial" w:cs="Arial"/>
          <w:color w:val="auto"/>
        </w:rPr>
        <w:t xml:space="preserve">NC = number of noncontacted sample units known to be </w:t>
      </w:r>
      <w:r w:rsidR="00FF61CC" w:rsidRPr="00E86E81">
        <w:rPr>
          <w:rFonts w:ascii="Arial" w:hAnsi="Arial" w:cs="Arial"/>
          <w:color w:val="auto"/>
        </w:rPr>
        <w:t>in</w:t>
      </w:r>
      <w:r w:rsidRPr="00E86E81">
        <w:rPr>
          <w:rFonts w:ascii="Arial" w:hAnsi="Arial" w:cs="Arial"/>
          <w:color w:val="auto"/>
        </w:rPr>
        <w:t>eligible</w:t>
      </w:r>
      <w:r w:rsidR="00FF61CC" w:rsidRPr="00E86E81">
        <w:rPr>
          <w:rFonts w:ascii="Arial" w:hAnsi="Arial" w:cs="Arial"/>
          <w:color w:val="auto"/>
        </w:rPr>
        <w:t xml:space="preserve"> due to respondent burden</w:t>
      </w:r>
      <w:r w:rsidRPr="00E86E81">
        <w:rPr>
          <w:rFonts w:ascii="Arial" w:hAnsi="Arial" w:cs="Arial"/>
          <w:color w:val="auto"/>
        </w:rPr>
        <w:t xml:space="preserve">; </w:t>
      </w:r>
    </w:p>
    <w:p w:rsidR="00470C88" w:rsidRPr="00E86E81" w:rsidRDefault="00470C88" w:rsidP="00470C88">
      <w:pPr>
        <w:pStyle w:val="Default"/>
        <w:ind w:left="720"/>
        <w:rPr>
          <w:rFonts w:ascii="Arial" w:hAnsi="Arial" w:cs="Arial"/>
          <w:color w:val="auto"/>
        </w:rPr>
      </w:pPr>
      <w:r w:rsidRPr="00E86E81">
        <w:rPr>
          <w:rFonts w:ascii="Arial" w:hAnsi="Arial" w:cs="Arial"/>
          <w:color w:val="auto"/>
        </w:rPr>
        <w:t xml:space="preserve">OS = number of eligible sample units out-of-scope or not meeting the selection criteria; </w:t>
      </w:r>
    </w:p>
    <w:p w:rsidR="00F97102" w:rsidRPr="00E86E81" w:rsidRDefault="00F97102" w:rsidP="00470C88">
      <w:pPr>
        <w:pStyle w:val="Default"/>
        <w:rPr>
          <w:rFonts w:ascii="Arial" w:hAnsi="Arial" w:cs="Arial"/>
          <w:color w:val="auto"/>
        </w:rPr>
      </w:pPr>
    </w:p>
    <w:p w:rsidR="00470C88" w:rsidRPr="00E86E81" w:rsidRDefault="00470C88" w:rsidP="00470C88">
      <w:pPr>
        <w:pStyle w:val="Default"/>
        <w:rPr>
          <w:rFonts w:ascii="Arial" w:hAnsi="Arial" w:cs="Arial"/>
          <w:color w:val="auto"/>
        </w:rPr>
      </w:pPr>
      <w:r w:rsidRPr="00E86E81">
        <w:rPr>
          <w:rFonts w:ascii="Arial" w:hAnsi="Arial" w:cs="Arial"/>
          <w:color w:val="auto"/>
        </w:rPr>
        <w:t xml:space="preserve">The response rate represents a composite of these components: </w:t>
      </w:r>
    </w:p>
    <w:p w:rsidR="00470C88" w:rsidRPr="00E86E81" w:rsidRDefault="00470C88" w:rsidP="00470C88">
      <w:pPr>
        <w:rPr>
          <w:rFonts w:ascii="Arial" w:hAnsi="Arial" w:cs="Arial"/>
          <w:sz w:val="24"/>
          <w:szCs w:val="24"/>
        </w:rPr>
      </w:pPr>
      <w:r w:rsidRPr="00E86E81">
        <w:rPr>
          <w:rFonts w:ascii="Arial" w:hAnsi="Arial" w:cs="Arial"/>
          <w:sz w:val="24"/>
          <w:szCs w:val="24"/>
        </w:rPr>
        <w:t xml:space="preserve"> </w:t>
      </w:r>
    </w:p>
    <w:tbl>
      <w:tblPr>
        <w:tblStyle w:val="TableGrid"/>
        <w:tblW w:w="0" w:type="auto"/>
        <w:tblInd w:w="16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810"/>
        <w:gridCol w:w="2880"/>
      </w:tblGrid>
      <w:tr w:rsidR="00470C88" w:rsidRPr="00E86E81" w:rsidTr="00FF61CC">
        <w:tc>
          <w:tcPr>
            <w:tcW w:w="810" w:type="dxa"/>
            <w:vMerge w:val="restart"/>
            <w:vAlign w:val="center"/>
          </w:tcPr>
          <w:p w:rsidR="00470C88" w:rsidRPr="00E86E81" w:rsidRDefault="00470C88" w:rsidP="00FF61CC">
            <w:pPr>
              <w:jc w:val="center"/>
              <w:rPr>
                <w:rFonts w:ascii="Arial" w:hAnsi="Arial" w:cs="Arial"/>
                <w:sz w:val="24"/>
                <w:szCs w:val="24"/>
              </w:rPr>
            </w:pPr>
            <w:r w:rsidRPr="00E86E81">
              <w:rPr>
                <w:rFonts w:ascii="Arial" w:hAnsi="Arial" w:cs="Arial"/>
                <w:sz w:val="24"/>
                <w:szCs w:val="24"/>
              </w:rPr>
              <w:t>RR =</w:t>
            </w:r>
          </w:p>
        </w:tc>
        <w:tc>
          <w:tcPr>
            <w:tcW w:w="2880" w:type="dxa"/>
          </w:tcPr>
          <w:p w:rsidR="00470C88" w:rsidRPr="00E86E81" w:rsidRDefault="00470C88" w:rsidP="00FF61CC">
            <w:pPr>
              <w:jc w:val="center"/>
              <w:rPr>
                <w:rFonts w:ascii="Arial" w:hAnsi="Arial" w:cs="Arial"/>
                <w:sz w:val="24"/>
                <w:szCs w:val="24"/>
              </w:rPr>
            </w:pPr>
            <w:r w:rsidRPr="00E86E81">
              <w:rPr>
                <w:rFonts w:ascii="Arial" w:hAnsi="Arial" w:cs="Arial"/>
                <w:sz w:val="24"/>
                <w:szCs w:val="24"/>
              </w:rPr>
              <w:t>C+ OS</w:t>
            </w:r>
          </w:p>
        </w:tc>
      </w:tr>
      <w:tr w:rsidR="00470C88" w:rsidRPr="00E86E81" w:rsidTr="00FF61CC">
        <w:tc>
          <w:tcPr>
            <w:tcW w:w="810" w:type="dxa"/>
            <w:vMerge/>
          </w:tcPr>
          <w:p w:rsidR="00470C88" w:rsidRPr="00E86E81" w:rsidRDefault="00470C88" w:rsidP="00470C88">
            <w:pPr>
              <w:rPr>
                <w:rFonts w:ascii="Arial" w:hAnsi="Arial" w:cs="Arial"/>
                <w:sz w:val="24"/>
                <w:szCs w:val="24"/>
              </w:rPr>
            </w:pPr>
          </w:p>
        </w:tc>
        <w:tc>
          <w:tcPr>
            <w:tcW w:w="2880" w:type="dxa"/>
          </w:tcPr>
          <w:p w:rsidR="00470C88" w:rsidRPr="00E86E81" w:rsidRDefault="00470C88" w:rsidP="00FF61CC">
            <w:pPr>
              <w:jc w:val="center"/>
              <w:rPr>
                <w:rFonts w:ascii="Arial" w:hAnsi="Arial" w:cs="Arial"/>
                <w:sz w:val="24"/>
                <w:szCs w:val="24"/>
              </w:rPr>
            </w:pPr>
            <w:r w:rsidRPr="00E86E81">
              <w:rPr>
                <w:rFonts w:ascii="Arial" w:hAnsi="Arial" w:cs="Arial"/>
                <w:sz w:val="24"/>
                <w:szCs w:val="24"/>
              </w:rPr>
              <w:t>(C+</w:t>
            </w:r>
            <w:r w:rsidR="00FF61CC" w:rsidRPr="00E86E81">
              <w:rPr>
                <w:rFonts w:ascii="Arial" w:hAnsi="Arial" w:cs="Arial"/>
                <w:sz w:val="24"/>
                <w:szCs w:val="24"/>
              </w:rPr>
              <w:t>R+</w:t>
            </w:r>
            <w:r w:rsidR="00F97102" w:rsidRPr="00E86E81">
              <w:rPr>
                <w:rFonts w:ascii="Arial" w:hAnsi="Arial" w:cs="Arial"/>
                <w:sz w:val="24"/>
                <w:szCs w:val="24"/>
              </w:rPr>
              <w:t>I+</w:t>
            </w:r>
            <w:r w:rsidRPr="00E86E81">
              <w:rPr>
                <w:rFonts w:ascii="Arial" w:hAnsi="Arial" w:cs="Arial"/>
                <w:sz w:val="24"/>
                <w:szCs w:val="24"/>
              </w:rPr>
              <w:t>OS) -</w:t>
            </w:r>
            <w:r w:rsidR="00FF61CC" w:rsidRPr="00E86E81">
              <w:rPr>
                <w:rFonts w:ascii="Arial" w:hAnsi="Arial" w:cs="Arial"/>
                <w:sz w:val="24"/>
                <w:szCs w:val="24"/>
              </w:rPr>
              <w:t xml:space="preserve"> NC</w:t>
            </w:r>
          </w:p>
        </w:tc>
      </w:tr>
    </w:tbl>
    <w:p w:rsidR="00470C88" w:rsidRPr="00E86E81" w:rsidRDefault="00470C88" w:rsidP="00470C88">
      <w:pPr>
        <w:rPr>
          <w:rFonts w:ascii="Arial" w:hAnsi="Arial" w:cs="Arial"/>
          <w:sz w:val="24"/>
          <w:szCs w:val="24"/>
        </w:rPr>
      </w:pPr>
      <w:r w:rsidRPr="00E86E81">
        <w:rPr>
          <w:rFonts w:ascii="Arial" w:hAnsi="Arial" w:cs="Arial"/>
          <w:sz w:val="24"/>
          <w:szCs w:val="24"/>
        </w:rPr>
        <w:t xml:space="preserve"> </w:t>
      </w:r>
    </w:p>
    <w:p w:rsidR="00F97102" w:rsidRPr="00E86E81" w:rsidRDefault="00F97102" w:rsidP="00DC3686">
      <w:pPr>
        <w:rPr>
          <w:rFonts w:ascii="Arial" w:hAnsi="Arial" w:cs="Arial"/>
          <w:sz w:val="24"/>
          <w:szCs w:val="24"/>
        </w:rPr>
      </w:pPr>
      <w:r w:rsidRPr="00E86E81">
        <w:rPr>
          <w:rFonts w:ascii="Arial" w:hAnsi="Arial" w:cs="Arial"/>
          <w:sz w:val="24"/>
          <w:szCs w:val="24"/>
        </w:rPr>
        <w:t xml:space="preserve">The response rate was </w:t>
      </w:r>
      <w:r w:rsidR="00E86E81">
        <w:rPr>
          <w:rFonts w:ascii="Arial" w:hAnsi="Arial" w:cs="Arial"/>
          <w:sz w:val="24"/>
          <w:szCs w:val="24"/>
        </w:rPr>
        <w:t xml:space="preserve">originally </w:t>
      </w:r>
      <w:r w:rsidRPr="00E86E81">
        <w:rPr>
          <w:rFonts w:ascii="Arial" w:hAnsi="Arial" w:cs="Arial"/>
          <w:sz w:val="24"/>
          <w:szCs w:val="24"/>
        </w:rPr>
        <w:t xml:space="preserve">calculated without removing the number of noncontacted sample units </w:t>
      </w:r>
      <w:r w:rsidR="00B848F5" w:rsidRPr="00E86E81">
        <w:rPr>
          <w:rFonts w:ascii="Arial" w:hAnsi="Arial" w:cs="Arial"/>
          <w:sz w:val="24"/>
          <w:szCs w:val="24"/>
        </w:rPr>
        <w:t xml:space="preserve">from the sample </w:t>
      </w:r>
      <w:r w:rsidRPr="00E86E81">
        <w:rPr>
          <w:rFonts w:ascii="Arial" w:hAnsi="Arial" w:cs="Arial"/>
          <w:sz w:val="24"/>
          <w:szCs w:val="24"/>
        </w:rPr>
        <w:t xml:space="preserve">resulting in a RR= 77.5 percent. </w:t>
      </w:r>
      <w:r w:rsidR="00F62AF4">
        <w:rPr>
          <w:rFonts w:ascii="Arial" w:hAnsi="Arial" w:cs="Arial"/>
          <w:sz w:val="24"/>
          <w:szCs w:val="24"/>
        </w:rPr>
        <w:t xml:space="preserve">These records were entered as nonresponse </w:t>
      </w:r>
      <w:r w:rsidR="008116AF">
        <w:rPr>
          <w:rFonts w:ascii="Arial" w:hAnsi="Arial" w:cs="Arial"/>
          <w:sz w:val="24"/>
          <w:szCs w:val="24"/>
        </w:rPr>
        <w:t xml:space="preserve">(inaccessible </w:t>
      </w:r>
      <w:r w:rsidR="00F62AF4">
        <w:rPr>
          <w:rFonts w:ascii="Arial" w:hAnsi="Arial" w:cs="Arial"/>
          <w:sz w:val="24"/>
          <w:szCs w:val="24"/>
        </w:rPr>
        <w:t>records</w:t>
      </w:r>
      <w:r w:rsidR="008116AF">
        <w:rPr>
          <w:rFonts w:ascii="Arial" w:hAnsi="Arial" w:cs="Arial"/>
          <w:sz w:val="24"/>
          <w:szCs w:val="24"/>
        </w:rPr>
        <w:t>)</w:t>
      </w:r>
      <w:r w:rsidR="00F62AF4">
        <w:rPr>
          <w:rFonts w:ascii="Arial" w:hAnsi="Arial" w:cs="Arial"/>
          <w:sz w:val="24"/>
          <w:szCs w:val="24"/>
        </w:rPr>
        <w:t xml:space="preserve"> in data entry and </w:t>
      </w:r>
      <w:r w:rsidR="008116AF">
        <w:rPr>
          <w:rFonts w:ascii="Arial" w:hAnsi="Arial" w:cs="Arial"/>
          <w:sz w:val="24"/>
          <w:szCs w:val="24"/>
        </w:rPr>
        <w:t xml:space="preserve">when </w:t>
      </w:r>
      <w:r w:rsidR="00F62AF4">
        <w:rPr>
          <w:rFonts w:ascii="Arial" w:hAnsi="Arial" w:cs="Arial"/>
          <w:sz w:val="24"/>
          <w:szCs w:val="24"/>
        </w:rPr>
        <w:t>detected</w:t>
      </w:r>
      <w:r w:rsidR="008116AF">
        <w:rPr>
          <w:rFonts w:ascii="Arial" w:hAnsi="Arial" w:cs="Arial"/>
          <w:sz w:val="24"/>
          <w:szCs w:val="24"/>
        </w:rPr>
        <w:t xml:space="preserve">, corrective action was taken and </w:t>
      </w:r>
      <w:r w:rsidR="00476D21">
        <w:rPr>
          <w:rFonts w:ascii="Arial" w:hAnsi="Arial" w:cs="Arial"/>
          <w:sz w:val="24"/>
          <w:szCs w:val="24"/>
        </w:rPr>
        <w:t>reported to our OMB desk officer</w:t>
      </w:r>
      <w:r w:rsidR="00F62AF4">
        <w:rPr>
          <w:rFonts w:ascii="Arial" w:hAnsi="Arial" w:cs="Arial"/>
          <w:sz w:val="24"/>
          <w:szCs w:val="24"/>
        </w:rPr>
        <w:t xml:space="preserve">. </w:t>
      </w:r>
      <w:r w:rsidRPr="00E86E81">
        <w:rPr>
          <w:rFonts w:ascii="Arial" w:hAnsi="Arial" w:cs="Arial"/>
          <w:sz w:val="24"/>
          <w:szCs w:val="24"/>
        </w:rPr>
        <w:t>Removing the noncontacted sample units from the sample</w:t>
      </w:r>
      <w:r w:rsidR="00B848F5" w:rsidRPr="00E86E81">
        <w:rPr>
          <w:rFonts w:ascii="Arial" w:hAnsi="Arial" w:cs="Arial"/>
          <w:sz w:val="24"/>
          <w:szCs w:val="24"/>
        </w:rPr>
        <w:t xml:space="preserve"> results in a corrected RR=79.6 percent.</w:t>
      </w:r>
    </w:p>
    <w:p w:rsidR="00F62AF4" w:rsidRDefault="00F62AF4" w:rsidP="00DC3686">
      <w:pPr>
        <w:rPr>
          <w:rFonts w:ascii="Arial" w:hAnsi="Arial" w:cs="Arial"/>
          <w:sz w:val="24"/>
          <w:szCs w:val="24"/>
        </w:rPr>
      </w:pPr>
    </w:p>
    <w:p w:rsidR="00DC3686" w:rsidRPr="0080754D" w:rsidRDefault="00B848F5" w:rsidP="00DC3686">
      <w:pPr>
        <w:rPr>
          <w:rFonts w:ascii="Arial" w:hAnsi="Arial" w:cs="Arial"/>
          <w:sz w:val="24"/>
          <w:szCs w:val="24"/>
        </w:rPr>
      </w:pPr>
      <w:r w:rsidRPr="00E86E81">
        <w:rPr>
          <w:rFonts w:ascii="Arial" w:hAnsi="Arial" w:cs="Arial"/>
          <w:sz w:val="24"/>
          <w:szCs w:val="24"/>
        </w:rPr>
        <w:t xml:space="preserve">Using the corrected RR calculation, </w:t>
      </w:r>
      <w:r w:rsidR="004274AA" w:rsidRPr="00E86E81">
        <w:rPr>
          <w:rFonts w:ascii="Arial" w:hAnsi="Arial" w:cs="Arial"/>
          <w:sz w:val="24"/>
          <w:szCs w:val="24"/>
        </w:rPr>
        <w:t xml:space="preserve">NASS met the OMB expected </w:t>
      </w:r>
      <w:r w:rsidR="00DC3686" w:rsidRPr="00E86E81">
        <w:rPr>
          <w:rFonts w:ascii="Arial" w:hAnsi="Arial" w:cs="Arial"/>
          <w:sz w:val="24"/>
          <w:szCs w:val="24"/>
        </w:rPr>
        <w:t>response rate for the 2011 CEAP survey</w:t>
      </w:r>
      <w:r w:rsidRPr="00E86E81">
        <w:rPr>
          <w:rFonts w:ascii="Arial" w:hAnsi="Arial" w:cs="Arial"/>
          <w:sz w:val="24"/>
          <w:szCs w:val="24"/>
        </w:rPr>
        <w:t xml:space="preserve"> and therefore is not planning a nonresponse bias analysis as instructed in the </w:t>
      </w:r>
      <w:hyperlink r:id="rId4" w:history="1">
        <w:r w:rsidRPr="00E86E81">
          <w:rPr>
            <w:rStyle w:val="Hyperlink"/>
            <w:rFonts w:ascii="Arial" w:hAnsi="Arial" w:cs="Arial"/>
            <w:color w:val="auto"/>
            <w:sz w:val="24"/>
            <w:szCs w:val="24"/>
          </w:rPr>
          <w:t>Standards and Guidelines for Federal Statistical Agencies</w:t>
        </w:r>
      </w:hyperlink>
      <w:r w:rsidRPr="00E86E81">
        <w:rPr>
          <w:rFonts w:ascii="Arial" w:hAnsi="Arial" w:cs="Arial"/>
          <w:sz w:val="24"/>
          <w:szCs w:val="24"/>
        </w:rPr>
        <w:t>, Guideline 1.3.4</w:t>
      </w:r>
      <w:r w:rsidR="004274AA" w:rsidRPr="00E86E81">
        <w:rPr>
          <w:rFonts w:ascii="Arial" w:hAnsi="Arial" w:cs="Arial"/>
          <w:sz w:val="24"/>
          <w:szCs w:val="24"/>
        </w:rPr>
        <w:t>.</w:t>
      </w:r>
      <w:r w:rsidR="00DC3686" w:rsidRPr="00E86E81">
        <w:rPr>
          <w:rFonts w:ascii="Arial" w:hAnsi="Arial" w:cs="Arial"/>
          <w:sz w:val="24"/>
          <w:szCs w:val="24"/>
        </w:rPr>
        <w:t xml:space="preserve">  </w:t>
      </w:r>
      <w:r w:rsidRPr="00E86E81">
        <w:rPr>
          <w:rFonts w:ascii="Arial" w:hAnsi="Arial" w:cs="Arial"/>
          <w:sz w:val="24"/>
          <w:szCs w:val="24"/>
        </w:rPr>
        <w:t xml:space="preserve">Therefore, upon correction of the CEAP response rate and discussion with the </w:t>
      </w:r>
      <w:r w:rsidRPr="0080754D">
        <w:rPr>
          <w:rFonts w:ascii="Arial" w:hAnsi="Arial" w:cs="Arial"/>
          <w:sz w:val="24"/>
          <w:szCs w:val="24"/>
        </w:rPr>
        <w:lastRenderedPageBreak/>
        <w:t>OMB desk officer, nonresponse bias analysis is not required at this time and that term of clearance is therefore removed.</w:t>
      </w:r>
    </w:p>
    <w:p w:rsidR="0080754D" w:rsidRPr="0080754D" w:rsidRDefault="0080754D" w:rsidP="00DC3686">
      <w:pPr>
        <w:rPr>
          <w:rFonts w:ascii="Arial" w:hAnsi="Arial" w:cs="Arial"/>
          <w:sz w:val="24"/>
          <w:szCs w:val="24"/>
        </w:rPr>
      </w:pPr>
    </w:p>
    <w:p w:rsidR="0080754D" w:rsidRPr="0080754D" w:rsidRDefault="0080754D" w:rsidP="00DC3686">
      <w:pPr>
        <w:rPr>
          <w:rFonts w:ascii="Arial" w:hAnsi="Arial" w:cs="Arial"/>
          <w:sz w:val="24"/>
          <w:szCs w:val="24"/>
        </w:rPr>
      </w:pPr>
      <w:r w:rsidRPr="0080754D">
        <w:rPr>
          <w:rFonts w:ascii="Arial" w:hAnsi="Arial" w:cs="Arial"/>
          <w:sz w:val="24"/>
          <w:szCs w:val="24"/>
        </w:rPr>
        <w:t>Our review of response rate calculations for prior waves of CEAP indicated that the response rate reported correctly reflects the formula shown here and the miscommunication of CEAP response rates is limited to the 2011 CEAP response rate noted in the 2012 information collection request.</w:t>
      </w:r>
    </w:p>
    <w:p w:rsidR="00DC3686" w:rsidRPr="0080754D" w:rsidRDefault="00DC3686" w:rsidP="00DC3686">
      <w:pPr>
        <w:rPr>
          <w:rFonts w:ascii="Arial" w:hAnsi="Arial" w:cs="Arial"/>
          <w:sz w:val="24"/>
          <w:szCs w:val="24"/>
        </w:rPr>
      </w:pPr>
    </w:p>
    <w:p w:rsidR="00DC3686" w:rsidRPr="0080754D" w:rsidRDefault="00DC3686" w:rsidP="00DC3686">
      <w:pPr>
        <w:rPr>
          <w:rFonts w:ascii="Arial" w:hAnsi="Arial" w:cs="Arial"/>
          <w:sz w:val="24"/>
          <w:szCs w:val="24"/>
        </w:rPr>
      </w:pPr>
      <w:r w:rsidRPr="0080754D">
        <w:rPr>
          <w:rFonts w:ascii="Arial" w:hAnsi="Arial" w:cs="Arial"/>
          <w:sz w:val="24"/>
          <w:szCs w:val="24"/>
        </w:rPr>
        <w:t>Dave Aune</w:t>
      </w:r>
    </w:p>
    <w:p w:rsidR="00DC3686" w:rsidRPr="0080754D" w:rsidRDefault="00DC3686" w:rsidP="00DC3686">
      <w:pPr>
        <w:rPr>
          <w:rFonts w:ascii="Arial" w:hAnsi="Arial" w:cs="Arial"/>
          <w:sz w:val="24"/>
          <w:szCs w:val="24"/>
        </w:rPr>
      </w:pPr>
      <w:r w:rsidRPr="0080754D">
        <w:rPr>
          <w:rFonts w:ascii="Arial" w:hAnsi="Arial" w:cs="Arial"/>
          <w:sz w:val="24"/>
          <w:szCs w:val="24"/>
        </w:rPr>
        <w:t>Statistical Methods Branch</w:t>
      </w:r>
      <w:r w:rsidR="00E74198" w:rsidRPr="0080754D">
        <w:rPr>
          <w:rFonts w:ascii="Arial" w:hAnsi="Arial" w:cs="Arial"/>
          <w:sz w:val="24"/>
          <w:szCs w:val="24"/>
        </w:rPr>
        <w:t>, Chief</w:t>
      </w:r>
    </w:p>
    <w:p w:rsidR="00DC3686" w:rsidRPr="0080754D" w:rsidRDefault="00DC3686" w:rsidP="00DC3686">
      <w:pPr>
        <w:rPr>
          <w:rFonts w:ascii="Arial" w:hAnsi="Arial" w:cs="Arial"/>
          <w:sz w:val="24"/>
          <w:szCs w:val="24"/>
        </w:rPr>
      </w:pPr>
      <w:r w:rsidRPr="0080754D">
        <w:rPr>
          <w:rFonts w:ascii="Arial" w:hAnsi="Arial" w:cs="Arial"/>
          <w:sz w:val="24"/>
          <w:szCs w:val="24"/>
        </w:rPr>
        <w:t>National Agricultural Statistics Service</w:t>
      </w:r>
    </w:p>
    <w:p w:rsidR="00DC3686" w:rsidRPr="0080754D" w:rsidRDefault="00DC3686" w:rsidP="00DC3686">
      <w:pPr>
        <w:rPr>
          <w:rFonts w:ascii="Arial" w:hAnsi="Arial" w:cs="Arial"/>
          <w:sz w:val="24"/>
          <w:szCs w:val="24"/>
        </w:rPr>
      </w:pPr>
      <w:r w:rsidRPr="0080754D">
        <w:rPr>
          <w:rFonts w:ascii="Arial" w:hAnsi="Arial" w:cs="Arial"/>
          <w:sz w:val="24"/>
          <w:szCs w:val="24"/>
        </w:rPr>
        <w:t>Washington,</w:t>
      </w:r>
      <w:proofErr w:type="gramStart"/>
      <w:r w:rsidRPr="0080754D">
        <w:rPr>
          <w:rFonts w:ascii="Arial" w:hAnsi="Arial" w:cs="Arial"/>
          <w:sz w:val="24"/>
          <w:szCs w:val="24"/>
        </w:rPr>
        <w:t>  DC</w:t>
      </w:r>
      <w:proofErr w:type="gramEnd"/>
      <w:r w:rsidRPr="0080754D">
        <w:rPr>
          <w:rFonts w:ascii="Arial" w:hAnsi="Arial" w:cs="Arial"/>
          <w:sz w:val="24"/>
          <w:szCs w:val="24"/>
        </w:rPr>
        <w:t>   20250</w:t>
      </w:r>
    </w:p>
    <w:p w:rsidR="0080754D" w:rsidRDefault="0080754D" w:rsidP="00DC3686">
      <w:pPr>
        <w:rPr>
          <w:rFonts w:ascii="Arial" w:hAnsi="Arial" w:cs="Arial"/>
          <w:sz w:val="24"/>
          <w:szCs w:val="24"/>
        </w:rPr>
      </w:pPr>
      <w:hyperlink r:id="rId5" w:history="1">
        <w:r w:rsidRPr="004F616E">
          <w:rPr>
            <w:rStyle w:val="Hyperlink"/>
            <w:rFonts w:ascii="Arial" w:hAnsi="Arial" w:cs="Arial"/>
            <w:sz w:val="24"/>
            <w:szCs w:val="24"/>
          </w:rPr>
          <w:t>David.Aune@nass.usda.gov</w:t>
        </w:r>
      </w:hyperlink>
    </w:p>
    <w:p w:rsidR="00DC3686" w:rsidRPr="0080754D" w:rsidRDefault="00DC3686" w:rsidP="00DC3686">
      <w:pPr>
        <w:rPr>
          <w:rFonts w:ascii="Arial" w:hAnsi="Arial" w:cs="Arial"/>
          <w:sz w:val="24"/>
          <w:szCs w:val="24"/>
        </w:rPr>
      </w:pPr>
      <w:r w:rsidRPr="0080754D">
        <w:rPr>
          <w:rFonts w:ascii="Arial" w:hAnsi="Arial" w:cs="Arial"/>
          <w:sz w:val="24"/>
          <w:szCs w:val="24"/>
        </w:rPr>
        <w:t>202.720.6468</w:t>
      </w:r>
    </w:p>
    <w:p w:rsidR="00DC3686" w:rsidRPr="0080754D" w:rsidRDefault="00DC3686" w:rsidP="00DC3686">
      <w:pPr>
        <w:rPr>
          <w:rFonts w:ascii="Arial" w:hAnsi="Arial" w:cs="Arial"/>
          <w:sz w:val="24"/>
          <w:szCs w:val="24"/>
        </w:rPr>
      </w:pPr>
    </w:p>
    <w:p w:rsidR="007C5178" w:rsidRPr="0080754D" w:rsidRDefault="007C5178">
      <w:pPr>
        <w:rPr>
          <w:rFonts w:ascii="Arial" w:hAnsi="Arial" w:cs="Arial"/>
          <w:sz w:val="24"/>
          <w:szCs w:val="24"/>
        </w:rPr>
      </w:pPr>
    </w:p>
    <w:sectPr w:rsidR="007C5178" w:rsidRPr="0080754D" w:rsidSect="007C5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686"/>
    <w:rsid w:val="000202CE"/>
    <w:rsid w:val="00214643"/>
    <w:rsid w:val="002F7D8B"/>
    <w:rsid w:val="004274AA"/>
    <w:rsid w:val="00470C88"/>
    <w:rsid w:val="00476D21"/>
    <w:rsid w:val="005D3FFA"/>
    <w:rsid w:val="007C5178"/>
    <w:rsid w:val="0080754D"/>
    <w:rsid w:val="008116AF"/>
    <w:rsid w:val="008E3930"/>
    <w:rsid w:val="00964B5E"/>
    <w:rsid w:val="00B615A1"/>
    <w:rsid w:val="00B848F5"/>
    <w:rsid w:val="00C04167"/>
    <w:rsid w:val="00D948DF"/>
    <w:rsid w:val="00DC3686"/>
    <w:rsid w:val="00DE5EBF"/>
    <w:rsid w:val="00E74198"/>
    <w:rsid w:val="00E86E81"/>
    <w:rsid w:val="00EA4249"/>
    <w:rsid w:val="00EE10B5"/>
    <w:rsid w:val="00F62AF4"/>
    <w:rsid w:val="00F97102"/>
    <w:rsid w:val="00FF6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686"/>
    <w:rPr>
      <w:color w:val="0000FF"/>
      <w:u w:val="single"/>
    </w:rPr>
  </w:style>
  <w:style w:type="paragraph" w:customStyle="1" w:styleId="Default">
    <w:name w:val="Default"/>
    <w:rsid w:val="00470C8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70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848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5222924">
      <w:bodyDiv w:val="1"/>
      <w:marLeft w:val="0"/>
      <w:marRight w:val="0"/>
      <w:marTop w:val="0"/>
      <w:marBottom w:val="0"/>
      <w:divBdr>
        <w:top w:val="none" w:sz="0" w:space="0" w:color="auto"/>
        <w:left w:val="none" w:sz="0" w:space="0" w:color="auto"/>
        <w:bottom w:val="none" w:sz="0" w:space="0" w:color="auto"/>
        <w:right w:val="none" w:sz="0" w:space="0" w:color="auto"/>
      </w:divBdr>
    </w:div>
    <w:div w:id="195247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Aune@nass.usda.gov" TargetMode="External"/><Relationship Id="rId4" Type="http://schemas.openxmlformats.org/officeDocument/2006/relationships/hyperlink" Target="http://www.whitehouse.gov/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3</cp:revision>
  <cp:lastPrinted>2012-06-08T19:24:00Z</cp:lastPrinted>
  <dcterms:created xsi:type="dcterms:W3CDTF">2012-06-18T12:41:00Z</dcterms:created>
  <dcterms:modified xsi:type="dcterms:W3CDTF">2012-06-18T21:00:00Z</dcterms:modified>
</cp:coreProperties>
</file>