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60" w:rsidRDefault="00125660" w:rsidP="00B612DA">
      <w:pPr>
        <w:widowControl/>
        <w:pBdr>
          <w:bottom w:val="single" w:sz="4" w:space="1" w:color="auto"/>
        </w:pBdr>
        <w:tabs>
          <w:tab w:val="left" w:pos="1440"/>
          <w:tab w:val="left" w:pos="2520"/>
          <w:tab w:val="left" w:pos="2880"/>
          <w:tab w:val="left" w:pos="3600"/>
          <w:tab w:val="left" w:pos="4770"/>
          <w:tab w:val="left" w:pos="5130"/>
          <w:tab w:val="left" w:pos="5760"/>
          <w:tab w:val="left" w:pos="6480"/>
          <w:tab w:val="left" w:pos="7200"/>
          <w:tab w:val="left" w:pos="7920"/>
          <w:tab w:val="left" w:pos="8640"/>
        </w:tabs>
        <w:ind w:left="720" w:right="720"/>
        <w:jc w:val="center"/>
        <w:rPr>
          <w:rFonts w:ascii="Copperplate29bc" w:hAnsi="Copperplate29bc"/>
          <w:sz w:val="72"/>
        </w:rPr>
      </w:pPr>
      <w:r>
        <w:rPr>
          <w:rFonts w:ascii="Copperplate31ab" w:hAnsi="Copperplate31ab"/>
          <w:b/>
          <w:sz w:val="72"/>
        </w:rPr>
        <w:t>Memorandum</w:t>
      </w:r>
    </w:p>
    <w:p w:rsidR="00125660" w:rsidRDefault="00125660">
      <w:pPr>
        <w:widowControl/>
        <w:pBdr>
          <w:top w:val="single" w:sz="4" w:space="1" w:color="auto"/>
        </w:pBd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color w:val="000080"/>
          <w:sz w:val="16"/>
        </w:rPr>
      </w:pPr>
    </w:p>
    <w:p w:rsidR="00420652" w:rsidRDefault="00420652">
      <w:pPr>
        <w:widowControl/>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16"/>
        </w:rPr>
        <w:sectPr w:rsidR="00420652" w:rsidSect="00B02304">
          <w:footerReference w:type="even" r:id="rId8"/>
          <w:footerReference w:type="default" r:id="rId9"/>
          <w:footnotePr>
            <w:numRestart w:val="eachSect"/>
          </w:footnotePr>
          <w:endnotePr>
            <w:numFmt w:val="decimal"/>
          </w:endnotePr>
          <w:type w:val="continuous"/>
          <w:pgSz w:w="12240" w:h="15840" w:code="1"/>
          <w:pgMar w:top="864" w:right="1296" w:bottom="1152" w:left="1296" w:header="720" w:footer="720" w:gutter="0"/>
          <w:cols w:space="720"/>
        </w:sectPr>
      </w:pPr>
    </w:p>
    <w:p w:rsidR="00125660" w:rsidRDefault="00125660">
      <w:pPr>
        <w:widowControl/>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sz w:val="16"/>
        </w:rPr>
      </w:pPr>
    </w:p>
    <w:tbl>
      <w:tblPr>
        <w:tblW w:w="0" w:type="auto"/>
        <w:tblInd w:w="-90" w:type="dxa"/>
        <w:tblCellMar>
          <w:left w:w="0" w:type="dxa"/>
          <w:right w:w="0" w:type="dxa"/>
        </w:tblCellMar>
        <w:tblLook w:val="01E0" w:firstRow="1" w:lastRow="1" w:firstColumn="1" w:lastColumn="1" w:noHBand="0" w:noVBand="0"/>
      </w:tblPr>
      <w:tblGrid>
        <w:gridCol w:w="803"/>
        <w:gridCol w:w="6137"/>
        <w:gridCol w:w="938"/>
        <w:gridCol w:w="1572"/>
      </w:tblGrid>
      <w:tr w:rsidR="00125660" w:rsidTr="00B612DA">
        <w:tc>
          <w:tcPr>
            <w:tcW w:w="803" w:type="dxa"/>
          </w:tcPr>
          <w:p w:rsidR="00125660" w:rsidRDefault="00125660">
            <w:pPr>
              <w:widowControl/>
            </w:pPr>
            <w:r>
              <w:rPr>
                <w:rFonts w:ascii="Arial" w:hAnsi="Arial"/>
              </w:rPr>
              <w:t>Subject:</w:t>
            </w:r>
          </w:p>
        </w:tc>
        <w:tc>
          <w:tcPr>
            <w:tcW w:w="6137" w:type="dxa"/>
          </w:tcPr>
          <w:p w:rsidR="00125660" w:rsidRPr="00AD64AA" w:rsidRDefault="00AD64AA" w:rsidP="00AD64AA">
            <w:pPr>
              <w:rPr>
                <w:sz w:val="22"/>
                <w:szCs w:val="22"/>
              </w:rPr>
            </w:pPr>
            <w:r w:rsidRPr="00AD64AA">
              <w:rPr>
                <w:color w:val="000000"/>
                <w:sz w:val="22"/>
                <w:szCs w:val="22"/>
              </w:rPr>
              <w:t>Request for a non-substantive change in recruitment approach of households/individuals</w:t>
            </w:r>
            <w:r>
              <w:rPr>
                <w:color w:val="000000"/>
                <w:sz w:val="22"/>
                <w:szCs w:val="22"/>
              </w:rPr>
              <w:t xml:space="preserve"> </w:t>
            </w:r>
            <w:r w:rsidRPr="00AD64AA">
              <w:rPr>
                <w:color w:val="000000"/>
                <w:sz w:val="22"/>
                <w:szCs w:val="22"/>
              </w:rPr>
              <w:t>living in gated communit</w:t>
            </w:r>
            <w:r>
              <w:rPr>
                <w:color w:val="000000"/>
                <w:sz w:val="22"/>
                <w:szCs w:val="22"/>
              </w:rPr>
              <w:t>ies</w:t>
            </w:r>
            <w:r w:rsidRPr="00AD64AA">
              <w:rPr>
                <w:color w:val="000000"/>
                <w:sz w:val="22"/>
                <w:szCs w:val="22"/>
              </w:rPr>
              <w:t xml:space="preserve"> or locked building</w:t>
            </w:r>
            <w:r>
              <w:rPr>
                <w:color w:val="000000"/>
                <w:sz w:val="22"/>
                <w:szCs w:val="22"/>
              </w:rPr>
              <w:t>s</w:t>
            </w:r>
            <w:r w:rsidRPr="00AD64AA">
              <w:rPr>
                <w:color w:val="000000"/>
                <w:sz w:val="22"/>
                <w:szCs w:val="22"/>
              </w:rPr>
              <w:t xml:space="preserve"> by the </w:t>
            </w:r>
            <w:r w:rsidRPr="00AD64AA">
              <w:rPr>
                <w:sz w:val="22"/>
                <w:szCs w:val="22"/>
              </w:rPr>
              <w:t>National Household Food Acquisition and Purchase Survey (OMB Control No. 0536-0068)</w:t>
            </w:r>
          </w:p>
        </w:tc>
        <w:tc>
          <w:tcPr>
            <w:tcW w:w="938" w:type="dxa"/>
          </w:tcPr>
          <w:p w:rsidR="00125660" w:rsidRDefault="00125660">
            <w:pPr>
              <w:widowControl/>
              <w:rPr>
                <w:rFonts w:ascii="Arial" w:hAnsi="Arial"/>
              </w:rPr>
            </w:pPr>
            <w:r>
              <w:rPr>
                <w:rFonts w:ascii="Arial" w:hAnsi="Arial"/>
              </w:rPr>
              <w:t xml:space="preserve">Date:  </w:t>
            </w:r>
          </w:p>
        </w:tc>
        <w:tc>
          <w:tcPr>
            <w:tcW w:w="1572" w:type="dxa"/>
          </w:tcPr>
          <w:p w:rsidR="00125660" w:rsidRDefault="00AD64AA" w:rsidP="00ED4B86">
            <w:pPr>
              <w:widowControl/>
              <w:rPr>
                <w:rFonts w:ascii="Arial" w:hAnsi="Arial"/>
              </w:rPr>
            </w:pPr>
            <w:r>
              <w:rPr>
                <w:sz w:val="22"/>
                <w:szCs w:val="22"/>
              </w:rPr>
              <w:t xml:space="preserve">June </w:t>
            </w:r>
            <w:r w:rsidR="00ED4B86">
              <w:rPr>
                <w:sz w:val="22"/>
                <w:szCs w:val="22"/>
              </w:rPr>
              <w:t>11</w:t>
            </w:r>
            <w:r>
              <w:rPr>
                <w:sz w:val="22"/>
                <w:szCs w:val="22"/>
              </w:rPr>
              <w:t>,</w:t>
            </w:r>
            <w:r w:rsidR="00125660">
              <w:rPr>
                <w:sz w:val="22"/>
                <w:szCs w:val="22"/>
              </w:rPr>
              <w:t xml:space="preserve"> 20</w:t>
            </w:r>
            <w:r w:rsidR="00CC180D">
              <w:rPr>
                <w:sz w:val="22"/>
                <w:szCs w:val="22"/>
              </w:rPr>
              <w:t>12</w:t>
            </w:r>
          </w:p>
        </w:tc>
      </w:tr>
      <w:tr w:rsidR="00125660" w:rsidTr="00B612DA">
        <w:tc>
          <w:tcPr>
            <w:tcW w:w="9450" w:type="dxa"/>
            <w:gridSpan w:val="4"/>
          </w:tcPr>
          <w:p w:rsidR="00125660" w:rsidRDefault="00125660">
            <w:pPr>
              <w:widowControl/>
              <w:rPr>
                <w:rFonts w:ascii="Arial" w:hAnsi="Arial"/>
              </w:rPr>
            </w:pPr>
          </w:p>
        </w:tc>
      </w:tr>
      <w:tr w:rsidR="00125660" w:rsidTr="00B612DA">
        <w:trPr>
          <w:cantSplit/>
        </w:trPr>
        <w:tc>
          <w:tcPr>
            <w:tcW w:w="803" w:type="dxa"/>
          </w:tcPr>
          <w:p w:rsidR="00125660" w:rsidRDefault="00125660">
            <w:pPr>
              <w:widowControl/>
              <w:rPr>
                <w:sz w:val="24"/>
              </w:rPr>
            </w:pPr>
            <w:r>
              <w:rPr>
                <w:rFonts w:ascii="Arial" w:hAnsi="Arial"/>
              </w:rPr>
              <w:t>From:</w:t>
            </w:r>
            <w:r>
              <w:rPr>
                <w:sz w:val="24"/>
              </w:rPr>
              <w:t xml:space="preserve">  </w:t>
            </w:r>
          </w:p>
        </w:tc>
        <w:tc>
          <w:tcPr>
            <w:tcW w:w="6137" w:type="dxa"/>
          </w:tcPr>
          <w:p w:rsidR="00125660" w:rsidRDefault="00514F1B">
            <w:pPr>
              <w:widowControl/>
              <w:rPr>
                <w:sz w:val="22"/>
                <w:szCs w:val="22"/>
              </w:rPr>
            </w:pPr>
            <w:r>
              <w:rPr>
                <w:sz w:val="22"/>
                <w:szCs w:val="22"/>
              </w:rPr>
              <w:t>Mark Denbaly,</w:t>
            </w:r>
          </w:p>
          <w:p w:rsidR="00125660" w:rsidRDefault="00514F1B">
            <w:pPr>
              <w:widowControl/>
              <w:rPr>
                <w:rFonts w:ascii="Arial" w:hAnsi="Arial"/>
              </w:rPr>
            </w:pPr>
            <w:r>
              <w:rPr>
                <w:sz w:val="22"/>
                <w:szCs w:val="22"/>
              </w:rPr>
              <w:t xml:space="preserve">ERS COTR for </w:t>
            </w:r>
            <w:r w:rsidRPr="00AD64AA">
              <w:rPr>
                <w:color w:val="000000"/>
                <w:sz w:val="22"/>
                <w:szCs w:val="22"/>
              </w:rPr>
              <w:t xml:space="preserve">the </w:t>
            </w:r>
            <w:r w:rsidRPr="00AD64AA">
              <w:rPr>
                <w:sz w:val="22"/>
                <w:szCs w:val="22"/>
              </w:rPr>
              <w:t>National Household Food Acquisition and Purchase Survey</w:t>
            </w:r>
          </w:p>
        </w:tc>
        <w:tc>
          <w:tcPr>
            <w:tcW w:w="938" w:type="dxa"/>
          </w:tcPr>
          <w:p w:rsidR="00125660" w:rsidRDefault="00125660">
            <w:pPr>
              <w:pStyle w:val="Footer"/>
              <w:widowControl/>
              <w:tabs>
                <w:tab w:val="clear" w:pos="4320"/>
                <w:tab w:val="clear" w:pos="8640"/>
              </w:tabs>
              <w:rPr>
                <w:rFonts w:ascii="Arial" w:hAnsi="Arial"/>
              </w:rPr>
            </w:pPr>
            <w:r>
              <w:rPr>
                <w:rFonts w:ascii="Arial" w:hAnsi="Arial"/>
              </w:rPr>
              <w:t xml:space="preserve">Reply to Attn. of:  </w:t>
            </w:r>
          </w:p>
        </w:tc>
        <w:tc>
          <w:tcPr>
            <w:tcW w:w="1572" w:type="dxa"/>
            <w:vMerge w:val="restart"/>
          </w:tcPr>
          <w:p w:rsidR="00125660" w:rsidRDefault="00125660">
            <w:pPr>
              <w:widowControl/>
              <w:rPr>
                <w:sz w:val="22"/>
                <w:szCs w:val="22"/>
              </w:rPr>
            </w:pPr>
          </w:p>
        </w:tc>
      </w:tr>
      <w:tr w:rsidR="00125660" w:rsidTr="00B612DA">
        <w:trPr>
          <w:cantSplit/>
        </w:trPr>
        <w:tc>
          <w:tcPr>
            <w:tcW w:w="7878" w:type="dxa"/>
            <w:gridSpan w:val="3"/>
          </w:tcPr>
          <w:p w:rsidR="00125660" w:rsidRDefault="00125660">
            <w:pPr>
              <w:widowControl/>
              <w:rPr>
                <w:sz w:val="22"/>
                <w:szCs w:val="22"/>
              </w:rPr>
            </w:pPr>
          </w:p>
        </w:tc>
        <w:tc>
          <w:tcPr>
            <w:tcW w:w="1572" w:type="dxa"/>
            <w:vMerge/>
          </w:tcPr>
          <w:p w:rsidR="00125660" w:rsidRDefault="00125660">
            <w:pPr>
              <w:widowControl/>
              <w:rPr>
                <w:sz w:val="22"/>
                <w:szCs w:val="22"/>
              </w:rPr>
            </w:pPr>
          </w:p>
        </w:tc>
      </w:tr>
      <w:tr w:rsidR="00125660" w:rsidTr="00B612DA">
        <w:trPr>
          <w:cantSplit/>
        </w:trPr>
        <w:tc>
          <w:tcPr>
            <w:tcW w:w="803" w:type="dxa"/>
          </w:tcPr>
          <w:p w:rsidR="00125660" w:rsidRDefault="00125660">
            <w:pPr>
              <w:widowControl/>
            </w:pPr>
            <w:r>
              <w:rPr>
                <w:rFonts w:ascii="Arial" w:hAnsi="Arial"/>
              </w:rPr>
              <w:t xml:space="preserve">To:  </w:t>
            </w:r>
          </w:p>
        </w:tc>
        <w:tc>
          <w:tcPr>
            <w:tcW w:w="7075" w:type="dxa"/>
            <w:gridSpan w:val="2"/>
          </w:tcPr>
          <w:p w:rsidR="00125660" w:rsidRPr="000C7BE2" w:rsidRDefault="00514F1B" w:rsidP="00CC180D">
            <w:pPr>
              <w:widowControl/>
              <w:rPr>
                <w:sz w:val="24"/>
                <w:szCs w:val="24"/>
              </w:rPr>
            </w:pPr>
            <w:r>
              <w:rPr>
                <w:sz w:val="22"/>
                <w:szCs w:val="22"/>
              </w:rPr>
              <w:t>Jennifer Park</w:t>
            </w:r>
            <w:r w:rsidR="00FE4B3C">
              <w:rPr>
                <w:sz w:val="22"/>
                <w:szCs w:val="22"/>
              </w:rPr>
              <w:t xml:space="preserve">, </w:t>
            </w:r>
          </w:p>
          <w:p w:rsidR="00514F1B" w:rsidRPr="00601496" w:rsidRDefault="00514F1B" w:rsidP="00514F1B">
            <w:pPr>
              <w:rPr>
                <w:color w:val="000000"/>
                <w:sz w:val="22"/>
                <w:szCs w:val="22"/>
              </w:rPr>
            </w:pPr>
            <w:r w:rsidRPr="00601496">
              <w:rPr>
                <w:color w:val="000000"/>
                <w:sz w:val="22"/>
                <w:szCs w:val="22"/>
              </w:rPr>
              <w:t>Statistical and Science Policy</w:t>
            </w:r>
            <w:r w:rsidR="000C7BE2" w:rsidRPr="00601496">
              <w:rPr>
                <w:color w:val="000000"/>
                <w:sz w:val="22"/>
                <w:szCs w:val="22"/>
              </w:rPr>
              <w:t>,</w:t>
            </w:r>
          </w:p>
          <w:p w:rsidR="00514F1B" w:rsidRPr="00601496" w:rsidRDefault="00514F1B" w:rsidP="00514F1B">
            <w:pPr>
              <w:rPr>
                <w:color w:val="000000"/>
                <w:sz w:val="22"/>
                <w:szCs w:val="22"/>
              </w:rPr>
            </w:pPr>
            <w:r w:rsidRPr="00601496">
              <w:rPr>
                <w:color w:val="000000"/>
                <w:sz w:val="22"/>
                <w:szCs w:val="22"/>
              </w:rPr>
              <w:t>Office of Information and Regulatory Affairs</w:t>
            </w:r>
            <w:r w:rsidR="000C7BE2" w:rsidRPr="00601496">
              <w:rPr>
                <w:color w:val="000000"/>
                <w:sz w:val="22"/>
                <w:szCs w:val="22"/>
              </w:rPr>
              <w:t>,</w:t>
            </w:r>
          </w:p>
          <w:p w:rsidR="00CC180D" w:rsidRDefault="00514F1B" w:rsidP="000C7BE2">
            <w:pPr>
              <w:rPr>
                <w:sz w:val="22"/>
                <w:szCs w:val="22"/>
              </w:rPr>
            </w:pPr>
            <w:r w:rsidRPr="00601496">
              <w:rPr>
                <w:color w:val="000000"/>
                <w:sz w:val="22"/>
                <w:szCs w:val="22"/>
              </w:rPr>
              <w:t>Office of Management and Budget</w:t>
            </w:r>
          </w:p>
        </w:tc>
        <w:tc>
          <w:tcPr>
            <w:tcW w:w="1572" w:type="dxa"/>
            <w:vMerge/>
          </w:tcPr>
          <w:p w:rsidR="00125660" w:rsidRDefault="00125660">
            <w:pPr>
              <w:widowControl/>
              <w:rPr>
                <w:sz w:val="22"/>
                <w:szCs w:val="22"/>
              </w:rPr>
            </w:pPr>
          </w:p>
        </w:tc>
      </w:tr>
    </w:tbl>
    <w:p w:rsidR="000663C4" w:rsidRDefault="000663C4" w:rsidP="000663C4">
      <w:pPr>
        <w:rPr>
          <w:rFonts w:ascii="Arial" w:hAnsi="Arial" w:cs="Arial"/>
          <w:b/>
        </w:rPr>
      </w:pPr>
      <w:bookmarkStart w:id="0" w:name="best9"/>
    </w:p>
    <w:p w:rsidR="000663C4" w:rsidRDefault="000663C4" w:rsidP="000663C4">
      <w:pPr>
        <w:rPr>
          <w:sz w:val="22"/>
          <w:szCs w:val="22"/>
        </w:rPr>
      </w:pPr>
      <w:r w:rsidRPr="00FC7F21">
        <w:rPr>
          <w:sz w:val="22"/>
          <w:szCs w:val="22"/>
        </w:rPr>
        <w:t>The National Household Food Acquisition and Purchase Survey (OMB Control No. 0536-0068) is a nationally representative survey designed to collection information from a sample of 5,000 households about the foods they acquire over a seven-day period.   Data collection began in April 2012 and is scheduled to end in October 2012.</w:t>
      </w:r>
    </w:p>
    <w:p w:rsidR="00FC7F21" w:rsidRPr="00FC7F21" w:rsidRDefault="00FC7F21" w:rsidP="000663C4">
      <w:pPr>
        <w:rPr>
          <w:sz w:val="22"/>
          <w:szCs w:val="22"/>
        </w:rPr>
      </w:pPr>
    </w:p>
    <w:p w:rsidR="000663C4" w:rsidRPr="00FC7F21" w:rsidRDefault="000663C4" w:rsidP="000663C4">
      <w:pPr>
        <w:rPr>
          <w:sz w:val="22"/>
          <w:szCs w:val="22"/>
        </w:rPr>
      </w:pPr>
      <w:r w:rsidRPr="00FC7F21">
        <w:rPr>
          <w:sz w:val="22"/>
          <w:szCs w:val="22"/>
        </w:rPr>
        <w:t xml:space="preserve">As of June 5, 2012, 5,052 sampled addresses had been released to the field: 1,440 from the SNAP frame and 3,612 from the address-based sample (ABS) frame.   Of the total, 7.1% were found to be not eligible for screening, 48.7% are “pending,” 30.4% have reached a status of “complete,” 12.8% refused to answer the screener, and initial (Phase 1) efforts to contact households have ended for 0.8%. </w:t>
      </w:r>
      <w:r w:rsidR="00ED4B86">
        <w:rPr>
          <w:sz w:val="22"/>
          <w:szCs w:val="22"/>
        </w:rPr>
        <w:t>About 1.8</w:t>
      </w:r>
      <w:r w:rsidRPr="00FC7F21">
        <w:rPr>
          <w:sz w:val="22"/>
          <w:szCs w:val="22"/>
        </w:rPr>
        <w:t xml:space="preserve">% of total pending households </w:t>
      </w:r>
      <w:r w:rsidR="00C13434">
        <w:rPr>
          <w:sz w:val="22"/>
          <w:szCs w:val="22"/>
        </w:rPr>
        <w:t>lives</w:t>
      </w:r>
      <w:r w:rsidRPr="00FC7F21">
        <w:rPr>
          <w:sz w:val="22"/>
          <w:szCs w:val="22"/>
        </w:rPr>
        <w:t xml:space="preserve"> in a gated community or locked building.</w:t>
      </w:r>
    </w:p>
    <w:p w:rsidR="000663C4" w:rsidRPr="00FC7F21" w:rsidRDefault="000663C4" w:rsidP="000663C4">
      <w:pPr>
        <w:rPr>
          <w:sz w:val="22"/>
          <w:szCs w:val="22"/>
        </w:rPr>
      </w:pPr>
    </w:p>
    <w:p w:rsidR="000663C4" w:rsidRPr="00FC7F21" w:rsidRDefault="000663C4" w:rsidP="000663C4">
      <w:pPr>
        <w:rPr>
          <w:color w:val="000000"/>
          <w:sz w:val="22"/>
          <w:szCs w:val="22"/>
        </w:rPr>
      </w:pPr>
      <w:r w:rsidRPr="00FC7F21">
        <w:rPr>
          <w:color w:val="000000"/>
          <w:sz w:val="22"/>
          <w:szCs w:val="22"/>
        </w:rPr>
        <w:t>Our current recruitment protocols require field interviewers to obtain the name of the management company and contact information (if possible), when a field interviewer is unable to gain access to a gated community or locked building.  Interviewers send this information to their field supervisor</w:t>
      </w:r>
      <w:r w:rsidR="00DB0620">
        <w:rPr>
          <w:color w:val="000000"/>
          <w:sz w:val="22"/>
          <w:szCs w:val="22"/>
        </w:rPr>
        <w:t>s</w:t>
      </w:r>
      <w:r w:rsidRPr="00FC7F21">
        <w:rPr>
          <w:color w:val="000000"/>
          <w:sz w:val="22"/>
          <w:szCs w:val="22"/>
        </w:rPr>
        <w:t>. If a phone number is available, or can be obtained through a web search, supervisor</w:t>
      </w:r>
      <w:r w:rsidR="00DB0620">
        <w:rPr>
          <w:color w:val="000000"/>
          <w:sz w:val="22"/>
          <w:szCs w:val="22"/>
        </w:rPr>
        <w:t>s</w:t>
      </w:r>
      <w:r w:rsidRPr="00FC7F21">
        <w:rPr>
          <w:color w:val="000000"/>
          <w:sz w:val="22"/>
          <w:szCs w:val="22"/>
        </w:rPr>
        <w:t xml:space="preserve"> will attempt to contact the management compan</w:t>
      </w:r>
      <w:r w:rsidR="00DB0620">
        <w:rPr>
          <w:color w:val="000000"/>
          <w:sz w:val="22"/>
          <w:szCs w:val="22"/>
        </w:rPr>
        <w:t>ies</w:t>
      </w:r>
      <w:r w:rsidRPr="00FC7F21">
        <w:rPr>
          <w:color w:val="000000"/>
          <w:sz w:val="22"/>
          <w:szCs w:val="22"/>
        </w:rPr>
        <w:t xml:space="preserve"> by telephone. If a phone number is not available, field supervisor</w:t>
      </w:r>
      <w:r w:rsidR="00DB0620">
        <w:rPr>
          <w:color w:val="000000"/>
          <w:sz w:val="22"/>
          <w:szCs w:val="22"/>
        </w:rPr>
        <w:t>s</w:t>
      </w:r>
      <w:r w:rsidRPr="00FC7F21">
        <w:rPr>
          <w:color w:val="000000"/>
          <w:sz w:val="22"/>
          <w:szCs w:val="22"/>
        </w:rPr>
        <w:t xml:space="preserve"> submit the management company address</w:t>
      </w:r>
      <w:r w:rsidR="00DB0620">
        <w:rPr>
          <w:color w:val="000000"/>
          <w:sz w:val="22"/>
          <w:szCs w:val="22"/>
        </w:rPr>
        <w:t>es</w:t>
      </w:r>
      <w:r w:rsidRPr="00FC7F21">
        <w:rPr>
          <w:color w:val="000000"/>
          <w:sz w:val="22"/>
          <w:szCs w:val="22"/>
        </w:rPr>
        <w:t xml:space="preserve"> to a tracking system.  </w:t>
      </w:r>
    </w:p>
    <w:p w:rsidR="000663C4" w:rsidRPr="00FC7F21" w:rsidRDefault="000663C4" w:rsidP="000663C4">
      <w:pPr>
        <w:rPr>
          <w:color w:val="000000"/>
          <w:sz w:val="22"/>
          <w:szCs w:val="22"/>
        </w:rPr>
      </w:pPr>
    </w:p>
    <w:p w:rsidR="000663C4" w:rsidRPr="00FC7F21" w:rsidRDefault="000663C4" w:rsidP="000663C4">
      <w:pPr>
        <w:rPr>
          <w:color w:val="000000"/>
          <w:sz w:val="22"/>
          <w:szCs w:val="22"/>
        </w:rPr>
      </w:pPr>
      <w:r w:rsidRPr="00FC7F21">
        <w:rPr>
          <w:color w:val="000000"/>
          <w:sz w:val="22"/>
          <w:szCs w:val="22"/>
        </w:rPr>
        <w:t>Advance letter has been proven to be an effective technique to reduce nonresponse in various modes of data collection including mail survey, face-to-face survey, and telephone survey.  We believe that an advance letter to the management compan</w:t>
      </w:r>
      <w:r w:rsidR="00DB0620">
        <w:rPr>
          <w:color w:val="000000"/>
          <w:sz w:val="22"/>
          <w:szCs w:val="22"/>
        </w:rPr>
        <w:t>y</w:t>
      </w:r>
      <w:r w:rsidRPr="00FC7F21">
        <w:rPr>
          <w:color w:val="000000"/>
          <w:sz w:val="22"/>
          <w:szCs w:val="22"/>
        </w:rPr>
        <w:t xml:space="preserve"> for gated communities or locked buildings where sampled households reside will stimulate survey cooperation from these companies.  As the result, it will lead to an increase in both screen and response rates for households in gated communities.  We propose that effective on June 15, an advance letter (Attachment – letter to gated community management) will be sent to management companies from our central office on the 1</w:t>
      </w:r>
      <w:r w:rsidRPr="00FC7F21">
        <w:rPr>
          <w:color w:val="000000"/>
          <w:sz w:val="22"/>
          <w:szCs w:val="22"/>
          <w:vertAlign w:val="superscript"/>
        </w:rPr>
        <w:t>st</w:t>
      </w:r>
      <w:r w:rsidRPr="00FC7F21">
        <w:rPr>
          <w:color w:val="000000"/>
          <w:sz w:val="22"/>
          <w:szCs w:val="22"/>
        </w:rPr>
        <w:t xml:space="preserve"> and 15</w:t>
      </w:r>
      <w:r w:rsidRPr="00FC7F21">
        <w:rPr>
          <w:color w:val="000000"/>
          <w:sz w:val="22"/>
          <w:szCs w:val="22"/>
          <w:vertAlign w:val="superscript"/>
        </w:rPr>
        <w:t>th</w:t>
      </w:r>
      <w:r w:rsidRPr="00FC7F21">
        <w:rPr>
          <w:color w:val="000000"/>
          <w:sz w:val="22"/>
          <w:szCs w:val="22"/>
        </w:rPr>
        <w:t xml:space="preserve"> of each month during our fielding.  This request is for this proposed modification for recruitment protocol of households/individuals living in a gated community or locked building.</w:t>
      </w:r>
    </w:p>
    <w:bookmarkEnd w:id="0"/>
    <w:p w:rsidR="00B4229C" w:rsidRDefault="00B4229C" w:rsidP="00B4229C">
      <w:pPr>
        <w:widowControl/>
        <w:rPr>
          <w:sz w:val="22"/>
          <w:szCs w:val="22"/>
        </w:rPr>
      </w:pPr>
    </w:p>
    <w:p w:rsidR="00ED4B86" w:rsidRPr="00FC7F21" w:rsidRDefault="00ED4B86" w:rsidP="00B4229C">
      <w:pPr>
        <w:widowControl/>
        <w:rPr>
          <w:sz w:val="22"/>
          <w:szCs w:val="22"/>
        </w:rPr>
      </w:pPr>
      <w:r>
        <w:rPr>
          <w:sz w:val="22"/>
          <w:szCs w:val="22"/>
        </w:rPr>
        <w:t xml:space="preserve">We estimate that </w:t>
      </w:r>
      <w:r w:rsidR="000B5AE1">
        <w:rPr>
          <w:sz w:val="22"/>
          <w:szCs w:val="22"/>
        </w:rPr>
        <w:t>444</w:t>
      </w:r>
      <w:r>
        <w:rPr>
          <w:sz w:val="22"/>
          <w:szCs w:val="22"/>
        </w:rPr>
        <w:t xml:space="preserve"> </w:t>
      </w:r>
      <w:r w:rsidR="00542048">
        <w:rPr>
          <w:sz w:val="22"/>
          <w:szCs w:val="22"/>
        </w:rPr>
        <w:t xml:space="preserve">(24,675*1.8%=444) </w:t>
      </w:r>
      <w:r>
        <w:rPr>
          <w:sz w:val="22"/>
          <w:szCs w:val="22"/>
        </w:rPr>
        <w:t>of the 24,675 total released samples</w:t>
      </w:r>
      <w:r w:rsidR="006A2B92">
        <w:rPr>
          <w:sz w:val="22"/>
          <w:szCs w:val="22"/>
        </w:rPr>
        <w:t>/households</w:t>
      </w:r>
      <w:r>
        <w:rPr>
          <w:sz w:val="22"/>
          <w:szCs w:val="22"/>
        </w:rPr>
        <w:t xml:space="preserve"> for the survey will </w:t>
      </w:r>
      <w:r w:rsidR="00DB0620">
        <w:rPr>
          <w:sz w:val="22"/>
          <w:szCs w:val="22"/>
        </w:rPr>
        <w:t>live</w:t>
      </w:r>
      <w:r>
        <w:rPr>
          <w:sz w:val="22"/>
          <w:szCs w:val="22"/>
        </w:rPr>
        <w:t xml:space="preserve"> in either gated communities or locked buildings based on </w:t>
      </w:r>
      <w:r w:rsidR="00542048">
        <w:rPr>
          <w:sz w:val="22"/>
          <w:szCs w:val="22"/>
        </w:rPr>
        <w:t>data</w:t>
      </w:r>
      <w:r w:rsidR="000B5AE1">
        <w:rPr>
          <w:sz w:val="22"/>
          <w:szCs w:val="22"/>
        </w:rPr>
        <w:t xml:space="preserve"> derived </w:t>
      </w:r>
      <w:r w:rsidR="006A2B92">
        <w:rPr>
          <w:sz w:val="22"/>
          <w:szCs w:val="22"/>
        </w:rPr>
        <w:t>from</w:t>
      </w:r>
      <w:r w:rsidR="000B5AE1">
        <w:rPr>
          <w:sz w:val="22"/>
          <w:szCs w:val="22"/>
        </w:rPr>
        <w:t xml:space="preserve"> our current data fielding.  </w:t>
      </w:r>
      <w:r w:rsidR="00BD65AB">
        <w:rPr>
          <w:sz w:val="22"/>
          <w:szCs w:val="22"/>
        </w:rPr>
        <w:t xml:space="preserve">We expect </w:t>
      </w:r>
      <w:r w:rsidR="00820CF8">
        <w:rPr>
          <w:sz w:val="22"/>
          <w:szCs w:val="22"/>
        </w:rPr>
        <w:t>that a</w:t>
      </w:r>
      <w:r w:rsidR="00BD65AB">
        <w:rPr>
          <w:sz w:val="22"/>
          <w:szCs w:val="22"/>
        </w:rPr>
        <w:t xml:space="preserve">bout 80% of the management companies </w:t>
      </w:r>
      <w:r w:rsidR="00820CF8">
        <w:rPr>
          <w:sz w:val="22"/>
          <w:szCs w:val="22"/>
        </w:rPr>
        <w:t xml:space="preserve">for these gated communities/locked buildings will respond to our request for cooperation.  The </w:t>
      </w:r>
      <w:r w:rsidR="00542048">
        <w:rPr>
          <w:sz w:val="22"/>
          <w:szCs w:val="22"/>
        </w:rPr>
        <w:t xml:space="preserve">estimated </w:t>
      </w:r>
      <w:r w:rsidR="00820CF8">
        <w:rPr>
          <w:sz w:val="22"/>
          <w:szCs w:val="22"/>
        </w:rPr>
        <w:t xml:space="preserve">average response time is 10 minutes per respondent.  For those companies (89) who will not respond to our request, we estimate that it will take about 2 minutes on </w:t>
      </w:r>
      <w:r w:rsidR="00D41F63">
        <w:rPr>
          <w:sz w:val="22"/>
          <w:szCs w:val="22"/>
        </w:rPr>
        <w:t xml:space="preserve">an </w:t>
      </w:r>
      <w:r w:rsidR="00820CF8">
        <w:rPr>
          <w:sz w:val="22"/>
          <w:szCs w:val="22"/>
        </w:rPr>
        <w:t>average for them to read the advance letter.</w:t>
      </w:r>
      <w:r w:rsidR="006A2B92">
        <w:rPr>
          <w:sz w:val="22"/>
          <w:szCs w:val="22"/>
        </w:rPr>
        <w:t xml:space="preserve">  </w:t>
      </w:r>
      <w:r w:rsidR="00D41F63">
        <w:rPr>
          <w:sz w:val="22"/>
          <w:szCs w:val="22"/>
        </w:rPr>
        <w:t>T</w:t>
      </w:r>
      <w:r w:rsidR="006A2B92">
        <w:rPr>
          <w:sz w:val="22"/>
          <w:szCs w:val="22"/>
        </w:rPr>
        <w:t>he implementation of th</w:t>
      </w:r>
      <w:r w:rsidR="00D41F63">
        <w:rPr>
          <w:sz w:val="22"/>
          <w:szCs w:val="22"/>
        </w:rPr>
        <w:t>is</w:t>
      </w:r>
      <w:r w:rsidR="006A2B92">
        <w:rPr>
          <w:sz w:val="22"/>
          <w:szCs w:val="22"/>
        </w:rPr>
        <w:t xml:space="preserve"> proposed recruitment protocol change will result in a total of 62.18 hours </w:t>
      </w:r>
      <w:r w:rsidR="00542048">
        <w:rPr>
          <w:sz w:val="22"/>
          <w:szCs w:val="22"/>
        </w:rPr>
        <w:t>in</w:t>
      </w:r>
      <w:r w:rsidR="006A2B92">
        <w:rPr>
          <w:sz w:val="22"/>
          <w:szCs w:val="22"/>
        </w:rPr>
        <w:t xml:space="preserve"> </w:t>
      </w:r>
      <w:r w:rsidR="00D41F63">
        <w:rPr>
          <w:sz w:val="22"/>
          <w:szCs w:val="22"/>
        </w:rPr>
        <w:t xml:space="preserve">annual </w:t>
      </w:r>
      <w:r w:rsidR="006A2B92">
        <w:rPr>
          <w:sz w:val="22"/>
          <w:szCs w:val="22"/>
        </w:rPr>
        <w:t>response burden</w:t>
      </w:r>
      <w:r w:rsidR="00D41F63">
        <w:rPr>
          <w:sz w:val="22"/>
          <w:szCs w:val="22"/>
        </w:rPr>
        <w:t xml:space="preserve"> </w:t>
      </w:r>
      <w:r w:rsidR="00D41F63">
        <w:rPr>
          <w:sz w:val="22"/>
          <w:szCs w:val="22"/>
        </w:rPr>
        <w:lastRenderedPageBreak/>
        <w:t xml:space="preserve">increase.  Thus, we request to increase the total annual hour burden for the </w:t>
      </w:r>
      <w:r w:rsidR="00D41F63" w:rsidRPr="00FC7F21">
        <w:rPr>
          <w:sz w:val="22"/>
          <w:szCs w:val="22"/>
        </w:rPr>
        <w:t>National Household Food Acquisition and Purchase Survey (OMB Control No. 0536-0068)</w:t>
      </w:r>
      <w:r w:rsidR="00726E81">
        <w:rPr>
          <w:sz w:val="22"/>
          <w:szCs w:val="22"/>
        </w:rPr>
        <w:t xml:space="preserve"> from previously approved 43,</w:t>
      </w:r>
      <w:r w:rsidR="00490FDC">
        <w:rPr>
          <w:sz w:val="22"/>
          <w:szCs w:val="22"/>
        </w:rPr>
        <w:t>897</w:t>
      </w:r>
      <w:bookmarkStart w:id="1" w:name="_GoBack"/>
      <w:bookmarkEnd w:id="1"/>
      <w:r w:rsidR="00726E81">
        <w:rPr>
          <w:sz w:val="22"/>
          <w:szCs w:val="22"/>
        </w:rPr>
        <w:t xml:space="preserve"> hours to 43,9</w:t>
      </w:r>
      <w:r w:rsidR="00490FDC">
        <w:rPr>
          <w:sz w:val="22"/>
          <w:szCs w:val="22"/>
        </w:rPr>
        <w:t>59</w:t>
      </w:r>
      <w:r w:rsidR="00726E81">
        <w:rPr>
          <w:sz w:val="22"/>
          <w:szCs w:val="22"/>
        </w:rPr>
        <w:t xml:space="preserve"> hours.</w:t>
      </w:r>
    </w:p>
    <w:p w:rsidR="00A3177B" w:rsidRPr="00FC7F21" w:rsidRDefault="00A3177B" w:rsidP="00C5746E">
      <w:pPr>
        <w:widowControl/>
        <w:rPr>
          <w:sz w:val="22"/>
          <w:szCs w:val="22"/>
        </w:rPr>
      </w:pPr>
    </w:p>
    <w:p w:rsidR="005E6E72" w:rsidRPr="00FC7F21" w:rsidRDefault="00834948" w:rsidP="00C5746E">
      <w:pPr>
        <w:widowControl/>
        <w:rPr>
          <w:sz w:val="22"/>
          <w:szCs w:val="22"/>
        </w:rPr>
      </w:pPr>
      <w:r w:rsidRPr="00FC7F21">
        <w:rPr>
          <w:sz w:val="22"/>
          <w:szCs w:val="22"/>
        </w:rPr>
        <w:t xml:space="preserve">CC: </w:t>
      </w:r>
      <w:r w:rsidR="00FC7F21">
        <w:rPr>
          <w:sz w:val="22"/>
          <w:szCs w:val="22"/>
        </w:rPr>
        <w:t>Pheny Weidman, ERS</w:t>
      </w:r>
    </w:p>
    <w:p w:rsidR="00834948" w:rsidRPr="00FC7F21" w:rsidRDefault="005E6E72" w:rsidP="00C5746E">
      <w:pPr>
        <w:widowControl/>
        <w:rPr>
          <w:sz w:val="22"/>
          <w:szCs w:val="22"/>
        </w:rPr>
      </w:pPr>
      <w:r w:rsidRPr="00FC7F21">
        <w:rPr>
          <w:sz w:val="22"/>
          <w:szCs w:val="22"/>
        </w:rPr>
        <w:t xml:space="preserve">        </w:t>
      </w:r>
      <w:r w:rsidR="00FC7F21">
        <w:rPr>
          <w:sz w:val="22"/>
          <w:szCs w:val="22"/>
        </w:rPr>
        <w:t>John Kirlin, ERS</w:t>
      </w:r>
    </w:p>
    <w:p w:rsidR="00DC4A2C" w:rsidRPr="00FC7F21" w:rsidRDefault="00DC4A2C" w:rsidP="00C5746E">
      <w:pPr>
        <w:widowControl/>
        <w:rPr>
          <w:sz w:val="22"/>
          <w:szCs w:val="22"/>
        </w:rPr>
      </w:pPr>
      <w:r w:rsidRPr="00FC7F21">
        <w:rPr>
          <w:sz w:val="22"/>
          <w:szCs w:val="22"/>
        </w:rPr>
        <w:t xml:space="preserve">        </w:t>
      </w:r>
      <w:r w:rsidR="00FC7F21">
        <w:rPr>
          <w:sz w:val="22"/>
          <w:szCs w:val="22"/>
        </w:rPr>
        <w:t>Nancy Cole, MPR</w:t>
      </w:r>
    </w:p>
    <w:p w:rsidR="00077D06" w:rsidRPr="00FC7F21" w:rsidRDefault="00077D06" w:rsidP="00C5746E">
      <w:pPr>
        <w:widowControl/>
        <w:rPr>
          <w:sz w:val="22"/>
          <w:szCs w:val="22"/>
        </w:rPr>
      </w:pPr>
    </w:p>
    <w:sectPr w:rsidR="00077D06" w:rsidRPr="00FC7F21" w:rsidSect="002853AD">
      <w:footnotePr>
        <w:numRestart w:val="eachSect"/>
      </w:footnotePr>
      <w:endnotePr>
        <w:numFmt w:val="decimal"/>
      </w:end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D2" w:rsidRDefault="00343DD2">
      <w:r>
        <w:separator/>
      </w:r>
    </w:p>
  </w:endnote>
  <w:endnote w:type="continuationSeparator" w:id="0">
    <w:p w:rsidR="00343DD2" w:rsidRDefault="0034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pperplate31ab">
    <w:panose1 w:val="00000000000000000000"/>
    <w:charset w:val="00"/>
    <w:family w:val="swiss"/>
    <w:notTrueType/>
    <w:pitch w:val="variable"/>
    <w:sig w:usb0="00000003" w:usb1="00000000" w:usb2="00000000" w:usb3="00000000" w:csb0="00000001" w:csb1="00000000"/>
  </w:font>
  <w:font w:name="Copperplate29b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60" w:rsidRDefault="00125660" w:rsidP="00E15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660" w:rsidRDefault="00125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60" w:rsidRDefault="00125660" w:rsidP="00E155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FDC">
      <w:rPr>
        <w:rStyle w:val="PageNumber"/>
        <w:noProof/>
      </w:rPr>
      <w:t>1</w:t>
    </w:r>
    <w:r>
      <w:rPr>
        <w:rStyle w:val="PageNumber"/>
      </w:rPr>
      <w:fldChar w:fldCharType="end"/>
    </w:r>
  </w:p>
  <w:p w:rsidR="00125660" w:rsidRDefault="0012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D2" w:rsidRDefault="00343DD2">
      <w:r>
        <w:separator/>
      </w:r>
    </w:p>
  </w:footnote>
  <w:footnote w:type="continuationSeparator" w:id="0">
    <w:p w:rsidR="00343DD2" w:rsidRDefault="0034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08E24E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9E5252"/>
    <w:multiLevelType w:val="hybridMultilevel"/>
    <w:tmpl w:val="6340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25019"/>
    <w:multiLevelType w:val="hybridMultilevel"/>
    <w:tmpl w:val="4D88D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030912"/>
    <w:multiLevelType w:val="hybridMultilevel"/>
    <w:tmpl w:val="665A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E3C6A"/>
    <w:multiLevelType w:val="hybridMultilevel"/>
    <w:tmpl w:val="53C4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40EF2"/>
    <w:multiLevelType w:val="hybridMultilevel"/>
    <w:tmpl w:val="29FE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441E8"/>
    <w:multiLevelType w:val="hybridMultilevel"/>
    <w:tmpl w:val="20F26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322152"/>
    <w:multiLevelType w:val="hybridMultilevel"/>
    <w:tmpl w:val="2886D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B15"/>
    <w:rsid w:val="00005AAB"/>
    <w:rsid w:val="00005AC2"/>
    <w:rsid w:val="00021C68"/>
    <w:rsid w:val="0002368E"/>
    <w:rsid w:val="00026B65"/>
    <w:rsid w:val="0003098A"/>
    <w:rsid w:val="0004491D"/>
    <w:rsid w:val="000559D8"/>
    <w:rsid w:val="000603E0"/>
    <w:rsid w:val="00065102"/>
    <w:rsid w:val="000663C4"/>
    <w:rsid w:val="00077D06"/>
    <w:rsid w:val="000A7A96"/>
    <w:rsid w:val="000B5AE1"/>
    <w:rsid w:val="000C0BAD"/>
    <w:rsid w:val="000C7156"/>
    <w:rsid w:val="000C7BE2"/>
    <w:rsid w:val="000D0FF4"/>
    <w:rsid w:val="000F36B7"/>
    <w:rsid w:val="00125660"/>
    <w:rsid w:val="00132ED1"/>
    <w:rsid w:val="00162E04"/>
    <w:rsid w:val="00164360"/>
    <w:rsid w:val="001771D9"/>
    <w:rsid w:val="001871BD"/>
    <w:rsid w:val="001B0348"/>
    <w:rsid w:val="001D3C15"/>
    <w:rsid w:val="001D4E4E"/>
    <w:rsid w:val="001E12BF"/>
    <w:rsid w:val="001E56FA"/>
    <w:rsid w:val="001F094C"/>
    <w:rsid w:val="001F1F60"/>
    <w:rsid w:val="001F3011"/>
    <w:rsid w:val="00203BC6"/>
    <w:rsid w:val="0020660F"/>
    <w:rsid w:val="00206793"/>
    <w:rsid w:val="00232532"/>
    <w:rsid w:val="00237276"/>
    <w:rsid w:val="002462EC"/>
    <w:rsid w:val="0025398C"/>
    <w:rsid w:val="00257638"/>
    <w:rsid w:val="002719C3"/>
    <w:rsid w:val="00274843"/>
    <w:rsid w:val="002853AD"/>
    <w:rsid w:val="002A1C66"/>
    <w:rsid w:val="002A77A7"/>
    <w:rsid w:val="002B3D21"/>
    <w:rsid w:val="002B6345"/>
    <w:rsid w:val="002B63A9"/>
    <w:rsid w:val="002C2984"/>
    <w:rsid w:val="002C300A"/>
    <w:rsid w:val="002C48CD"/>
    <w:rsid w:val="002D7622"/>
    <w:rsid w:val="002D7633"/>
    <w:rsid w:val="002F2187"/>
    <w:rsid w:val="00303B85"/>
    <w:rsid w:val="003152F5"/>
    <w:rsid w:val="00321B93"/>
    <w:rsid w:val="00333DE3"/>
    <w:rsid w:val="00335012"/>
    <w:rsid w:val="00343DD2"/>
    <w:rsid w:val="003550D9"/>
    <w:rsid w:val="00356929"/>
    <w:rsid w:val="0037354F"/>
    <w:rsid w:val="00381B37"/>
    <w:rsid w:val="00386F51"/>
    <w:rsid w:val="003B42EF"/>
    <w:rsid w:val="003B5632"/>
    <w:rsid w:val="003E7C4B"/>
    <w:rsid w:val="003F1FAF"/>
    <w:rsid w:val="00420652"/>
    <w:rsid w:val="0042481D"/>
    <w:rsid w:val="004300FE"/>
    <w:rsid w:val="004476F2"/>
    <w:rsid w:val="00471081"/>
    <w:rsid w:val="004840AF"/>
    <w:rsid w:val="00490FDC"/>
    <w:rsid w:val="004A4623"/>
    <w:rsid w:val="004B086D"/>
    <w:rsid w:val="004B65ED"/>
    <w:rsid w:val="004C1A40"/>
    <w:rsid w:val="004C5A48"/>
    <w:rsid w:val="004C5B71"/>
    <w:rsid w:val="004E01B0"/>
    <w:rsid w:val="004E2C1E"/>
    <w:rsid w:val="004E3C35"/>
    <w:rsid w:val="004E55E5"/>
    <w:rsid w:val="004F2B60"/>
    <w:rsid w:val="004F5C49"/>
    <w:rsid w:val="00501342"/>
    <w:rsid w:val="00504D80"/>
    <w:rsid w:val="00512CFD"/>
    <w:rsid w:val="00514F1B"/>
    <w:rsid w:val="0052037F"/>
    <w:rsid w:val="005205CC"/>
    <w:rsid w:val="00523BAD"/>
    <w:rsid w:val="00542048"/>
    <w:rsid w:val="00552CA9"/>
    <w:rsid w:val="005539D1"/>
    <w:rsid w:val="005646D2"/>
    <w:rsid w:val="005712F2"/>
    <w:rsid w:val="0059554E"/>
    <w:rsid w:val="00597CE4"/>
    <w:rsid w:val="005A01BC"/>
    <w:rsid w:val="005D05C6"/>
    <w:rsid w:val="005D6C4C"/>
    <w:rsid w:val="005E6E72"/>
    <w:rsid w:val="00601496"/>
    <w:rsid w:val="00621675"/>
    <w:rsid w:val="006439AA"/>
    <w:rsid w:val="00652CD5"/>
    <w:rsid w:val="0065518D"/>
    <w:rsid w:val="00655DE9"/>
    <w:rsid w:val="006A1B3A"/>
    <w:rsid w:val="006A2B92"/>
    <w:rsid w:val="006E425E"/>
    <w:rsid w:val="006E5E0E"/>
    <w:rsid w:val="006F71E2"/>
    <w:rsid w:val="006F728C"/>
    <w:rsid w:val="00702C8E"/>
    <w:rsid w:val="007033EE"/>
    <w:rsid w:val="00711433"/>
    <w:rsid w:val="00726E81"/>
    <w:rsid w:val="00737B15"/>
    <w:rsid w:val="0074432E"/>
    <w:rsid w:val="00754205"/>
    <w:rsid w:val="007579D7"/>
    <w:rsid w:val="00763B5F"/>
    <w:rsid w:val="00772494"/>
    <w:rsid w:val="00781DB1"/>
    <w:rsid w:val="00786F3A"/>
    <w:rsid w:val="00787F26"/>
    <w:rsid w:val="007B0A63"/>
    <w:rsid w:val="007B3431"/>
    <w:rsid w:val="007B5A07"/>
    <w:rsid w:val="007D5C67"/>
    <w:rsid w:val="007E29AA"/>
    <w:rsid w:val="0080634C"/>
    <w:rsid w:val="00810DF3"/>
    <w:rsid w:val="00820CF8"/>
    <w:rsid w:val="00827517"/>
    <w:rsid w:val="008277F5"/>
    <w:rsid w:val="00830009"/>
    <w:rsid w:val="00830368"/>
    <w:rsid w:val="008314C1"/>
    <w:rsid w:val="00834948"/>
    <w:rsid w:val="00862FE2"/>
    <w:rsid w:val="00870DFE"/>
    <w:rsid w:val="00870F8E"/>
    <w:rsid w:val="00893703"/>
    <w:rsid w:val="008B6504"/>
    <w:rsid w:val="008C0F63"/>
    <w:rsid w:val="008C1ED7"/>
    <w:rsid w:val="008E126A"/>
    <w:rsid w:val="008E739F"/>
    <w:rsid w:val="0091524F"/>
    <w:rsid w:val="00922C93"/>
    <w:rsid w:val="00926BA8"/>
    <w:rsid w:val="00936DDA"/>
    <w:rsid w:val="0097234C"/>
    <w:rsid w:val="00987846"/>
    <w:rsid w:val="00996D8B"/>
    <w:rsid w:val="009B1F20"/>
    <w:rsid w:val="009E4147"/>
    <w:rsid w:val="009E7524"/>
    <w:rsid w:val="00A00A7C"/>
    <w:rsid w:val="00A11F18"/>
    <w:rsid w:val="00A16C42"/>
    <w:rsid w:val="00A3177B"/>
    <w:rsid w:val="00A433D8"/>
    <w:rsid w:val="00A6383E"/>
    <w:rsid w:val="00A65D7C"/>
    <w:rsid w:val="00A732FE"/>
    <w:rsid w:val="00A77FB1"/>
    <w:rsid w:val="00A973A5"/>
    <w:rsid w:val="00AA0E08"/>
    <w:rsid w:val="00AA7E35"/>
    <w:rsid w:val="00AB4273"/>
    <w:rsid w:val="00AD041B"/>
    <w:rsid w:val="00AD64AA"/>
    <w:rsid w:val="00AE101E"/>
    <w:rsid w:val="00AF2F43"/>
    <w:rsid w:val="00AF7423"/>
    <w:rsid w:val="00B02304"/>
    <w:rsid w:val="00B12814"/>
    <w:rsid w:val="00B21442"/>
    <w:rsid w:val="00B225D5"/>
    <w:rsid w:val="00B34A62"/>
    <w:rsid w:val="00B4229C"/>
    <w:rsid w:val="00B612DA"/>
    <w:rsid w:val="00B61E7C"/>
    <w:rsid w:val="00B653C2"/>
    <w:rsid w:val="00B6579C"/>
    <w:rsid w:val="00B767C7"/>
    <w:rsid w:val="00B91DFA"/>
    <w:rsid w:val="00BA5D88"/>
    <w:rsid w:val="00BB62E7"/>
    <w:rsid w:val="00BC31FF"/>
    <w:rsid w:val="00BD65AB"/>
    <w:rsid w:val="00BE76C6"/>
    <w:rsid w:val="00C06C06"/>
    <w:rsid w:val="00C13434"/>
    <w:rsid w:val="00C1452F"/>
    <w:rsid w:val="00C23DEA"/>
    <w:rsid w:val="00C52B75"/>
    <w:rsid w:val="00C5746E"/>
    <w:rsid w:val="00C575B7"/>
    <w:rsid w:val="00C67C0F"/>
    <w:rsid w:val="00CA6E0E"/>
    <w:rsid w:val="00CC180D"/>
    <w:rsid w:val="00CF3F58"/>
    <w:rsid w:val="00D2125C"/>
    <w:rsid w:val="00D41F63"/>
    <w:rsid w:val="00D53017"/>
    <w:rsid w:val="00D5742B"/>
    <w:rsid w:val="00D63B6F"/>
    <w:rsid w:val="00D74A77"/>
    <w:rsid w:val="00D75751"/>
    <w:rsid w:val="00D761BC"/>
    <w:rsid w:val="00D86ABF"/>
    <w:rsid w:val="00D93C8B"/>
    <w:rsid w:val="00DA3C83"/>
    <w:rsid w:val="00DB0620"/>
    <w:rsid w:val="00DB0E4F"/>
    <w:rsid w:val="00DB44EF"/>
    <w:rsid w:val="00DB4AAB"/>
    <w:rsid w:val="00DB5ECF"/>
    <w:rsid w:val="00DC4A2C"/>
    <w:rsid w:val="00DE3127"/>
    <w:rsid w:val="00DF19EB"/>
    <w:rsid w:val="00DF37E2"/>
    <w:rsid w:val="00E03EE2"/>
    <w:rsid w:val="00E121F4"/>
    <w:rsid w:val="00E155A5"/>
    <w:rsid w:val="00E23189"/>
    <w:rsid w:val="00E34C8B"/>
    <w:rsid w:val="00E408E6"/>
    <w:rsid w:val="00E459F3"/>
    <w:rsid w:val="00E54BCB"/>
    <w:rsid w:val="00E56F27"/>
    <w:rsid w:val="00E57B6E"/>
    <w:rsid w:val="00E64B33"/>
    <w:rsid w:val="00E66D6C"/>
    <w:rsid w:val="00E7333F"/>
    <w:rsid w:val="00EB28B6"/>
    <w:rsid w:val="00ED3602"/>
    <w:rsid w:val="00ED370A"/>
    <w:rsid w:val="00ED4B86"/>
    <w:rsid w:val="00EE4161"/>
    <w:rsid w:val="00EE61F6"/>
    <w:rsid w:val="00EE6F8F"/>
    <w:rsid w:val="00F1460D"/>
    <w:rsid w:val="00F163BD"/>
    <w:rsid w:val="00F27C9B"/>
    <w:rsid w:val="00F30078"/>
    <w:rsid w:val="00F35AED"/>
    <w:rsid w:val="00F35DE3"/>
    <w:rsid w:val="00F40A76"/>
    <w:rsid w:val="00F468EC"/>
    <w:rsid w:val="00F63087"/>
    <w:rsid w:val="00F9185A"/>
    <w:rsid w:val="00FB66F8"/>
    <w:rsid w:val="00FC2880"/>
    <w:rsid w:val="00FC7F21"/>
    <w:rsid w:val="00FD1468"/>
    <w:rsid w:val="00FE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AA"/>
    <w:pPr>
      <w:widowControl w:val="0"/>
    </w:pPr>
    <w:rPr>
      <w:snapToGrid w:val="0"/>
    </w:rPr>
  </w:style>
  <w:style w:type="paragraph" w:styleId="Heading1">
    <w:name w:val="heading 1"/>
    <w:basedOn w:val="Normal"/>
    <w:next w:val="Normal"/>
    <w:qFormat/>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4"/>
    </w:rPr>
  </w:style>
  <w:style w:type="paragraph" w:styleId="Heading2">
    <w:name w:val="heading 2"/>
    <w:basedOn w:val="Normal"/>
    <w:next w:val="Normal"/>
    <w:qFormat/>
    <w:pPr>
      <w:keepNext/>
      <w:widowControl/>
      <w:tabs>
        <w:tab w:val="left" w:pos="720"/>
        <w:tab w:val="left" w:pos="900"/>
        <w:tab w:val="left" w:pos="6480"/>
        <w:tab w:val="left" w:pos="7200"/>
        <w:tab w:val="left" w:pos="7920"/>
        <w:tab w:val="left" w:pos="8640"/>
      </w:tabs>
      <w:ind w:left="900"/>
      <w:outlineLvl w:val="1"/>
    </w:pPr>
    <w:rPr>
      <w:sz w:val="24"/>
    </w:rPr>
  </w:style>
  <w:style w:type="paragraph" w:styleId="Heading3">
    <w:name w:val="heading 3"/>
    <w:basedOn w:val="Normal"/>
    <w:next w:val="Normal"/>
    <w:qFormat/>
    <w:pPr>
      <w:keepNext/>
      <w:widowControl/>
      <w:tabs>
        <w:tab w:val="left" w:pos="720"/>
        <w:tab w:val="left" w:pos="1350"/>
        <w:tab w:val="left" w:pos="6480"/>
        <w:tab w:val="left" w:pos="7200"/>
        <w:tab w:val="left" w:pos="7920"/>
        <w:tab w:val="left" w:pos="8640"/>
      </w:tabs>
      <w:ind w:left="900" w:right="81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widowControl/>
      <w:spacing w:before="100" w:beforeAutospacing="1" w:after="100" w:afterAutospacing="1"/>
    </w:pPr>
    <w:rPr>
      <w:rFonts w:ascii="Verdana" w:hAnsi="Verdana"/>
      <w:snapToGrid/>
      <w:color w:val="000000"/>
    </w:rPr>
  </w:style>
  <w:style w:type="paragraph" w:styleId="BalloonText">
    <w:name w:val="Balloon Text"/>
    <w:basedOn w:val="Normal"/>
    <w:semiHidden/>
    <w:rPr>
      <w:rFonts w:ascii="Tahoma" w:hAnsi="Tahoma" w:cs="Tahoma"/>
      <w:sz w:val="16"/>
      <w:szCs w:val="16"/>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3">
    <w:name w:val="List Bullet 3"/>
    <w:basedOn w:val="Normal"/>
    <w:autoRedefine/>
    <w:pPr>
      <w:numPr>
        <w:numId w:val="1"/>
      </w:numPr>
    </w:pPr>
  </w:style>
  <w:style w:type="paragraph" w:customStyle="1" w:styleId="CcList">
    <w:name w:val="Cc List"/>
    <w:basedOn w:val="Normal"/>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Indent">
    <w:name w:val="Body Text Indent"/>
    <w:basedOn w:val="Normal"/>
    <w:pPr>
      <w:spacing w:after="120"/>
      <w:ind w:left="360"/>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Paragraph">
    <w:name w:val="List Paragraph"/>
    <w:basedOn w:val="Normal"/>
    <w:uiPriority w:val="34"/>
    <w:qFormat/>
    <w:rsid w:val="00BB62E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641770">
      <w:bodyDiv w:val="1"/>
      <w:marLeft w:val="0"/>
      <w:marRight w:val="0"/>
      <w:marTop w:val="0"/>
      <w:marBottom w:val="0"/>
      <w:divBdr>
        <w:top w:val="none" w:sz="0" w:space="0" w:color="auto"/>
        <w:left w:val="none" w:sz="0" w:space="0" w:color="auto"/>
        <w:bottom w:val="none" w:sz="0" w:space="0" w:color="auto"/>
        <w:right w:val="none" w:sz="0" w:space="0" w:color="auto"/>
      </w:divBdr>
      <w:divsChild>
        <w:div w:id="1474911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82283">
      <w:bodyDiv w:val="1"/>
      <w:marLeft w:val="0"/>
      <w:marRight w:val="0"/>
      <w:marTop w:val="0"/>
      <w:marBottom w:val="0"/>
      <w:divBdr>
        <w:top w:val="none" w:sz="0" w:space="0" w:color="auto"/>
        <w:left w:val="none" w:sz="0" w:space="0" w:color="auto"/>
        <w:bottom w:val="none" w:sz="0" w:space="0" w:color="auto"/>
        <w:right w:val="none" w:sz="0" w:space="0" w:color="auto"/>
      </w:divBdr>
    </w:div>
    <w:div w:id="2054495697">
      <w:bodyDiv w:val="1"/>
      <w:marLeft w:val="0"/>
      <w:marRight w:val="0"/>
      <w:marTop w:val="0"/>
      <w:marBottom w:val="0"/>
      <w:divBdr>
        <w:top w:val="none" w:sz="0" w:space="0" w:color="auto"/>
        <w:left w:val="none" w:sz="0" w:space="0" w:color="auto"/>
        <w:bottom w:val="none" w:sz="0" w:space="0" w:color="auto"/>
        <w:right w:val="none" w:sz="0" w:space="0" w:color="auto"/>
      </w:divBdr>
    </w:div>
    <w:div w:id="20813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Pilot Training and Experience with Transport Category Rudder Control Systems</vt:lpstr>
    </vt:vector>
  </TitlesOfParts>
  <Company> Bureau of Transportation Statistics</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Training and Experience with Transport Category Rudder Control Systems</dc:title>
  <dc:subject>FAA</dc:subject>
  <dc:creator>Jonaki Bose</dc:creator>
  <cp:keywords/>
  <dc:description/>
  <cp:lastModifiedBy>%USERNAME%</cp:lastModifiedBy>
  <cp:revision>7</cp:revision>
  <cp:lastPrinted>2005-06-02T20:14:00Z</cp:lastPrinted>
  <dcterms:created xsi:type="dcterms:W3CDTF">2012-06-11T21:26:00Z</dcterms:created>
  <dcterms:modified xsi:type="dcterms:W3CDTF">2012-06-12T14:44:00Z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1935103818</vt:i4>
  </property>
  <property fmtid="{D5CDD505-2E9C-101B-9397-08002B2CF9AE}" pid="3" name="_EmailSubject">
    <vt:lpwstr>OMB examples by Jonaki</vt:lpwstr>
  </property>
  <property fmtid="{D5CDD505-2E9C-101B-9397-08002B2CF9AE}" pid="4" name="_AuthorEmail">
    <vt:lpwstr>Michael.Cohen@dot.gov</vt:lpwstr>
  </property>
  <property fmtid="{D5CDD505-2E9C-101B-9397-08002B2CF9AE}" pid="5" name="_AuthorEmailDisplayName">
    <vt:lpwstr>Cohen, Michael &lt;RITA&gt;</vt:lpwstr>
  </property>
  <property fmtid="{D5CDD505-2E9C-101B-9397-08002B2CF9AE}" pid="6" name="_PreviousAdHocReviewCycleID">
    <vt:i4>257165055</vt:i4>
  </property>
  <property fmtid="{D5CDD505-2E9C-101B-9397-08002B2CF9AE}" pid="7" name="_ReviewingToolsShownOnce">
    <vt:lpwstr/>
  </property>
</Properties>
</file>