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BF6" w:rsidRPr="00C36F33" w:rsidRDefault="00C36F33" w:rsidP="00C36F33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36F33">
        <w:rPr>
          <w:rFonts w:ascii="Arial" w:hAnsi="Arial" w:cs="Arial"/>
          <w:b/>
          <w:sz w:val="24"/>
          <w:szCs w:val="24"/>
        </w:rPr>
        <w:t>Center Panel Review Template</w:t>
      </w:r>
    </w:p>
    <w:p w:rsidR="00C36F33" w:rsidRPr="00C36F33" w:rsidRDefault="00C36F33" w:rsidP="00C36F33">
      <w:pPr>
        <w:pStyle w:val="ListParagraph"/>
        <w:jc w:val="center"/>
        <w:rPr>
          <w:rFonts w:ascii="Arial" w:hAnsi="Arial" w:cs="Arial"/>
          <w:b/>
        </w:rPr>
      </w:pPr>
    </w:p>
    <w:p w:rsidR="00C36F33" w:rsidRPr="00577BC9" w:rsidRDefault="00577BC9" w:rsidP="00577B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CP-1 </w:t>
      </w:r>
      <w:r w:rsidR="00C36F33" w:rsidRPr="00577BC9">
        <w:rPr>
          <w:rFonts w:ascii="Arial" w:hAnsi="Arial" w:cs="Arial"/>
        </w:rPr>
        <w:t>Brief History of Center</w:t>
      </w:r>
    </w:p>
    <w:p w:rsidR="00C36F33" w:rsidRPr="00577BC9" w:rsidRDefault="00577BC9" w:rsidP="00577B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CP-2 </w:t>
      </w:r>
      <w:r w:rsidR="00C36F33" w:rsidRPr="00577BC9">
        <w:rPr>
          <w:rFonts w:ascii="Arial" w:hAnsi="Arial" w:cs="Arial"/>
        </w:rPr>
        <w:t>Center Organization and Governance</w:t>
      </w:r>
    </w:p>
    <w:p w:rsidR="00C36F33" w:rsidRPr="00577BC9" w:rsidRDefault="00577BC9" w:rsidP="00577BC9">
      <w:pPr>
        <w:rPr>
          <w:rFonts w:ascii="Arial" w:hAnsi="Arial" w:cs="Arial"/>
        </w:rPr>
      </w:pPr>
      <w:r w:rsidRPr="00577BC9">
        <w:rPr>
          <w:rFonts w:ascii="Arial" w:hAnsi="Arial" w:cs="Arial"/>
        </w:rPr>
        <w:t>CP-3</w:t>
      </w:r>
      <w:r>
        <w:rPr>
          <w:rFonts w:ascii="Arial" w:hAnsi="Arial" w:cs="Arial"/>
        </w:rPr>
        <w:t xml:space="preserve"> </w:t>
      </w:r>
      <w:r w:rsidR="00C36F33" w:rsidRPr="00577BC9">
        <w:rPr>
          <w:rFonts w:ascii="Arial" w:hAnsi="Arial" w:cs="Arial"/>
        </w:rPr>
        <w:t>Center Locations and Geographic Coverage</w:t>
      </w:r>
    </w:p>
    <w:p w:rsidR="00C36F33" w:rsidRPr="00577BC9" w:rsidRDefault="00577BC9" w:rsidP="00577B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CP-4 </w:t>
      </w:r>
      <w:r w:rsidR="00C36F33" w:rsidRPr="00577BC9">
        <w:rPr>
          <w:rFonts w:ascii="Arial" w:hAnsi="Arial" w:cs="Arial"/>
        </w:rPr>
        <w:t>Center Financial Summary</w:t>
      </w:r>
    </w:p>
    <w:p w:rsidR="00C36F33" w:rsidRPr="00577BC9" w:rsidRDefault="00577BC9" w:rsidP="00577B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CP-5 </w:t>
      </w:r>
      <w:r w:rsidR="00C36F33" w:rsidRPr="00577BC9">
        <w:rPr>
          <w:rFonts w:ascii="Arial" w:hAnsi="Arial" w:cs="Arial"/>
        </w:rPr>
        <w:t>Center Personnel and Staffing</w:t>
      </w:r>
    </w:p>
    <w:p w:rsidR="00C36F33" w:rsidRPr="00577BC9" w:rsidRDefault="00577BC9" w:rsidP="00577B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CP-6 </w:t>
      </w:r>
      <w:r w:rsidR="00C36F33" w:rsidRPr="00577BC9">
        <w:rPr>
          <w:rFonts w:ascii="Arial" w:hAnsi="Arial" w:cs="Arial"/>
        </w:rPr>
        <w:t>Market Characteristics of the Service Region</w:t>
      </w:r>
    </w:p>
    <w:p w:rsidR="00C36F33" w:rsidRPr="00577BC9" w:rsidRDefault="00577BC9" w:rsidP="00577B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CP-7 </w:t>
      </w:r>
      <w:r w:rsidR="00C36F33" w:rsidRPr="00577BC9">
        <w:rPr>
          <w:rFonts w:ascii="Arial" w:hAnsi="Arial" w:cs="Arial"/>
        </w:rPr>
        <w:t>Center Products and Services, and Service Delivery Model</w:t>
      </w:r>
    </w:p>
    <w:p w:rsidR="00C36F33" w:rsidRPr="00577BC9" w:rsidRDefault="00577BC9" w:rsidP="00577B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CP-8 </w:t>
      </w:r>
      <w:r w:rsidR="00C36F33" w:rsidRPr="00577BC9">
        <w:rPr>
          <w:rFonts w:ascii="Arial" w:hAnsi="Arial" w:cs="Arial"/>
        </w:rPr>
        <w:t>Partnership Requirements and Importance</w:t>
      </w:r>
    </w:p>
    <w:p w:rsidR="00C36F33" w:rsidRPr="00577BC9" w:rsidRDefault="00577BC9" w:rsidP="00577B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CP-9 </w:t>
      </w:r>
      <w:r w:rsidR="00C36F33" w:rsidRPr="00577BC9">
        <w:rPr>
          <w:rFonts w:ascii="Arial" w:hAnsi="Arial" w:cs="Arial"/>
        </w:rPr>
        <w:t>Response to the Previous Year NIST MEP Panel Review Observations and Recommendations</w:t>
      </w:r>
    </w:p>
    <w:p w:rsidR="00C36F33" w:rsidRPr="00577BC9" w:rsidRDefault="00C36F33" w:rsidP="00577BC9">
      <w:pPr>
        <w:rPr>
          <w:rFonts w:ascii="Arial" w:hAnsi="Arial" w:cs="Arial"/>
        </w:rPr>
      </w:pPr>
      <w:r w:rsidRPr="00577BC9">
        <w:rPr>
          <w:rFonts w:ascii="Arial" w:hAnsi="Arial" w:cs="Arial"/>
        </w:rPr>
        <w:t>Strategic Directions</w:t>
      </w:r>
    </w:p>
    <w:p w:rsidR="00C36F33" w:rsidRPr="00577BC9" w:rsidRDefault="00C36F33" w:rsidP="00577BC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77BC9">
        <w:rPr>
          <w:rFonts w:ascii="Arial" w:hAnsi="Arial" w:cs="Arial"/>
        </w:rPr>
        <w:t>Center Strategy</w:t>
      </w:r>
    </w:p>
    <w:p w:rsidR="00C36F33" w:rsidRPr="00577BC9" w:rsidRDefault="00C36F33" w:rsidP="00577BC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77BC9">
        <w:rPr>
          <w:rFonts w:ascii="Arial" w:hAnsi="Arial" w:cs="Arial"/>
        </w:rPr>
        <w:t>Strategic Plan</w:t>
      </w:r>
    </w:p>
    <w:sectPr w:rsidR="00C36F33" w:rsidRPr="00577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C5A"/>
    <w:multiLevelType w:val="hybridMultilevel"/>
    <w:tmpl w:val="1AC8EE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75561"/>
    <w:multiLevelType w:val="hybridMultilevel"/>
    <w:tmpl w:val="5616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26C92"/>
    <w:multiLevelType w:val="hybridMultilevel"/>
    <w:tmpl w:val="F97CC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33"/>
    <w:rsid w:val="00577BC9"/>
    <w:rsid w:val="006D317D"/>
    <w:rsid w:val="00C36F33"/>
    <w:rsid w:val="00CD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</dc:creator>
  <cp:keywords/>
  <dc:description/>
  <cp:lastModifiedBy>aegan</cp:lastModifiedBy>
  <cp:revision>2</cp:revision>
  <dcterms:created xsi:type="dcterms:W3CDTF">2012-08-14T17:15:00Z</dcterms:created>
  <dcterms:modified xsi:type="dcterms:W3CDTF">2012-08-14T17:15:00Z</dcterms:modified>
</cp:coreProperties>
</file>