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66" w:rsidRPr="000A1E54" w:rsidRDefault="00920E66" w:rsidP="00CD49F8">
      <w:pPr>
        <w:suppressAutoHyphens/>
        <w:jc w:val="center"/>
        <w:rPr>
          <w:rFonts w:ascii="Times New Roman" w:hAnsi="Times New Roman" w:cs="Times New Roman"/>
          <w:b/>
        </w:rPr>
      </w:pPr>
      <w:r w:rsidRPr="000A1E54">
        <w:rPr>
          <w:rFonts w:ascii="Times New Roman" w:hAnsi="Times New Roman" w:cs="Times New Roman"/>
          <w:b/>
        </w:rPr>
        <w:t>S</w:t>
      </w:r>
      <w:r w:rsidR="00107074">
        <w:rPr>
          <w:rFonts w:ascii="Times New Roman" w:hAnsi="Times New Roman" w:cs="Times New Roman"/>
          <w:b/>
        </w:rPr>
        <w:t xml:space="preserve">upporting Statement for Form </w:t>
      </w:r>
      <w:r w:rsidRPr="000A1E54">
        <w:rPr>
          <w:rFonts w:ascii="Times New Roman" w:hAnsi="Times New Roman" w:cs="Times New Roman"/>
          <w:b/>
        </w:rPr>
        <w:t>HA-</w:t>
      </w:r>
      <w:r w:rsidR="00560DDB">
        <w:rPr>
          <w:rFonts w:ascii="Times New Roman" w:hAnsi="Times New Roman" w:cs="Times New Roman"/>
          <w:b/>
        </w:rPr>
        <w:t>504</w:t>
      </w:r>
      <w:r w:rsidRPr="000A1E54">
        <w:rPr>
          <w:rFonts w:ascii="Times New Roman" w:hAnsi="Times New Roman" w:cs="Times New Roman"/>
          <w:b/>
        </w:rPr>
        <w:t>,</w:t>
      </w:r>
    </w:p>
    <w:p w:rsidR="00920E66" w:rsidRPr="000A1E54" w:rsidRDefault="00560DDB" w:rsidP="00CD49F8">
      <w:pPr>
        <w:suppressAutoHyphens/>
        <w:jc w:val="center"/>
        <w:rPr>
          <w:rFonts w:ascii="Times New Roman" w:hAnsi="Times New Roman" w:cs="Times New Roman"/>
          <w:b/>
        </w:rPr>
      </w:pPr>
      <w:r>
        <w:rPr>
          <w:rFonts w:ascii="Times New Roman" w:hAnsi="Times New Roman" w:cs="Times New Roman"/>
          <w:b/>
        </w:rPr>
        <w:t>A</w:t>
      </w:r>
      <w:r w:rsidR="00107074">
        <w:rPr>
          <w:rFonts w:ascii="Times New Roman" w:hAnsi="Times New Roman" w:cs="Times New Roman"/>
          <w:b/>
        </w:rPr>
        <w:t>cknowledgement of Receipt (Notice of Hearing)</w:t>
      </w:r>
    </w:p>
    <w:p w:rsidR="00347418" w:rsidRPr="000A1E54" w:rsidRDefault="00347418" w:rsidP="00CD49F8">
      <w:pPr>
        <w:pStyle w:val="PlainText"/>
        <w:jc w:val="center"/>
        <w:rPr>
          <w:rFonts w:ascii="Times New Roman" w:hAnsi="Times New Roman" w:cs="Times New Roman"/>
          <w:b/>
          <w:sz w:val="24"/>
          <w:szCs w:val="24"/>
        </w:rPr>
      </w:pPr>
      <w:r w:rsidRPr="000A1E54">
        <w:rPr>
          <w:rFonts w:ascii="Times New Roman" w:hAnsi="Times New Roman" w:cs="Times New Roman"/>
          <w:b/>
          <w:sz w:val="24"/>
          <w:szCs w:val="24"/>
        </w:rPr>
        <w:t>20 CFR</w:t>
      </w:r>
      <w:r w:rsidR="00107074">
        <w:rPr>
          <w:rFonts w:ascii="Times New Roman" w:hAnsi="Times New Roman" w:cs="Times New Roman"/>
          <w:b/>
          <w:sz w:val="24"/>
          <w:szCs w:val="24"/>
        </w:rPr>
        <w:t xml:space="preserve"> </w:t>
      </w:r>
      <w:r w:rsidR="00736771">
        <w:rPr>
          <w:rFonts w:ascii="Times New Roman" w:hAnsi="Times New Roman" w:cs="Times New Roman"/>
          <w:b/>
          <w:sz w:val="24"/>
          <w:szCs w:val="24"/>
        </w:rPr>
        <w:t xml:space="preserve">404.396; </w:t>
      </w:r>
      <w:r w:rsidRPr="000A1E54">
        <w:rPr>
          <w:rFonts w:ascii="Times New Roman" w:hAnsi="Times New Roman" w:cs="Times New Roman"/>
          <w:b/>
          <w:sz w:val="24"/>
          <w:szCs w:val="24"/>
        </w:rPr>
        <w:t>404.</w:t>
      </w:r>
      <w:r w:rsidR="004A2722">
        <w:rPr>
          <w:rFonts w:ascii="Times New Roman" w:hAnsi="Times New Roman" w:cs="Times New Roman"/>
          <w:b/>
          <w:sz w:val="24"/>
          <w:szCs w:val="24"/>
        </w:rPr>
        <w:t>938</w:t>
      </w:r>
      <w:r w:rsidR="001A406B">
        <w:rPr>
          <w:rFonts w:ascii="Times New Roman" w:hAnsi="Times New Roman" w:cs="Times New Roman"/>
          <w:b/>
          <w:sz w:val="24"/>
          <w:szCs w:val="24"/>
        </w:rPr>
        <w:t xml:space="preserve">; 404.950; </w:t>
      </w:r>
      <w:r w:rsidR="00E4243E">
        <w:rPr>
          <w:rFonts w:ascii="Times New Roman" w:hAnsi="Times New Roman" w:cs="Times New Roman"/>
          <w:b/>
          <w:sz w:val="24"/>
          <w:szCs w:val="24"/>
        </w:rPr>
        <w:t xml:space="preserve">405.315; </w:t>
      </w:r>
      <w:r w:rsidR="001A406B">
        <w:rPr>
          <w:rFonts w:ascii="Times New Roman" w:hAnsi="Times New Roman" w:cs="Times New Roman"/>
          <w:b/>
          <w:sz w:val="24"/>
          <w:szCs w:val="24"/>
        </w:rPr>
        <w:t>416.1436; 416.1438;</w:t>
      </w:r>
      <w:r w:rsidRPr="000A1E54">
        <w:rPr>
          <w:rFonts w:ascii="Times New Roman" w:hAnsi="Times New Roman" w:cs="Times New Roman"/>
          <w:b/>
          <w:sz w:val="24"/>
          <w:szCs w:val="24"/>
        </w:rPr>
        <w:t xml:space="preserve"> and 416.</w:t>
      </w:r>
      <w:r w:rsidR="001A406B">
        <w:rPr>
          <w:rFonts w:ascii="Times New Roman" w:hAnsi="Times New Roman" w:cs="Times New Roman"/>
          <w:b/>
          <w:sz w:val="24"/>
          <w:szCs w:val="24"/>
        </w:rPr>
        <w:t>1450</w:t>
      </w:r>
    </w:p>
    <w:p w:rsidR="00920E66" w:rsidRDefault="008C5BDA" w:rsidP="00CD49F8">
      <w:pPr>
        <w:pStyle w:val="EndnoteText"/>
        <w:suppressAutoHyphens/>
        <w:jc w:val="center"/>
        <w:rPr>
          <w:rFonts w:ascii="Times New Roman" w:hAnsi="Times New Roman" w:cs="Times New Roman"/>
          <w:b/>
        </w:rPr>
      </w:pPr>
      <w:r w:rsidRPr="000A1E54">
        <w:rPr>
          <w:rFonts w:ascii="Times New Roman" w:hAnsi="Times New Roman" w:cs="Times New Roman"/>
          <w:b/>
        </w:rPr>
        <w:t>OMB No. 0960-0</w:t>
      </w:r>
      <w:r w:rsidR="006F0579">
        <w:rPr>
          <w:rFonts w:ascii="Times New Roman" w:hAnsi="Times New Roman" w:cs="Times New Roman"/>
          <w:b/>
        </w:rPr>
        <w:t>671</w:t>
      </w:r>
    </w:p>
    <w:p w:rsidR="00E22791" w:rsidRPr="000A1E54" w:rsidRDefault="00E22791" w:rsidP="00CD49F8">
      <w:pPr>
        <w:pStyle w:val="EndnoteText"/>
        <w:suppressAutoHyphens/>
        <w:jc w:val="center"/>
        <w:rPr>
          <w:rFonts w:ascii="Times New Roman" w:hAnsi="Times New Roman" w:cs="Times New Roman"/>
          <w:b/>
        </w:rPr>
      </w:pPr>
    </w:p>
    <w:p w:rsidR="00920E66" w:rsidRPr="000A1E54" w:rsidRDefault="00920E66" w:rsidP="00CD49F8">
      <w:pPr>
        <w:suppressAutoHyphens/>
        <w:ind w:left="720" w:hanging="630"/>
        <w:rPr>
          <w:rFonts w:ascii="Times New Roman" w:hAnsi="Times New Roman" w:cs="Times New Roman"/>
          <w:b/>
          <w:bCs/>
        </w:rPr>
      </w:pPr>
      <w:r w:rsidRPr="000A1E54">
        <w:rPr>
          <w:rFonts w:ascii="Times New Roman" w:hAnsi="Times New Roman" w:cs="Times New Roman"/>
        </w:rPr>
        <w:t>A.</w:t>
      </w:r>
      <w:r w:rsidR="00347418" w:rsidRPr="000A1E54">
        <w:rPr>
          <w:rFonts w:ascii="Times New Roman" w:hAnsi="Times New Roman" w:cs="Times New Roman"/>
        </w:rPr>
        <w:tab/>
      </w:r>
      <w:r w:rsidRPr="000A1E54">
        <w:rPr>
          <w:rFonts w:ascii="Times New Roman" w:hAnsi="Times New Roman" w:cs="Times New Roman"/>
          <w:b/>
          <w:bCs/>
        </w:rPr>
        <w:t>Justification</w:t>
      </w:r>
    </w:p>
    <w:p w:rsidR="00920E66" w:rsidRPr="000A1E54" w:rsidRDefault="00920E66" w:rsidP="00CD49F8">
      <w:pPr>
        <w:pStyle w:val="EndnoteText"/>
        <w:suppressAutoHyphens/>
        <w:rPr>
          <w:rFonts w:ascii="Times New Roman" w:hAnsi="Times New Roman" w:cs="Times New Roman"/>
        </w:rPr>
      </w:pPr>
    </w:p>
    <w:p w:rsidR="001A406B" w:rsidRPr="001A406B" w:rsidRDefault="00E57B51" w:rsidP="00CA46FB">
      <w:pPr>
        <w:numPr>
          <w:ilvl w:val="0"/>
          <w:numId w:val="1"/>
        </w:numPr>
        <w:suppressAutoHyphens/>
        <w:rPr>
          <w:rFonts w:ascii="Times New Roman" w:hAnsi="Times New Roman" w:cs="Times New Roman"/>
        </w:rPr>
      </w:pPr>
      <w:r w:rsidRPr="00E57B51">
        <w:rPr>
          <w:rFonts w:ascii="Times New Roman" w:hAnsi="Times New Roman" w:cs="Times New Roman"/>
          <w:b/>
        </w:rPr>
        <w:t>Introduction/Authoring Law and Regulations</w:t>
      </w:r>
    </w:p>
    <w:p w:rsidR="00920E66" w:rsidRPr="00CA46FB" w:rsidRDefault="00920E66" w:rsidP="001A406B">
      <w:pPr>
        <w:suppressAutoHyphens/>
        <w:ind w:left="1440"/>
        <w:rPr>
          <w:rFonts w:ascii="Times New Roman" w:hAnsi="Times New Roman" w:cs="Times New Roman"/>
        </w:rPr>
      </w:pPr>
      <w:r w:rsidRPr="00CA46FB">
        <w:rPr>
          <w:rFonts w:ascii="Times New Roman" w:hAnsi="Times New Roman" w:cs="Times New Roman"/>
          <w:i/>
        </w:rPr>
        <w:t>Sections 205(</w:t>
      </w:r>
      <w:r w:rsidR="00B969A5" w:rsidRPr="00CA46FB">
        <w:rPr>
          <w:rFonts w:ascii="Times New Roman" w:hAnsi="Times New Roman" w:cs="Times New Roman"/>
          <w:i/>
        </w:rPr>
        <w:t>b</w:t>
      </w:r>
      <w:r w:rsidRPr="00CA46FB">
        <w:rPr>
          <w:rFonts w:ascii="Times New Roman" w:hAnsi="Times New Roman" w:cs="Times New Roman"/>
          <w:i/>
        </w:rPr>
        <w:t>)</w:t>
      </w:r>
      <w:r w:rsidR="00B969A5" w:rsidRPr="00CA46FB">
        <w:rPr>
          <w:rFonts w:ascii="Times New Roman" w:hAnsi="Times New Roman" w:cs="Times New Roman"/>
          <w:i/>
        </w:rPr>
        <w:t xml:space="preserve">(1) </w:t>
      </w:r>
      <w:r w:rsidR="00B969A5" w:rsidRPr="00CA46FB">
        <w:rPr>
          <w:rFonts w:ascii="Times New Roman" w:hAnsi="Times New Roman" w:cs="Times New Roman"/>
        </w:rPr>
        <w:t>and</w:t>
      </w:r>
      <w:r w:rsidR="00560DDB" w:rsidRPr="00CA46FB">
        <w:rPr>
          <w:rFonts w:ascii="Times New Roman" w:hAnsi="Times New Roman" w:cs="Times New Roman"/>
          <w:i/>
        </w:rPr>
        <w:t xml:space="preserve"> 1631(</w:t>
      </w:r>
      <w:r w:rsidR="00B969A5" w:rsidRPr="00CA46FB">
        <w:rPr>
          <w:rFonts w:ascii="Times New Roman" w:hAnsi="Times New Roman" w:cs="Times New Roman"/>
          <w:i/>
        </w:rPr>
        <w:t>c</w:t>
      </w:r>
      <w:r w:rsidR="00560DDB" w:rsidRPr="00CA46FB">
        <w:rPr>
          <w:rFonts w:ascii="Times New Roman" w:hAnsi="Times New Roman" w:cs="Times New Roman"/>
          <w:i/>
        </w:rPr>
        <w:t xml:space="preserve">)(1)(A) </w:t>
      </w:r>
      <w:r w:rsidR="00560DDB" w:rsidRPr="00C0592E">
        <w:rPr>
          <w:rFonts w:ascii="Times New Roman" w:hAnsi="Times New Roman" w:cs="Times New Roman"/>
        </w:rPr>
        <w:t xml:space="preserve">and </w:t>
      </w:r>
      <w:r w:rsidR="00560DDB" w:rsidRPr="00CA46FB">
        <w:rPr>
          <w:rFonts w:ascii="Times New Roman" w:hAnsi="Times New Roman" w:cs="Times New Roman"/>
          <w:i/>
        </w:rPr>
        <w:t>(B</w:t>
      </w:r>
      <w:r w:rsidR="00560DDB" w:rsidRPr="00C0592E">
        <w:rPr>
          <w:rFonts w:ascii="Times New Roman" w:hAnsi="Times New Roman" w:cs="Times New Roman"/>
        </w:rPr>
        <w:t>)</w:t>
      </w:r>
      <w:r w:rsidR="00753832" w:rsidRPr="00C0592E">
        <w:rPr>
          <w:rFonts w:ascii="Times New Roman" w:hAnsi="Times New Roman" w:cs="Times New Roman"/>
        </w:rPr>
        <w:t xml:space="preserve"> of the</w:t>
      </w:r>
      <w:r w:rsidR="00753832" w:rsidRPr="00CA46FB">
        <w:rPr>
          <w:rFonts w:ascii="Times New Roman" w:hAnsi="Times New Roman" w:cs="Times New Roman"/>
          <w:i/>
        </w:rPr>
        <w:t xml:space="preserve"> Social Security Act</w:t>
      </w:r>
      <w:r w:rsidR="00065405">
        <w:rPr>
          <w:rFonts w:ascii="Times New Roman" w:hAnsi="Times New Roman" w:cs="Times New Roman"/>
          <w:i/>
        </w:rPr>
        <w:t xml:space="preserve"> (</w:t>
      </w:r>
      <w:r w:rsidR="00A36B8D" w:rsidRPr="00CA46FB">
        <w:rPr>
          <w:rFonts w:ascii="Times New Roman" w:hAnsi="Times New Roman" w:cs="Times New Roman"/>
          <w:i/>
        </w:rPr>
        <w:t>Act)</w:t>
      </w:r>
      <w:r w:rsidR="004A2722" w:rsidRPr="00CA46FB">
        <w:rPr>
          <w:rFonts w:ascii="Times New Roman" w:hAnsi="Times New Roman" w:cs="Times New Roman"/>
          <w:i/>
        </w:rPr>
        <w:t xml:space="preserve"> </w:t>
      </w:r>
      <w:r w:rsidR="004A2722" w:rsidRPr="00CA46FB">
        <w:rPr>
          <w:rFonts w:ascii="Times New Roman" w:hAnsi="Times New Roman" w:cs="Times New Roman"/>
        </w:rPr>
        <w:t>and</w:t>
      </w:r>
      <w:r w:rsidR="004A2722" w:rsidRPr="00CA46FB">
        <w:rPr>
          <w:rFonts w:ascii="Times New Roman" w:hAnsi="Times New Roman" w:cs="Times New Roman"/>
          <w:i/>
        </w:rPr>
        <w:t xml:space="preserve"> 20 CFR 404.938 </w:t>
      </w:r>
      <w:r w:rsidR="004A2722" w:rsidRPr="00CA46FB">
        <w:rPr>
          <w:rFonts w:ascii="Times New Roman" w:hAnsi="Times New Roman" w:cs="Times New Roman"/>
        </w:rPr>
        <w:t>and</w:t>
      </w:r>
      <w:r w:rsidR="004A2722" w:rsidRPr="00CA46FB">
        <w:rPr>
          <w:rFonts w:ascii="Times New Roman" w:hAnsi="Times New Roman" w:cs="Times New Roman"/>
          <w:i/>
        </w:rPr>
        <w:t xml:space="preserve"> 416.1438</w:t>
      </w:r>
      <w:r w:rsidR="00107074" w:rsidRPr="00CA46FB">
        <w:rPr>
          <w:rFonts w:ascii="Times New Roman" w:hAnsi="Times New Roman" w:cs="Times New Roman"/>
          <w:i/>
        </w:rPr>
        <w:t xml:space="preserve"> </w:t>
      </w:r>
      <w:r w:rsidR="00107074" w:rsidRPr="00CA46FB">
        <w:rPr>
          <w:rFonts w:ascii="Times New Roman" w:hAnsi="Times New Roman" w:cs="Times New Roman"/>
        </w:rPr>
        <w:t>of the</w:t>
      </w:r>
      <w:r w:rsidR="00107074" w:rsidRPr="00CA46FB">
        <w:rPr>
          <w:rFonts w:ascii="Times New Roman" w:hAnsi="Times New Roman" w:cs="Times New Roman"/>
          <w:i/>
        </w:rPr>
        <w:t xml:space="preserve"> Code of Federal Regulation</w:t>
      </w:r>
      <w:r w:rsidR="00065405">
        <w:rPr>
          <w:rFonts w:ascii="Times New Roman" w:hAnsi="Times New Roman" w:cs="Times New Roman"/>
          <w:i/>
        </w:rPr>
        <w:t>s (</w:t>
      </w:r>
      <w:r w:rsidR="00A36B8D" w:rsidRPr="00CA46FB">
        <w:rPr>
          <w:rFonts w:ascii="Times New Roman" w:hAnsi="Times New Roman" w:cs="Times New Roman"/>
          <w:i/>
        </w:rPr>
        <w:t>Code)</w:t>
      </w:r>
      <w:r w:rsidR="004A2722" w:rsidRPr="00CA46FB">
        <w:rPr>
          <w:rFonts w:ascii="Times New Roman" w:hAnsi="Times New Roman" w:cs="Times New Roman"/>
          <w:i/>
        </w:rPr>
        <w:t xml:space="preserve"> </w:t>
      </w:r>
      <w:r w:rsidRPr="00CA46FB">
        <w:rPr>
          <w:rFonts w:ascii="Times New Roman" w:hAnsi="Times New Roman" w:cs="Times New Roman"/>
          <w:iCs/>
        </w:rPr>
        <w:t xml:space="preserve">authorize </w:t>
      </w:r>
      <w:r w:rsidRPr="00CA46FB">
        <w:rPr>
          <w:rFonts w:ascii="Times New Roman" w:hAnsi="Times New Roman" w:cs="Times New Roman"/>
        </w:rPr>
        <w:t>the Social Security Administration (SSA) to collect the information on Form HA-</w:t>
      </w:r>
      <w:r w:rsidR="00560DDB" w:rsidRPr="00CA46FB">
        <w:rPr>
          <w:rFonts w:ascii="Times New Roman" w:hAnsi="Times New Roman" w:cs="Times New Roman"/>
        </w:rPr>
        <w:t>504</w:t>
      </w:r>
      <w:r w:rsidRPr="00CA46FB">
        <w:rPr>
          <w:rFonts w:ascii="Times New Roman" w:hAnsi="Times New Roman" w:cs="Times New Roman"/>
        </w:rPr>
        <w:t xml:space="preserve">.  </w:t>
      </w:r>
      <w:r w:rsidR="000A1E54" w:rsidRPr="00CA46FB">
        <w:rPr>
          <w:rFonts w:ascii="Times New Roman" w:hAnsi="Times New Roman" w:cs="Times New Roman"/>
        </w:rPr>
        <w:t>The</w:t>
      </w:r>
      <w:r w:rsidRPr="00CA46FB">
        <w:rPr>
          <w:rFonts w:ascii="Times New Roman" w:hAnsi="Times New Roman" w:cs="Times New Roman"/>
        </w:rPr>
        <w:t xml:space="preserve"> </w:t>
      </w:r>
      <w:r w:rsidRPr="001A406B">
        <w:rPr>
          <w:rFonts w:ascii="Times New Roman" w:hAnsi="Times New Roman" w:cs="Times New Roman"/>
          <w:i/>
        </w:rPr>
        <w:t>Act</w:t>
      </w:r>
      <w:r w:rsidRPr="00CA46FB">
        <w:rPr>
          <w:rFonts w:ascii="Times New Roman" w:hAnsi="Times New Roman" w:cs="Times New Roman"/>
        </w:rPr>
        <w:t xml:space="preserve"> and</w:t>
      </w:r>
      <w:r w:rsidR="00065405">
        <w:rPr>
          <w:rFonts w:ascii="Times New Roman" w:hAnsi="Times New Roman" w:cs="Times New Roman"/>
        </w:rPr>
        <w:t xml:space="preserve"> the </w:t>
      </w:r>
      <w:r w:rsidR="001A406B" w:rsidRPr="001A406B">
        <w:rPr>
          <w:rFonts w:ascii="Times New Roman" w:hAnsi="Times New Roman" w:cs="Times New Roman"/>
          <w:i/>
        </w:rPr>
        <w:t>Code</w:t>
      </w:r>
      <w:r w:rsidR="00065405">
        <w:rPr>
          <w:rFonts w:ascii="Times New Roman" w:hAnsi="Times New Roman" w:cs="Times New Roman"/>
        </w:rPr>
        <w:t xml:space="preserve"> require </w:t>
      </w:r>
      <w:r w:rsidR="00A91F5D" w:rsidRPr="00CA46FB">
        <w:rPr>
          <w:rFonts w:ascii="Times New Roman" w:hAnsi="Times New Roman" w:cs="Times New Roman"/>
        </w:rPr>
        <w:t>claiman</w:t>
      </w:r>
      <w:r w:rsidR="00C0592E">
        <w:rPr>
          <w:rFonts w:ascii="Times New Roman" w:hAnsi="Times New Roman" w:cs="Times New Roman"/>
        </w:rPr>
        <w:t xml:space="preserve">ts to </w:t>
      </w:r>
      <w:r w:rsidR="00560DDB" w:rsidRPr="00CA46FB">
        <w:rPr>
          <w:rFonts w:ascii="Times New Roman" w:hAnsi="Times New Roman" w:cs="Times New Roman"/>
        </w:rPr>
        <w:t xml:space="preserve">acknowledgment </w:t>
      </w:r>
      <w:r w:rsidR="00C0592E">
        <w:rPr>
          <w:rFonts w:ascii="Times New Roman" w:hAnsi="Times New Roman" w:cs="Times New Roman"/>
        </w:rPr>
        <w:t>receipt of the N</w:t>
      </w:r>
      <w:r w:rsidR="00560DDB" w:rsidRPr="00CA46FB">
        <w:rPr>
          <w:rFonts w:ascii="Times New Roman" w:hAnsi="Times New Roman" w:cs="Times New Roman"/>
        </w:rPr>
        <w:t xml:space="preserve">otice </w:t>
      </w:r>
      <w:r w:rsidR="00C0592E">
        <w:rPr>
          <w:rFonts w:ascii="Times New Roman" w:hAnsi="Times New Roman" w:cs="Times New Roman"/>
        </w:rPr>
        <w:t xml:space="preserve">of Hearing </w:t>
      </w:r>
      <w:r w:rsidR="00560DDB" w:rsidRPr="00CA46FB">
        <w:rPr>
          <w:rFonts w:ascii="Times New Roman" w:hAnsi="Times New Roman" w:cs="Times New Roman"/>
        </w:rPr>
        <w:t>and indicate whethe</w:t>
      </w:r>
      <w:r w:rsidR="00065405">
        <w:rPr>
          <w:rFonts w:ascii="Times New Roman" w:hAnsi="Times New Roman" w:cs="Times New Roman"/>
        </w:rPr>
        <w:t xml:space="preserve">r they will </w:t>
      </w:r>
      <w:r w:rsidR="00C0592E">
        <w:rPr>
          <w:rFonts w:ascii="Times New Roman" w:hAnsi="Times New Roman" w:cs="Times New Roman"/>
        </w:rPr>
        <w:t xml:space="preserve">attend </w:t>
      </w:r>
      <w:r w:rsidR="00560DDB" w:rsidRPr="00CA46FB">
        <w:rPr>
          <w:rFonts w:ascii="Times New Roman" w:hAnsi="Times New Roman" w:cs="Times New Roman"/>
        </w:rPr>
        <w:t>th</w:t>
      </w:r>
      <w:r w:rsidR="00065405">
        <w:rPr>
          <w:rFonts w:ascii="Times New Roman" w:hAnsi="Times New Roman" w:cs="Times New Roman"/>
        </w:rPr>
        <w:t>e hearing as shown on the n</w:t>
      </w:r>
      <w:r w:rsidR="00560DDB" w:rsidRPr="00CA46FB">
        <w:rPr>
          <w:rFonts w:ascii="Times New Roman" w:hAnsi="Times New Roman" w:cs="Times New Roman"/>
        </w:rPr>
        <w:t>otice</w:t>
      </w:r>
      <w:r w:rsidRPr="00CA46FB">
        <w:rPr>
          <w:rFonts w:ascii="Times New Roman" w:hAnsi="Times New Roman" w:cs="Times New Roman"/>
        </w:rPr>
        <w:t>.</w:t>
      </w:r>
      <w:r w:rsidR="00AA74B4" w:rsidRPr="00CA46FB">
        <w:rPr>
          <w:rFonts w:ascii="Times New Roman" w:hAnsi="Times New Roman" w:cs="Times New Roman"/>
        </w:rPr>
        <w:t xml:space="preserve">  </w:t>
      </w:r>
      <w:r w:rsidR="00AA74B4" w:rsidRPr="00CA46FB">
        <w:rPr>
          <w:rFonts w:ascii="Times New Roman" w:hAnsi="Times New Roman" w:cs="Times New Roman"/>
          <w:i/>
        </w:rPr>
        <w:t xml:space="preserve">Sections 205(d) </w:t>
      </w:r>
      <w:r w:rsidR="00AA74B4" w:rsidRPr="00CA46FB">
        <w:rPr>
          <w:rFonts w:ascii="Times New Roman" w:hAnsi="Times New Roman" w:cs="Times New Roman"/>
        </w:rPr>
        <w:t>and</w:t>
      </w:r>
      <w:r w:rsidR="00AA74B4" w:rsidRPr="00CA46FB">
        <w:rPr>
          <w:rFonts w:ascii="Times New Roman" w:hAnsi="Times New Roman" w:cs="Times New Roman"/>
          <w:i/>
        </w:rPr>
        <w:t xml:space="preserve"> 1631(c) </w:t>
      </w:r>
      <w:r w:rsidR="00AA74B4" w:rsidRPr="00CA46FB">
        <w:rPr>
          <w:rFonts w:ascii="Times New Roman" w:hAnsi="Times New Roman" w:cs="Times New Roman"/>
        </w:rPr>
        <w:t>of the</w:t>
      </w:r>
      <w:r w:rsidR="00AA74B4" w:rsidRPr="00CA46FB">
        <w:rPr>
          <w:rFonts w:ascii="Times New Roman" w:hAnsi="Times New Roman" w:cs="Times New Roman"/>
          <w:i/>
        </w:rPr>
        <w:t xml:space="preserve"> Act, </w:t>
      </w:r>
      <w:r w:rsidR="00AA74B4" w:rsidRPr="00CA46FB">
        <w:rPr>
          <w:rFonts w:ascii="Times New Roman" w:hAnsi="Times New Roman" w:cs="Times New Roman"/>
        </w:rPr>
        <w:t>as well as</w:t>
      </w:r>
      <w:r w:rsidR="00AA74B4" w:rsidRPr="00CA46FB">
        <w:rPr>
          <w:rFonts w:ascii="Times New Roman" w:hAnsi="Times New Roman" w:cs="Times New Roman"/>
          <w:i/>
        </w:rPr>
        <w:t xml:space="preserve"> 20 CFR </w:t>
      </w:r>
      <w:r w:rsidR="00065405">
        <w:rPr>
          <w:rFonts w:ascii="Times New Roman" w:hAnsi="Times New Roman" w:cs="Times New Roman"/>
          <w:i/>
        </w:rPr>
        <w:t xml:space="preserve">404.936(d), (e), </w:t>
      </w:r>
      <w:r w:rsidR="00AA74B4" w:rsidRPr="00CA46FB">
        <w:rPr>
          <w:rFonts w:ascii="Times New Roman" w:hAnsi="Times New Roman" w:cs="Times New Roman"/>
          <w:i/>
        </w:rPr>
        <w:t>(f)</w:t>
      </w:r>
      <w:r w:rsidR="00A36B8D" w:rsidRPr="00CA46FB">
        <w:rPr>
          <w:rFonts w:ascii="Times New Roman" w:hAnsi="Times New Roman" w:cs="Times New Roman"/>
          <w:i/>
        </w:rPr>
        <w:t>, 404.950(a),</w:t>
      </w:r>
      <w:r w:rsidR="00E4243E">
        <w:rPr>
          <w:rFonts w:ascii="Times New Roman" w:hAnsi="Times New Roman" w:cs="Times New Roman"/>
          <w:i/>
        </w:rPr>
        <w:t xml:space="preserve"> 405.315(c)(1),</w:t>
      </w:r>
      <w:r w:rsidR="00A36B8D" w:rsidRPr="00CA46FB">
        <w:rPr>
          <w:rFonts w:ascii="Times New Roman" w:hAnsi="Times New Roman" w:cs="Times New Roman"/>
          <w:i/>
        </w:rPr>
        <w:t xml:space="preserve"> 416.1436(d),</w:t>
      </w:r>
      <w:r w:rsidR="00065405">
        <w:rPr>
          <w:rFonts w:ascii="Times New Roman" w:hAnsi="Times New Roman" w:cs="Times New Roman"/>
          <w:i/>
        </w:rPr>
        <w:t xml:space="preserve"> (e), </w:t>
      </w:r>
      <w:r w:rsidR="001A406B" w:rsidRPr="001A406B">
        <w:rPr>
          <w:rFonts w:ascii="Times New Roman" w:hAnsi="Times New Roman" w:cs="Times New Roman"/>
        </w:rPr>
        <w:t xml:space="preserve">and </w:t>
      </w:r>
      <w:r w:rsidR="00065405">
        <w:rPr>
          <w:rFonts w:ascii="Times New Roman" w:hAnsi="Times New Roman" w:cs="Times New Roman"/>
          <w:i/>
        </w:rPr>
        <w:t xml:space="preserve">(f); </w:t>
      </w:r>
      <w:r w:rsidR="00A36B8D" w:rsidRPr="00CA46FB">
        <w:rPr>
          <w:rFonts w:ascii="Times New Roman" w:hAnsi="Times New Roman" w:cs="Times New Roman"/>
          <w:i/>
        </w:rPr>
        <w:t xml:space="preserve"> </w:t>
      </w:r>
      <w:r w:rsidR="00A36B8D" w:rsidRPr="00CA46FB">
        <w:rPr>
          <w:rFonts w:ascii="Times New Roman" w:hAnsi="Times New Roman" w:cs="Times New Roman"/>
        </w:rPr>
        <w:t xml:space="preserve">and </w:t>
      </w:r>
      <w:r w:rsidR="00A36B8D" w:rsidRPr="00CA46FB">
        <w:rPr>
          <w:rFonts w:ascii="Times New Roman" w:hAnsi="Times New Roman" w:cs="Times New Roman"/>
          <w:i/>
        </w:rPr>
        <w:t xml:space="preserve">416.1450(a) </w:t>
      </w:r>
      <w:r w:rsidR="00A36B8D" w:rsidRPr="00CA46FB">
        <w:rPr>
          <w:rFonts w:ascii="Times New Roman" w:hAnsi="Times New Roman" w:cs="Times New Roman"/>
        </w:rPr>
        <w:t>of the</w:t>
      </w:r>
      <w:r w:rsidR="00A36B8D" w:rsidRPr="00CA46FB">
        <w:rPr>
          <w:rFonts w:ascii="Times New Roman" w:hAnsi="Times New Roman" w:cs="Times New Roman"/>
          <w:i/>
        </w:rPr>
        <w:t xml:space="preserve"> Code</w:t>
      </w:r>
      <w:r w:rsidR="00A36B8D" w:rsidRPr="00CA46FB">
        <w:rPr>
          <w:rFonts w:ascii="Times New Roman" w:hAnsi="Times New Roman" w:cs="Times New Roman"/>
        </w:rPr>
        <w:t xml:space="preserve"> authorize SSA to </w:t>
      </w:r>
      <w:r w:rsidR="00065405">
        <w:rPr>
          <w:rFonts w:ascii="Times New Roman" w:hAnsi="Times New Roman" w:cs="Times New Roman"/>
        </w:rPr>
        <w:t xml:space="preserve">1) </w:t>
      </w:r>
      <w:r w:rsidR="00A36B8D" w:rsidRPr="00CA46FB">
        <w:rPr>
          <w:rFonts w:ascii="Times New Roman" w:hAnsi="Times New Roman" w:cs="Times New Roman"/>
        </w:rPr>
        <w:t xml:space="preserve">establish the time and place </w:t>
      </w:r>
      <w:r w:rsidR="00C0592E">
        <w:rPr>
          <w:rFonts w:ascii="Times New Roman" w:hAnsi="Times New Roman" w:cs="Times New Roman"/>
        </w:rPr>
        <w:t>of the hearing</w:t>
      </w:r>
      <w:r w:rsidR="00065405">
        <w:rPr>
          <w:rFonts w:ascii="Times New Roman" w:hAnsi="Times New Roman" w:cs="Times New Roman"/>
        </w:rPr>
        <w:t xml:space="preserve"> and 2) request </w:t>
      </w:r>
      <w:r w:rsidR="00A36B8D" w:rsidRPr="00CA46FB">
        <w:rPr>
          <w:rFonts w:ascii="Times New Roman" w:hAnsi="Times New Roman" w:cs="Times New Roman"/>
        </w:rPr>
        <w:t>claimant</w:t>
      </w:r>
      <w:r w:rsidR="00065405">
        <w:rPr>
          <w:rFonts w:ascii="Times New Roman" w:hAnsi="Times New Roman" w:cs="Times New Roman"/>
        </w:rPr>
        <w:t>s</w:t>
      </w:r>
      <w:r w:rsidR="00A36B8D" w:rsidRPr="00CA46FB">
        <w:rPr>
          <w:rFonts w:ascii="Times New Roman" w:hAnsi="Times New Roman" w:cs="Times New Roman"/>
        </w:rPr>
        <w:t xml:space="preserve"> to present evidence during the hearing.</w:t>
      </w:r>
      <w:r w:rsidR="001A406B">
        <w:rPr>
          <w:rFonts w:ascii="Times New Roman" w:hAnsi="Times New Roman" w:cs="Times New Roman"/>
        </w:rPr>
        <w:t xml:space="preserve">  We are submitting this information collection request due to regulatory changes we are making to the laws mentioned above (see Addendum for more information).</w:t>
      </w:r>
    </w:p>
    <w:p w:rsidR="00920E66" w:rsidRPr="000A1E54" w:rsidRDefault="00920E66" w:rsidP="00CD49F8">
      <w:pPr>
        <w:suppressAutoHyphens/>
        <w:rPr>
          <w:rFonts w:ascii="Times New Roman" w:hAnsi="Times New Roman" w:cs="Times New Roman"/>
        </w:rPr>
      </w:pPr>
    </w:p>
    <w:p w:rsidR="001A406B" w:rsidRDefault="00E57B51" w:rsidP="001A406B">
      <w:pPr>
        <w:pStyle w:val="BodyTextIndent2"/>
        <w:widowControl w:val="0"/>
        <w:numPr>
          <w:ilvl w:val="0"/>
          <w:numId w:val="1"/>
        </w:numPr>
        <w:suppressAutoHyphens/>
        <w:rPr>
          <w:rFonts w:ascii="Times New Roman" w:hAnsi="Times New Roman" w:cs="Times New Roman"/>
          <w:b/>
        </w:rPr>
      </w:pPr>
      <w:r w:rsidRPr="00E57B51">
        <w:rPr>
          <w:rFonts w:ascii="Times New Roman" w:hAnsi="Times New Roman" w:cs="Times New Roman"/>
          <w:b/>
        </w:rPr>
        <w:t>Description of Collection</w:t>
      </w:r>
    </w:p>
    <w:p w:rsidR="00920E66" w:rsidRPr="000A1E54" w:rsidRDefault="00065405" w:rsidP="001A406B">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uses </w:t>
      </w:r>
      <w:r w:rsidR="00920E66" w:rsidRPr="000A1E54">
        <w:rPr>
          <w:rFonts w:ascii="Times New Roman" w:hAnsi="Times New Roman" w:cs="Times New Roman"/>
        </w:rPr>
        <w:t>Form HA-</w:t>
      </w:r>
      <w:r w:rsidR="00361C30">
        <w:rPr>
          <w:rFonts w:ascii="Times New Roman" w:hAnsi="Times New Roman" w:cs="Times New Roman"/>
        </w:rPr>
        <w:t xml:space="preserve">504 as the claimants’ </w:t>
      </w:r>
      <w:r>
        <w:rPr>
          <w:rFonts w:ascii="Times New Roman" w:hAnsi="Times New Roman" w:cs="Times New Roman"/>
        </w:rPr>
        <w:t xml:space="preserve">acknowledgement </w:t>
      </w:r>
      <w:r w:rsidR="00F173AE">
        <w:rPr>
          <w:rFonts w:ascii="Times New Roman" w:hAnsi="Times New Roman" w:cs="Times New Roman"/>
        </w:rPr>
        <w:t>of receipt</w:t>
      </w:r>
      <w:r w:rsidR="00C0592E">
        <w:rPr>
          <w:rFonts w:ascii="Times New Roman" w:hAnsi="Times New Roman" w:cs="Times New Roman"/>
        </w:rPr>
        <w:t xml:space="preserve"> for the Notice of H</w:t>
      </w:r>
      <w:r>
        <w:rPr>
          <w:rFonts w:ascii="Times New Roman" w:hAnsi="Times New Roman" w:cs="Times New Roman"/>
        </w:rPr>
        <w:t>earing issued by an administrative law j</w:t>
      </w:r>
      <w:r w:rsidR="006F0579">
        <w:rPr>
          <w:rFonts w:ascii="Times New Roman" w:hAnsi="Times New Roman" w:cs="Times New Roman"/>
        </w:rPr>
        <w:t>udge (ALJ)</w:t>
      </w:r>
      <w:r w:rsidR="001A406B">
        <w:rPr>
          <w:rFonts w:ascii="Times New Roman" w:hAnsi="Times New Roman" w:cs="Times New Roman"/>
        </w:rPr>
        <w:t xml:space="preserve">.  The HA-504 </w:t>
      </w:r>
      <w:r w:rsidR="00F173AE">
        <w:rPr>
          <w:rFonts w:ascii="Times New Roman" w:hAnsi="Times New Roman" w:cs="Times New Roman"/>
        </w:rPr>
        <w:t>establishes</w:t>
      </w:r>
      <w:r w:rsidR="00A36B8D">
        <w:rPr>
          <w:rFonts w:ascii="Times New Roman" w:hAnsi="Times New Roman" w:cs="Times New Roman"/>
        </w:rPr>
        <w:t xml:space="preserve"> the time and place of the hearing</w:t>
      </w:r>
      <w:r>
        <w:rPr>
          <w:rFonts w:ascii="Times New Roman" w:hAnsi="Times New Roman" w:cs="Times New Roman"/>
        </w:rPr>
        <w:t>,</w:t>
      </w:r>
      <w:r w:rsidR="00A36B8D">
        <w:rPr>
          <w:rFonts w:ascii="Times New Roman" w:hAnsi="Times New Roman" w:cs="Times New Roman"/>
        </w:rPr>
        <w:t xml:space="preserve"> </w:t>
      </w:r>
      <w:r w:rsidR="00F173AE">
        <w:rPr>
          <w:rFonts w:ascii="Times New Roman" w:hAnsi="Times New Roman" w:cs="Times New Roman"/>
        </w:rPr>
        <w:t>and reminds</w:t>
      </w:r>
      <w:r>
        <w:rPr>
          <w:rFonts w:ascii="Times New Roman" w:hAnsi="Times New Roman" w:cs="Times New Roman"/>
        </w:rPr>
        <w:t xml:space="preserve"> </w:t>
      </w:r>
      <w:r w:rsidR="00A36B8D">
        <w:rPr>
          <w:rFonts w:ascii="Times New Roman" w:hAnsi="Times New Roman" w:cs="Times New Roman"/>
        </w:rPr>
        <w:t>claimant</w:t>
      </w:r>
      <w:r>
        <w:rPr>
          <w:rFonts w:ascii="Times New Roman" w:hAnsi="Times New Roman" w:cs="Times New Roman"/>
        </w:rPr>
        <w:t>s</w:t>
      </w:r>
      <w:r w:rsidR="00A36B8D">
        <w:rPr>
          <w:rFonts w:ascii="Times New Roman" w:hAnsi="Times New Roman" w:cs="Times New Roman"/>
        </w:rPr>
        <w:t xml:space="preserve"> to gather evidence in support of their claim</w:t>
      </w:r>
      <w:r w:rsidR="006F0579">
        <w:rPr>
          <w:rFonts w:ascii="Times New Roman" w:hAnsi="Times New Roman" w:cs="Times New Roman"/>
        </w:rPr>
        <w:t xml:space="preserve">.  </w:t>
      </w:r>
      <w:r w:rsidR="001A406B">
        <w:rPr>
          <w:rFonts w:ascii="Times New Roman" w:hAnsi="Times New Roman" w:cs="Times New Roman"/>
        </w:rPr>
        <w:t xml:space="preserve">We are adding a new version of this form to adhere to our regulatory revisions adding a phone teleconferencing option (see Addendum for more information).  </w:t>
      </w:r>
      <w:r w:rsidR="007B175B">
        <w:rPr>
          <w:rFonts w:ascii="Times New Roman" w:hAnsi="Times New Roman" w:cs="Times New Roman"/>
        </w:rPr>
        <w:t>There</w:t>
      </w:r>
      <w:r w:rsidR="001A406B">
        <w:rPr>
          <w:rFonts w:ascii="Times New Roman" w:hAnsi="Times New Roman" w:cs="Times New Roman"/>
        </w:rPr>
        <w:t>fore, SSA has</w:t>
      </w:r>
      <w:r w:rsidR="007B175B">
        <w:rPr>
          <w:rFonts w:ascii="Times New Roman" w:hAnsi="Times New Roman" w:cs="Times New Roman"/>
        </w:rPr>
        <w:t xml:space="preserve"> </w:t>
      </w:r>
      <w:r w:rsidR="00875810">
        <w:rPr>
          <w:rFonts w:ascii="Times New Roman" w:hAnsi="Times New Roman" w:cs="Times New Roman"/>
        </w:rPr>
        <w:t xml:space="preserve">three </w:t>
      </w:r>
      <w:r w:rsidR="007B175B">
        <w:rPr>
          <w:rFonts w:ascii="Times New Roman" w:hAnsi="Times New Roman" w:cs="Times New Roman"/>
        </w:rPr>
        <w:t>versions of this form, the HA-504</w:t>
      </w:r>
      <w:r w:rsidR="001A406B">
        <w:rPr>
          <w:rFonts w:ascii="Times New Roman" w:hAnsi="Times New Roman" w:cs="Times New Roman"/>
        </w:rPr>
        <w:t xml:space="preserve"> (with video teleconferencing)</w:t>
      </w:r>
      <w:r w:rsidR="00875810">
        <w:rPr>
          <w:rFonts w:ascii="Times New Roman" w:hAnsi="Times New Roman" w:cs="Times New Roman"/>
        </w:rPr>
        <w:t>,</w:t>
      </w:r>
      <w:r w:rsidR="00C0592E">
        <w:rPr>
          <w:rFonts w:ascii="Times New Roman" w:hAnsi="Times New Roman" w:cs="Times New Roman"/>
        </w:rPr>
        <w:t xml:space="preserve"> the HA-504-OP1</w:t>
      </w:r>
      <w:r w:rsidR="00B9414D">
        <w:rPr>
          <w:rFonts w:ascii="Times New Roman" w:hAnsi="Times New Roman" w:cs="Times New Roman"/>
        </w:rPr>
        <w:t xml:space="preserve"> (</w:t>
      </w:r>
      <w:r w:rsidR="001A406B">
        <w:rPr>
          <w:rFonts w:ascii="Times New Roman" w:hAnsi="Times New Roman" w:cs="Times New Roman"/>
        </w:rPr>
        <w:t>without any teleconferencing</w:t>
      </w:r>
      <w:r w:rsidR="00B9414D">
        <w:rPr>
          <w:rFonts w:ascii="Times New Roman" w:hAnsi="Times New Roman" w:cs="Times New Roman"/>
        </w:rPr>
        <w:t>)</w:t>
      </w:r>
      <w:r w:rsidR="00875810">
        <w:rPr>
          <w:rFonts w:ascii="Times New Roman" w:hAnsi="Times New Roman" w:cs="Times New Roman"/>
        </w:rPr>
        <w:t xml:space="preserve">, and the </w:t>
      </w:r>
      <w:r w:rsidR="001A406B">
        <w:rPr>
          <w:rFonts w:ascii="Times New Roman" w:hAnsi="Times New Roman" w:cs="Times New Roman"/>
        </w:rPr>
        <w:t xml:space="preserve">new </w:t>
      </w:r>
      <w:r w:rsidR="00875810">
        <w:rPr>
          <w:rFonts w:ascii="Times New Roman" w:hAnsi="Times New Roman" w:cs="Times New Roman"/>
        </w:rPr>
        <w:t>HA-504-OP2</w:t>
      </w:r>
      <w:r w:rsidR="00B9414D">
        <w:rPr>
          <w:rFonts w:ascii="Times New Roman" w:hAnsi="Times New Roman" w:cs="Times New Roman"/>
        </w:rPr>
        <w:t xml:space="preserve"> (</w:t>
      </w:r>
      <w:r w:rsidR="001A406B">
        <w:rPr>
          <w:rFonts w:ascii="Times New Roman" w:hAnsi="Times New Roman" w:cs="Times New Roman"/>
        </w:rPr>
        <w:t>with phone teleconferencing</w:t>
      </w:r>
      <w:r w:rsidR="00B9414D">
        <w:rPr>
          <w:rFonts w:ascii="Times New Roman" w:hAnsi="Times New Roman" w:cs="Times New Roman"/>
        </w:rPr>
        <w:t>)</w:t>
      </w:r>
      <w:r w:rsidR="00C0592E">
        <w:rPr>
          <w:rFonts w:ascii="Times New Roman" w:hAnsi="Times New Roman" w:cs="Times New Roman"/>
        </w:rPr>
        <w:t xml:space="preserve">.  The difference between the forms </w:t>
      </w:r>
      <w:r w:rsidR="00E22791">
        <w:rPr>
          <w:rFonts w:ascii="Times New Roman" w:hAnsi="Times New Roman" w:cs="Times New Roman"/>
        </w:rPr>
        <w:t xml:space="preserve">relates to </w:t>
      </w:r>
      <w:r w:rsidR="001A406B">
        <w:rPr>
          <w:rFonts w:ascii="Times New Roman" w:hAnsi="Times New Roman" w:cs="Times New Roman"/>
        </w:rPr>
        <w:t>t</w:t>
      </w:r>
      <w:r w:rsidR="00E22791">
        <w:rPr>
          <w:rFonts w:ascii="Times New Roman" w:hAnsi="Times New Roman" w:cs="Times New Roman"/>
        </w:rPr>
        <w:t xml:space="preserve">he claimant’s appearance </w:t>
      </w:r>
      <w:r w:rsidR="001A406B">
        <w:rPr>
          <w:rFonts w:ascii="Times New Roman" w:hAnsi="Times New Roman" w:cs="Times New Roman"/>
        </w:rPr>
        <w:t>for the hearing</w:t>
      </w:r>
      <w:r w:rsidR="00B9414D">
        <w:rPr>
          <w:rFonts w:ascii="Times New Roman" w:hAnsi="Times New Roman" w:cs="Times New Roman"/>
        </w:rPr>
        <w:t xml:space="preserve"> (in-person, video teleconference, or phone teleconference). </w:t>
      </w:r>
      <w:r w:rsidR="001A406B">
        <w:rPr>
          <w:rFonts w:ascii="Times New Roman" w:hAnsi="Times New Roman" w:cs="Times New Roman"/>
        </w:rPr>
        <w:t xml:space="preserve"> SSA determines which version of the form to use based on where the claimant lives, and the location of the ALJ and experts involved in the case.  If SSA can conduct the hearing via teleconferencing, we send the HA-504 and attempt to schedule a teleconference.  We estimate we conduct approximately 20 percent of all hearings via teleconferencing</w:t>
      </w:r>
      <w:r w:rsidR="008F28DE">
        <w:rPr>
          <w:rFonts w:ascii="Times New Roman" w:hAnsi="Times New Roman" w:cs="Times New Roman"/>
        </w:rPr>
        <w:t xml:space="preserve"> (</w:t>
      </w:r>
      <w:r w:rsidR="001A406B">
        <w:rPr>
          <w:rFonts w:ascii="Times New Roman" w:hAnsi="Times New Roman" w:cs="Times New Roman"/>
        </w:rPr>
        <w:t xml:space="preserve">we estimate we will conduct </w:t>
      </w:r>
      <w:r w:rsidR="008F28DE">
        <w:rPr>
          <w:rFonts w:ascii="Times New Roman" w:hAnsi="Times New Roman" w:cs="Times New Roman"/>
        </w:rPr>
        <w:t xml:space="preserve">less than 1 percent of these hearings </w:t>
      </w:r>
      <w:r w:rsidR="00E22791">
        <w:rPr>
          <w:rFonts w:ascii="Times New Roman" w:hAnsi="Times New Roman" w:cs="Times New Roman"/>
        </w:rPr>
        <w:t>by</w:t>
      </w:r>
      <w:r w:rsidR="008F28DE">
        <w:rPr>
          <w:rFonts w:ascii="Times New Roman" w:hAnsi="Times New Roman" w:cs="Times New Roman"/>
        </w:rPr>
        <w:t xml:space="preserve"> phone</w:t>
      </w:r>
      <w:r w:rsidR="00E22791">
        <w:rPr>
          <w:rFonts w:ascii="Times New Roman" w:hAnsi="Times New Roman" w:cs="Times New Roman"/>
        </w:rPr>
        <w:t xml:space="preserve"> </w:t>
      </w:r>
      <w:r w:rsidR="001A406B">
        <w:rPr>
          <w:rFonts w:ascii="Times New Roman" w:hAnsi="Times New Roman" w:cs="Times New Roman"/>
        </w:rPr>
        <w:t>while we will conduct</w:t>
      </w:r>
      <w:r w:rsidR="00E22791">
        <w:rPr>
          <w:rFonts w:ascii="Times New Roman" w:hAnsi="Times New Roman" w:cs="Times New Roman"/>
        </w:rPr>
        <w:t xml:space="preserve"> the remaining </w:t>
      </w:r>
      <w:r w:rsidR="001A406B">
        <w:rPr>
          <w:rFonts w:ascii="Times New Roman" w:hAnsi="Times New Roman" w:cs="Times New Roman"/>
        </w:rPr>
        <w:t>19 percent</w:t>
      </w:r>
      <w:r w:rsidR="00E22791">
        <w:rPr>
          <w:rFonts w:ascii="Times New Roman" w:hAnsi="Times New Roman" w:cs="Times New Roman"/>
        </w:rPr>
        <w:t xml:space="preserve"> via video teleconferencing</w:t>
      </w:r>
      <w:r w:rsidR="008F28DE">
        <w:rPr>
          <w:rFonts w:ascii="Times New Roman" w:hAnsi="Times New Roman" w:cs="Times New Roman"/>
        </w:rPr>
        <w:t>)</w:t>
      </w:r>
      <w:r w:rsidR="001A406B">
        <w:rPr>
          <w:rFonts w:ascii="Times New Roman" w:hAnsi="Times New Roman" w:cs="Times New Roman"/>
        </w:rPr>
        <w:t xml:space="preserve">. </w:t>
      </w:r>
      <w:r w:rsidR="00F464B9">
        <w:rPr>
          <w:rFonts w:ascii="Times New Roman" w:hAnsi="Times New Roman" w:cs="Times New Roman"/>
        </w:rPr>
        <w:t xml:space="preserve"> </w:t>
      </w:r>
      <w:r w:rsidR="00871854">
        <w:rPr>
          <w:rFonts w:ascii="Times New Roman" w:hAnsi="Times New Roman" w:cs="Times New Roman"/>
        </w:rPr>
        <w:t>Depending on the claimant’s response, t</w:t>
      </w:r>
      <w:r w:rsidR="007B175B">
        <w:rPr>
          <w:rFonts w:ascii="Times New Roman" w:hAnsi="Times New Roman" w:cs="Times New Roman"/>
        </w:rPr>
        <w:t>he AL</w:t>
      </w:r>
      <w:r w:rsidR="00F4270B" w:rsidRPr="000A1E54">
        <w:rPr>
          <w:rFonts w:ascii="Times New Roman" w:hAnsi="Times New Roman" w:cs="Times New Roman"/>
        </w:rPr>
        <w:t xml:space="preserve">J </w:t>
      </w:r>
      <w:r w:rsidR="001A406B">
        <w:rPr>
          <w:rFonts w:ascii="Times New Roman" w:hAnsi="Times New Roman" w:cs="Times New Roman"/>
        </w:rPr>
        <w:t>will</w:t>
      </w:r>
      <w:r w:rsidR="006C7428">
        <w:rPr>
          <w:rFonts w:ascii="Times New Roman" w:hAnsi="Times New Roman" w:cs="Times New Roman"/>
        </w:rPr>
        <w:t>: 1)</w:t>
      </w:r>
      <w:r w:rsidR="00F4270B" w:rsidRPr="000A1E54">
        <w:rPr>
          <w:rFonts w:ascii="Times New Roman" w:hAnsi="Times New Roman" w:cs="Times New Roman"/>
        </w:rPr>
        <w:t> </w:t>
      </w:r>
      <w:r w:rsidR="00F4270B">
        <w:rPr>
          <w:rFonts w:ascii="Times New Roman" w:hAnsi="Times New Roman" w:cs="Times New Roman"/>
        </w:rPr>
        <w:t>prepare for the hearing as scheduled</w:t>
      </w:r>
      <w:r w:rsidR="00CE1D32">
        <w:rPr>
          <w:rFonts w:ascii="Times New Roman" w:hAnsi="Times New Roman" w:cs="Times New Roman"/>
        </w:rPr>
        <w:t>; or</w:t>
      </w:r>
      <w:r w:rsidR="001C0C6B">
        <w:rPr>
          <w:rFonts w:ascii="Times New Roman" w:hAnsi="Times New Roman" w:cs="Times New Roman"/>
        </w:rPr>
        <w:t xml:space="preserve"> 2</w:t>
      </w:r>
      <w:r w:rsidR="00F4270B" w:rsidRPr="000A1E54">
        <w:rPr>
          <w:rFonts w:ascii="Times New Roman" w:hAnsi="Times New Roman" w:cs="Times New Roman"/>
        </w:rPr>
        <w:t>) re</w:t>
      </w:r>
      <w:r w:rsidR="00D95F9E">
        <w:rPr>
          <w:rFonts w:ascii="Times New Roman" w:hAnsi="Times New Roman" w:cs="Times New Roman"/>
        </w:rPr>
        <w:t xml:space="preserve">schedule the hearing for </w:t>
      </w:r>
      <w:r w:rsidR="006C7428">
        <w:rPr>
          <w:rFonts w:ascii="Times New Roman" w:hAnsi="Times New Roman" w:cs="Times New Roman"/>
        </w:rPr>
        <w:t xml:space="preserve">a </w:t>
      </w:r>
      <w:r w:rsidR="00F464B9">
        <w:rPr>
          <w:rFonts w:ascii="Times New Roman" w:hAnsi="Times New Roman" w:cs="Times New Roman"/>
        </w:rPr>
        <w:t>different date or</w:t>
      </w:r>
      <w:r w:rsidR="00F4270B">
        <w:rPr>
          <w:rFonts w:ascii="Times New Roman" w:hAnsi="Times New Roman" w:cs="Times New Roman"/>
        </w:rPr>
        <w:t xml:space="preserve"> </w:t>
      </w:r>
      <w:r w:rsidR="006F0579">
        <w:rPr>
          <w:rFonts w:ascii="Times New Roman" w:hAnsi="Times New Roman" w:cs="Times New Roman"/>
        </w:rPr>
        <w:t>location.</w:t>
      </w:r>
      <w:r w:rsidR="00107074">
        <w:rPr>
          <w:rFonts w:ascii="Times New Roman" w:hAnsi="Times New Roman" w:cs="Times New Roman"/>
        </w:rPr>
        <w:t xml:space="preserve">  </w:t>
      </w:r>
      <w:r w:rsidR="00D95F9E">
        <w:rPr>
          <w:rFonts w:ascii="Times New Roman" w:hAnsi="Times New Roman" w:cs="Times New Roman"/>
        </w:rPr>
        <w:t xml:space="preserve">In situations where </w:t>
      </w:r>
      <w:r w:rsidR="00871854">
        <w:rPr>
          <w:rFonts w:ascii="Times New Roman" w:hAnsi="Times New Roman" w:cs="Times New Roman"/>
        </w:rPr>
        <w:t>claimant</w:t>
      </w:r>
      <w:r w:rsidR="00D95F9E">
        <w:rPr>
          <w:rFonts w:ascii="Times New Roman" w:hAnsi="Times New Roman" w:cs="Times New Roman"/>
        </w:rPr>
        <w:t xml:space="preserve">s </w:t>
      </w:r>
      <w:r w:rsidR="00871854">
        <w:rPr>
          <w:rFonts w:ascii="Times New Roman" w:hAnsi="Times New Roman" w:cs="Times New Roman"/>
        </w:rPr>
        <w:t>do not want a video hearing, the</w:t>
      </w:r>
      <w:r w:rsidR="00D95F9E">
        <w:rPr>
          <w:rFonts w:ascii="Times New Roman" w:hAnsi="Times New Roman" w:cs="Times New Roman"/>
        </w:rPr>
        <w:t xml:space="preserve"> ALJ </w:t>
      </w:r>
      <w:r w:rsidR="00E22791">
        <w:rPr>
          <w:rFonts w:ascii="Times New Roman" w:hAnsi="Times New Roman" w:cs="Times New Roman"/>
        </w:rPr>
        <w:t>may</w:t>
      </w:r>
      <w:r w:rsidR="008F28DE">
        <w:rPr>
          <w:rFonts w:ascii="Times New Roman" w:hAnsi="Times New Roman" w:cs="Times New Roman"/>
        </w:rPr>
        <w:t xml:space="preserve"> </w:t>
      </w:r>
      <w:r w:rsidR="00871854">
        <w:rPr>
          <w:rFonts w:ascii="Times New Roman" w:hAnsi="Times New Roman" w:cs="Times New Roman"/>
        </w:rPr>
        <w:t xml:space="preserve">reschedule the hearing as a face-to-face hearing.  </w:t>
      </w:r>
      <w:r w:rsidR="00107074">
        <w:rPr>
          <w:rFonts w:ascii="Times New Roman" w:hAnsi="Times New Roman" w:cs="Times New Roman"/>
        </w:rPr>
        <w:t xml:space="preserve">The respondents are applicants for </w:t>
      </w:r>
      <w:r w:rsidR="00107074" w:rsidRPr="006F0579">
        <w:rPr>
          <w:rFonts w:ascii="Times New Roman" w:hAnsi="Times New Roman" w:cs="Times New Roman"/>
        </w:rPr>
        <w:t xml:space="preserve">Social Security </w:t>
      </w:r>
      <w:r w:rsidR="00D95F9E">
        <w:rPr>
          <w:rFonts w:ascii="Times New Roman" w:hAnsi="Times New Roman" w:cs="Times New Roman"/>
        </w:rPr>
        <w:t>benefits who request a</w:t>
      </w:r>
      <w:r w:rsidR="00107074">
        <w:rPr>
          <w:rFonts w:ascii="Times New Roman" w:hAnsi="Times New Roman" w:cs="Times New Roman"/>
        </w:rPr>
        <w:t xml:space="preserve"> hearing to appeal an unfavorable entitlement or eligibility determination.</w:t>
      </w:r>
    </w:p>
    <w:p w:rsidR="00920E66" w:rsidRPr="000A1E54" w:rsidRDefault="00920E66" w:rsidP="00CD49F8">
      <w:pPr>
        <w:suppressAutoHyphens/>
        <w:ind w:hanging="720"/>
        <w:rPr>
          <w:rFonts w:ascii="Times New Roman" w:hAnsi="Times New Roman" w:cs="Times New Roman"/>
        </w:rPr>
      </w:pPr>
    </w:p>
    <w:p w:rsidR="00F464B9" w:rsidRDefault="00E57B51" w:rsidP="00F464B9">
      <w:pPr>
        <w:pStyle w:val="BodyTextIndent3"/>
        <w:numPr>
          <w:ilvl w:val="0"/>
          <w:numId w:val="1"/>
        </w:numPr>
        <w:spacing w:after="0"/>
        <w:rPr>
          <w:rFonts w:ascii="Times New Roman" w:hAnsi="Times New Roman" w:cs="Times New Roman"/>
          <w:b/>
          <w:sz w:val="24"/>
          <w:szCs w:val="24"/>
        </w:rPr>
      </w:pPr>
      <w:r w:rsidRPr="00E57B51">
        <w:rPr>
          <w:rFonts w:ascii="Times New Roman" w:hAnsi="Times New Roman" w:cs="Times New Roman"/>
          <w:b/>
          <w:sz w:val="24"/>
          <w:szCs w:val="24"/>
        </w:rPr>
        <w:t>Use of Information Technology to Collect the Information</w:t>
      </w:r>
    </w:p>
    <w:p w:rsidR="00970EE6" w:rsidRDefault="00970EE6" w:rsidP="00F464B9">
      <w:pPr>
        <w:pStyle w:val="BodyTextIndent3"/>
        <w:spacing w:after="0"/>
        <w:ind w:left="1440"/>
        <w:rPr>
          <w:rFonts w:ascii="Times New Roman" w:hAnsi="Times New Roman" w:cs="Times New Roman"/>
          <w:sz w:val="24"/>
          <w:szCs w:val="24"/>
        </w:rPr>
      </w:pPr>
      <w:r>
        <w:rPr>
          <w:rFonts w:ascii="Times New Roman" w:hAnsi="Times New Roman" w:cs="Times New Roman"/>
          <w:sz w:val="24"/>
          <w:szCs w:val="24"/>
        </w:rPr>
        <w:t xml:space="preserve">SSA did not make the HA-504 available electronically under the Government Paperwork Elimination Act.  SSA prioritizes collections that will become electronic; higher volume collections, as well </w:t>
      </w:r>
      <w:r w:rsidR="00F464B9">
        <w:rPr>
          <w:rFonts w:ascii="Times New Roman" w:hAnsi="Times New Roman" w:cs="Times New Roman"/>
          <w:sz w:val="24"/>
          <w:szCs w:val="24"/>
        </w:rPr>
        <w:t xml:space="preserve">as those that are </w:t>
      </w:r>
      <w:r>
        <w:rPr>
          <w:rFonts w:ascii="Times New Roman" w:hAnsi="Times New Roman" w:cs="Times New Roman"/>
          <w:sz w:val="24"/>
          <w:szCs w:val="24"/>
        </w:rPr>
        <w:t xml:space="preserve">legally mandated, take precedence to this one.  However, representatives who have applied for the Appointed Representative Services </w:t>
      </w:r>
      <w:r>
        <w:rPr>
          <w:rFonts w:ascii="Times New Roman" w:hAnsi="Times New Roman" w:cs="Times New Roman"/>
          <w:sz w:val="24"/>
          <w:szCs w:val="24"/>
        </w:rPr>
        <w:lastRenderedPageBreak/>
        <w:t xml:space="preserve">(ARS) suite may submit electronic responses through SSA’s web-based application, Electronic Records Express Third-Party (0960-0767), or </w:t>
      </w:r>
      <w:r w:rsidRPr="00AF505A">
        <w:rPr>
          <w:rFonts w:ascii="Times New Roman" w:hAnsi="Times New Roman" w:cs="Times New Roman"/>
          <w:bCs/>
          <w:sz w:val="24"/>
          <w:szCs w:val="24"/>
        </w:rPr>
        <w:t>facsimile</w:t>
      </w:r>
      <w:r>
        <w:rPr>
          <w:rFonts w:ascii="Times New Roman" w:hAnsi="Times New Roman" w:cs="Times New Roman"/>
          <w:sz w:val="24"/>
          <w:szCs w:val="24"/>
        </w:rPr>
        <w:t>.</w:t>
      </w:r>
    </w:p>
    <w:p w:rsidR="0089687A" w:rsidRPr="000A1E54" w:rsidRDefault="006C7428" w:rsidP="0089687A">
      <w:pPr>
        <w:pStyle w:val="BodyTextIndent3"/>
        <w:ind w:left="1440" w:hanging="720"/>
        <w:rPr>
          <w:rFonts w:ascii="Times New Roman" w:hAnsi="Times New Roman" w:cs="Times New Roman"/>
        </w:rPr>
      </w:pPr>
      <w:r>
        <w:rPr>
          <w:rFonts w:ascii="Times New Roman" w:hAnsi="Times New Roman" w:cs="Times New Roman"/>
          <w:sz w:val="24"/>
          <w:szCs w:val="24"/>
        </w:rPr>
        <w:t xml:space="preserve"> </w:t>
      </w:r>
    </w:p>
    <w:p w:rsidR="00F464B9" w:rsidRDefault="00E57B51" w:rsidP="00F464B9">
      <w:pPr>
        <w:pStyle w:val="BodyTextIndent2"/>
        <w:widowControl w:val="0"/>
        <w:numPr>
          <w:ilvl w:val="0"/>
          <w:numId w:val="1"/>
        </w:numPr>
        <w:suppressAutoHyphens/>
        <w:rPr>
          <w:rFonts w:ascii="Times New Roman" w:hAnsi="Times New Roman" w:cs="Times New Roman"/>
          <w:b/>
        </w:rPr>
      </w:pPr>
      <w:r w:rsidRPr="00E57B51">
        <w:rPr>
          <w:rFonts w:ascii="Times New Roman" w:hAnsi="Times New Roman" w:cs="Times New Roman"/>
          <w:b/>
        </w:rPr>
        <w:t>Why We Cannot Use Duplicate Information</w:t>
      </w:r>
    </w:p>
    <w:p w:rsidR="00F4270B" w:rsidRPr="000A1E54" w:rsidRDefault="00F464B9" w:rsidP="00F464B9">
      <w:pPr>
        <w:pStyle w:val="BodyTextIndent2"/>
        <w:widowControl w:val="0"/>
        <w:suppressAutoHyphens/>
        <w:ind w:firstLine="0"/>
        <w:rPr>
          <w:rFonts w:ascii="Times New Roman" w:hAnsi="Times New Roman" w:cs="Times New Roman"/>
        </w:rPr>
      </w:pPr>
      <w:r w:rsidRPr="00187E95">
        <w:rPr>
          <w:rFonts w:ascii="Times New Roman" w:hAnsi="Times New Roman"/>
        </w:rPr>
        <w:t>The nature of the information we are collecting and the manner in which we are collecting it preclude duplication.  SSA does not use another collection instrument to obtain similar data</w:t>
      </w:r>
      <w:r w:rsidR="00F4270B">
        <w:rPr>
          <w:rFonts w:ascii="Times New Roman" w:hAnsi="Times New Roman" w:cs="Times New Roman"/>
        </w:rPr>
        <w:t>.</w:t>
      </w:r>
    </w:p>
    <w:p w:rsidR="00920E66" w:rsidRPr="000A1E54" w:rsidRDefault="00920E66" w:rsidP="00E104F1">
      <w:pPr>
        <w:suppressAutoHyphens/>
        <w:rPr>
          <w:rFonts w:ascii="Times New Roman" w:hAnsi="Times New Roman" w:cs="Times New Roman"/>
        </w:rPr>
      </w:pPr>
    </w:p>
    <w:p w:rsidR="00F464B9" w:rsidRDefault="00E57B51" w:rsidP="00F464B9">
      <w:pPr>
        <w:numPr>
          <w:ilvl w:val="0"/>
          <w:numId w:val="1"/>
        </w:numPr>
        <w:suppressAutoHyphens/>
        <w:rPr>
          <w:rFonts w:ascii="Times New Roman" w:hAnsi="Times New Roman" w:cs="Times New Roman"/>
          <w:b/>
        </w:rPr>
      </w:pPr>
      <w:r w:rsidRPr="00E57B51">
        <w:rPr>
          <w:rFonts w:ascii="Times New Roman" w:hAnsi="Times New Roman" w:cs="Times New Roman"/>
          <w:b/>
        </w:rPr>
        <w:t>Minimizing Burden on Small Respondents</w:t>
      </w:r>
    </w:p>
    <w:p w:rsidR="00F464B9" w:rsidRDefault="00F464B9" w:rsidP="00F464B9">
      <w:pPr>
        <w:suppressAutoHyphens/>
        <w:ind w:left="1440"/>
        <w:rPr>
          <w:rFonts w:ascii="Times New Roman" w:hAnsi="Times New Roman" w:cs="Times New Roman"/>
        </w:rPr>
      </w:pPr>
      <w:r w:rsidRPr="000A1E54">
        <w:rPr>
          <w:rFonts w:ascii="Times New Roman" w:hAnsi="Times New Roman" w:cs="Times New Roman"/>
        </w:rPr>
        <w:t>Th</w:t>
      </w:r>
      <w:r>
        <w:rPr>
          <w:rFonts w:ascii="Times New Roman" w:hAnsi="Times New Roman" w:cs="Times New Roman"/>
        </w:rPr>
        <w:t>is</w:t>
      </w:r>
      <w:r w:rsidRPr="000A1E54">
        <w:rPr>
          <w:rFonts w:ascii="Times New Roman" w:hAnsi="Times New Roman" w:cs="Times New Roman"/>
        </w:rPr>
        <w:t xml:space="preserve"> collection does not </w:t>
      </w:r>
      <w:r>
        <w:rPr>
          <w:rFonts w:ascii="Times New Roman" w:hAnsi="Times New Roman" w:cs="Times New Roman"/>
        </w:rPr>
        <w:t xml:space="preserve">affect </w:t>
      </w:r>
      <w:r w:rsidRPr="000A1E54">
        <w:rPr>
          <w:rFonts w:ascii="Times New Roman" w:hAnsi="Times New Roman" w:cs="Times New Roman"/>
        </w:rPr>
        <w:t>small businesses or other small entities.</w:t>
      </w:r>
    </w:p>
    <w:p w:rsidR="00F464B9" w:rsidRDefault="00F464B9" w:rsidP="00F464B9">
      <w:pPr>
        <w:suppressAutoHyphens/>
        <w:ind w:left="1440"/>
        <w:rPr>
          <w:rFonts w:ascii="Times New Roman" w:hAnsi="Times New Roman" w:cs="Times New Roman"/>
          <w:b/>
        </w:rPr>
      </w:pPr>
    </w:p>
    <w:p w:rsidR="00F464B9" w:rsidRDefault="00E57B51" w:rsidP="00F464B9">
      <w:pPr>
        <w:numPr>
          <w:ilvl w:val="0"/>
          <w:numId w:val="1"/>
        </w:numPr>
        <w:suppressAutoHyphens/>
        <w:rPr>
          <w:rFonts w:ascii="Times New Roman" w:hAnsi="Times New Roman" w:cs="Times New Roman"/>
          <w:b/>
        </w:rPr>
      </w:pPr>
      <w:r w:rsidRPr="00F464B9">
        <w:rPr>
          <w:rFonts w:ascii="Times New Roman" w:hAnsi="Times New Roman" w:cs="Times New Roman"/>
          <w:b/>
        </w:rPr>
        <w:t>Consequence of Not Collecting Information or Collecting it Less Frequently</w:t>
      </w:r>
    </w:p>
    <w:p w:rsidR="00F464B9" w:rsidRDefault="00F464B9" w:rsidP="00F464B9">
      <w:pPr>
        <w:suppressAutoHyphens/>
        <w:ind w:left="1440"/>
        <w:rPr>
          <w:rFonts w:ascii="Times New Roman" w:hAnsi="Times New Roman" w:cs="Times New Roman"/>
        </w:rPr>
      </w:pPr>
      <w:r w:rsidRPr="00F464B9">
        <w:rPr>
          <w:rFonts w:ascii="Times New Roman" w:hAnsi="Times New Roman" w:cs="Times New Roman"/>
        </w:rPr>
        <w:t>If we did not collect the information, it would disrupt the hearing process for both the claimant and the agency, and could violate statutory and regulatory requirements relating to fair hearings and due process.  Therefore, we cannot collect this information less frequently</w:t>
      </w:r>
      <w:r w:rsidR="00A12FD7" w:rsidRPr="00F464B9">
        <w:rPr>
          <w:rFonts w:ascii="Times New Roman" w:hAnsi="Times New Roman" w:cs="Times New Roman"/>
        </w:rPr>
        <w:t xml:space="preserve">.  </w:t>
      </w:r>
      <w:r w:rsidRPr="00F464B9">
        <w:rPr>
          <w:rFonts w:ascii="Times New Roman" w:hAnsi="Times New Roman" w:cs="Times New Roman"/>
        </w:rPr>
        <w:t>There are no technical or legal obstacles that prevent burden reduction</w:t>
      </w:r>
      <w:r>
        <w:rPr>
          <w:rFonts w:ascii="Times New Roman" w:hAnsi="Times New Roman" w:cs="Times New Roman"/>
        </w:rPr>
        <w:t>.</w:t>
      </w:r>
    </w:p>
    <w:p w:rsidR="00F464B9" w:rsidRDefault="00F464B9" w:rsidP="00F464B9">
      <w:pPr>
        <w:suppressAutoHyphens/>
        <w:ind w:left="1440"/>
        <w:rPr>
          <w:rFonts w:ascii="Times New Roman" w:hAnsi="Times New Roman" w:cs="Times New Roman"/>
          <w:b/>
        </w:rPr>
      </w:pPr>
    </w:p>
    <w:p w:rsidR="00F464B9" w:rsidRDefault="00F464B9" w:rsidP="00F464B9">
      <w:pPr>
        <w:numPr>
          <w:ilvl w:val="0"/>
          <w:numId w:val="1"/>
        </w:numPr>
        <w:suppressAutoHyphens/>
        <w:rPr>
          <w:rFonts w:ascii="Times New Roman" w:hAnsi="Times New Roman" w:cs="Times New Roman"/>
          <w:b/>
        </w:rPr>
      </w:pPr>
      <w:r w:rsidRPr="00E57B51">
        <w:rPr>
          <w:rFonts w:ascii="Times New Roman" w:hAnsi="Times New Roman" w:cs="Times New Roman"/>
          <w:b/>
        </w:rPr>
        <w:t>Special Circumstances</w:t>
      </w:r>
    </w:p>
    <w:p w:rsidR="00F464B9" w:rsidRDefault="00F464B9" w:rsidP="00F464B9">
      <w:pPr>
        <w:suppressAutoHyphens/>
        <w:ind w:left="1440"/>
        <w:rPr>
          <w:rFonts w:ascii="Times New Roman" w:hAnsi="Times New Roman" w:cs="Times New Roman"/>
          <w:i/>
        </w:rPr>
      </w:pPr>
      <w:r w:rsidRPr="00187E95">
        <w:rPr>
          <w:rFonts w:ascii="Times New Roman" w:hAnsi="Times New Roman" w:cs="Times New Roman"/>
        </w:rPr>
        <w:t xml:space="preserve">There are no special circumstances that would cause SSA to conduct this information collection in a manner inconsistent with </w:t>
      </w:r>
      <w:r w:rsidRPr="00187E95">
        <w:rPr>
          <w:rFonts w:ascii="Times New Roman" w:hAnsi="Times New Roman" w:cs="Times New Roman"/>
          <w:i/>
        </w:rPr>
        <w:t>5 CFR 1320.5</w:t>
      </w:r>
      <w:r>
        <w:rPr>
          <w:rFonts w:ascii="Times New Roman" w:hAnsi="Times New Roman" w:cs="Times New Roman"/>
          <w:i/>
        </w:rPr>
        <w:t>.</w:t>
      </w:r>
    </w:p>
    <w:p w:rsidR="00F464B9" w:rsidRDefault="00F464B9" w:rsidP="00F464B9">
      <w:pPr>
        <w:suppressAutoHyphens/>
        <w:ind w:left="1440"/>
        <w:rPr>
          <w:rFonts w:ascii="Times New Roman" w:hAnsi="Times New Roman" w:cs="Times New Roman"/>
          <w:b/>
        </w:rPr>
      </w:pPr>
    </w:p>
    <w:p w:rsidR="00F464B9" w:rsidRDefault="00F464B9" w:rsidP="00F464B9">
      <w:pPr>
        <w:numPr>
          <w:ilvl w:val="0"/>
          <w:numId w:val="1"/>
        </w:numPr>
        <w:suppressAutoHyphens/>
        <w:rPr>
          <w:rFonts w:ascii="Times New Roman" w:hAnsi="Times New Roman" w:cs="Times New Roman"/>
          <w:b/>
        </w:rPr>
      </w:pPr>
      <w:r w:rsidRPr="00D57F49">
        <w:rPr>
          <w:rFonts w:ascii="Times New Roman" w:hAnsi="Times New Roman" w:cs="Times New Roman"/>
          <w:b/>
        </w:rPr>
        <w:t>Solicitation of Public Comment and Other Consultations with the Public</w:t>
      </w:r>
    </w:p>
    <w:p w:rsidR="00F464B9" w:rsidRDefault="00F464B9" w:rsidP="00F464B9">
      <w:pPr>
        <w:suppressAutoHyphens/>
        <w:ind w:left="1440"/>
        <w:rPr>
          <w:rFonts w:ascii="Times New Roman" w:hAnsi="Times New Roman" w:cs="Times New Roman"/>
        </w:rPr>
      </w:pPr>
      <w:r w:rsidRPr="00187E95">
        <w:rPr>
          <w:rFonts w:ascii="Times New Roman" w:hAnsi="Times New Roman" w:cs="Times New Roman"/>
        </w:rPr>
        <w:t xml:space="preserve">SSA published a notice of proposed rulemaking (NPRM) in the Federal Register on October 29, 2007, at 72 FR 61218.  We published a series of final rules on December 18, 2008 at 73 FR 76940, and again on July 8, 2010 at 75 FR 39154.  We published the amended final rules on </w:t>
      </w:r>
      <w:r w:rsidR="002461B4">
        <w:rPr>
          <w:rFonts w:ascii="Times New Roman" w:hAnsi="Times New Roman" w:cs="Times New Roman"/>
        </w:rPr>
        <w:t>May 21, 2013</w:t>
      </w:r>
      <w:r w:rsidRPr="00187E95">
        <w:rPr>
          <w:rFonts w:ascii="Times New Roman" w:hAnsi="Times New Roman" w:cs="Times New Roman"/>
        </w:rPr>
        <w:t xml:space="preserve"> at 7</w:t>
      </w:r>
      <w:r>
        <w:rPr>
          <w:rFonts w:ascii="Times New Roman" w:hAnsi="Times New Roman" w:cs="Times New Roman"/>
        </w:rPr>
        <w:t>8</w:t>
      </w:r>
      <w:r w:rsidR="002461B4">
        <w:rPr>
          <w:rFonts w:ascii="Times New Roman" w:hAnsi="Times New Roman" w:cs="Times New Roman"/>
        </w:rPr>
        <w:t xml:space="preserve"> FR 29624</w:t>
      </w:r>
      <w:r w:rsidRPr="00187E95">
        <w:rPr>
          <w:rFonts w:ascii="Times New Roman" w:hAnsi="Times New Roman" w:cs="Times New Roman"/>
        </w:rPr>
        <w:t>.  If we receive any comments in response to these final rules, we will forward them to OMB</w:t>
      </w:r>
      <w:r>
        <w:rPr>
          <w:rFonts w:ascii="Times New Roman" w:hAnsi="Times New Roman" w:cs="Times New Roman"/>
        </w:rPr>
        <w:t>.</w:t>
      </w:r>
    </w:p>
    <w:p w:rsidR="00F464B9" w:rsidRDefault="00F464B9" w:rsidP="00F464B9">
      <w:pPr>
        <w:suppressAutoHyphens/>
        <w:ind w:left="1440"/>
        <w:rPr>
          <w:rFonts w:ascii="Times New Roman" w:hAnsi="Times New Roman" w:cs="Times New Roman"/>
          <w:b/>
        </w:rPr>
      </w:pPr>
    </w:p>
    <w:p w:rsidR="00F464B9" w:rsidRDefault="00F464B9" w:rsidP="00F464B9">
      <w:pPr>
        <w:numPr>
          <w:ilvl w:val="0"/>
          <w:numId w:val="1"/>
        </w:numPr>
        <w:suppressAutoHyphens/>
        <w:rPr>
          <w:rFonts w:ascii="Times New Roman" w:hAnsi="Times New Roman" w:cs="Times New Roman"/>
          <w:b/>
        </w:rPr>
      </w:pPr>
      <w:r w:rsidRPr="00D57F49">
        <w:rPr>
          <w:rFonts w:ascii="Times New Roman" w:hAnsi="Times New Roman" w:cs="Times New Roman"/>
          <w:b/>
        </w:rPr>
        <w:t>Payment or Gifts to Respondents</w:t>
      </w:r>
    </w:p>
    <w:p w:rsidR="00F464B9" w:rsidRDefault="00F464B9" w:rsidP="00F464B9">
      <w:pPr>
        <w:suppressAutoHyphens/>
        <w:ind w:left="1440"/>
        <w:rPr>
          <w:rFonts w:ascii="Times New Roman" w:hAnsi="Times New Roman" w:cs="Times New Roman"/>
        </w:rPr>
      </w:pPr>
      <w:r w:rsidRPr="000A1E54">
        <w:rPr>
          <w:rFonts w:ascii="Times New Roman" w:hAnsi="Times New Roman" w:cs="Times New Roman"/>
        </w:rPr>
        <w:t>SSA provides no payment or gifts to the respondents.</w:t>
      </w:r>
    </w:p>
    <w:p w:rsidR="00F464B9" w:rsidRDefault="00F464B9" w:rsidP="00F464B9">
      <w:pPr>
        <w:suppressAutoHyphens/>
        <w:ind w:left="1440"/>
        <w:rPr>
          <w:rFonts w:ascii="Times New Roman" w:hAnsi="Times New Roman" w:cs="Times New Roman"/>
          <w:b/>
        </w:rPr>
      </w:pPr>
    </w:p>
    <w:p w:rsidR="00F464B9" w:rsidRDefault="00F464B9" w:rsidP="00F464B9">
      <w:pPr>
        <w:numPr>
          <w:ilvl w:val="0"/>
          <w:numId w:val="1"/>
        </w:numPr>
        <w:suppressAutoHyphens/>
        <w:rPr>
          <w:rFonts w:ascii="Times New Roman" w:hAnsi="Times New Roman" w:cs="Times New Roman"/>
          <w:b/>
        </w:rPr>
      </w:pPr>
      <w:r w:rsidRPr="00187E95">
        <w:rPr>
          <w:rFonts w:ascii="Times New Roman" w:hAnsi="Times New Roman" w:cs="Times New Roman"/>
          <w:b/>
        </w:rPr>
        <w:t>Assurances of Confidentialit</w:t>
      </w:r>
      <w:r>
        <w:rPr>
          <w:rFonts w:ascii="Times New Roman" w:hAnsi="Times New Roman" w:cs="Times New Roman"/>
          <w:b/>
        </w:rPr>
        <w:t>y</w:t>
      </w:r>
    </w:p>
    <w:p w:rsidR="00F464B9" w:rsidRDefault="00F464B9" w:rsidP="00F464B9">
      <w:pPr>
        <w:suppressAutoHyphens/>
        <w:ind w:left="1440"/>
        <w:rPr>
          <w:rFonts w:ascii="Times New Roman" w:hAnsi="Times New Roman"/>
        </w:rPr>
      </w:pPr>
      <w:r w:rsidRPr="00187E95">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187E95">
        <w:rPr>
          <w:rFonts w:ascii="Times New Roman" w:hAnsi="Times New Roman"/>
        </w:rPr>
        <w:t>and</w:t>
      </w:r>
      <w:r w:rsidRPr="00BC7F42">
        <w:rPr>
          <w:rFonts w:ascii="Times New Roman" w:hAnsi="Times New Roman"/>
          <w:i/>
        </w:rPr>
        <w:t xml:space="preserve"> 402, 5 U.S.C. 552 </w:t>
      </w:r>
      <w:r w:rsidRPr="00187E95">
        <w:rPr>
          <w:rFonts w:ascii="Times New Roman" w:hAnsi="Times New Roman"/>
        </w:rPr>
        <w:t>(Freedom of Information Act),</w:t>
      </w:r>
      <w:r w:rsidRPr="00BC7F42">
        <w:rPr>
          <w:rFonts w:ascii="Times New Roman" w:hAnsi="Times New Roman"/>
          <w:i/>
        </w:rPr>
        <w:t xml:space="preserve"> 5 U.S.C. 552a </w:t>
      </w:r>
      <w:r w:rsidRPr="00187E95">
        <w:rPr>
          <w:rFonts w:ascii="Times New Roman" w:hAnsi="Times New Roman"/>
        </w:rPr>
        <w:t>(Privacy Act of 1974), and OMB Circular No. A-130</w:t>
      </w:r>
      <w:r>
        <w:rPr>
          <w:rFonts w:ascii="Times New Roman" w:hAnsi="Times New Roman"/>
        </w:rPr>
        <w:t>.</w:t>
      </w:r>
    </w:p>
    <w:p w:rsidR="00F464B9" w:rsidRDefault="00F464B9" w:rsidP="00F464B9">
      <w:pPr>
        <w:suppressAutoHyphens/>
        <w:ind w:left="1440"/>
        <w:rPr>
          <w:rFonts w:ascii="Times New Roman" w:hAnsi="Times New Roman" w:cs="Times New Roman"/>
          <w:b/>
        </w:rPr>
      </w:pPr>
    </w:p>
    <w:p w:rsidR="00F464B9" w:rsidRDefault="00F464B9" w:rsidP="00F464B9">
      <w:pPr>
        <w:numPr>
          <w:ilvl w:val="0"/>
          <w:numId w:val="1"/>
        </w:numPr>
        <w:suppressAutoHyphens/>
        <w:rPr>
          <w:rFonts w:ascii="Times New Roman" w:hAnsi="Times New Roman" w:cs="Times New Roman"/>
          <w:b/>
        </w:rPr>
      </w:pPr>
      <w:r w:rsidRPr="00187E95">
        <w:rPr>
          <w:rFonts w:ascii="Times New Roman" w:hAnsi="Times New Roman" w:cs="Times New Roman"/>
          <w:b/>
        </w:rPr>
        <w:t>Justification for Sensitive Questio</w:t>
      </w:r>
      <w:r>
        <w:rPr>
          <w:rFonts w:ascii="Times New Roman" w:hAnsi="Times New Roman" w:cs="Times New Roman"/>
          <w:b/>
        </w:rPr>
        <w:t>ns</w:t>
      </w:r>
    </w:p>
    <w:p w:rsidR="00F464B9" w:rsidRDefault="00F464B9" w:rsidP="00F464B9">
      <w:pPr>
        <w:suppressAutoHyphens/>
        <w:ind w:left="1440"/>
        <w:rPr>
          <w:rFonts w:ascii="Times New Roman" w:hAnsi="Times New Roman" w:cs="Times New Roman"/>
        </w:rPr>
      </w:pPr>
      <w:r w:rsidRPr="00187E95">
        <w:rPr>
          <w:rFonts w:ascii="Times New Roman" w:hAnsi="Times New Roman" w:cs="Times New Roman"/>
        </w:rPr>
        <w:t>The information collection does not contain any questions of a sensitive nature</w:t>
      </w:r>
      <w:r>
        <w:rPr>
          <w:rFonts w:ascii="Times New Roman" w:hAnsi="Times New Roman" w:cs="Times New Roman"/>
        </w:rPr>
        <w:t>.</w:t>
      </w:r>
    </w:p>
    <w:p w:rsidR="00F464B9" w:rsidRDefault="00F464B9" w:rsidP="00F464B9">
      <w:pPr>
        <w:suppressAutoHyphens/>
        <w:ind w:left="1440"/>
        <w:rPr>
          <w:rFonts w:ascii="Times New Roman" w:hAnsi="Times New Roman" w:cs="Times New Roman"/>
          <w:b/>
        </w:rPr>
      </w:pPr>
    </w:p>
    <w:p w:rsidR="00F464B9" w:rsidRDefault="00F464B9" w:rsidP="00F464B9">
      <w:pPr>
        <w:numPr>
          <w:ilvl w:val="0"/>
          <w:numId w:val="1"/>
        </w:numPr>
        <w:suppressAutoHyphens/>
        <w:rPr>
          <w:rFonts w:ascii="Times New Roman" w:hAnsi="Times New Roman" w:cs="Times New Roman"/>
          <w:b/>
        </w:rPr>
      </w:pPr>
      <w:r w:rsidRPr="00CE1D32">
        <w:rPr>
          <w:rFonts w:ascii="Times New Roman" w:hAnsi="Times New Roman" w:cs="Times New Roman"/>
          <w:b/>
        </w:rPr>
        <w:t>Estimates of Public Reporting Burden</w:t>
      </w:r>
    </w:p>
    <w:p w:rsidR="00F464B9" w:rsidRDefault="00F464B9" w:rsidP="00F464B9">
      <w:pPr>
        <w:suppressAutoHyphens/>
        <w:ind w:left="1440"/>
        <w:rPr>
          <w:rFonts w:ascii="Times New Roman" w:hAnsi="Times New Roman" w:cs="Times New Roman"/>
        </w:rPr>
      </w:pPr>
      <w:r>
        <w:rPr>
          <w:rFonts w:ascii="Times New Roman" w:hAnsi="Times New Roman" w:cs="Times New Roman"/>
        </w:rPr>
        <w:t>Approximately 900,000 respondents use the three versions of F</w:t>
      </w:r>
      <w:r w:rsidRPr="000A1E54">
        <w:rPr>
          <w:rFonts w:ascii="Times New Roman" w:hAnsi="Times New Roman" w:cs="Times New Roman"/>
        </w:rPr>
        <w:t>orm HA-</w:t>
      </w:r>
      <w:r>
        <w:rPr>
          <w:rFonts w:ascii="Times New Roman" w:hAnsi="Times New Roman" w:cs="Times New Roman"/>
        </w:rPr>
        <w:t>504</w:t>
      </w:r>
      <w:r w:rsidRPr="000A1E54">
        <w:rPr>
          <w:rFonts w:ascii="Times New Roman" w:hAnsi="Times New Roman" w:cs="Times New Roman"/>
        </w:rPr>
        <w:t xml:space="preserve"> annually.</w:t>
      </w:r>
      <w:r>
        <w:rPr>
          <w:rFonts w:ascii="Times New Roman" w:hAnsi="Times New Roman" w:cs="Times New Roman"/>
        </w:rPr>
        <w:t xml:space="preserve">  </w:t>
      </w:r>
      <w:r w:rsidRPr="000A1E54">
        <w:rPr>
          <w:rFonts w:ascii="Times New Roman" w:hAnsi="Times New Roman" w:cs="Times New Roman"/>
        </w:rPr>
        <w:t>The esti</w:t>
      </w:r>
      <w:r>
        <w:rPr>
          <w:rFonts w:ascii="Times New Roman" w:hAnsi="Times New Roman" w:cs="Times New Roman"/>
        </w:rPr>
        <w:t>mated average response time is 30</w:t>
      </w:r>
      <w:r w:rsidRPr="000A1E54">
        <w:rPr>
          <w:rFonts w:ascii="Times New Roman" w:hAnsi="Times New Roman" w:cs="Times New Roman"/>
        </w:rPr>
        <w:t xml:space="preserve"> minute</w:t>
      </w:r>
      <w:r>
        <w:rPr>
          <w:rFonts w:ascii="Times New Roman" w:hAnsi="Times New Roman" w:cs="Times New Roman"/>
        </w:rPr>
        <w:t>s to complete the form and gather evidence for the hearing, for 4</w:t>
      </w:r>
      <w:r w:rsidRPr="000A1E54">
        <w:rPr>
          <w:rFonts w:ascii="Times New Roman" w:hAnsi="Times New Roman" w:cs="Times New Roman"/>
        </w:rPr>
        <w:t xml:space="preserve">50,000 </w:t>
      </w:r>
      <w:r>
        <w:rPr>
          <w:rFonts w:ascii="Times New Roman" w:hAnsi="Times New Roman" w:cs="Times New Roman"/>
        </w:rPr>
        <w:t xml:space="preserve">burden </w:t>
      </w:r>
      <w:r w:rsidRPr="000A1E54">
        <w:rPr>
          <w:rFonts w:ascii="Times New Roman" w:hAnsi="Times New Roman" w:cs="Times New Roman"/>
        </w:rPr>
        <w:t>hours</w:t>
      </w:r>
      <w:r>
        <w:rPr>
          <w:rFonts w:ascii="Times New Roman" w:hAnsi="Times New Roman" w:cs="Times New Roman"/>
        </w:rPr>
        <w:t xml:space="preserve"> as reflected in the chart below:</w:t>
      </w:r>
    </w:p>
    <w:p w:rsidR="00F464B9" w:rsidRDefault="00F464B9" w:rsidP="00F464B9">
      <w:pPr>
        <w:suppressAutoHyphens/>
        <w:ind w:left="1440"/>
        <w:rPr>
          <w:rFonts w:ascii="Times New Roman" w:hAnsi="Times New Roman" w:cs="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530"/>
        <w:gridCol w:w="1620"/>
        <w:gridCol w:w="1800"/>
        <w:gridCol w:w="1620"/>
      </w:tblGrid>
      <w:tr w:rsidR="00F464B9" w:rsidRPr="00D57F49" w:rsidTr="00F464B9">
        <w:tc>
          <w:tcPr>
            <w:tcW w:w="1975" w:type="dxa"/>
          </w:tcPr>
          <w:p w:rsidR="00F464B9" w:rsidRPr="00D57F49" w:rsidRDefault="00F464B9" w:rsidP="00D44A85">
            <w:pPr>
              <w:pStyle w:val="BodyTextIndent2"/>
              <w:ind w:left="0" w:firstLine="0"/>
              <w:rPr>
                <w:rFonts w:ascii="Times New Roman" w:hAnsi="Times New Roman" w:cs="Times New Roman"/>
                <w:b/>
              </w:rPr>
            </w:pPr>
            <w:r>
              <w:rPr>
                <w:rFonts w:ascii="Times New Roman" w:hAnsi="Times New Roman" w:cs="Times New Roman"/>
                <w:b/>
              </w:rPr>
              <w:lastRenderedPageBreak/>
              <w:t>Modality of Completion</w:t>
            </w:r>
          </w:p>
        </w:tc>
        <w:tc>
          <w:tcPr>
            <w:tcW w:w="1530" w:type="dxa"/>
          </w:tcPr>
          <w:p w:rsidR="00F464B9" w:rsidRPr="00D57F49" w:rsidRDefault="00F464B9" w:rsidP="00F464B9">
            <w:pPr>
              <w:pStyle w:val="BodyTextIndent2"/>
              <w:ind w:left="0" w:firstLine="0"/>
              <w:rPr>
                <w:rFonts w:ascii="Times New Roman" w:hAnsi="Times New Roman" w:cs="Times New Roman"/>
                <w:b/>
              </w:rPr>
            </w:pPr>
            <w:r w:rsidRPr="00D57F49">
              <w:rPr>
                <w:rFonts w:ascii="Times New Roman" w:hAnsi="Times New Roman" w:cs="Times New Roman"/>
                <w:b/>
              </w:rPr>
              <w:t>Number of Respondents</w:t>
            </w:r>
          </w:p>
        </w:tc>
        <w:tc>
          <w:tcPr>
            <w:tcW w:w="1620" w:type="dxa"/>
          </w:tcPr>
          <w:p w:rsidR="00F464B9" w:rsidRPr="00D57F49" w:rsidRDefault="00F464B9" w:rsidP="00F464B9">
            <w:pPr>
              <w:pStyle w:val="BodyTextIndent2"/>
              <w:ind w:left="0" w:firstLine="0"/>
              <w:rPr>
                <w:rFonts w:ascii="Times New Roman" w:hAnsi="Times New Roman" w:cs="Times New Roman"/>
                <w:b/>
              </w:rPr>
            </w:pPr>
            <w:r w:rsidRPr="00D57F49">
              <w:rPr>
                <w:rFonts w:ascii="Times New Roman" w:hAnsi="Times New Roman" w:cs="Times New Roman"/>
                <w:b/>
              </w:rPr>
              <w:t>Frequency of Response</w:t>
            </w:r>
          </w:p>
        </w:tc>
        <w:tc>
          <w:tcPr>
            <w:tcW w:w="1800" w:type="dxa"/>
          </w:tcPr>
          <w:p w:rsidR="00F464B9" w:rsidRPr="00D57F49" w:rsidRDefault="00F464B9" w:rsidP="00F464B9">
            <w:pPr>
              <w:pStyle w:val="BodyTextIndent2"/>
              <w:ind w:left="0" w:firstLine="0"/>
              <w:rPr>
                <w:rFonts w:ascii="Times New Roman" w:hAnsi="Times New Roman" w:cs="Times New Roman"/>
                <w:b/>
              </w:rPr>
            </w:pPr>
            <w:r w:rsidRPr="00D57F49">
              <w:rPr>
                <w:rFonts w:ascii="Times New Roman" w:hAnsi="Times New Roman" w:cs="Times New Roman"/>
                <w:b/>
              </w:rPr>
              <w:t>Average Burden Per Response (minutes)</w:t>
            </w:r>
          </w:p>
        </w:tc>
        <w:tc>
          <w:tcPr>
            <w:tcW w:w="1620" w:type="dxa"/>
          </w:tcPr>
          <w:p w:rsidR="00F464B9" w:rsidRPr="00D57F49" w:rsidRDefault="00F464B9" w:rsidP="00F464B9">
            <w:pPr>
              <w:pStyle w:val="BodyTextIndent2"/>
              <w:ind w:left="0" w:firstLine="0"/>
              <w:rPr>
                <w:rFonts w:ascii="Times New Roman" w:hAnsi="Times New Roman" w:cs="Times New Roman"/>
                <w:b/>
              </w:rPr>
            </w:pPr>
            <w:r w:rsidRPr="00D57F49">
              <w:rPr>
                <w:rFonts w:ascii="Times New Roman" w:hAnsi="Times New Roman" w:cs="Times New Roman"/>
                <w:b/>
              </w:rPr>
              <w:t>Total Annual Burden (hours)</w:t>
            </w:r>
          </w:p>
        </w:tc>
      </w:tr>
      <w:tr w:rsidR="00F464B9" w:rsidRPr="008163FD" w:rsidTr="00F464B9">
        <w:tc>
          <w:tcPr>
            <w:tcW w:w="1975" w:type="dxa"/>
          </w:tcPr>
          <w:p w:rsidR="00EE5D96" w:rsidRDefault="00F464B9" w:rsidP="00F464B9">
            <w:pPr>
              <w:pStyle w:val="BodyTextIndent2"/>
              <w:ind w:left="0" w:firstLine="0"/>
              <w:rPr>
                <w:rFonts w:ascii="Times New Roman" w:hAnsi="Times New Roman" w:cs="Times New Roman"/>
              </w:rPr>
            </w:pPr>
            <w:r w:rsidRPr="008163FD">
              <w:rPr>
                <w:rFonts w:ascii="Times New Roman" w:hAnsi="Times New Roman" w:cs="Times New Roman"/>
              </w:rPr>
              <w:t xml:space="preserve">HA-504 </w:t>
            </w:r>
          </w:p>
          <w:p w:rsidR="00F464B9" w:rsidRPr="008163FD" w:rsidRDefault="00F464B9" w:rsidP="00F464B9">
            <w:pPr>
              <w:pStyle w:val="BodyTextIndent2"/>
              <w:ind w:left="0" w:firstLine="0"/>
              <w:rPr>
                <w:rFonts w:ascii="Times New Roman" w:hAnsi="Times New Roman" w:cs="Times New Roman"/>
              </w:rPr>
            </w:pPr>
            <w:r w:rsidRPr="008163FD">
              <w:rPr>
                <w:rFonts w:ascii="Times New Roman" w:hAnsi="Times New Roman" w:cs="Times New Roman"/>
              </w:rPr>
              <w:t>(with</w:t>
            </w:r>
            <w:r>
              <w:rPr>
                <w:rFonts w:ascii="Times New Roman" w:hAnsi="Times New Roman" w:cs="Times New Roman"/>
              </w:rPr>
              <w:t xml:space="preserve"> Video </w:t>
            </w:r>
            <w:r w:rsidRPr="008163FD">
              <w:rPr>
                <w:rFonts w:ascii="Times New Roman" w:hAnsi="Times New Roman" w:cs="Times New Roman"/>
              </w:rPr>
              <w:t>Teleconferencing)</w:t>
            </w:r>
          </w:p>
        </w:tc>
        <w:tc>
          <w:tcPr>
            <w:tcW w:w="1530" w:type="dxa"/>
          </w:tcPr>
          <w:p w:rsidR="00F464B9" w:rsidRPr="008163FD" w:rsidRDefault="00EE5D96" w:rsidP="00F464B9">
            <w:pPr>
              <w:pStyle w:val="BodyTextIndent2"/>
              <w:ind w:left="0" w:firstLine="0"/>
              <w:jc w:val="right"/>
              <w:rPr>
                <w:rFonts w:ascii="Times New Roman" w:hAnsi="Times New Roman" w:cs="Times New Roman"/>
              </w:rPr>
            </w:pPr>
            <w:r>
              <w:rPr>
                <w:rFonts w:ascii="Times New Roman" w:hAnsi="Times New Roman" w:cs="Times New Roman"/>
              </w:rPr>
              <w:t>181</w:t>
            </w:r>
            <w:r w:rsidRPr="008163FD">
              <w:rPr>
                <w:rFonts w:ascii="Times New Roman" w:hAnsi="Times New Roman" w:cs="Times New Roman"/>
              </w:rPr>
              <w:t>,000</w:t>
            </w:r>
          </w:p>
        </w:tc>
        <w:tc>
          <w:tcPr>
            <w:tcW w:w="1620" w:type="dxa"/>
          </w:tcPr>
          <w:p w:rsidR="00F464B9" w:rsidRPr="008163FD" w:rsidRDefault="00F464B9" w:rsidP="00F464B9">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F464B9" w:rsidRPr="008163FD" w:rsidRDefault="00F464B9" w:rsidP="00F464B9">
            <w:pPr>
              <w:pStyle w:val="BodyTextIndent2"/>
              <w:ind w:left="0" w:firstLine="0"/>
              <w:jc w:val="right"/>
              <w:rPr>
                <w:rFonts w:ascii="Times New Roman" w:hAnsi="Times New Roman" w:cs="Times New Roman"/>
              </w:rPr>
            </w:pPr>
            <w:r w:rsidRPr="008163FD">
              <w:rPr>
                <w:rFonts w:ascii="Times New Roman" w:hAnsi="Times New Roman" w:cs="Times New Roman"/>
              </w:rPr>
              <w:t>3</w:t>
            </w:r>
            <w:r>
              <w:rPr>
                <w:rFonts w:ascii="Times New Roman" w:hAnsi="Times New Roman" w:cs="Times New Roman"/>
              </w:rPr>
              <w:t>0</w:t>
            </w:r>
          </w:p>
        </w:tc>
        <w:tc>
          <w:tcPr>
            <w:tcW w:w="1620" w:type="dxa"/>
          </w:tcPr>
          <w:p w:rsidR="00F464B9" w:rsidRPr="008163FD" w:rsidRDefault="00EE5D96" w:rsidP="00F464B9">
            <w:pPr>
              <w:pStyle w:val="BodyTextIndent2"/>
              <w:ind w:left="0" w:firstLine="0"/>
              <w:jc w:val="right"/>
              <w:rPr>
                <w:rFonts w:ascii="Times New Roman" w:hAnsi="Times New Roman" w:cs="Times New Roman"/>
              </w:rPr>
            </w:pPr>
            <w:r>
              <w:rPr>
                <w:rFonts w:ascii="Times New Roman" w:hAnsi="Times New Roman" w:cs="Times New Roman"/>
              </w:rPr>
              <w:t>90,5</w:t>
            </w:r>
            <w:r w:rsidRPr="008163FD">
              <w:rPr>
                <w:rFonts w:ascii="Times New Roman" w:hAnsi="Times New Roman" w:cs="Times New Roman"/>
              </w:rPr>
              <w:t>0</w:t>
            </w:r>
            <w:r>
              <w:rPr>
                <w:rFonts w:ascii="Times New Roman" w:hAnsi="Times New Roman" w:cs="Times New Roman"/>
              </w:rPr>
              <w:t>0</w:t>
            </w:r>
          </w:p>
        </w:tc>
      </w:tr>
      <w:tr w:rsidR="00F464B9" w:rsidRPr="008163FD" w:rsidTr="00F464B9">
        <w:tc>
          <w:tcPr>
            <w:tcW w:w="1975" w:type="dxa"/>
          </w:tcPr>
          <w:p w:rsidR="00F464B9" w:rsidRPr="008163FD" w:rsidRDefault="00F464B9" w:rsidP="00F464B9">
            <w:pPr>
              <w:pStyle w:val="BodyTextIndent2"/>
              <w:ind w:left="0" w:firstLine="0"/>
              <w:rPr>
                <w:rFonts w:ascii="Times New Roman" w:hAnsi="Times New Roman" w:cs="Times New Roman"/>
              </w:rPr>
            </w:pPr>
            <w:r w:rsidRPr="008163FD">
              <w:rPr>
                <w:rFonts w:ascii="Times New Roman" w:hAnsi="Times New Roman" w:cs="Times New Roman"/>
              </w:rPr>
              <w:t>HA-504-OP1 (with</w:t>
            </w:r>
            <w:r>
              <w:rPr>
                <w:rFonts w:ascii="Times New Roman" w:hAnsi="Times New Roman" w:cs="Times New Roman"/>
              </w:rPr>
              <w:t>out</w:t>
            </w:r>
            <w:r w:rsidRPr="008163FD">
              <w:rPr>
                <w:rFonts w:ascii="Times New Roman" w:hAnsi="Times New Roman" w:cs="Times New Roman"/>
              </w:rPr>
              <w:t xml:space="preserve"> </w:t>
            </w:r>
            <w:r>
              <w:rPr>
                <w:rFonts w:ascii="Times New Roman" w:hAnsi="Times New Roman" w:cs="Times New Roman"/>
              </w:rPr>
              <w:t xml:space="preserve">Video or Phone </w:t>
            </w:r>
            <w:r w:rsidRPr="008163FD">
              <w:rPr>
                <w:rFonts w:ascii="Times New Roman" w:hAnsi="Times New Roman" w:cs="Times New Roman"/>
              </w:rPr>
              <w:t>Teleconferencing)</w:t>
            </w:r>
          </w:p>
        </w:tc>
        <w:tc>
          <w:tcPr>
            <w:tcW w:w="1530" w:type="dxa"/>
          </w:tcPr>
          <w:p w:rsidR="00F464B9" w:rsidRPr="008163FD" w:rsidRDefault="00EE5D96" w:rsidP="00F464B9">
            <w:pPr>
              <w:pStyle w:val="BodyTextIndent2"/>
              <w:ind w:left="0" w:firstLine="0"/>
              <w:jc w:val="right"/>
              <w:rPr>
                <w:rFonts w:ascii="Times New Roman" w:hAnsi="Times New Roman" w:cs="Times New Roman"/>
              </w:rPr>
            </w:pPr>
            <w:r>
              <w:rPr>
                <w:rFonts w:ascii="Times New Roman" w:hAnsi="Times New Roman" w:cs="Times New Roman"/>
              </w:rPr>
              <w:t>718</w:t>
            </w:r>
            <w:r w:rsidR="00F464B9" w:rsidRPr="008163FD">
              <w:rPr>
                <w:rFonts w:ascii="Times New Roman" w:hAnsi="Times New Roman" w:cs="Times New Roman"/>
              </w:rPr>
              <w:t>,000</w:t>
            </w:r>
          </w:p>
        </w:tc>
        <w:tc>
          <w:tcPr>
            <w:tcW w:w="1620" w:type="dxa"/>
          </w:tcPr>
          <w:p w:rsidR="00F464B9" w:rsidRPr="008163FD" w:rsidRDefault="00F464B9" w:rsidP="00F464B9">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800" w:type="dxa"/>
          </w:tcPr>
          <w:p w:rsidR="00F464B9" w:rsidRPr="008163FD" w:rsidRDefault="00F464B9" w:rsidP="00F464B9">
            <w:pPr>
              <w:pStyle w:val="BodyTextIndent2"/>
              <w:ind w:left="0" w:firstLine="0"/>
              <w:jc w:val="right"/>
              <w:rPr>
                <w:rFonts w:ascii="Times New Roman" w:hAnsi="Times New Roman" w:cs="Times New Roman"/>
              </w:rPr>
            </w:pPr>
            <w:r w:rsidRPr="008163FD">
              <w:rPr>
                <w:rFonts w:ascii="Times New Roman" w:hAnsi="Times New Roman" w:cs="Times New Roman"/>
              </w:rPr>
              <w:t>3</w:t>
            </w:r>
            <w:r>
              <w:rPr>
                <w:rFonts w:ascii="Times New Roman" w:hAnsi="Times New Roman" w:cs="Times New Roman"/>
              </w:rPr>
              <w:t>0</w:t>
            </w:r>
          </w:p>
        </w:tc>
        <w:tc>
          <w:tcPr>
            <w:tcW w:w="1620" w:type="dxa"/>
          </w:tcPr>
          <w:p w:rsidR="00F464B9" w:rsidRPr="008163FD" w:rsidRDefault="00EE5D96" w:rsidP="00F464B9">
            <w:pPr>
              <w:pStyle w:val="BodyTextIndent2"/>
              <w:ind w:left="0" w:firstLine="0"/>
              <w:jc w:val="right"/>
              <w:rPr>
                <w:rFonts w:ascii="Times New Roman" w:hAnsi="Times New Roman" w:cs="Times New Roman"/>
              </w:rPr>
            </w:pPr>
            <w:r>
              <w:rPr>
                <w:rFonts w:ascii="Times New Roman" w:hAnsi="Times New Roman" w:cs="Times New Roman"/>
              </w:rPr>
              <w:t>359,000</w:t>
            </w:r>
          </w:p>
        </w:tc>
      </w:tr>
      <w:tr w:rsidR="00F464B9" w:rsidRPr="008163FD" w:rsidTr="00F464B9">
        <w:tc>
          <w:tcPr>
            <w:tcW w:w="1975" w:type="dxa"/>
          </w:tcPr>
          <w:p w:rsidR="00F464B9" w:rsidRDefault="00F464B9" w:rsidP="00F464B9">
            <w:pPr>
              <w:pStyle w:val="BodyTextIndent2"/>
              <w:ind w:left="0" w:firstLine="0"/>
              <w:rPr>
                <w:rFonts w:ascii="Times New Roman" w:hAnsi="Times New Roman" w:cs="Times New Roman"/>
              </w:rPr>
            </w:pPr>
            <w:r>
              <w:rPr>
                <w:rFonts w:ascii="Times New Roman" w:hAnsi="Times New Roman" w:cs="Times New Roman"/>
              </w:rPr>
              <w:t>HA-504-OP2</w:t>
            </w:r>
          </w:p>
          <w:p w:rsidR="00F464B9" w:rsidRPr="008163FD" w:rsidRDefault="00F464B9" w:rsidP="00F464B9">
            <w:pPr>
              <w:pStyle w:val="BodyTextIndent2"/>
              <w:ind w:left="0" w:firstLine="0"/>
              <w:rPr>
                <w:rFonts w:ascii="Times New Roman" w:hAnsi="Times New Roman" w:cs="Times New Roman"/>
              </w:rPr>
            </w:pPr>
            <w:r>
              <w:rPr>
                <w:rFonts w:ascii="Times New Roman" w:hAnsi="Times New Roman" w:cs="Times New Roman"/>
              </w:rPr>
              <w:t>(with Phone Teleconferencing</w:t>
            </w:r>
            <w:r w:rsidR="00EE5D96">
              <w:rPr>
                <w:rFonts w:ascii="Times New Roman" w:hAnsi="Times New Roman" w:cs="Times New Roman"/>
              </w:rPr>
              <w:t>)</w:t>
            </w:r>
          </w:p>
        </w:tc>
        <w:tc>
          <w:tcPr>
            <w:tcW w:w="1530" w:type="dxa"/>
          </w:tcPr>
          <w:p w:rsidR="00F464B9" w:rsidRPr="008163FD" w:rsidRDefault="00F464B9" w:rsidP="00F464B9">
            <w:pPr>
              <w:pStyle w:val="BodyTextIndent2"/>
              <w:ind w:left="0" w:firstLine="0"/>
              <w:jc w:val="right"/>
              <w:rPr>
                <w:rFonts w:ascii="Times New Roman" w:hAnsi="Times New Roman" w:cs="Times New Roman"/>
              </w:rPr>
            </w:pPr>
            <w:r>
              <w:rPr>
                <w:rFonts w:ascii="Times New Roman" w:hAnsi="Times New Roman" w:cs="Times New Roman"/>
              </w:rPr>
              <w:t>1,000</w:t>
            </w:r>
          </w:p>
        </w:tc>
        <w:tc>
          <w:tcPr>
            <w:tcW w:w="1620" w:type="dxa"/>
          </w:tcPr>
          <w:p w:rsidR="00F464B9" w:rsidRPr="008163FD" w:rsidRDefault="00F464B9" w:rsidP="00F464B9">
            <w:pPr>
              <w:pStyle w:val="BodyTextIndent2"/>
              <w:ind w:left="0" w:firstLine="0"/>
              <w:jc w:val="right"/>
              <w:rPr>
                <w:rFonts w:ascii="Times New Roman" w:hAnsi="Times New Roman" w:cs="Times New Roman"/>
              </w:rPr>
            </w:pPr>
            <w:r>
              <w:rPr>
                <w:rFonts w:ascii="Times New Roman" w:hAnsi="Times New Roman" w:cs="Times New Roman"/>
              </w:rPr>
              <w:t>1</w:t>
            </w:r>
          </w:p>
        </w:tc>
        <w:tc>
          <w:tcPr>
            <w:tcW w:w="1800" w:type="dxa"/>
          </w:tcPr>
          <w:p w:rsidR="00F464B9" w:rsidRPr="008163FD" w:rsidRDefault="00F464B9" w:rsidP="00F464B9">
            <w:pPr>
              <w:pStyle w:val="BodyTextIndent2"/>
              <w:ind w:left="0" w:firstLine="0"/>
              <w:jc w:val="right"/>
              <w:rPr>
                <w:rFonts w:ascii="Times New Roman" w:hAnsi="Times New Roman" w:cs="Times New Roman"/>
              </w:rPr>
            </w:pPr>
            <w:r>
              <w:rPr>
                <w:rFonts w:ascii="Times New Roman" w:hAnsi="Times New Roman" w:cs="Times New Roman"/>
              </w:rPr>
              <w:t>30</w:t>
            </w:r>
          </w:p>
        </w:tc>
        <w:tc>
          <w:tcPr>
            <w:tcW w:w="1620" w:type="dxa"/>
          </w:tcPr>
          <w:p w:rsidR="00F464B9" w:rsidRPr="008163FD" w:rsidRDefault="00F464B9" w:rsidP="00F464B9">
            <w:pPr>
              <w:pStyle w:val="BodyTextIndent2"/>
              <w:ind w:left="0" w:firstLine="0"/>
              <w:jc w:val="right"/>
              <w:rPr>
                <w:rFonts w:ascii="Times New Roman" w:hAnsi="Times New Roman" w:cs="Times New Roman"/>
              </w:rPr>
            </w:pPr>
            <w:r>
              <w:rPr>
                <w:rFonts w:ascii="Times New Roman" w:hAnsi="Times New Roman" w:cs="Times New Roman"/>
              </w:rPr>
              <w:t>500</w:t>
            </w:r>
          </w:p>
        </w:tc>
      </w:tr>
      <w:tr w:rsidR="00F464B9" w:rsidRPr="008163FD" w:rsidTr="00F464B9">
        <w:tc>
          <w:tcPr>
            <w:tcW w:w="1975" w:type="dxa"/>
          </w:tcPr>
          <w:p w:rsidR="00F464B9" w:rsidRPr="008163FD" w:rsidRDefault="00F464B9" w:rsidP="00F464B9">
            <w:pPr>
              <w:pStyle w:val="BodyTextIndent2"/>
              <w:ind w:left="0" w:firstLine="0"/>
              <w:rPr>
                <w:rFonts w:ascii="Times New Roman" w:hAnsi="Times New Roman" w:cs="Times New Roman"/>
                <w:b/>
              </w:rPr>
            </w:pPr>
            <w:r w:rsidRPr="008163FD">
              <w:rPr>
                <w:rFonts w:ascii="Times New Roman" w:hAnsi="Times New Roman" w:cs="Times New Roman"/>
                <w:b/>
              </w:rPr>
              <w:t>Totals</w:t>
            </w:r>
          </w:p>
        </w:tc>
        <w:tc>
          <w:tcPr>
            <w:tcW w:w="1530" w:type="dxa"/>
          </w:tcPr>
          <w:p w:rsidR="00F464B9" w:rsidRPr="008163FD" w:rsidRDefault="00F464B9" w:rsidP="00F464B9">
            <w:pPr>
              <w:pStyle w:val="BodyTextIndent2"/>
              <w:ind w:left="0" w:firstLine="0"/>
              <w:jc w:val="right"/>
              <w:rPr>
                <w:rFonts w:ascii="Times New Roman" w:hAnsi="Times New Roman" w:cs="Times New Roman"/>
                <w:b/>
              </w:rPr>
            </w:pPr>
            <w:r>
              <w:rPr>
                <w:rFonts w:ascii="Times New Roman" w:hAnsi="Times New Roman" w:cs="Times New Roman"/>
                <w:b/>
              </w:rPr>
              <w:t>9</w:t>
            </w:r>
            <w:r w:rsidRPr="008163FD">
              <w:rPr>
                <w:rFonts w:ascii="Times New Roman" w:hAnsi="Times New Roman" w:cs="Times New Roman"/>
                <w:b/>
              </w:rPr>
              <w:t>00,000</w:t>
            </w:r>
          </w:p>
        </w:tc>
        <w:tc>
          <w:tcPr>
            <w:tcW w:w="1620" w:type="dxa"/>
          </w:tcPr>
          <w:p w:rsidR="00F464B9" w:rsidRPr="008163FD" w:rsidRDefault="00F464B9" w:rsidP="00F464B9">
            <w:pPr>
              <w:pStyle w:val="BodyTextIndent2"/>
              <w:ind w:left="0" w:firstLine="0"/>
              <w:jc w:val="right"/>
              <w:rPr>
                <w:rFonts w:ascii="Times New Roman" w:hAnsi="Times New Roman" w:cs="Times New Roman"/>
                <w:b/>
              </w:rPr>
            </w:pPr>
          </w:p>
        </w:tc>
        <w:tc>
          <w:tcPr>
            <w:tcW w:w="1800" w:type="dxa"/>
          </w:tcPr>
          <w:p w:rsidR="00F464B9" w:rsidRPr="008163FD" w:rsidRDefault="00F464B9" w:rsidP="00F464B9">
            <w:pPr>
              <w:pStyle w:val="BodyTextIndent2"/>
              <w:ind w:left="0" w:firstLine="0"/>
              <w:jc w:val="right"/>
              <w:rPr>
                <w:rFonts w:ascii="Times New Roman" w:hAnsi="Times New Roman" w:cs="Times New Roman"/>
                <w:b/>
              </w:rPr>
            </w:pPr>
          </w:p>
        </w:tc>
        <w:tc>
          <w:tcPr>
            <w:tcW w:w="1620" w:type="dxa"/>
          </w:tcPr>
          <w:p w:rsidR="00F464B9" w:rsidRPr="008163FD" w:rsidRDefault="00F464B9" w:rsidP="00F464B9">
            <w:pPr>
              <w:pStyle w:val="BodyTextIndent2"/>
              <w:ind w:left="0" w:firstLine="0"/>
              <w:jc w:val="right"/>
              <w:rPr>
                <w:rFonts w:ascii="Times New Roman" w:hAnsi="Times New Roman" w:cs="Times New Roman"/>
                <w:b/>
              </w:rPr>
            </w:pPr>
            <w:r>
              <w:rPr>
                <w:rFonts w:ascii="Times New Roman" w:hAnsi="Times New Roman" w:cs="Times New Roman"/>
                <w:b/>
              </w:rPr>
              <w:t>4</w:t>
            </w:r>
            <w:r w:rsidRPr="008163FD">
              <w:rPr>
                <w:rFonts w:ascii="Times New Roman" w:hAnsi="Times New Roman" w:cs="Times New Roman"/>
                <w:b/>
              </w:rPr>
              <w:t>50</w:t>
            </w:r>
            <w:r>
              <w:rPr>
                <w:rFonts w:ascii="Times New Roman" w:hAnsi="Times New Roman" w:cs="Times New Roman"/>
                <w:b/>
              </w:rPr>
              <w:t>,</w:t>
            </w:r>
            <w:r w:rsidRPr="008163FD">
              <w:rPr>
                <w:rFonts w:ascii="Times New Roman" w:hAnsi="Times New Roman" w:cs="Times New Roman"/>
                <w:b/>
              </w:rPr>
              <w:t>00</w:t>
            </w:r>
            <w:r>
              <w:rPr>
                <w:rFonts w:ascii="Times New Roman" w:hAnsi="Times New Roman" w:cs="Times New Roman"/>
                <w:b/>
              </w:rPr>
              <w:t>0</w:t>
            </w:r>
          </w:p>
        </w:tc>
      </w:tr>
    </w:tbl>
    <w:p w:rsidR="00F464B9" w:rsidRDefault="00F464B9" w:rsidP="00F464B9">
      <w:pPr>
        <w:suppressAutoHyphens/>
        <w:ind w:left="1440"/>
        <w:rPr>
          <w:rFonts w:ascii="Times New Roman" w:hAnsi="Times New Roman"/>
        </w:rPr>
      </w:pPr>
    </w:p>
    <w:p w:rsidR="00F464B9" w:rsidRDefault="00F464B9" w:rsidP="00F464B9">
      <w:pPr>
        <w:suppressAutoHyphens/>
        <w:ind w:left="1440"/>
        <w:rPr>
          <w:rFonts w:ascii="Times New Roman" w:hAnsi="Times New Roman"/>
        </w:rPr>
      </w:pPr>
      <w:r w:rsidRPr="00187E95">
        <w:rPr>
          <w:rFonts w:ascii="Times New Roman" w:hAnsi="Times New Roman"/>
        </w:rPr>
        <w:t xml:space="preserve">The total burden for this ICR is </w:t>
      </w:r>
      <w:r>
        <w:rPr>
          <w:rFonts w:ascii="Times New Roman" w:hAnsi="Times New Roman"/>
          <w:b/>
        </w:rPr>
        <w:t>4</w:t>
      </w:r>
      <w:r w:rsidRPr="00187E95">
        <w:rPr>
          <w:rFonts w:ascii="Times New Roman" w:hAnsi="Times New Roman"/>
          <w:b/>
        </w:rPr>
        <w:t>50,000</w:t>
      </w:r>
      <w:r w:rsidRPr="00187E95">
        <w:rPr>
          <w:rFonts w:ascii="Times New Roman" w:hAnsi="Times New Roman"/>
        </w:rPr>
        <w:t xml:space="preserve"> hours.  This figure represents burden hours, and </w:t>
      </w:r>
      <w:r>
        <w:rPr>
          <w:rFonts w:ascii="Times New Roman" w:hAnsi="Times New Roman"/>
        </w:rPr>
        <w:t xml:space="preserve">we </w:t>
      </w:r>
      <w:r w:rsidRPr="00187E95">
        <w:rPr>
          <w:rFonts w:ascii="Times New Roman" w:hAnsi="Times New Roman"/>
        </w:rPr>
        <w:t>did not calculate a separate cost burden</w:t>
      </w:r>
      <w:r>
        <w:rPr>
          <w:rFonts w:ascii="Times New Roman" w:hAnsi="Times New Roman"/>
        </w:rPr>
        <w:t>.</w:t>
      </w:r>
    </w:p>
    <w:p w:rsidR="00F464B9" w:rsidRDefault="00F464B9" w:rsidP="00F464B9">
      <w:pPr>
        <w:suppressAutoHyphens/>
        <w:ind w:left="1440"/>
        <w:rPr>
          <w:rFonts w:ascii="Times New Roman" w:hAnsi="Times New Roman" w:cs="Times New Roman"/>
          <w:b/>
        </w:rPr>
      </w:pPr>
    </w:p>
    <w:p w:rsidR="00F464B9" w:rsidRDefault="00EE5D96" w:rsidP="00F464B9">
      <w:pPr>
        <w:numPr>
          <w:ilvl w:val="0"/>
          <w:numId w:val="1"/>
        </w:numPr>
        <w:suppressAutoHyphens/>
        <w:rPr>
          <w:rFonts w:ascii="Times New Roman" w:hAnsi="Times New Roman" w:cs="Times New Roman"/>
          <w:b/>
        </w:rPr>
      </w:pPr>
      <w:r w:rsidRPr="00187E95">
        <w:rPr>
          <w:rFonts w:ascii="Times New Roman" w:hAnsi="Times New Roman" w:cs="Times New Roman"/>
          <w:b/>
        </w:rPr>
        <w:t>Annual Cost to the Respondents</w:t>
      </w:r>
    </w:p>
    <w:p w:rsidR="00EE5D96" w:rsidRDefault="00EE5D96" w:rsidP="00EE5D96">
      <w:pPr>
        <w:suppressAutoHyphens/>
        <w:ind w:left="1440"/>
        <w:rPr>
          <w:rFonts w:ascii="Times New Roman" w:hAnsi="Times New Roman" w:cs="Times New Roman"/>
        </w:rPr>
      </w:pPr>
      <w:r w:rsidRPr="000A1E54">
        <w:rPr>
          <w:rFonts w:ascii="Times New Roman" w:hAnsi="Times New Roman" w:cs="Times New Roman"/>
        </w:rPr>
        <w:t>There is no known cost burden to the respondents</w:t>
      </w:r>
      <w:r>
        <w:rPr>
          <w:rFonts w:ascii="Times New Roman" w:hAnsi="Times New Roman" w:cs="Times New Roman"/>
        </w:rPr>
        <w:t>.</w:t>
      </w:r>
    </w:p>
    <w:p w:rsidR="00EE5D96" w:rsidRDefault="00EE5D96" w:rsidP="00EE5D96">
      <w:pPr>
        <w:suppressAutoHyphens/>
        <w:ind w:left="1440"/>
        <w:rPr>
          <w:rFonts w:ascii="Times New Roman" w:hAnsi="Times New Roman" w:cs="Times New Roman"/>
          <w:b/>
        </w:rPr>
      </w:pPr>
    </w:p>
    <w:p w:rsidR="00F464B9" w:rsidRDefault="00EE5D96" w:rsidP="00F464B9">
      <w:pPr>
        <w:numPr>
          <w:ilvl w:val="0"/>
          <w:numId w:val="1"/>
        </w:numPr>
        <w:suppressAutoHyphens/>
        <w:rPr>
          <w:rFonts w:ascii="Times New Roman" w:hAnsi="Times New Roman" w:cs="Times New Roman"/>
          <w:b/>
        </w:rPr>
      </w:pPr>
      <w:r w:rsidRPr="00D57F49">
        <w:rPr>
          <w:rFonts w:ascii="Times New Roman" w:hAnsi="Times New Roman" w:cs="Times New Roman"/>
          <w:b/>
        </w:rPr>
        <w:t>Annual Cost to the Federal Government</w:t>
      </w:r>
    </w:p>
    <w:p w:rsidR="00EE5D96" w:rsidRDefault="00EE5D96" w:rsidP="00EE5D96">
      <w:pPr>
        <w:suppressAutoHyphens/>
        <w:ind w:left="1440"/>
        <w:rPr>
          <w:rFonts w:ascii="Times New Roman" w:hAnsi="Times New Roman" w:cs="Times New Roman"/>
        </w:rPr>
      </w:pPr>
      <w:r w:rsidRPr="00187E95">
        <w:rPr>
          <w:rFonts w:ascii="Times New Roman" w:hAnsi="Times New Roman" w:cs="Times New Roman"/>
        </w:rPr>
        <w:t>The annual cost to the Federal Government is approximately $264,786 as a projection of the costs for printing and distributing the collection instrument and for collecting the information</w:t>
      </w:r>
      <w:r>
        <w:rPr>
          <w:rFonts w:ascii="Times New Roman" w:hAnsi="Times New Roman" w:cs="Times New Roman"/>
        </w:rPr>
        <w:t>.</w:t>
      </w:r>
    </w:p>
    <w:p w:rsidR="00EE5D96" w:rsidRDefault="00EE5D96" w:rsidP="00EE5D96">
      <w:pPr>
        <w:suppressAutoHyphens/>
        <w:ind w:left="1440"/>
        <w:rPr>
          <w:rFonts w:ascii="Times New Roman" w:hAnsi="Times New Roman" w:cs="Times New Roman"/>
          <w:b/>
        </w:rPr>
      </w:pPr>
    </w:p>
    <w:p w:rsidR="00F464B9" w:rsidRDefault="00EE5D96" w:rsidP="00F464B9">
      <w:pPr>
        <w:numPr>
          <w:ilvl w:val="0"/>
          <w:numId w:val="1"/>
        </w:numPr>
        <w:suppressAutoHyphens/>
        <w:rPr>
          <w:rFonts w:ascii="Times New Roman" w:hAnsi="Times New Roman" w:cs="Times New Roman"/>
          <w:b/>
        </w:rPr>
      </w:pPr>
      <w:r w:rsidRPr="00187E95">
        <w:rPr>
          <w:rFonts w:ascii="Times New Roman" w:hAnsi="Times New Roman" w:cs="Times New Roman"/>
          <w:b/>
        </w:rPr>
        <w:t>Program Changes or</w:t>
      </w:r>
      <w:r>
        <w:rPr>
          <w:rFonts w:ascii="Times New Roman" w:hAnsi="Times New Roman" w:cs="Times New Roman"/>
          <w:b/>
        </w:rPr>
        <w:t xml:space="preserve"> Adjustments to the Information </w:t>
      </w:r>
      <w:r w:rsidRPr="00187E95">
        <w:rPr>
          <w:rFonts w:ascii="Times New Roman" w:hAnsi="Times New Roman" w:cs="Times New Roman"/>
          <w:b/>
        </w:rPr>
        <w:t>Collection Request</w:t>
      </w:r>
    </w:p>
    <w:p w:rsidR="00EE5D96" w:rsidRDefault="00A341C3" w:rsidP="00EE5D96">
      <w:pPr>
        <w:suppressAutoHyphens/>
        <w:ind w:left="1440"/>
        <w:rPr>
          <w:rFonts w:ascii="Times New Roman" w:hAnsi="Times New Roman" w:cs="Times New Roman"/>
        </w:rPr>
      </w:pPr>
      <w:r w:rsidRPr="00A341C3">
        <w:rPr>
          <w:rFonts w:ascii="Times New Roman" w:hAnsi="Times New Roman" w:cs="Times New Roman"/>
        </w:rPr>
        <w:t>We increased the burden for the HA-504 due to an increase in the number of annual respondents.  In addition, to accommodate our new regulations, we are adding telephone hearings as a new modality.  Respondents will be able to choose telephone hearings in place of in-person hear</w:t>
      </w:r>
      <w:r>
        <w:rPr>
          <w:rFonts w:ascii="Times New Roman" w:hAnsi="Times New Roman" w:cs="Times New Roman"/>
        </w:rPr>
        <w:t>ings (see Addendum for details)</w:t>
      </w:r>
      <w:bookmarkStart w:id="0" w:name="_GoBack"/>
      <w:bookmarkEnd w:id="0"/>
      <w:r w:rsidR="00EE5D96">
        <w:rPr>
          <w:rFonts w:ascii="Times New Roman" w:hAnsi="Times New Roman" w:cs="Times New Roman"/>
        </w:rPr>
        <w:t>.</w:t>
      </w:r>
    </w:p>
    <w:p w:rsidR="00EE5D96" w:rsidRDefault="00EE5D96" w:rsidP="00EE5D96">
      <w:pPr>
        <w:suppressAutoHyphens/>
        <w:ind w:left="1440"/>
        <w:rPr>
          <w:rFonts w:ascii="Times New Roman" w:hAnsi="Times New Roman" w:cs="Times New Roman"/>
          <w:b/>
        </w:rPr>
      </w:pPr>
    </w:p>
    <w:p w:rsidR="00F464B9" w:rsidRDefault="00EE5D96" w:rsidP="00F464B9">
      <w:pPr>
        <w:numPr>
          <w:ilvl w:val="0"/>
          <w:numId w:val="1"/>
        </w:numPr>
        <w:suppressAutoHyphens/>
        <w:rPr>
          <w:rFonts w:ascii="Times New Roman" w:hAnsi="Times New Roman" w:cs="Times New Roman"/>
          <w:b/>
        </w:rPr>
      </w:pPr>
      <w:r w:rsidRPr="00187E95">
        <w:rPr>
          <w:rFonts w:ascii="Times New Roman" w:hAnsi="Times New Roman" w:cs="Times New Roman"/>
          <w:b/>
        </w:rPr>
        <w:t>Plans for Publication Information Collection Results</w:t>
      </w:r>
    </w:p>
    <w:p w:rsidR="00EE5D96" w:rsidRDefault="00EE5D96" w:rsidP="00EE5D96">
      <w:pPr>
        <w:suppressAutoHyphens/>
        <w:ind w:left="1440"/>
        <w:rPr>
          <w:rFonts w:ascii="Times New Roman" w:hAnsi="Times New Roman" w:cs="Times New Roman"/>
        </w:rPr>
      </w:pPr>
      <w:r w:rsidRPr="00187E95">
        <w:rPr>
          <w:rFonts w:ascii="Times New Roman" w:hAnsi="Times New Roman" w:cs="Times New Roman"/>
        </w:rPr>
        <w:t>SSA will not publish the results of the information collection</w:t>
      </w:r>
      <w:r>
        <w:rPr>
          <w:rFonts w:ascii="Times New Roman" w:hAnsi="Times New Roman" w:cs="Times New Roman"/>
        </w:rPr>
        <w:t>.</w:t>
      </w:r>
    </w:p>
    <w:p w:rsidR="00EE5D96" w:rsidRDefault="00EE5D96" w:rsidP="00EE5D96">
      <w:pPr>
        <w:suppressAutoHyphens/>
        <w:ind w:left="1440"/>
        <w:rPr>
          <w:rFonts w:ascii="Times New Roman" w:hAnsi="Times New Roman" w:cs="Times New Roman"/>
          <w:b/>
        </w:rPr>
      </w:pPr>
    </w:p>
    <w:p w:rsidR="00F464B9" w:rsidRDefault="00EE5D96" w:rsidP="00F464B9">
      <w:pPr>
        <w:numPr>
          <w:ilvl w:val="0"/>
          <w:numId w:val="1"/>
        </w:numPr>
        <w:suppressAutoHyphens/>
        <w:rPr>
          <w:rFonts w:ascii="Times New Roman" w:hAnsi="Times New Roman" w:cs="Times New Roman"/>
          <w:b/>
        </w:rPr>
      </w:pPr>
      <w:r w:rsidRPr="0009536F">
        <w:rPr>
          <w:rFonts w:ascii="Times New Roman" w:hAnsi="Times New Roman" w:cs="Times New Roman"/>
          <w:b/>
        </w:rPr>
        <w:t>Displaying the OMB Approval Expiration Date</w:t>
      </w:r>
    </w:p>
    <w:p w:rsidR="00EE5D96" w:rsidRDefault="00EE5D96" w:rsidP="00EE5D96">
      <w:pPr>
        <w:suppressAutoHyphens/>
        <w:ind w:left="1440"/>
        <w:rPr>
          <w:rFonts w:ascii="Times New Roman" w:hAnsi="Times New Roman" w:cs="Times New Roman"/>
          <w:bCs/>
          <w:iCs/>
        </w:rPr>
      </w:pPr>
      <w:r w:rsidRPr="00187E95">
        <w:rPr>
          <w:rFonts w:ascii="Times New Roman" w:hAnsi="Times New Roman" w:cs="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cs="Times New Roman"/>
          <w:bCs/>
          <w:iCs/>
        </w:rPr>
        <w:t>.</w:t>
      </w:r>
    </w:p>
    <w:p w:rsidR="00EE5D96" w:rsidRDefault="00EE5D96" w:rsidP="00EE5D96">
      <w:pPr>
        <w:suppressAutoHyphens/>
        <w:ind w:left="1440"/>
        <w:rPr>
          <w:rFonts w:ascii="Times New Roman" w:hAnsi="Times New Roman" w:cs="Times New Roman"/>
          <w:b/>
        </w:rPr>
      </w:pPr>
    </w:p>
    <w:p w:rsidR="00F464B9" w:rsidRDefault="00EE5D96" w:rsidP="00F464B9">
      <w:pPr>
        <w:numPr>
          <w:ilvl w:val="0"/>
          <w:numId w:val="1"/>
        </w:numPr>
        <w:suppressAutoHyphens/>
        <w:rPr>
          <w:rFonts w:ascii="Times New Roman" w:hAnsi="Times New Roman" w:cs="Times New Roman"/>
          <w:b/>
        </w:rPr>
      </w:pPr>
      <w:r w:rsidRPr="00187E95">
        <w:rPr>
          <w:rFonts w:ascii="Times New Roman" w:hAnsi="Times New Roman" w:cs="Times New Roman"/>
          <w:b/>
        </w:rPr>
        <w:lastRenderedPageBreak/>
        <w:t>Exceptions to Certification Statement</w:t>
      </w:r>
    </w:p>
    <w:p w:rsidR="00EE5D96" w:rsidRDefault="00EE5D96" w:rsidP="00EE5D96">
      <w:pPr>
        <w:suppressAutoHyphens/>
        <w:ind w:left="1440"/>
        <w:rPr>
          <w:rFonts w:ascii="Times New Roman" w:hAnsi="Times New Roman" w:cs="Times New Roman"/>
          <w:b/>
        </w:rPr>
      </w:pPr>
      <w:r w:rsidRPr="00187E95">
        <w:rPr>
          <w:rFonts w:ascii="Times New Roman" w:hAnsi="Times New Roman"/>
        </w:rPr>
        <w:t xml:space="preserve">SSA is not requesting an exception to the certification requirements at </w:t>
      </w:r>
      <w:r w:rsidRPr="00187E95">
        <w:rPr>
          <w:rFonts w:ascii="Times New Roman" w:hAnsi="Times New Roman"/>
          <w:i/>
        </w:rPr>
        <w:t>5 CFR 1320.9</w:t>
      </w:r>
      <w:r w:rsidRPr="00187E95">
        <w:rPr>
          <w:rFonts w:ascii="Times New Roman" w:hAnsi="Times New Roman"/>
        </w:rPr>
        <w:t xml:space="preserve"> and related provisions at </w:t>
      </w:r>
      <w:r w:rsidRPr="00187E95">
        <w:rPr>
          <w:rFonts w:ascii="Times New Roman" w:hAnsi="Times New Roman"/>
          <w:i/>
        </w:rPr>
        <w:t>5 CFR 1320.8(b)(3)</w:t>
      </w:r>
      <w:r w:rsidRPr="00187E95">
        <w:rPr>
          <w:rFonts w:ascii="Times New Roman" w:hAnsi="Times New Roman" w:cs="Times New Roman"/>
          <w:bCs/>
          <w:iCs/>
        </w:rPr>
        <w:t>.</w:t>
      </w:r>
    </w:p>
    <w:p w:rsidR="00920E66" w:rsidRPr="00EE5D96" w:rsidRDefault="00920E66" w:rsidP="00EE5D96">
      <w:pPr>
        <w:suppressAutoHyphens/>
        <w:ind w:left="1440"/>
        <w:rPr>
          <w:rFonts w:ascii="Times New Roman" w:hAnsi="Times New Roman" w:cs="Times New Roman"/>
          <w:b/>
        </w:rPr>
      </w:pPr>
      <w:r w:rsidRPr="00F464B9">
        <w:rPr>
          <w:rFonts w:ascii="Times New Roman" w:hAnsi="Times New Roman" w:cs="Times New Roman"/>
        </w:rPr>
        <w:t xml:space="preserve">  </w:t>
      </w:r>
    </w:p>
    <w:p w:rsidR="00920E66" w:rsidRPr="000A1E54" w:rsidRDefault="00920E66">
      <w:pPr>
        <w:suppressAutoHyphens/>
        <w:ind w:left="720" w:hanging="630"/>
        <w:rPr>
          <w:rFonts w:ascii="Times New Roman" w:hAnsi="Times New Roman" w:cs="Times New Roman"/>
          <w:b/>
          <w:bCs/>
        </w:rPr>
      </w:pPr>
      <w:r w:rsidRPr="0009536F">
        <w:rPr>
          <w:rFonts w:ascii="Times New Roman" w:hAnsi="Times New Roman" w:cs="Times New Roman"/>
          <w:b/>
        </w:rPr>
        <w:t>B</w:t>
      </w:r>
      <w:r w:rsidRPr="000A1E54">
        <w:rPr>
          <w:rFonts w:ascii="Times New Roman" w:hAnsi="Times New Roman" w:cs="Times New Roman"/>
        </w:rPr>
        <w:t xml:space="preserve">. </w:t>
      </w:r>
      <w:r w:rsidR="000A1E54">
        <w:rPr>
          <w:rFonts w:ascii="Times New Roman" w:hAnsi="Times New Roman" w:cs="Times New Roman"/>
        </w:rPr>
        <w:tab/>
      </w:r>
      <w:r w:rsidRPr="000A1E54">
        <w:rPr>
          <w:rFonts w:ascii="Times New Roman" w:hAnsi="Times New Roman" w:cs="Times New Roman"/>
          <w:b/>
          <w:bCs/>
        </w:rPr>
        <w:t>Collections of Information Employing Statistical Methods</w:t>
      </w:r>
    </w:p>
    <w:p w:rsidR="00920E66" w:rsidRPr="000A1E54" w:rsidRDefault="00920E66">
      <w:pPr>
        <w:pStyle w:val="EndnoteText"/>
        <w:suppressAutoHyphens/>
        <w:ind w:hanging="720"/>
        <w:rPr>
          <w:rFonts w:ascii="Times New Roman" w:hAnsi="Times New Roman" w:cs="Times New Roman"/>
        </w:rPr>
      </w:pPr>
    </w:p>
    <w:p w:rsidR="00920E66" w:rsidRPr="000A1E54" w:rsidRDefault="00920E66" w:rsidP="0099042E">
      <w:pPr>
        <w:suppressAutoHyphens/>
        <w:ind w:left="720"/>
        <w:rPr>
          <w:rFonts w:ascii="Times New Roman" w:hAnsi="Times New Roman" w:cs="Times New Roman"/>
        </w:rPr>
      </w:pPr>
      <w:r w:rsidRPr="000A1E54">
        <w:rPr>
          <w:rFonts w:ascii="Times New Roman" w:hAnsi="Times New Roman" w:cs="Times New Roman"/>
        </w:rPr>
        <w:t>S</w:t>
      </w:r>
      <w:r w:rsidR="0009536F">
        <w:rPr>
          <w:rFonts w:ascii="Times New Roman" w:hAnsi="Times New Roman" w:cs="Times New Roman"/>
        </w:rPr>
        <w:t xml:space="preserve">SA does not use statistical methods </w:t>
      </w:r>
      <w:r w:rsidRPr="000A1E54">
        <w:rPr>
          <w:rFonts w:ascii="Times New Roman" w:hAnsi="Times New Roman" w:cs="Times New Roman"/>
        </w:rPr>
        <w:t>for this information collection.</w:t>
      </w:r>
    </w:p>
    <w:sectPr w:rsidR="00920E66" w:rsidRPr="000A1E54" w:rsidSect="006A0A09">
      <w:headerReference w:type="even" r:id="rId8"/>
      <w:headerReference w:type="default" r:id="rId9"/>
      <w:footerReference w:type="even" r:id="rId10"/>
      <w:footerReference w:type="default" r:id="rId11"/>
      <w:endnotePr>
        <w:numFmt w:val="decimal"/>
      </w:endnotePr>
      <w:pgSz w:w="12240" w:h="15840"/>
      <w:pgMar w:top="1440" w:right="1440" w:bottom="1440" w:left="72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E4" w:rsidRDefault="00F357E4">
      <w:pPr>
        <w:spacing w:line="20" w:lineRule="exact"/>
      </w:pPr>
    </w:p>
  </w:endnote>
  <w:endnote w:type="continuationSeparator" w:id="0">
    <w:p w:rsidR="00F357E4" w:rsidRDefault="00F357E4">
      <w:r>
        <w:t xml:space="preserve"> </w:t>
      </w:r>
    </w:p>
  </w:endnote>
  <w:endnote w:type="continuationNotice" w:id="1">
    <w:p w:rsidR="00F357E4" w:rsidRDefault="00F357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91" w:rsidRDefault="00704253" w:rsidP="00CD49F8">
    <w:pPr>
      <w:pStyle w:val="Footer"/>
      <w:framePr w:wrap="around" w:vAnchor="text" w:hAnchor="margin" w:xAlign="center" w:y="1"/>
      <w:rPr>
        <w:rStyle w:val="PageNumber"/>
      </w:rPr>
    </w:pPr>
    <w:r>
      <w:rPr>
        <w:rStyle w:val="PageNumber"/>
      </w:rPr>
      <w:fldChar w:fldCharType="begin"/>
    </w:r>
    <w:r w:rsidR="00E22791">
      <w:rPr>
        <w:rStyle w:val="PageNumber"/>
      </w:rPr>
      <w:instrText xml:space="preserve">PAGE  </w:instrText>
    </w:r>
    <w:r>
      <w:rPr>
        <w:rStyle w:val="PageNumber"/>
      </w:rPr>
      <w:fldChar w:fldCharType="end"/>
    </w:r>
  </w:p>
  <w:p w:rsidR="00E22791" w:rsidRDefault="00E22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91" w:rsidRDefault="00704253" w:rsidP="00CD49F8">
    <w:pPr>
      <w:pStyle w:val="Footer"/>
      <w:framePr w:wrap="around" w:vAnchor="text" w:hAnchor="margin" w:xAlign="center" w:y="1"/>
      <w:rPr>
        <w:rStyle w:val="PageNumber"/>
      </w:rPr>
    </w:pPr>
    <w:r>
      <w:rPr>
        <w:rStyle w:val="PageNumber"/>
      </w:rPr>
      <w:fldChar w:fldCharType="begin"/>
    </w:r>
    <w:r w:rsidR="00E22791">
      <w:rPr>
        <w:rStyle w:val="PageNumber"/>
      </w:rPr>
      <w:instrText xml:space="preserve">PAGE  </w:instrText>
    </w:r>
    <w:r>
      <w:rPr>
        <w:rStyle w:val="PageNumber"/>
      </w:rPr>
      <w:fldChar w:fldCharType="separate"/>
    </w:r>
    <w:r w:rsidR="00A341C3">
      <w:rPr>
        <w:rStyle w:val="PageNumber"/>
        <w:noProof/>
      </w:rPr>
      <w:t>2</w:t>
    </w:r>
    <w:r>
      <w:rPr>
        <w:rStyle w:val="PageNumber"/>
      </w:rPr>
      <w:fldChar w:fldCharType="end"/>
    </w:r>
  </w:p>
  <w:p w:rsidR="00E22791" w:rsidRDefault="00E22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E4" w:rsidRDefault="00F357E4">
      <w:r>
        <w:separator/>
      </w:r>
    </w:p>
  </w:footnote>
  <w:footnote w:type="continuationSeparator" w:id="0">
    <w:p w:rsidR="00F357E4" w:rsidRDefault="00F35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91" w:rsidRDefault="00704253">
    <w:pPr>
      <w:pStyle w:val="Header"/>
      <w:framePr w:wrap="around" w:vAnchor="text" w:hAnchor="margin" w:xAlign="right" w:y="1"/>
      <w:rPr>
        <w:rStyle w:val="PageNumber"/>
      </w:rPr>
    </w:pPr>
    <w:r>
      <w:rPr>
        <w:rStyle w:val="PageNumber"/>
      </w:rPr>
      <w:fldChar w:fldCharType="begin"/>
    </w:r>
    <w:r w:rsidR="00E22791">
      <w:rPr>
        <w:rStyle w:val="PageNumber"/>
      </w:rPr>
      <w:instrText xml:space="preserve">PAGE  </w:instrText>
    </w:r>
    <w:r>
      <w:rPr>
        <w:rStyle w:val="PageNumber"/>
      </w:rPr>
      <w:fldChar w:fldCharType="end"/>
    </w:r>
  </w:p>
  <w:p w:rsidR="00E22791" w:rsidRDefault="00E227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91" w:rsidRDefault="00E2279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66C86"/>
    <w:multiLevelType w:val="hybridMultilevel"/>
    <w:tmpl w:val="595474D8"/>
    <w:lvl w:ilvl="0" w:tplc="F63AD0FE">
      <w:start w:val="1"/>
      <w:numFmt w:val="decimal"/>
      <w:lvlText w:val="%1."/>
      <w:lvlJc w:val="left"/>
      <w:pPr>
        <w:ind w:left="1440" w:hanging="855"/>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DA"/>
    <w:rsid w:val="00056EC9"/>
    <w:rsid w:val="00065405"/>
    <w:rsid w:val="00084E96"/>
    <w:rsid w:val="0009536F"/>
    <w:rsid w:val="000A1E54"/>
    <w:rsid w:val="000F22B0"/>
    <w:rsid w:val="000F3342"/>
    <w:rsid w:val="00107074"/>
    <w:rsid w:val="00112A37"/>
    <w:rsid w:val="00140310"/>
    <w:rsid w:val="00145A07"/>
    <w:rsid w:val="00151223"/>
    <w:rsid w:val="001A406B"/>
    <w:rsid w:val="001C0C6B"/>
    <w:rsid w:val="001C5862"/>
    <w:rsid w:val="001D3077"/>
    <w:rsid w:val="001E0AC6"/>
    <w:rsid w:val="00212774"/>
    <w:rsid w:val="00221B79"/>
    <w:rsid w:val="002461B4"/>
    <w:rsid w:val="002805AF"/>
    <w:rsid w:val="00284AE5"/>
    <w:rsid w:val="002875EB"/>
    <w:rsid w:val="00302D85"/>
    <w:rsid w:val="00347418"/>
    <w:rsid w:val="003600E7"/>
    <w:rsid w:val="00361C30"/>
    <w:rsid w:val="00391E7F"/>
    <w:rsid w:val="003B5B01"/>
    <w:rsid w:val="00400048"/>
    <w:rsid w:val="004113D7"/>
    <w:rsid w:val="00433723"/>
    <w:rsid w:val="004505F6"/>
    <w:rsid w:val="004562E1"/>
    <w:rsid w:val="00465894"/>
    <w:rsid w:val="004A2722"/>
    <w:rsid w:val="005042AE"/>
    <w:rsid w:val="00515F87"/>
    <w:rsid w:val="00560DDB"/>
    <w:rsid w:val="00576F19"/>
    <w:rsid w:val="00580814"/>
    <w:rsid w:val="005C3918"/>
    <w:rsid w:val="005F1E72"/>
    <w:rsid w:val="0061301B"/>
    <w:rsid w:val="0061386D"/>
    <w:rsid w:val="00642D7E"/>
    <w:rsid w:val="00643B0F"/>
    <w:rsid w:val="006834F6"/>
    <w:rsid w:val="006A0A09"/>
    <w:rsid w:val="006B2E8B"/>
    <w:rsid w:val="006C7428"/>
    <w:rsid w:val="006F0579"/>
    <w:rsid w:val="006F2301"/>
    <w:rsid w:val="00704253"/>
    <w:rsid w:val="007105A6"/>
    <w:rsid w:val="00736771"/>
    <w:rsid w:val="00753832"/>
    <w:rsid w:val="00754342"/>
    <w:rsid w:val="00773CCC"/>
    <w:rsid w:val="007B175B"/>
    <w:rsid w:val="007D04DD"/>
    <w:rsid w:val="007D0BF3"/>
    <w:rsid w:val="007E1615"/>
    <w:rsid w:val="007F6BD0"/>
    <w:rsid w:val="00812C25"/>
    <w:rsid w:val="008163FD"/>
    <w:rsid w:val="00821D90"/>
    <w:rsid w:val="0082776B"/>
    <w:rsid w:val="008472B4"/>
    <w:rsid w:val="00861DAE"/>
    <w:rsid w:val="00871854"/>
    <w:rsid w:val="00875810"/>
    <w:rsid w:val="0089687A"/>
    <w:rsid w:val="00897623"/>
    <w:rsid w:val="0089796A"/>
    <w:rsid w:val="008C5BDA"/>
    <w:rsid w:val="008F28DE"/>
    <w:rsid w:val="00906E5D"/>
    <w:rsid w:val="00920E66"/>
    <w:rsid w:val="00926583"/>
    <w:rsid w:val="00933501"/>
    <w:rsid w:val="00933834"/>
    <w:rsid w:val="00936F5D"/>
    <w:rsid w:val="009449D6"/>
    <w:rsid w:val="00970EE6"/>
    <w:rsid w:val="0099042E"/>
    <w:rsid w:val="0099349E"/>
    <w:rsid w:val="009B5275"/>
    <w:rsid w:val="009F00FE"/>
    <w:rsid w:val="00A12FD7"/>
    <w:rsid w:val="00A23C92"/>
    <w:rsid w:val="00A30338"/>
    <w:rsid w:val="00A341C3"/>
    <w:rsid w:val="00A36B8D"/>
    <w:rsid w:val="00A62575"/>
    <w:rsid w:val="00A6340D"/>
    <w:rsid w:val="00A76678"/>
    <w:rsid w:val="00A91F5D"/>
    <w:rsid w:val="00A92EA9"/>
    <w:rsid w:val="00AA74B4"/>
    <w:rsid w:val="00AD78EB"/>
    <w:rsid w:val="00B00DB9"/>
    <w:rsid w:val="00B101EB"/>
    <w:rsid w:val="00B1413B"/>
    <w:rsid w:val="00B24F87"/>
    <w:rsid w:val="00B9414D"/>
    <w:rsid w:val="00B969A5"/>
    <w:rsid w:val="00BB0BE1"/>
    <w:rsid w:val="00BB10A2"/>
    <w:rsid w:val="00BE18F8"/>
    <w:rsid w:val="00C0231C"/>
    <w:rsid w:val="00C0592E"/>
    <w:rsid w:val="00C41735"/>
    <w:rsid w:val="00C43510"/>
    <w:rsid w:val="00C45CFF"/>
    <w:rsid w:val="00C54EA0"/>
    <w:rsid w:val="00C71E00"/>
    <w:rsid w:val="00C85FB6"/>
    <w:rsid w:val="00CA46FB"/>
    <w:rsid w:val="00CD49F8"/>
    <w:rsid w:val="00CE1D32"/>
    <w:rsid w:val="00D36B74"/>
    <w:rsid w:val="00D36D7F"/>
    <w:rsid w:val="00D41897"/>
    <w:rsid w:val="00D57F49"/>
    <w:rsid w:val="00D95F9E"/>
    <w:rsid w:val="00DD6C19"/>
    <w:rsid w:val="00E104F1"/>
    <w:rsid w:val="00E22791"/>
    <w:rsid w:val="00E30CF8"/>
    <w:rsid w:val="00E4243E"/>
    <w:rsid w:val="00E57B51"/>
    <w:rsid w:val="00E95E6A"/>
    <w:rsid w:val="00EC4587"/>
    <w:rsid w:val="00EE207F"/>
    <w:rsid w:val="00EE5D96"/>
    <w:rsid w:val="00EF25D1"/>
    <w:rsid w:val="00EF4116"/>
    <w:rsid w:val="00EF4CA5"/>
    <w:rsid w:val="00F173AE"/>
    <w:rsid w:val="00F21608"/>
    <w:rsid w:val="00F3016E"/>
    <w:rsid w:val="00F32B33"/>
    <w:rsid w:val="00F33ABD"/>
    <w:rsid w:val="00F357E4"/>
    <w:rsid w:val="00F4270B"/>
    <w:rsid w:val="00F464B9"/>
    <w:rsid w:val="00F6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AE5"/>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84AE5"/>
  </w:style>
  <w:style w:type="character" w:styleId="EndnoteReference">
    <w:name w:val="endnote reference"/>
    <w:basedOn w:val="DefaultParagraphFont"/>
    <w:semiHidden/>
    <w:rsid w:val="00284AE5"/>
    <w:rPr>
      <w:vertAlign w:val="superscript"/>
    </w:rPr>
  </w:style>
  <w:style w:type="paragraph" w:styleId="FootnoteText">
    <w:name w:val="footnote text"/>
    <w:basedOn w:val="Normal"/>
    <w:semiHidden/>
    <w:rsid w:val="00284AE5"/>
  </w:style>
  <w:style w:type="character" w:styleId="FootnoteReference">
    <w:name w:val="footnote reference"/>
    <w:basedOn w:val="DefaultParagraphFont"/>
    <w:semiHidden/>
    <w:rsid w:val="00284AE5"/>
    <w:rPr>
      <w:vertAlign w:val="superscript"/>
    </w:rPr>
  </w:style>
  <w:style w:type="character" w:customStyle="1" w:styleId="Unnamed1">
    <w:name w:val="Unnamed 1"/>
    <w:basedOn w:val="DefaultParagraphFont"/>
    <w:rsid w:val="00284AE5"/>
    <w:rPr>
      <w:rFonts w:ascii="Courier New" w:hAnsi="Courier New"/>
      <w:noProof w:val="0"/>
      <w:sz w:val="24"/>
      <w:szCs w:val="24"/>
      <w:lang w:val="en-US"/>
    </w:rPr>
  </w:style>
  <w:style w:type="paragraph" w:styleId="TOC1">
    <w:name w:val="toc 1"/>
    <w:basedOn w:val="Normal"/>
    <w:next w:val="Normal"/>
    <w:semiHidden/>
    <w:rsid w:val="00284AE5"/>
    <w:pPr>
      <w:tabs>
        <w:tab w:val="right" w:leader="dot" w:pos="9360"/>
      </w:tabs>
      <w:suppressAutoHyphens/>
      <w:spacing w:before="480"/>
      <w:ind w:left="720" w:right="720" w:hanging="720"/>
    </w:pPr>
  </w:style>
  <w:style w:type="paragraph" w:styleId="TOC2">
    <w:name w:val="toc 2"/>
    <w:basedOn w:val="Normal"/>
    <w:next w:val="Normal"/>
    <w:semiHidden/>
    <w:rsid w:val="00284AE5"/>
    <w:pPr>
      <w:tabs>
        <w:tab w:val="right" w:leader="dot" w:pos="9360"/>
      </w:tabs>
      <w:suppressAutoHyphens/>
      <w:ind w:left="1440" w:right="720" w:hanging="720"/>
    </w:pPr>
  </w:style>
  <w:style w:type="paragraph" w:styleId="TOC3">
    <w:name w:val="toc 3"/>
    <w:basedOn w:val="Normal"/>
    <w:next w:val="Normal"/>
    <w:semiHidden/>
    <w:rsid w:val="00284AE5"/>
    <w:pPr>
      <w:tabs>
        <w:tab w:val="right" w:leader="dot" w:pos="9360"/>
      </w:tabs>
      <w:suppressAutoHyphens/>
      <w:ind w:left="2160" w:right="720" w:hanging="720"/>
    </w:pPr>
  </w:style>
  <w:style w:type="paragraph" w:styleId="TOC4">
    <w:name w:val="toc 4"/>
    <w:basedOn w:val="Normal"/>
    <w:next w:val="Normal"/>
    <w:semiHidden/>
    <w:rsid w:val="00284AE5"/>
    <w:pPr>
      <w:tabs>
        <w:tab w:val="right" w:leader="dot" w:pos="9360"/>
      </w:tabs>
      <w:suppressAutoHyphens/>
      <w:ind w:left="2880" w:right="720" w:hanging="720"/>
    </w:pPr>
  </w:style>
  <w:style w:type="paragraph" w:styleId="TOC5">
    <w:name w:val="toc 5"/>
    <w:basedOn w:val="Normal"/>
    <w:next w:val="Normal"/>
    <w:semiHidden/>
    <w:rsid w:val="00284AE5"/>
    <w:pPr>
      <w:tabs>
        <w:tab w:val="right" w:leader="dot" w:pos="9360"/>
      </w:tabs>
      <w:suppressAutoHyphens/>
      <w:ind w:left="3600" w:right="720" w:hanging="720"/>
    </w:pPr>
  </w:style>
  <w:style w:type="paragraph" w:styleId="TOC6">
    <w:name w:val="toc 6"/>
    <w:basedOn w:val="Normal"/>
    <w:next w:val="Normal"/>
    <w:semiHidden/>
    <w:rsid w:val="00284AE5"/>
    <w:pPr>
      <w:tabs>
        <w:tab w:val="right" w:pos="9360"/>
      </w:tabs>
      <w:suppressAutoHyphens/>
      <w:ind w:left="720" w:hanging="720"/>
    </w:pPr>
  </w:style>
  <w:style w:type="paragraph" w:styleId="TOC7">
    <w:name w:val="toc 7"/>
    <w:basedOn w:val="Normal"/>
    <w:next w:val="Normal"/>
    <w:semiHidden/>
    <w:rsid w:val="00284AE5"/>
    <w:pPr>
      <w:suppressAutoHyphens/>
      <w:ind w:left="720" w:hanging="720"/>
    </w:pPr>
  </w:style>
  <w:style w:type="paragraph" w:styleId="TOC8">
    <w:name w:val="toc 8"/>
    <w:basedOn w:val="Normal"/>
    <w:next w:val="Normal"/>
    <w:semiHidden/>
    <w:rsid w:val="00284AE5"/>
    <w:pPr>
      <w:tabs>
        <w:tab w:val="right" w:pos="9360"/>
      </w:tabs>
      <w:suppressAutoHyphens/>
      <w:ind w:left="720" w:hanging="720"/>
    </w:pPr>
  </w:style>
  <w:style w:type="paragraph" w:styleId="TOC9">
    <w:name w:val="toc 9"/>
    <w:basedOn w:val="Normal"/>
    <w:next w:val="Normal"/>
    <w:semiHidden/>
    <w:rsid w:val="00284AE5"/>
    <w:pPr>
      <w:tabs>
        <w:tab w:val="right" w:leader="dot" w:pos="9360"/>
      </w:tabs>
      <w:suppressAutoHyphens/>
      <w:ind w:left="720" w:hanging="720"/>
    </w:pPr>
  </w:style>
  <w:style w:type="paragraph" w:styleId="Index1">
    <w:name w:val="index 1"/>
    <w:basedOn w:val="Normal"/>
    <w:next w:val="Normal"/>
    <w:semiHidden/>
    <w:rsid w:val="00284AE5"/>
    <w:pPr>
      <w:tabs>
        <w:tab w:val="right" w:leader="dot" w:pos="9360"/>
      </w:tabs>
      <w:suppressAutoHyphens/>
      <w:ind w:left="1440" w:right="720" w:hanging="1440"/>
    </w:pPr>
  </w:style>
  <w:style w:type="paragraph" w:styleId="Index2">
    <w:name w:val="index 2"/>
    <w:basedOn w:val="Normal"/>
    <w:next w:val="Normal"/>
    <w:semiHidden/>
    <w:rsid w:val="00284AE5"/>
    <w:pPr>
      <w:tabs>
        <w:tab w:val="right" w:leader="dot" w:pos="9360"/>
      </w:tabs>
      <w:suppressAutoHyphens/>
      <w:ind w:left="1440" w:right="720" w:hanging="720"/>
    </w:pPr>
  </w:style>
  <w:style w:type="paragraph" w:styleId="TOAHeading">
    <w:name w:val="toa heading"/>
    <w:basedOn w:val="Normal"/>
    <w:next w:val="Normal"/>
    <w:semiHidden/>
    <w:rsid w:val="00284AE5"/>
    <w:pPr>
      <w:tabs>
        <w:tab w:val="right" w:pos="9360"/>
      </w:tabs>
      <w:suppressAutoHyphens/>
    </w:pPr>
  </w:style>
  <w:style w:type="paragraph" w:styleId="Caption">
    <w:name w:val="caption"/>
    <w:basedOn w:val="Normal"/>
    <w:next w:val="Normal"/>
    <w:qFormat/>
    <w:rsid w:val="00284AE5"/>
  </w:style>
  <w:style w:type="character" w:customStyle="1" w:styleId="EquationCaption">
    <w:name w:val="_Equation Caption"/>
    <w:rsid w:val="00284AE5"/>
  </w:style>
  <w:style w:type="paragraph" w:styleId="Header">
    <w:name w:val="header"/>
    <w:basedOn w:val="Normal"/>
    <w:rsid w:val="00284AE5"/>
    <w:pPr>
      <w:tabs>
        <w:tab w:val="center" w:pos="4320"/>
        <w:tab w:val="right" w:pos="8640"/>
      </w:tabs>
    </w:pPr>
  </w:style>
  <w:style w:type="character" w:styleId="PageNumber">
    <w:name w:val="page number"/>
    <w:basedOn w:val="DefaultParagraphFont"/>
    <w:rsid w:val="00284AE5"/>
  </w:style>
  <w:style w:type="paragraph" w:styleId="BodyTextIndent2">
    <w:name w:val="Body Text Indent 2"/>
    <w:basedOn w:val="Normal"/>
    <w:rsid w:val="00284AE5"/>
    <w:pPr>
      <w:widowControl/>
      <w:ind w:left="1440" w:hanging="720"/>
    </w:pPr>
  </w:style>
  <w:style w:type="paragraph" w:styleId="PlainText">
    <w:name w:val="Plain Text"/>
    <w:basedOn w:val="Normal"/>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link w:val="BodyTextIndent3Char"/>
    <w:rsid w:val="00347418"/>
    <w:pPr>
      <w:spacing w:after="120"/>
      <w:ind w:left="360"/>
    </w:pPr>
    <w:rPr>
      <w:sz w:val="16"/>
      <w:szCs w:val="16"/>
    </w:rPr>
  </w:style>
  <w:style w:type="paragraph" w:styleId="BodyText2">
    <w:name w:val="Body Text 2"/>
    <w:basedOn w:val="Normal"/>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rsid w:val="00970EE6"/>
    <w:rPr>
      <w:rFonts w:ascii="Courier New" w:hAnsi="Courier New" w:cs="Courier New"/>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AE5"/>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84AE5"/>
  </w:style>
  <w:style w:type="character" w:styleId="EndnoteReference">
    <w:name w:val="endnote reference"/>
    <w:basedOn w:val="DefaultParagraphFont"/>
    <w:semiHidden/>
    <w:rsid w:val="00284AE5"/>
    <w:rPr>
      <w:vertAlign w:val="superscript"/>
    </w:rPr>
  </w:style>
  <w:style w:type="paragraph" w:styleId="FootnoteText">
    <w:name w:val="footnote text"/>
    <w:basedOn w:val="Normal"/>
    <w:semiHidden/>
    <w:rsid w:val="00284AE5"/>
  </w:style>
  <w:style w:type="character" w:styleId="FootnoteReference">
    <w:name w:val="footnote reference"/>
    <w:basedOn w:val="DefaultParagraphFont"/>
    <w:semiHidden/>
    <w:rsid w:val="00284AE5"/>
    <w:rPr>
      <w:vertAlign w:val="superscript"/>
    </w:rPr>
  </w:style>
  <w:style w:type="character" w:customStyle="1" w:styleId="Unnamed1">
    <w:name w:val="Unnamed 1"/>
    <w:basedOn w:val="DefaultParagraphFont"/>
    <w:rsid w:val="00284AE5"/>
    <w:rPr>
      <w:rFonts w:ascii="Courier New" w:hAnsi="Courier New"/>
      <w:noProof w:val="0"/>
      <w:sz w:val="24"/>
      <w:szCs w:val="24"/>
      <w:lang w:val="en-US"/>
    </w:rPr>
  </w:style>
  <w:style w:type="paragraph" w:styleId="TOC1">
    <w:name w:val="toc 1"/>
    <w:basedOn w:val="Normal"/>
    <w:next w:val="Normal"/>
    <w:semiHidden/>
    <w:rsid w:val="00284AE5"/>
    <w:pPr>
      <w:tabs>
        <w:tab w:val="right" w:leader="dot" w:pos="9360"/>
      </w:tabs>
      <w:suppressAutoHyphens/>
      <w:spacing w:before="480"/>
      <w:ind w:left="720" w:right="720" w:hanging="720"/>
    </w:pPr>
  </w:style>
  <w:style w:type="paragraph" w:styleId="TOC2">
    <w:name w:val="toc 2"/>
    <w:basedOn w:val="Normal"/>
    <w:next w:val="Normal"/>
    <w:semiHidden/>
    <w:rsid w:val="00284AE5"/>
    <w:pPr>
      <w:tabs>
        <w:tab w:val="right" w:leader="dot" w:pos="9360"/>
      </w:tabs>
      <w:suppressAutoHyphens/>
      <w:ind w:left="1440" w:right="720" w:hanging="720"/>
    </w:pPr>
  </w:style>
  <w:style w:type="paragraph" w:styleId="TOC3">
    <w:name w:val="toc 3"/>
    <w:basedOn w:val="Normal"/>
    <w:next w:val="Normal"/>
    <w:semiHidden/>
    <w:rsid w:val="00284AE5"/>
    <w:pPr>
      <w:tabs>
        <w:tab w:val="right" w:leader="dot" w:pos="9360"/>
      </w:tabs>
      <w:suppressAutoHyphens/>
      <w:ind w:left="2160" w:right="720" w:hanging="720"/>
    </w:pPr>
  </w:style>
  <w:style w:type="paragraph" w:styleId="TOC4">
    <w:name w:val="toc 4"/>
    <w:basedOn w:val="Normal"/>
    <w:next w:val="Normal"/>
    <w:semiHidden/>
    <w:rsid w:val="00284AE5"/>
    <w:pPr>
      <w:tabs>
        <w:tab w:val="right" w:leader="dot" w:pos="9360"/>
      </w:tabs>
      <w:suppressAutoHyphens/>
      <w:ind w:left="2880" w:right="720" w:hanging="720"/>
    </w:pPr>
  </w:style>
  <w:style w:type="paragraph" w:styleId="TOC5">
    <w:name w:val="toc 5"/>
    <w:basedOn w:val="Normal"/>
    <w:next w:val="Normal"/>
    <w:semiHidden/>
    <w:rsid w:val="00284AE5"/>
    <w:pPr>
      <w:tabs>
        <w:tab w:val="right" w:leader="dot" w:pos="9360"/>
      </w:tabs>
      <w:suppressAutoHyphens/>
      <w:ind w:left="3600" w:right="720" w:hanging="720"/>
    </w:pPr>
  </w:style>
  <w:style w:type="paragraph" w:styleId="TOC6">
    <w:name w:val="toc 6"/>
    <w:basedOn w:val="Normal"/>
    <w:next w:val="Normal"/>
    <w:semiHidden/>
    <w:rsid w:val="00284AE5"/>
    <w:pPr>
      <w:tabs>
        <w:tab w:val="right" w:pos="9360"/>
      </w:tabs>
      <w:suppressAutoHyphens/>
      <w:ind w:left="720" w:hanging="720"/>
    </w:pPr>
  </w:style>
  <w:style w:type="paragraph" w:styleId="TOC7">
    <w:name w:val="toc 7"/>
    <w:basedOn w:val="Normal"/>
    <w:next w:val="Normal"/>
    <w:semiHidden/>
    <w:rsid w:val="00284AE5"/>
    <w:pPr>
      <w:suppressAutoHyphens/>
      <w:ind w:left="720" w:hanging="720"/>
    </w:pPr>
  </w:style>
  <w:style w:type="paragraph" w:styleId="TOC8">
    <w:name w:val="toc 8"/>
    <w:basedOn w:val="Normal"/>
    <w:next w:val="Normal"/>
    <w:semiHidden/>
    <w:rsid w:val="00284AE5"/>
    <w:pPr>
      <w:tabs>
        <w:tab w:val="right" w:pos="9360"/>
      </w:tabs>
      <w:suppressAutoHyphens/>
      <w:ind w:left="720" w:hanging="720"/>
    </w:pPr>
  </w:style>
  <w:style w:type="paragraph" w:styleId="TOC9">
    <w:name w:val="toc 9"/>
    <w:basedOn w:val="Normal"/>
    <w:next w:val="Normal"/>
    <w:semiHidden/>
    <w:rsid w:val="00284AE5"/>
    <w:pPr>
      <w:tabs>
        <w:tab w:val="right" w:leader="dot" w:pos="9360"/>
      </w:tabs>
      <w:suppressAutoHyphens/>
      <w:ind w:left="720" w:hanging="720"/>
    </w:pPr>
  </w:style>
  <w:style w:type="paragraph" w:styleId="Index1">
    <w:name w:val="index 1"/>
    <w:basedOn w:val="Normal"/>
    <w:next w:val="Normal"/>
    <w:semiHidden/>
    <w:rsid w:val="00284AE5"/>
    <w:pPr>
      <w:tabs>
        <w:tab w:val="right" w:leader="dot" w:pos="9360"/>
      </w:tabs>
      <w:suppressAutoHyphens/>
      <w:ind w:left="1440" w:right="720" w:hanging="1440"/>
    </w:pPr>
  </w:style>
  <w:style w:type="paragraph" w:styleId="Index2">
    <w:name w:val="index 2"/>
    <w:basedOn w:val="Normal"/>
    <w:next w:val="Normal"/>
    <w:semiHidden/>
    <w:rsid w:val="00284AE5"/>
    <w:pPr>
      <w:tabs>
        <w:tab w:val="right" w:leader="dot" w:pos="9360"/>
      </w:tabs>
      <w:suppressAutoHyphens/>
      <w:ind w:left="1440" w:right="720" w:hanging="720"/>
    </w:pPr>
  </w:style>
  <w:style w:type="paragraph" w:styleId="TOAHeading">
    <w:name w:val="toa heading"/>
    <w:basedOn w:val="Normal"/>
    <w:next w:val="Normal"/>
    <w:semiHidden/>
    <w:rsid w:val="00284AE5"/>
    <w:pPr>
      <w:tabs>
        <w:tab w:val="right" w:pos="9360"/>
      </w:tabs>
      <w:suppressAutoHyphens/>
    </w:pPr>
  </w:style>
  <w:style w:type="paragraph" w:styleId="Caption">
    <w:name w:val="caption"/>
    <w:basedOn w:val="Normal"/>
    <w:next w:val="Normal"/>
    <w:qFormat/>
    <w:rsid w:val="00284AE5"/>
  </w:style>
  <w:style w:type="character" w:customStyle="1" w:styleId="EquationCaption">
    <w:name w:val="_Equation Caption"/>
    <w:rsid w:val="00284AE5"/>
  </w:style>
  <w:style w:type="paragraph" w:styleId="Header">
    <w:name w:val="header"/>
    <w:basedOn w:val="Normal"/>
    <w:rsid w:val="00284AE5"/>
    <w:pPr>
      <w:tabs>
        <w:tab w:val="center" w:pos="4320"/>
        <w:tab w:val="right" w:pos="8640"/>
      </w:tabs>
    </w:pPr>
  </w:style>
  <w:style w:type="character" w:styleId="PageNumber">
    <w:name w:val="page number"/>
    <w:basedOn w:val="DefaultParagraphFont"/>
    <w:rsid w:val="00284AE5"/>
  </w:style>
  <w:style w:type="paragraph" w:styleId="BodyTextIndent2">
    <w:name w:val="Body Text Indent 2"/>
    <w:basedOn w:val="Normal"/>
    <w:rsid w:val="00284AE5"/>
    <w:pPr>
      <w:widowControl/>
      <w:ind w:left="1440" w:hanging="720"/>
    </w:pPr>
  </w:style>
  <w:style w:type="paragraph" w:styleId="PlainText">
    <w:name w:val="Plain Text"/>
    <w:basedOn w:val="Normal"/>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link w:val="BodyTextIndent3Char"/>
    <w:rsid w:val="00347418"/>
    <w:pPr>
      <w:spacing w:after="120"/>
      <w:ind w:left="360"/>
    </w:pPr>
    <w:rPr>
      <w:sz w:val="16"/>
      <w:szCs w:val="16"/>
    </w:rPr>
  </w:style>
  <w:style w:type="paragraph" w:styleId="BodyText2">
    <w:name w:val="Body Text 2"/>
    <w:basedOn w:val="Normal"/>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rsid w:val="00970EE6"/>
    <w:rPr>
      <w:rFonts w:ascii="Courier New" w:hAnsi="Courier New" w:cs="Courier New"/>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HA-504</vt:lpstr>
    </vt:vector>
  </TitlesOfParts>
  <Manager>Office of Disability Adjudication and Review</Manager>
  <Company>Social Security Administration</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HA-504</dc:title>
  <dc:subject>OMB Reports Clearance Package Documents</dc:subject>
  <dc:creator>Office of the Chief Administrative Law Judge</dc:creator>
  <cp:lastModifiedBy>889123</cp:lastModifiedBy>
  <cp:revision>2</cp:revision>
  <cp:lastPrinted>2010-08-31T13:55:00Z</cp:lastPrinted>
  <dcterms:created xsi:type="dcterms:W3CDTF">2013-05-21T11:26:00Z</dcterms:created>
  <dcterms:modified xsi:type="dcterms:W3CDTF">2013-05-21T11:26:00Z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