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6" w:rsidRPr="00C90C4E" w:rsidRDefault="009000A5" w:rsidP="00036ECE">
      <w:pPr>
        <w:pStyle w:val="Heading1"/>
        <w:numPr>
          <w:ilvl w:val="0"/>
          <w:numId w:val="0"/>
        </w:numPr>
      </w:pPr>
      <w:bookmarkStart w:id="0" w:name="_Toc323908727"/>
      <w:bookmarkStart w:id="1" w:name="_GoBack"/>
      <w:bookmarkEnd w:id="1"/>
      <w:r w:rsidRPr="00C90C4E">
        <w:t xml:space="preserve">Attachment A: </w:t>
      </w:r>
      <w:r w:rsidR="00036ECE" w:rsidRPr="00C90C4E">
        <w:t>Reference</w:t>
      </w:r>
      <w:r w:rsidR="009F1F1A" w:rsidRPr="00C90C4E">
        <w:t>s</w:t>
      </w:r>
      <w:bookmarkEnd w:id="0"/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>Baumgartner, Robert M. and Pamela R. Rathbun. (1996). prepaid monetary incentives and mail survey response rates. Proceedings of the Government Statistics Section of the American Statistical Association.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Beebe, T.J., M.E. Davern, D.D. McAlpine, K.T. Call, and T.H. Rockwood. (2005). increasing response rates in a survey of Medicaid enrollees: The effect of a prepaid monetary incentive and mixed-modes (mail and telephone). </w:t>
      </w:r>
      <w:r w:rsidRPr="00C90C4E">
        <w:rPr>
          <w:rFonts w:eastAsia="Calibri"/>
          <w:i/>
          <w:szCs w:val="22"/>
        </w:rPr>
        <w:t>Medical Care</w:t>
      </w:r>
      <w:r w:rsidRPr="00C90C4E">
        <w:rPr>
          <w:rFonts w:eastAsia="Calibri"/>
          <w:szCs w:val="22"/>
        </w:rPr>
        <w:t xml:space="preserve"> 43(4):411-414.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Berry, Sandra H. and David E. Kanouse. (1987). Physician response to a mailed survey: an experiment in timing of payment.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51(1):102-14.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Bloom, Howard S.  (1984). Accounting for no-shows in experimental evaluation designs.  </w:t>
      </w:r>
      <w:r w:rsidRPr="00C90C4E">
        <w:rPr>
          <w:i/>
          <w:szCs w:val="22"/>
        </w:rPr>
        <w:t>Evaluation Review</w:t>
      </w:r>
      <w:r w:rsidRPr="00C90C4E">
        <w:rPr>
          <w:szCs w:val="22"/>
        </w:rPr>
        <w:t xml:space="preserve">, 8(2), 225-246. 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Bloom, Howard S., Carolyn J. Hill &amp; James A. Riccio.  (2003). Linking program implementation and effectiveness: lessons from o pooled sample of welfare-to-work experiments.  </w:t>
      </w:r>
      <w:r w:rsidRPr="00C90C4E">
        <w:rPr>
          <w:i/>
          <w:szCs w:val="22"/>
        </w:rPr>
        <w:t>Journal of Policy Analysis and Management</w:t>
      </w:r>
      <w:r w:rsidRPr="00C90C4E">
        <w:rPr>
          <w:szCs w:val="22"/>
        </w:rPr>
        <w:t>, 22(4), 551-575. DOI: 10.t0O2/pam.tO154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  <w:u w:val="single"/>
        </w:rPr>
      </w:pPr>
      <w:r w:rsidRPr="00C90C4E">
        <w:rPr>
          <w:rFonts w:eastAsia="Calibri"/>
          <w:szCs w:val="22"/>
        </w:rPr>
        <w:t xml:space="preserve">Brambilla, D.J. and S.M. McKinlay. (1987). A comparison of responses to mailed questionnaires and telephone interviews in a mixed-mode health survey. </w:t>
      </w:r>
      <w:r w:rsidRPr="00C90C4E">
        <w:rPr>
          <w:rFonts w:eastAsia="Calibri"/>
          <w:i/>
          <w:szCs w:val="22"/>
        </w:rPr>
        <w:t>American Journal of Epidemiology</w:t>
      </w:r>
      <w:r w:rsidRPr="00C90C4E">
        <w:rPr>
          <w:rFonts w:eastAsia="Calibri"/>
          <w:szCs w:val="22"/>
        </w:rPr>
        <w:t xml:space="preserve"> 126(5):962-971.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Brooks-Gunn, J. and Duncan, G. (1997). The effects of poverty. </w:t>
      </w:r>
      <w:r w:rsidRPr="00C90C4E">
        <w:rPr>
          <w:i/>
          <w:szCs w:val="22"/>
        </w:rPr>
        <w:t>Future of Children, 7</w:t>
      </w:r>
      <w:r w:rsidRPr="00C90C4E">
        <w:rPr>
          <w:szCs w:val="22"/>
        </w:rPr>
        <w:t xml:space="preserve"> (2), 55-71.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Buchanan, C. M. (2006). The impact of race and socioeconomic status on post-secondary achievement. </w:t>
      </w:r>
      <w:r w:rsidRPr="00C90C4E">
        <w:rPr>
          <w:i/>
          <w:iCs/>
          <w:szCs w:val="22"/>
        </w:rPr>
        <w:t>International Journal of Learning</w:t>
      </w:r>
      <w:r w:rsidRPr="00C90C4E">
        <w:rPr>
          <w:szCs w:val="22"/>
        </w:rPr>
        <w:t>, 13(4): 69-81.</w:t>
      </w:r>
    </w:p>
    <w:p w:rsidR="0094150C" w:rsidRPr="00C90C4E" w:rsidRDefault="0094150C" w:rsidP="00244E9C">
      <w:pPr>
        <w:pStyle w:val="BodyText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>Bureau of Labor Statistics. (2005). National Compensation Survey: Average hourly wage of college teachers, social scientists, legislators, and public administration officials.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>Choitz, V., Soares, L., &amp; Pleasants, R. (2010). A new national approach to career navigation for working learners. Washington, DC: Center for American Progress.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Church, Allan H. (1993). The effect of incentives on mail survey response rates: A meta-analysis.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57(1):62-79.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>Conley, D. (2007). Toward a more comprehensive conception of college readiness. Eugene, OR: Educational Policy Improvement Center.</w:t>
      </w:r>
    </w:p>
    <w:p w:rsidR="0094150C" w:rsidRPr="00C90C4E" w:rsidRDefault="0094150C" w:rsidP="00244E9C">
      <w:pPr>
        <w:autoSpaceDE w:val="0"/>
        <w:autoSpaceDN w:val="0"/>
        <w:adjustRightInd w:val="0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Cooper, M. (2010, October). </w:t>
      </w:r>
      <w:r w:rsidRPr="00C90C4E">
        <w:rPr>
          <w:iCs/>
          <w:szCs w:val="22"/>
        </w:rPr>
        <w:t>Student support services at community colleges: A strategy for increasing student persistence and attainment</w:t>
      </w:r>
      <w:r w:rsidRPr="00C90C4E">
        <w:rPr>
          <w:szCs w:val="22"/>
        </w:rPr>
        <w:t xml:space="preserve">. Paper presented at the White House Summit on Community Colleges, Washington, D.C. 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De Leeuw, Edith, Mario Callegaro, Joop Hox, Elly Korendijk, and Gerty Lensvelt-Mulders. (2007). The influence of advance letters on response in telephone surveys: A meta-analysis.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71(3):413-443.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lastRenderedPageBreak/>
        <w:t>Dillman, Don A. (1996). Token financial incentives and the reduction of non response error in mail surveys. Proceedings of the Government Statistics Section of the American Statistical Association.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Dillman, Don A., Glenn Phelps, Robert Tortora, Karen Swift, Julie Kohrell, Jodi Berck, and Benjamin L. Messer. (2009). Response rate and measurement differences in mixed-mode surveys using mail, telephone, interactive voice response (IVR), and the Internet. </w:t>
      </w:r>
      <w:r w:rsidRPr="00C90C4E">
        <w:rPr>
          <w:rFonts w:eastAsia="Calibri"/>
          <w:i/>
          <w:szCs w:val="22"/>
        </w:rPr>
        <w:t>Social Science Research</w:t>
      </w:r>
      <w:r w:rsidRPr="00C90C4E">
        <w:rPr>
          <w:rFonts w:eastAsia="Calibri"/>
          <w:szCs w:val="22"/>
        </w:rPr>
        <w:t xml:space="preserve"> 38(1):1-18.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Duncan, G., Brooks -Gunn, J., &amp; Klebanov, E. (1994). Economic deprivation and early childhood development.  </w:t>
      </w:r>
      <w:r w:rsidRPr="00C90C4E">
        <w:rPr>
          <w:i/>
          <w:szCs w:val="22"/>
        </w:rPr>
        <w:t>Child Development, 65</w:t>
      </w:r>
      <w:r w:rsidRPr="00C90C4E">
        <w:rPr>
          <w:szCs w:val="22"/>
        </w:rPr>
        <w:t>, 296-318.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Edin, K. and Lein, L. (1997). </w:t>
      </w:r>
      <w:r w:rsidRPr="00C90C4E">
        <w:rPr>
          <w:i/>
          <w:szCs w:val="22"/>
        </w:rPr>
        <w:t>Making ends meet: How single mothers survive welfare and low-wage work.</w:t>
      </w:r>
      <w:r w:rsidRPr="00C90C4E">
        <w:rPr>
          <w:szCs w:val="22"/>
        </w:rPr>
        <w:t xml:space="preserve">  New York: Russell Sage Foundation.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Edwards, Phil, Ian Roberts, Mike Clarke, Carolyn DiGuiseppi, Sarah Pratap, Reinhard Wentz, and Irene Kwan. (2002). Increasing response rates to postal questionnaires: systematic review. </w:t>
      </w:r>
      <w:r w:rsidRPr="00C90C4E">
        <w:rPr>
          <w:rFonts w:eastAsia="Calibri"/>
          <w:i/>
          <w:szCs w:val="22"/>
        </w:rPr>
        <w:t>British Medical Journal</w:t>
      </w:r>
      <w:r w:rsidRPr="00C90C4E">
        <w:rPr>
          <w:rFonts w:eastAsia="Calibri"/>
          <w:szCs w:val="22"/>
        </w:rPr>
        <w:t xml:space="preserve"> 324(7347):1183-85.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Edwards, Phil, Rachel Cooper, Ian Roberts, and Chris Frost. (2005). Meta-analysis of randomised trials of monetary incentives and response to mailed questionnaires. </w:t>
      </w:r>
      <w:r w:rsidRPr="00C90C4E">
        <w:rPr>
          <w:rFonts w:eastAsia="Calibri"/>
          <w:i/>
          <w:szCs w:val="22"/>
        </w:rPr>
        <w:t>Journal of Epidemiology and Community Health</w:t>
      </w:r>
      <w:r w:rsidRPr="00C90C4E">
        <w:rPr>
          <w:rFonts w:eastAsia="Calibri"/>
          <w:szCs w:val="22"/>
        </w:rPr>
        <w:t xml:space="preserve"> 59(11):987-99.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Federal Interagency Forum on Child and Family Statistics (2011). America’s children: key indicators of well-being. Washington, DC: U.S. Government Printing Office. Retrieved April 12, 2012 </w:t>
      </w:r>
      <w:hyperlink r:id="rId9" w:history="1">
        <w:r w:rsidRPr="00C90C4E">
          <w:rPr>
            <w:rStyle w:val="Hyperlink"/>
            <w:szCs w:val="22"/>
          </w:rPr>
          <w:t>http://www.childstats.gov/pdf/ac2011/ac_11.pdf</w:t>
        </w:r>
      </w:hyperlink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 xml:space="preserve">Fein, D., &amp; Beecroft, E. (2006). </w:t>
      </w:r>
      <w:r w:rsidRPr="00C90C4E">
        <w:rPr>
          <w:i/>
          <w:sz w:val="22"/>
          <w:szCs w:val="22"/>
        </w:rPr>
        <w:t>College as a job advancement strategy: Final report on the New Visions Self-Sufficiency and Lifelong Learning Project.</w:t>
      </w:r>
      <w:r w:rsidRPr="00C90C4E">
        <w:rPr>
          <w:sz w:val="22"/>
          <w:szCs w:val="22"/>
        </w:rPr>
        <w:t xml:space="preserve"> Bethesda, MD: Abt Associates Inc.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Fowler, F.J., Jr., P.M. Gallagher, V.L. Stringfellow, A.M. Zalavsky, J.W. Thompson, and P.D. Cleary. (2002). Using telephone interviews to reduce nonresponse bias to mail surveys of health plan members. </w:t>
      </w:r>
      <w:r w:rsidRPr="00C90C4E">
        <w:rPr>
          <w:rFonts w:eastAsia="Calibri"/>
          <w:i/>
          <w:szCs w:val="22"/>
        </w:rPr>
        <w:t>Medical Care</w:t>
      </w:r>
      <w:r w:rsidRPr="00C90C4E">
        <w:rPr>
          <w:rFonts w:eastAsia="Calibri"/>
          <w:szCs w:val="22"/>
        </w:rPr>
        <w:t xml:space="preserve"> 40(3):190-200.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rFonts w:cstheme="minorHAnsi"/>
          <w:szCs w:val="22"/>
        </w:rPr>
        <w:t>Gennetian, L., Duncan, G., Knox, V., Vargas, W., Clark-Kauffman, E., &amp; London, A. (2002).</w:t>
      </w:r>
      <w:r w:rsidRPr="00C90C4E">
        <w:rPr>
          <w:szCs w:val="22"/>
        </w:rPr>
        <w:t xml:space="preserve"> </w:t>
      </w:r>
      <w:r w:rsidRPr="00C90C4E">
        <w:rPr>
          <w:rFonts w:cstheme="minorHAnsi"/>
          <w:i/>
          <w:szCs w:val="22"/>
        </w:rPr>
        <w:t xml:space="preserve">How welfare and work policies for parents affect adolescents: A synthesis of research. </w:t>
      </w:r>
      <w:r w:rsidRPr="00C90C4E">
        <w:rPr>
          <w:rFonts w:cstheme="minorHAnsi"/>
          <w:szCs w:val="22"/>
        </w:rPr>
        <w:t>New York, NY: MDRC.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rFonts w:cstheme="minorHAnsi"/>
          <w:szCs w:val="22"/>
        </w:rPr>
        <w:t xml:space="preserve">Gibson, C. M. (2003). Privileging the participant: The importance of sub-group analysis in social welfare evaluations. </w:t>
      </w:r>
      <w:r w:rsidRPr="00C90C4E">
        <w:rPr>
          <w:rFonts w:cstheme="minorHAnsi"/>
          <w:i/>
          <w:szCs w:val="22"/>
        </w:rPr>
        <w:t>American Journal of Evaluation</w:t>
      </w:r>
      <w:r w:rsidRPr="00C90C4E">
        <w:rPr>
          <w:rFonts w:cstheme="minorHAnsi"/>
          <w:szCs w:val="22"/>
        </w:rPr>
        <w:t xml:space="preserve"> 24 (4): 443-69.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Goldstein, Kenneth M. and M. Kent Jennings. (2002). the effect of advance letters on cooperation in a list sample telephone survey.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66(4):608-617.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szCs w:val="22"/>
          <w:lang w:val="sv-SE"/>
        </w:rPr>
        <w:t xml:space="preserve">Hamilton, G., Brock, T., Farrell, M., Friedlander, D., &amp; Harknett, K. (1997). </w:t>
      </w:r>
      <w:r w:rsidRPr="00C90C4E">
        <w:rPr>
          <w:i/>
          <w:szCs w:val="22"/>
        </w:rPr>
        <w:t xml:space="preserve">Evaluating two welfare-to-work program approaches: Two-year findings on the labor force attachment and human capital development programs in three sites. </w:t>
      </w:r>
      <w:r w:rsidRPr="00C90C4E">
        <w:rPr>
          <w:szCs w:val="22"/>
        </w:rPr>
        <w:t>New York, NY: MDRC.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lastRenderedPageBreak/>
        <w:t xml:space="preserve">Hembroff, Larry A., Debra Rusz, Ann Rafferty, Harry McGee, and Nathaniel Ehrlich. (2005). the cost-effectiveness of alternative advance mailings in a telephone survey.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69(2):232-245.</w:t>
      </w:r>
    </w:p>
    <w:p w:rsidR="0094150C" w:rsidRPr="00C90C4E" w:rsidRDefault="0094150C" w:rsidP="00244E9C">
      <w:pPr>
        <w:pStyle w:val="BodyText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Hendra, R., Dillman, K, Hamilton, G., Lundquist, E., Martinson, K, &amp; Wavelet, M. (2010). </w:t>
      </w:r>
      <w:r w:rsidRPr="00C90C4E">
        <w:rPr>
          <w:i/>
          <w:szCs w:val="22"/>
        </w:rPr>
        <w:t>How effective are different approaches aiming to increase employment retention and advancement?: Final impacts for twelve models.</w:t>
      </w:r>
      <w:r w:rsidRPr="00C90C4E">
        <w:rPr>
          <w:szCs w:val="22"/>
        </w:rPr>
        <w:t xml:space="preserve"> New York, NY: MDRC Press.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Hopkins, Kenneth D., B.R. Hopkins, and Isabel Schon. (1988). Mail surveys of professional populations: The effects of monetary gratuities on return rates. </w:t>
      </w:r>
      <w:r w:rsidRPr="00C90C4E">
        <w:rPr>
          <w:rFonts w:eastAsia="Calibri"/>
          <w:i/>
          <w:szCs w:val="22"/>
        </w:rPr>
        <w:t>Journal of Experimental Education</w:t>
      </w:r>
      <w:r w:rsidRPr="00C90C4E">
        <w:rPr>
          <w:rFonts w:eastAsia="Calibri"/>
          <w:szCs w:val="22"/>
        </w:rPr>
        <w:t xml:space="preserve"> 56(4):173-75.</w:t>
      </w:r>
    </w:p>
    <w:p w:rsidR="0094150C" w:rsidRPr="00C90C4E" w:rsidRDefault="0094150C" w:rsidP="00244E9C">
      <w:pPr>
        <w:spacing w:after="240" w:line="240" w:lineRule="auto"/>
        <w:rPr>
          <w:szCs w:val="22"/>
        </w:rPr>
      </w:pPr>
      <w:r w:rsidRPr="00C90C4E">
        <w:rPr>
          <w:szCs w:val="22"/>
        </w:rPr>
        <w:t xml:space="preserve">Huston, A. (2002). Reforms and child development. </w:t>
      </w:r>
      <w:r w:rsidRPr="00C90C4E">
        <w:rPr>
          <w:i/>
          <w:szCs w:val="22"/>
        </w:rPr>
        <w:t>Future of Children, 12</w:t>
      </w:r>
      <w:r w:rsidRPr="00C90C4E">
        <w:rPr>
          <w:szCs w:val="22"/>
        </w:rPr>
        <w:t xml:space="preserve"> (1), 59-78.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James, Jeannine M. and Richard Bolstein. (1992). large monetary incentives and their effect on mail survey response rates.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56(4):442-53.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Klebanov, E., Brooks-Gunn, J., Chase-Landsdale, L., &amp; Gordon, R. (2000). Are neighborhood effects on young children mediated by features of the home environment?  In Brooks-Gunn, J., Duncan, G., and Aber, L. (Eds.) </w:t>
      </w:r>
      <w:r w:rsidRPr="00C90C4E">
        <w:rPr>
          <w:i/>
          <w:szCs w:val="22"/>
        </w:rPr>
        <w:t>Neighborhood poverty: Context and consequences for children. Vol. 1.</w:t>
      </w:r>
      <w:r w:rsidRPr="00C90C4E">
        <w:rPr>
          <w:szCs w:val="22"/>
        </w:rPr>
        <w:t xml:space="preserve"> New York: Russell Sage Foundation, 119-145.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 xml:space="preserve">Lee, S., &amp; Vinokur, A. (2007). Work barriers in the context of pathways to the employment of welfare-to-work clients. </w:t>
      </w:r>
      <w:r w:rsidRPr="00C90C4E">
        <w:rPr>
          <w:i/>
          <w:iCs/>
          <w:sz w:val="22"/>
          <w:szCs w:val="22"/>
        </w:rPr>
        <w:t>American Journal of Community Psychology, 40</w:t>
      </w:r>
      <w:r w:rsidRPr="00C90C4E">
        <w:rPr>
          <w:sz w:val="22"/>
          <w:szCs w:val="22"/>
        </w:rPr>
        <w:t>(3/4), 301-312.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Link, Michael W. and Ali Mokdad. (2005). Advance letters as a means of improving respondent cooperation in random digit dial studies: A multistate experiment.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69(4):572-587.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color w:val="000000"/>
          <w:szCs w:val="22"/>
          <w:shd w:val="clear" w:color="auto" w:fill="FFFFFF"/>
        </w:rPr>
      </w:pPr>
      <w:r w:rsidRPr="00C90C4E">
        <w:rPr>
          <w:color w:val="000000"/>
          <w:szCs w:val="22"/>
          <w:shd w:val="clear" w:color="auto" w:fill="FFFFFF"/>
        </w:rPr>
        <w:t xml:space="preserve">Magnuson, K. A., &amp; McGroder, S. M. (2002). </w:t>
      </w:r>
      <w:r w:rsidRPr="00C90C4E">
        <w:rPr>
          <w:i/>
          <w:color w:val="000000"/>
          <w:szCs w:val="22"/>
          <w:shd w:val="clear" w:color="auto" w:fill="FFFFFF"/>
        </w:rPr>
        <w:t>The effect of increasing welfare mothers' education on their young children's academic problems and school readiness.</w:t>
      </w:r>
      <w:r w:rsidRPr="00C90C4E">
        <w:rPr>
          <w:color w:val="000000"/>
          <w:szCs w:val="22"/>
          <w:shd w:val="clear" w:color="auto" w:fill="FFFFFF"/>
        </w:rPr>
        <w:t xml:space="preserve"> Evanston, IL: Child Trends, Joint Center on Poverty Research. Retrieved April 12, 2012 from </w:t>
      </w:r>
      <w:hyperlink r:id="rId10" w:history="1">
        <w:r w:rsidRPr="00C90C4E">
          <w:rPr>
            <w:rStyle w:val="Hyperlink"/>
            <w:szCs w:val="22"/>
          </w:rPr>
          <w:t>http://www.ipr.northwestern.edu/jcpr/workingpapers/wpfiles/magnuson_mcgroder.pdf</w:t>
        </w:r>
      </w:hyperlink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 xml:space="preserve">Maguire, S., Freely, J., Clymer, C., Conway, M., and &amp; Schwartz, D. (2010). </w:t>
      </w:r>
      <w:r w:rsidRPr="00C90C4E">
        <w:rPr>
          <w:i/>
          <w:sz w:val="22"/>
          <w:szCs w:val="22"/>
        </w:rPr>
        <w:t xml:space="preserve">Tuning in to local labor markets: Findings from the Sectoral Employment Impact Study. </w:t>
      </w:r>
      <w:r w:rsidRPr="00C90C4E">
        <w:rPr>
          <w:sz w:val="22"/>
          <w:szCs w:val="22"/>
        </w:rPr>
        <w:t xml:space="preserve"> Philadelphia, PA: Public/Private Ventures.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 xml:space="preserve">Matus-Grossman, L., &amp; Gooden, S. (2002). </w:t>
      </w:r>
      <w:r w:rsidRPr="00C90C4E">
        <w:rPr>
          <w:i/>
          <w:sz w:val="22"/>
          <w:szCs w:val="22"/>
        </w:rPr>
        <w:t>Students' perspectives on juggling work, family, and college.</w:t>
      </w:r>
      <w:r w:rsidRPr="00C90C4E">
        <w:rPr>
          <w:sz w:val="22"/>
          <w:szCs w:val="22"/>
        </w:rPr>
        <w:t xml:space="preserve"> New York, NY: MDRC.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McLloyd, V. (1998). Socioeconomic disadvantage and child development. </w:t>
      </w:r>
      <w:r w:rsidRPr="00C90C4E">
        <w:rPr>
          <w:i/>
          <w:szCs w:val="22"/>
        </w:rPr>
        <w:t>American Psychologist, 53</w:t>
      </w:r>
      <w:r w:rsidRPr="00C90C4E">
        <w:rPr>
          <w:szCs w:val="22"/>
        </w:rPr>
        <w:t xml:space="preserve"> (2), 185-204.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 xml:space="preserve">Michalopoulos, C., &amp; Schwartz, C. (2001). </w:t>
      </w:r>
      <w:r w:rsidRPr="00C90C4E">
        <w:rPr>
          <w:iCs/>
          <w:sz w:val="22"/>
          <w:szCs w:val="22"/>
        </w:rPr>
        <w:t>What works best for whom: impacts of 20 welfare-to-work programs by subgroup</w:t>
      </w:r>
      <w:r w:rsidRPr="00C90C4E">
        <w:rPr>
          <w:sz w:val="22"/>
          <w:szCs w:val="22"/>
        </w:rPr>
        <w:t>. New York, NY: MDRC.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Millar, Morgan M. and Don A. Dillman. (2011). Improving response to web and mixed-mode surveys.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75(2): 249-269.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lastRenderedPageBreak/>
        <w:t xml:space="preserve">Morgenstern, J., Neighbors, C., Kuerbis, A., Riordan, A., Blanchard, K., McVeigh, K.H., Morgan, T.J., McCrady, B. (2009).  Intensive </w:t>
      </w:r>
      <w:r w:rsidR="0077303B" w:rsidRPr="00C90C4E">
        <w:rPr>
          <w:sz w:val="22"/>
          <w:szCs w:val="22"/>
        </w:rPr>
        <w:t xml:space="preserve">case management improves 24-month abstinence and employment outcomes for substance dependent women receiving </w:t>
      </w:r>
      <w:r w:rsidRPr="00C90C4E">
        <w:rPr>
          <w:sz w:val="22"/>
          <w:szCs w:val="22"/>
        </w:rPr>
        <w:t xml:space="preserve">Temporary Assistance to Needy Families (TANF).  </w:t>
      </w:r>
      <w:r w:rsidRPr="00C90C4E">
        <w:rPr>
          <w:i/>
          <w:sz w:val="22"/>
          <w:szCs w:val="22"/>
        </w:rPr>
        <w:t>American Journal of Public Health</w:t>
      </w:r>
      <w:r w:rsidRPr="00C90C4E">
        <w:rPr>
          <w:sz w:val="22"/>
          <w:szCs w:val="22"/>
        </w:rPr>
        <w:t>, 99, 328-333.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szCs w:val="22"/>
        </w:rPr>
        <w:t xml:space="preserve">Morris, P., Duncan, G., &amp; Clark-Kauffman, E. (2005). Child well-being in an era of welfare-reform: The sensitivity of transitions in development to policy change. </w:t>
      </w:r>
      <w:r w:rsidRPr="00C90C4E">
        <w:rPr>
          <w:i/>
          <w:iCs/>
          <w:szCs w:val="22"/>
        </w:rPr>
        <w:t xml:space="preserve">Developmental Psychology, 41 </w:t>
      </w:r>
      <w:r w:rsidRPr="00C90C4E">
        <w:rPr>
          <w:szCs w:val="22"/>
        </w:rPr>
        <w:t>(6), 919-932.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rFonts w:cstheme="minorHAnsi"/>
          <w:szCs w:val="22"/>
        </w:rPr>
        <w:t xml:space="preserve">Morris, P., Gennetian, L., &amp; Duncan, G. (2005). Effects of welfare and employment policies on young children: New findings on policy experiments conducted in the early 1990s. </w:t>
      </w:r>
      <w:r w:rsidRPr="00C90C4E">
        <w:rPr>
          <w:i/>
          <w:iCs/>
          <w:szCs w:val="22"/>
        </w:rPr>
        <w:t>Social Policy Report</w:t>
      </w:r>
      <w:r w:rsidRPr="00C90C4E">
        <w:rPr>
          <w:szCs w:val="22"/>
        </w:rPr>
        <w:t>, 19(2).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rFonts w:cstheme="minorHAnsi"/>
          <w:szCs w:val="22"/>
        </w:rPr>
        <w:t xml:space="preserve">Morris, P., Knox, V., &amp; Gennetian, L. (2002). </w:t>
      </w:r>
      <w:r w:rsidRPr="00C90C4E">
        <w:rPr>
          <w:rFonts w:cstheme="minorHAnsi"/>
          <w:i/>
          <w:szCs w:val="22"/>
        </w:rPr>
        <w:t xml:space="preserve">Welfare </w:t>
      </w:r>
      <w:r w:rsidR="0077303B" w:rsidRPr="00C90C4E">
        <w:rPr>
          <w:rFonts w:cstheme="minorHAnsi"/>
          <w:i/>
          <w:szCs w:val="22"/>
        </w:rPr>
        <w:t>policies matter for children and youth: Lessons for TANF r</w:t>
      </w:r>
      <w:r w:rsidRPr="00C90C4E">
        <w:rPr>
          <w:rFonts w:cstheme="minorHAnsi"/>
          <w:i/>
          <w:szCs w:val="22"/>
        </w:rPr>
        <w:t>eauthorization.</w:t>
      </w:r>
      <w:r w:rsidRPr="00C90C4E">
        <w:rPr>
          <w:rFonts w:cstheme="minorHAnsi"/>
          <w:szCs w:val="22"/>
        </w:rPr>
        <w:t xml:space="preserve"> MDRC Policy Brief. New York, NY: MDRC.</w:t>
      </w:r>
    </w:p>
    <w:p w:rsidR="0094150C" w:rsidRPr="00C90C4E" w:rsidRDefault="0094150C" w:rsidP="00244E9C">
      <w:pPr>
        <w:pStyle w:val="BodyText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Orr, L.L., Bloom, H.S., Bell, S.H., Lin, W., Cave, G., and Doolittle, F. (1996). </w:t>
      </w:r>
      <w:r w:rsidRPr="00C90C4E">
        <w:rPr>
          <w:i/>
          <w:szCs w:val="22"/>
        </w:rPr>
        <w:t xml:space="preserve">Does </w:t>
      </w:r>
      <w:r w:rsidR="0077303B" w:rsidRPr="00C90C4E">
        <w:rPr>
          <w:i/>
          <w:szCs w:val="22"/>
        </w:rPr>
        <w:t>job training for the disadvantaged w</w:t>
      </w:r>
      <w:r w:rsidRPr="00C90C4E">
        <w:rPr>
          <w:i/>
          <w:szCs w:val="22"/>
        </w:rPr>
        <w:t xml:space="preserve">ork?  Evidence from the National JTPA Study. </w:t>
      </w:r>
      <w:r w:rsidRPr="00C90C4E">
        <w:rPr>
          <w:szCs w:val="22"/>
        </w:rPr>
        <w:t>Washington, D.C.: Urban Institute Press.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Orr, Larry.  (1999). </w:t>
      </w:r>
      <w:r w:rsidRPr="00C90C4E">
        <w:rPr>
          <w:i/>
          <w:szCs w:val="22"/>
        </w:rPr>
        <w:t xml:space="preserve">Social </w:t>
      </w:r>
      <w:r w:rsidR="0077303B" w:rsidRPr="00C90C4E">
        <w:rPr>
          <w:i/>
          <w:szCs w:val="22"/>
        </w:rPr>
        <w:t>experiments</w:t>
      </w:r>
      <w:r w:rsidRPr="00C90C4E">
        <w:rPr>
          <w:i/>
          <w:szCs w:val="22"/>
        </w:rPr>
        <w:t xml:space="preserve">: Evaluating </w:t>
      </w:r>
      <w:r w:rsidR="0077303B" w:rsidRPr="00C90C4E">
        <w:rPr>
          <w:i/>
          <w:szCs w:val="22"/>
        </w:rPr>
        <w:t>public programs with experimental methods</w:t>
      </w:r>
      <w:r w:rsidRPr="00C90C4E">
        <w:rPr>
          <w:szCs w:val="22"/>
        </w:rPr>
        <w:t>.  New York, NY:  Sage Publications.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Peck, Laura R.  (2003). Subgroup </w:t>
      </w:r>
      <w:r w:rsidR="0077303B" w:rsidRPr="00C90C4E">
        <w:rPr>
          <w:szCs w:val="22"/>
        </w:rPr>
        <w:t>analysis in social experiments</w:t>
      </w:r>
      <w:r w:rsidRPr="00C90C4E">
        <w:rPr>
          <w:szCs w:val="22"/>
        </w:rPr>
        <w:t xml:space="preserve">:  Measuring </w:t>
      </w:r>
      <w:r w:rsidR="0077303B" w:rsidRPr="00C90C4E">
        <w:rPr>
          <w:szCs w:val="22"/>
        </w:rPr>
        <w:t>program impacts based on post treatment choic</w:t>
      </w:r>
      <w:r w:rsidRPr="00C90C4E">
        <w:rPr>
          <w:szCs w:val="22"/>
        </w:rPr>
        <w:t xml:space="preserve">e.  </w:t>
      </w:r>
      <w:r w:rsidRPr="00C90C4E">
        <w:rPr>
          <w:i/>
          <w:szCs w:val="22"/>
        </w:rPr>
        <w:t>American Journal of Evaluation</w:t>
      </w:r>
      <w:r w:rsidRPr="00C90C4E">
        <w:rPr>
          <w:szCs w:val="22"/>
        </w:rPr>
        <w:t>, 24(2), 157-187. DOI: 10.1016/S1098-2140(03)00031-6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Peck, Laura R. (2007).  What are the </w:t>
      </w:r>
      <w:r w:rsidR="0077303B" w:rsidRPr="00C90C4E">
        <w:rPr>
          <w:szCs w:val="22"/>
        </w:rPr>
        <w:t>effects of welfare sanction policies</w:t>
      </w:r>
      <w:r w:rsidRPr="00C90C4E">
        <w:rPr>
          <w:szCs w:val="22"/>
        </w:rPr>
        <w:t xml:space="preserve">?  Or, </w:t>
      </w:r>
      <w:r w:rsidR="0077303B" w:rsidRPr="00C90C4E">
        <w:rPr>
          <w:szCs w:val="22"/>
        </w:rPr>
        <w:t>using propensity scores as a subgroup indicator to learn more from social experiments</w:t>
      </w:r>
      <w:r w:rsidRPr="00C90C4E">
        <w:rPr>
          <w:szCs w:val="22"/>
        </w:rPr>
        <w:t xml:space="preserve">.  </w:t>
      </w:r>
      <w:r w:rsidRPr="00C90C4E">
        <w:rPr>
          <w:i/>
          <w:szCs w:val="22"/>
        </w:rPr>
        <w:t>American Journal of Evaluation</w:t>
      </w:r>
      <w:r w:rsidRPr="00C90C4E">
        <w:rPr>
          <w:szCs w:val="22"/>
        </w:rPr>
        <w:t>, 28(3), 256-274.</w:t>
      </w:r>
    </w:p>
    <w:p w:rsidR="0094150C" w:rsidRPr="00C90C4E" w:rsidRDefault="0094150C" w:rsidP="00F6618E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Puma, M., Olsen, R., Bell, S., &amp; Price, C. (2009). </w:t>
      </w:r>
      <w:r w:rsidRPr="00C90C4E">
        <w:rPr>
          <w:i/>
          <w:szCs w:val="22"/>
        </w:rPr>
        <w:t xml:space="preserve">What to </w:t>
      </w:r>
      <w:r w:rsidR="0077303B" w:rsidRPr="00C90C4E">
        <w:rPr>
          <w:i/>
          <w:szCs w:val="22"/>
        </w:rPr>
        <w:t>do when data are missing in group randomized controlled trials</w:t>
      </w:r>
      <w:r w:rsidRPr="00C90C4E">
        <w:rPr>
          <w:szCs w:val="22"/>
        </w:rPr>
        <w:t xml:space="preserve"> (NCEE 2009-0049). Washington, DC: National Center for Education Evaluation and Regional Assistance, Institute of Education Sciences, U.S. Department of Education.  Available at &lt;&lt;</w:t>
      </w:r>
      <w:hyperlink r:id="rId11" w:history="1">
        <w:r w:rsidRPr="00C90C4E">
          <w:rPr>
            <w:rStyle w:val="Hyperlink"/>
            <w:szCs w:val="22"/>
          </w:rPr>
          <w:t>http://ies.ed.gov/ncee/pdf/20090049.pdf</w:t>
        </w:r>
      </w:hyperlink>
      <w:r w:rsidRPr="00C90C4E">
        <w:rPr>
          <w:szCs w:val="22"/>
        </w:rPr>
        <w:t>&gt;&gt;</w:t>
      </w:r>
    </w:p>
    <w:p w:rsidR="0094150C" w:rsidRPr="00C90C4E" w:rsidRDefault="0094150C" w:rsidP="00244E9C">
      <w:pPr>
        <w:pStyle w:val="BodyText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Purnell, R., &amp; Blank, S. (2004). </w:t>
      </w:r>
      <w:r w:rsidRPr="00C90C4E">
        <w:rPr>
          <w:i/>
          <w:szCs w:val="22"/>
        </w:rPr>
        <w:t>Support success: services that may help low-income students succeed in community college.</w:t>
      </w:r>
      <w:r w:rsidRPr="00C90C4E">
        <w:rPr>
          <w:szCs w:val="22"/>
        </w:rPr>
        <w:t xml:space="preserve"> New York, NY: MDRC.</w:t>
      </w:r>
    </w:p>
    <w:p w:rsidR="0094150C" w:rsidRPr="00C90C4E" w:rsidRDefault="0094150C" w:rsidP="00244E9C">
      <w:pPr>
        <w:pStyle w:val="BodyText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Raudenbush,  Stephen W., &amp; Anthony S. Bryk. (2002).  </w:t>
      </w:r>
      <w:r w:rsidRPr="00C90C4E">
        <w:rPr>
          <w:i/>
          <w:szCs w:val="22"/>
        </w:rPr>
        <w:t xml:space="preserve">Hierarchical </w:t>
      </w:r>
      <w:r w:rsidR="0077303B" w:rsidRPr="00C90C4E">
        <w:rPr>
          <w:i/>
          <w:szCs w:val="22"/>
        </w:rPr>
        <w:t>linear model</w:t>
      </w:r>
      <w:r w:rsidRPr="00C90C4E">
        <w:rPr>
          <w:i/>
          <w:szCs w:val="22"/>
        </w:rPr>
        <w:t xml:space="preserve">s: Applications and </w:t>
      </w:r>
      <w:r w:rsidR="0077303B" w:rsidRPr="00C90C4E">
        <w:rPr>
          <w:i/>
          <w:szCs w:val="22"/>
        </w:rPr>
        <w:t>data analysis methods</w:t>
      </w:r>
      <w:r w:rsidRPr="00C90C4E">
        <w:rPr>
          <w:szCs w:val="22"/>
        </w:rPr>
        <w:t>, 2 ed.  Thousand Oaks, CA: Sage Publications.</w:t>
      </w:r>
    </w:p>
    <w:p w:rsidR="0094150C" w:rsidRPr="00C90C4E" w:rsidRDefault="0094150C" w:rsidP="00244E9C">
      <w:pPr>
        <w:pStyle w:val="BodyText"/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>Roder, A. &amp; Elliot, M. (2011</w:t>
      </w:r>
      <w:r w:rsidR="0077303B" w:rsidRPr="00C90C4E">
        <w:rPr>
          <w:szCs w:val="22"/>
        </w:rPr>
        <w:t>, April</w:t>
      </w:r>
      <w:r w:rsidRPr="00C90C4E">
        <w:rPr>
          <w:szCs w:val="22"/>
        </w:rPr>
        <w:t xml:space="preserve">). </w:t>
      </w:r>
      <w:r w:rsidRPr="00C90C4E">
        <w:rPr>
          <w:i/>
          <w:szCs w:val="22"/>
        </w:rPr>
        <w:t xml:space="preserve">A </w:t>
      </w:r>
      <w:r w:rsidR="0077303B" w:rsidRPr="00C90C4E">
        <w:rPr>
          <w:i/>
          <w:szCs w:val="22"/>
        </w:rPr>
        <w:t>promising star</w:t>
      </w:r>
      <w:r w:rsidRPr="00C90C4E">
        <w:rPr>
          <w:i/>
          <w:szCs w:val="22"/>
        </w:rPr>
        <w:t xml:space="preserve">t: Year Up’s </w:t>
      </w:r>
      <w:r w:rsidR="0077303B" w:rsidRPr="00C90C4E">
        <w:rPr>
          <w:i/>
          <w:szCs w:val="22"/>
        </w:rPr>
        <w:t>initial impacts on low-income young adults’ car</w:t>
      </w:r>
      <w:r w:rsidRPr="00C90C4E">
        <w:rPr>
          <w:i/>
          <w:szCs w:val="22"/>
        </w:rPr>
        <w:t xml:space="preserve">eers. </w:t>
      </w:r>
      <w:r w:rsidRPr="00C90C4E">
        <w:rPr>
          <w:szCs w:val="22"/>
        </w:rPr>
        <w:t>New York: Economic Mobility Corporation.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Roderick, M., Nagaoka, J., &amp; Coca, V. (2009). College readiness for all: </w:t>
      </w:r>
      <w:r w:rsidR="0077303B" w:rsidRPr="00C90C4E">
        <w:rPr>
          <w:szCs w:val="22"/>
        </w:rPr>
        <w:t xml:space="preserve">The </w:t>
      </w:r>
      <w:r w:rsidRPr="00C90C4E">
        <w:rPr>
          <w:szCs w:val="22"/>
        </w:rPr>
        <w:t>challenge for urban high schools. Future of Children, 19(1), 185-210.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t xml:space="preserve">Schochet, P. &amp; Burghardt, J. (2007). Using </w:t>
      </w:r>
      <w:r w:rsidR="0077303B" w:rsidRPr="00C90C4E">
        <w:rPr>
          <w:szCs w:val="22"/>
        </w:rPr>
        <w:t>propensity scoring to estimate program-related subgroup impacts in experimental program evaluations</w:t>
      </w:r>
      <w:r w:rsidRPr="00C90C4E">
        <w:rPr>
          <w:szCs w:val="22"/>
        </w:rPr>
        <w:t xml:space="preserve">.  </w:t>
      </w:r>
      <w:r w:rsidRPr="00C90C4E">
        <w:rPr>
          <w:i/>
          <w:szCs w:val="22"/>
        </w:rPr>
        <w:t>Evaluation Review</w:t>
      </w:r>
      <w:r w:rsidRPr="00C90C4E">
        <w:rPr>
          <w:szCs w:val="22"/>
        </w:rPr>
        <w:t>, 31(2), 95-120.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szCs w:val="22"/>
        </w:rPr>
      </w:pPr>
      <w:r w:rsidRPr="00C90C4E">
        <w:rPr>
          <w:szCs w:val="22"/>
        </w:rPr>
        <w:lastRenderedPageBreak/>
        <w:t xml:space="preserve">Schwarzer, R., &amp; Jerusalem, M. (1995). Generalized </w:t>
      </w:r>
      <w:r w:rsidR="0077303B" w:rsidRPr="00C90C4E">
        <w:rPr>
          <w:szCs w:val="22"/>
        </w:rPr>
        <w:t xml:space="preserve">self-efficacy </w:t>
      </w:r>
      <w:r w:rsidRPr="00C90C4E">
        <w:rPr>
          <w:szCs w:val="22"/>
        </w:rPr>
        <w:t>scale. In J. Weinman, S. Wright, &amp; M. Johnston, Measures in health psychology: A user's portfolio. Windsor, UK: NFER-NELSON.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Shettle, Carolyn and Geraldine Mooney.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1999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Monetary Incentives in U.S. Government Surveys. </w:t>
      </w:r>
      <w:r w:rsidRPr="00C90C4E">
        <w:rPr>
          <w:rFonts w:eastAsia="Calibri"/>
          <w:i/>
          <w:szCs w:val="22"/>
        </w:rPr>
        <w:t>Journal of Official Statistics</w:t>
      </w:r>
      <w:r w:rsidRPr="00C90C4E">
        <w:rPr>
          <w:rFonts w:eastAsia="Calibri"/>
          <w:szCs w:val="22"/>
        </w:rPr>
        <w:t xml:space="preserve"> 15(2):231-50.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Singer, Eleanor, John Van Hoewyk, and Mary P. Maher.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2000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Experiments </w:t>
      </w:r>
      <w:r w:rsidR="0077303B" w:rsidRPr="00C90C4E">
        <w:rPr>
          <w:rFonts w:eastAsia="Calibri"/>
          <w:szCs w:val="22"/>
        </w:rPr>
        <w:t>with incentives in telephone surve</w:t>
      </w:r>
      <w:r w:rsidRPr="00C90C4E">
        <w:rPr>
          <w:rFonts w:eastAsia="Calibri"/>
          <w:szCs w:val="22"/>
        </w:rPr>
        <w:t xml:space="preserve">ys.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64(2):171-88.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Singer, Eleanor, John Van Hoewyk, Nancy Gebler, Trivellore Raghunatan, and Katherine McGonagle.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1999a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</w:t>
      </w:r>
      <w:r w:rsidR="0077303B" w:rsidRPr="00C90C4E">
        <w:rPr>
          <w:rFonts w:eastAsia="Calibri"/>
          <w:szCs w:val="22"/>
        </w:rPr>
        <w:t>the effective of incentives on response rates in interviewer-mediated surveys</w:t>
      </w:r>
      <w:r w:rsidRPr="00C90C4E">
        <w:rPr>
          <w:rFonts w:eastAsia="Calibri"/>
          <w:szCs w:val="22"/>
        </w:rPr>
        <w:t xml:space="preserve">. </w:t>
      </w:r>
      <w:r w:rsidRPr="00C90C4E">
        <w:rPr>
          <w:rFonts w:eastAsia="Calibri"/>
          <w:i/>
          <w:szCs w:val="22"/>
        </w:rPr>
        <w:t>Journal of Official Statistics</w:t>
      </w:r>
      <w:r w:rsidRPr="00C90C4E">
        <w:rPr>
          <w:rFonts w:eastAsia="Calibri"/>
          <w:szCs w:val="22"/>
        </w:rPr>
        <w:t xml:space="preserve"> 15(2):217-30.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Singer, Eleanor, Robert M. Groves, and Amy D. Corning.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1999b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Differential </w:t>
      </w:r>
      <w:r w:rsidR="0077303B" w:rsidRPr="00C90C4E">
        <w:rPr>
          <w:rFonts w:eastAsia="Calibri"/>
          <w:szCs w:val="22"/>
        </w:rPr>
        <w:t>incentives</w:t>
      </w:r>
      <w:r w:rsidRPr="00C90C4E">
        <w:rPr>
          <w:rFonts w:eastAsia="Calibri"/>
          <w:szCs w:val="22"/>
        </w:rPr>
        <w:t xml:space="preserve">: Beliefs about </w:t>
      </w:r>
      <w:r w:rsidR="0077303B" w:rsidRPr="00C90C4E">
        <w:rPr>
          <w:rFonts w:eastAsia="Calibri"/>
          <w:szCs w:val="22"/>
        </w:rPr>
        <w:t>practices, perceptions of equity, and effects on survey participation</w:t>
      </w:r>
      <w:r w:rsidRPr="00C90C4E">
        <w:rPr>
          <w:rFonts w:eastAsia="Calibri"/>
          <w:szCs w:val="22"/>
        </w:rPr>
        <w:t xml:space="preserve">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63(2):251-60.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r w:rsidRPr="00C90C4E">
        <w:rPr>
          <w:rFonts w:cstheme="minorHAnsi"/>
          <w:szCs w:val="22"/>
        </w:rPr>
        <w:t xml:space="preserve">Smith, E. (2010). </w:t>
      </w:r>
      <w:r w:rsidRPr="00C90C4E">
        <w:rPr>
          <w:rFonts w:cstheme="minorHAnsi"/>
          <w:i/>
          <w:szCs w:val="22"/>
        </w:rPr>
        <w:t xml:space="preserve">The </w:t>
      </w:r>
      <w:r w:rsidR="0077303B" w:rsidRPr="00C90C4E">
        <w:rPr>
          <w:rFonts w:cstheme="minorHAnsi"/>
          <w:i/>
          <w:szCs w:val="22"/>
        </w:rPr>
        <w:t>role of social supports and self-efficacy in college success</w:t>
      </w:r>
      <w:r w:rsidRPr="00C90C4E">
        <w:rPr>
          <w:rFonts w:cstheme="minorHAnsi"/>
          <w:i/>
          <w:szCs w:val="22"/>
        </w:rPr>
        <w:t>.</w:t>
      </w:r>
      <w:r w:rsidRPr="00C90C4E">
        <w:rPr>
          <w:rFonts w:cstheme="minorHAnsi"/>
          <w:szCs w:val="22"/>
        </w:rPr>
        <w:t xml:space="preserve"> Institute for Higher Education Policy, Research to Practice Brief, Fall 2010. </w:t>
      </w:r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  <w:lang w:val="de-DE"/>
        </w:rPr>
        <w:t xml:space="preserve">Spitzer, R., Williams, J., Kroenke, K., Hornyak, R., &amp; McMurray, J. (2000). </w:t>
      </w:r>
      <w:r w:rsidRPr="00C90C4E">
        <w:rPr>
          <w:sz w:val="22"/>
          <w:szCs w:val="22"/>
        </w:rPr>
        <w:t xml:space="preserve">Validity and utility of the PRIME-MD patient health questionnaire in assessment of 3000 obstetric-gynecologic patients: </w:t>
      </w:r>
      <w:r w:rsidR="0077303B" w:rsidRPr="00C90C4E">
        <w:rPr>
          <w:sz w:val="22"/>
          <w:szCs w:val="22"/>
        </w:rPr>
        <w:t xml:space="preserve">The </w:t>
      </w:r>
      <w:r w:rsidRPr="00C90C4E">
        <w:rPr>
          <w:sz w:val="22"/>
          <w:szCs w:val="22"/>
        </w:rPr>
        <w:t xml:space="preserve">PRIME-MD Patient Health Questionnaire Obstetrics-Gynecology Study. </w:t>
      </w:r>
      <w:r w:rsidRPr="00C90C4E">
        <w:rPr>
          <w:i/>
          <w:iCs/>
          <w:sz w:val="22"/>
          <w:szCs w:val="22"/>
        </w:rPr>
        <w:t>American Journal Of Obstetrics And Gynecology, 183</w:t>
      </w:r>
      <w:r w:rsidRPr="00C90C4E">
        <w:rPr>
          <w:sz w:val="22"/>
          <w:szCs w:val="22"/>
        </w:rPr>
        <w:t xml:space="preserve">(3), 759-769. 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Tambor, E.S., G.A. Chase, R.R. Faden, G. Geller, K.J. Hofman, and N.A. Holtzman.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1993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Improving </w:t>
      </w:r>
      <w:r w:rsidR="0077303B" w:rsidRPr="00C90C4E">
        <w:rPr>
          <w:rFonts w:eastAsia="Calibri"/>
          <w:szCs w:val="22"/>
        </w:rPr>
        <w:t>response rates through incentives and follow-up</w:t>
      </w:r>
      <w:r w:rsidRPr="00C90C4E">
        <w:rPr>
          <w:rFonts w:eastAsia="Calibri"/>
          <w:szCs w:val="22"/>
        </w:rPr>
        <w:t xml:space="preserve">: The </w:t>
      </w:r>
      <w:r w:rsidR="0077303B" w:rsidRPr="00C90C4E">
        <w:rPr>
          <w:rFonts w:eastAsia="Calibri"/>
          <w:szCs w:val="22"/>
        </w:rPr>
        <w:t>effect on a survey of physicians’ knowledge of gene</w:t>
      </w:r>
      <w:r w:rsidRPr="00C90C4E">
        <w:rPr>
          <w:rFonts w:eastAsia="Calibri"/>
          <w:szCs w:val="22"/>
        </w:rPr>
        <w:t xml:space="preserve">tics. </w:t>
      </w:r>
      <w:r w:rsidRPr="00C90C4E">
        <w:rPr>
          <w:rFonts w:eastAsia="Calibri"/>
          <w:i/>
          <w:szCs w:val="22"/>
        </w:rPr>
        <w:t>American Journal of Public Health</w:t>
      </w:r>
      <w:r w:rsidRPr="00C90C4E">
        <w:rPr>
          <w:rFonts w:eastAsia="Calibri"/>
          <w:szCs w:val="22"/>
        </w:rPr>
        <w:t xml:space="preserve"> 83:1599-1603.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Style w:val="Hyperlink"/>
          <w:szCs w:val="22"/>
        </w:rPr>
      </w:pPr>
      <w:r w:rsidRPr="00C90C4E">
        <w:rPr>
          <w:szCs w:val="22"/>
        </w:rPr>
        <w:t xml:space="preserve">Tout, K., Brooks, J., Zaslow, M., Redd, Z., Moore, K., McGarvey, A., McGroder, S., Gennetian, L., Morris, P., Ross, C., and Beecroft, E. (2004). </w:t>
      </w:r>
      <w:r w:rsidRPr="00C90C4E">
        <w:rPr>
          <w:i/>
          <w:szCs w:val="22"/>
        </w:rPr>
        <w:t xml:space="preserve">Welfare </w:t>
      </w:r>
      <w:r w:rsidR="0077303B" w:rsidRPr="00C90C4E">
        <w:rPr>
          <w:i/>
          <w:szCs w:val="22"/>
        </w:rPr>
        <w:t>reform and children</w:t>
      </w:r>
      <w:r w:rsidRPr="00C90C4E">
        <w:rPr>
          <w:i/>
          <w:szCs w:val="22"/>
        </w:rPr>
        <w:t xml:space="preserve">: A </w:t>
      </w:r>
      <w:r w:rsidR="0077303B" w:rsidRPr="00C90C4E">
        <w:rPr>
          <w:i/>
          <w:szCs w:val="22"/>
        </w:rPr>
        <w:t>synthesis of impacts in five states</w:t>
      </w:r>
      <w:r w:rsidRPr="00C90C4E">
        <w:rPr>
          <w:i/>
          <w:szCs w:val="22"/>
        </w:rPr>
        <w:t xml:space="preserve">: The Project on State-Level Child Outcomes. </w:t>
      </w:r>
      <w:r w:rsidRPr="00C90C4E">
        <w:rPr>
          <w:szCs w:val="22"/>
        </w:rPr>
        <w:t xml:space="preserve">Washington, DC: Administration for Children and Families. Retrieved April 12, 2012 from </w:t>
      </w:r>
      <w:hyperlink r:id="rId12" w:history="1">
        <w:r w:rsidRPr="00C90C4E">
          <w:rPr>
            <w:rStyle w:val="Hyperlink"/>
            <w:szCs w:val="22"/>
          </w:rPr>
          <w:t>http://www.acf.hhs.gov/programs/opre/welfare_employ/ch_outcomes/reports/welfare_reform_children/wel_ref_child.pdf</w:t>
        </w:r>
      </w:hyperlink>
    </w:p>
    <w:p w:rsidR="0094150C" w:rsidRPr="00C90C4E" w:rsidRDefault="0094150C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r w:rsidRPr="00C90C4E">
        <w:rPr>
          <w:sz w:val="22"/>
          <w:szCs w:val="22"/>
        </w:rPr>
        <w:t xml:space="preserve">Vinokur, A., Schul, Y., Vuori, J., &amp; Price, R. (2000). Two years after a job loss: </w:t>
      </w:r>
      <w:r w:rsidR="0077303B" w:rsidRPr="00C90C4E">
        <w:rPr>
          <w:sz w:val="22"/>
          <w:szCs w:val="22"/>
        </w:rPr>
        <w:t>Long</w:t>
      </w:r>
      <w:r w:rsidRPr="00C90C4E">
        <w:rPr>
          <w:sz w:val="22"/>
          <w:szCs w:val="22"/>
        </w:rPr>
        <w:t xml:space="preserve">-term impact of the JOBS program on reemployment and mental health. </w:t>
      </w:r>
      <w:r w:rsidRPr="00C90C4E">
        <w:rPr>
          <w:i/>
          <w:iCs/>
          <w:sz w:val="22"/>
          <w:szCs w:val="22"/>
        </w:rPr>
        <w:t>Journal Of Occupational Health Psychology, 5</w:t>
      </w:r>
      <w:r w:rsidRPr="00C90C4E">
        <w:rPr>
          <w:sz w:val="22"/>
          <w:szCs w:val="22"/>
        </w:rPr>
        <w:t xml:space="preserve">(1), 32-47. 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Warriner, Keith, John Goyder, Heidi Gjertsen, Paula Hohner, and Kathleen McSpurren.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1996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Charities, </w:t>
      </w:r>
      <w:r w:rsidR="0077303B" w:rsidRPr="00C90C4E">
        <w:rPr>
          <w:rFonts w:eastAsia="Calibri"/>
          <w:szCs w:val="22"/>
        </w:rPr>
        <w:t>no; lotteries, no; cash, yes</w:t>
      </w:r>
      <w:r w:rsidRPr="00C90C4E">
        <w:rPr>
          <w:rFonts w:eastAsia="Calibri"/>
          <w:szCs w:val="22"/>
        </w:rPr>
        <w:t xml:space="preserve">: Main </w:t>
      </w:r>
      <w:r w:rsidR="0077303B" w:rsidRPr="00C90C4E">
        <w:rPr>
          <w:rFonts w:eastAsia="Calibri"/>
          <w:szCs w:val="22"/>
        </w:rPr>
        <w:t xml:space="preserve">effects and interactions in a </w:t>
      </w:r>
      <w:r w:rsidRPr="00C90C4E">
        <w:rPr>
          <w:rFonts w:eastAsia="Calibri"/>
          <w:szCs w:val="22"/>
        </w:rPr>
        <w:t xml:space="preserve">Canadian </w:t>
      </w:r>
      <w:r w:rsidR="0077303B" w:rsidRPr="00C90C4E">
        <w:rPr>
          <w:rFonts w:eastAsia="Calibri"/>
          <w:szCs w:val="22"/>
        </w:rPr>
        <w:t>incentives experiment</w:t>
      </w:r>
      <w:r w:rsidRPr="00C90C4E">
        <w:rPr>
          <w:rFonts w:eastAsia="Calibri"/>
          <w:szCs w:val="22"/>
        </w:rPr>
        <w:t xml:space="preserve">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60(4):542-62.</w:t>
      </w:r>
    </w:p>
    <w:p w:rsidR="0094150C" w:rsidRPr="00C90C4E" w:rsidRDefault="0094150C" w:rsidP="0094150C">
      <w:pPr>
        <w:spacing w:after="200" w:line="276" w:lineRule="auto"/>
        <w:ind w:left="720" w:hanging="720"/>
        <w:rPr>
          <w:rFonts w:eastAsia="Calibri"/>
          <w:szCs w:val="22"/>
        </w:rPr>
      </w:pPr>
      <w:r w:rsidRPr="00C90C4E">
        <w:rPr>
          <w:rFonts w:eastAsia="Calibri"/>
          <w:szCs w:val="22"/>
        </w:rPr>
        <w:t xml:space="preserve">Willimack, Diane K., Howard Schuman, Beth-Ellen Pennell, and James M. Lepkowski. </w:t>
      </w:r>
      <w:r w:rsidR="0077303B" w:rsidRPr="00C90C4E">
        <w:rPr>
          <w:rFonts w:eastAsia="Calibri"/>
          <w:szCs w:val="22"/>
        </w:rPr>
        <w:t>(</w:t>
      </w:r>
      <w:r w:rsidRPr="00C90C4E">
        <w:rPr>
          <w:rFonts w:eastAsia="Calibri"/>
          <w:szCs w:val="22"/>
        </w:rPr>
        <w:t>1994</w:t>
      </w:r>
      <w:r w:rsidR="0077303B" w:rsidRPr="00C90C4E">
        <w:rPr>
          <w:rFonts w:eastAsia="Calibri"/>
          <w:szCs w:val="22"/>
        </w:rPr>
        <w:t>)</w:t>
      </w:r>
      <w:r w:rsidRPr="00C90C4E">
        <w:rPr>
          <w:rFonts w:eastAsia="Calibri"/>
          <w:szCs w:val="22"/>
        </w:rPr>
        <w:t xml:space="preserve">. Effects of </w:t>
      </w:r>
      <w:r w:rsidR="0077303B" w:rsidRPr="00C90C4E">
        <w:rPr>
          <w:rFonts w:eastAsia="Calibri"/>
          <w:szCs w:val="22"/>
        </w:rPr>
        <w:t>a prepaid nonmonetary incentive on response rates and response quality in a face-to-face surve</w:t>
      </w:r>
      <w:r w:rsidRPr="00C90C4E">
        <w:rPr>
          <w:rFonts w:eastAsia="Calibri"/>
          <w:szCs w:val="22"/>
        </w:rPr>
        <w:t xml:space="preserve">y.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59(1):78-92.</w:t>
      </w:r>
    </w:p>
    <w:p w:rsidR="0094150C" w:rsidRPr="00C90C4E" w:rsidRDefault="0094150C" w:rsidP="00244E9C">
      <w:pPr>
        <w:spacing w:after="240" w:line="240" w:lineRule="auto"/>
        <w:ind w:left="720" w:hanging="720"/>
        <w:rPr>
          <w:rStyle w:val="Hyperlink"/>
          <w:szCs w:val="22"/>
        </w:rPr>
      </w:pPr>
      <w:r w:rsidRPr="00C90C4E">
        <w:rPr>
          <w:szCs w:val="22"/>
        </w:rPr>
        <w:t xml:space="preserve">World Health Organization Composite International Diagnostic Interview Short Form. Retrieved from </w:t>
      </w:r>
      <w:hyperlink r:id="rId13" w:history="1">
        <w:r w:rsidRPr="00C90C4E">
          <w:rPr>
            <w:rStyle w:val="Hyperlink"/>
            <w:szCs w:val="22"/>
          </w:rPr>
          <w:t>http://www3.who.int/cidi</w:t>
        </w:r>
      </w:hyperlink>
    </w:p>
    <w:p w:rsidR="0094150C" w:rsidRPr="0094150C" w:rsidRDefault="0094150C" w:rsidP="0094150C">
      <w:pPr>
        <w:spacing w:after="200" w:line="276" w:lineRule="auto"/>
        <w:ind w:left="720" w:hanging="720"/>
        <w:rPr>
          <w:rFonts w:eastAsia="Calibri"/>
          <w:szCs w:val="22"/>
          <w:u w:val="single"/>
        </w:rPr>
      </w:pPr>
      <w:r w:rsidRPr="00C90C4E">
        <w:rPr>
          <w:rFonts w:eastAsia="Calibri"/>
          <w:szCs w:val="22"/>
        </w:rPr>
        <w:lastRenderedPageBreak/>
        <w:t xml:space="preserve">Yammarino, Francis J., Steven J. Skinner, and Terry L. Childers. 1991. Understanding </w:t>
      </w:r>
      <w:r w:rsidR="0077303B" w:rsidRPr="00C90C4E">
        <w:rPr>
          <w:rFonts w:eastAsia="Calibri"/>
          <w:szCs w:val="22"/>
        </w:rPr>
        <w:t>mail survey behavior</w:t>
      </w:r>
      <w:r w:rsidRPr="00C90C4E">
        <w:rPr>
          <w:rFonts w:eastAsia="Calibri"/>
          <w:szCs w:val="22"/>
        </w:rPr>
        <w:t xml:space="preserve">: A </w:t>
      </w:r>
      <w:r w:rsidR="0077303B" w:rsidRPr="00C90C4E">
        <w:rPr>
          <w:rFonts w:eastAsia="Calibri"/>
          <w:szCs w:val="22"/>
        </w:rPr>
        <w:t>meta-analysis</w:t>
      </w:r>
      <w:r w:rsidRPr="00C90C4E">
        <w:rPr>
          <w:rFonts w:eastAsia="Calibri"/>
          <w:szCs w:val="22"/>
        </w:rPr>
        <w:t xml:space="preserve">. </w:t>
      </w:r>
      <w:r w:rsidRPr="00C90C4E">
        <w:rPr>
          <w:rFonts w:eastAsia="Calibri"/>
          <w:i/>
          <w:szCs w:val="22"/>
        </w:rPr>
        <w:t>Public Opinion Quarterly</w:t>
      </w:r>
      <w:r w:rsidRPr="00C90C4E">
        <w:rPr>
          <w:rFonts w:eastAsia="Calibri"/>
          <w:szCs w:val="22"/>
        </w:rPr>
        <w:t xml:space="preserve"> 55(4):613-639.</w:t>
      </w:r>
    </w:p>
    <w:sectPr w:rsidR="0094150C" w:rsidRPr="0094150C" w:rsidSect="00D26157">
      <w:footerReference w:type="default" r:id="rId14"/>
      <w:pgSz w:w="12240" w:h="15840" w:code="1"/>
      <w:pgMar w:top="1440" w:right="1440" w:bottom="1440" w:left="1440" w:header="10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30" w:rsidRDefault="00B94D30" w:rsidP="00D979EA">
      <w:r>
        <w:separator/>
      </w:r>
    </w:p>
  </w:endnote>
  <w:endnote w:type="continuationSeparator" w:id="0">
    <w:p w:rsidR="00B94D30" w:rsidRDefault="00B94D30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AC" w:rsidRPr="0066134E" w:rsidRDefault="003042AC" w:rsidP="00D26157">
    <w:pPr>
      <w:pStyle w:val="Footer"/>
      <w:tabs>
        <w:tab w:val="clear" w:pos="4507"/>
        <w:tab w:val="clear" w:pos="9000"/>
        <w:tab w:val="right" w:pos="9360"/>
      </w:tabs>
    </w:pPr>
    <w:r w:rsidRPr="0066134E">
      <w:rPr>
        <w:rStyle w:val="PageNumber"/>
        <w:b/>
      </w:rPr>
      <w:tab/>
    </w:r>
    <w:r w:rsidR="00445093">
      <w:rPr>
        <w:rStyle w:val="PageNumber"/>
        <w:b/>
      </w:rPr>
      <w:t>Attachment A:</w:t>
    </w:r>
    <w:r w:rsidR="000E1DEF">
      <w:rPr>
        <w:rStyle w:val="PageNumber"/>
        <w:b/>
      </w:rPr>
      <w:t xml:space="preserve"> </w:t>
    </w:r>
    <w:r w:rsidR="005627EF">
      <w:rPr>
        <w:rStyle w:val="PageNumber"/>
        <w:b/>
      </w:rPr>
      <w:t>References</w:t>
    </w:r>
    <w:r w:rsidRPr="003F6E89">
      <w:rPr>
        <w:rStyle w:val="PageNumber"/>
        <w:b/>
      </w:rPr>
      <w:t xml:space="preserve"> </w:t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E96762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E96762" w:rsidRPr="002064D3">
      <w:rPr>
        <w:rStyle w:val="PageNumber"/>
        <w:b/>
        <w:color w:val="DA291C"/>
      </w:rPr>
      <w:fldChar w:fldCharType="separate"/>
    </w:r>
    <w:r w:rsidR="000C3053">
      <w:rPr>
        <w:rStyle w:val="PageNumber"/>
        <w:b/>
        <w:noProof/>
        <w:color w:val="DA291C"/>
      </w:rPr>
      <w:t>1</w:t>
    </w:r>
    <w:r w:rsidR="00E96762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30" w:rsidRDefault="00B94D30" w:rsidP="00D979EA">
      <w:r>
        <w:separator/>
      </w:r>
    </w:p>
  </w:footnote>
  <w:footnote w:type="continuationSeparator" w:id="0">
    <w:p w:rsidR="00B94D30" w:rsidRDefault="00B94D30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B25"/>
    <w:multiLevelType w:val="hybridMultilevel"/>
    <w:tmpl w:val="871CC25E"/>
    <w:lvl w:ilvl="0" w:tplc="5374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581197"/>
    <w:multiLevelType w:val="hybridMultilevel"/>
    <w:tmpl w:val="6ECC0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D33C4"/>
    <w:multiLevelType w:val="multilevel"/>
    <w:tmpl w:val="2C8E9D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94F1318"/>
    <w:multiLevelType w:val="hybridMultilevel"/>
    <w:tmpl w:val="8B1A03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522B15"/>
    <w:multiLevelType w:val="hybridMultilevel"/>
    <w:tmpl w:val="F6F49606"/>
    <w:lvl w:ilvl="0" w:tplc="33CCA3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3D57"/>
    <w:multiLevelType w:val="hybridMultilevel"/>
    <w:tmpl w:val="3B8CEA92"/>
    <w:lvl w:ilvl="0" w:tplc="05B8C9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516D6"/>
    <w:multiLevelType w:val="hybridMultilevel"/>
    <w:tmpl w:val="8154E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1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5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CF"/>
    <w:rsid w:val="00001F53"/>
    <w:rsid w:val="00003A2C"/>
    <w:rsid w:val="00006B3A"/>
    <w:rsid w:val="00012DD9"/>
    <w:rsid w:val="000136F3"/>
    <w:rsid w:val="00016E17"/>
    <w:rsid w:val="0002216E"/>
    <w:rsid w:val="00036ECE"/>
    <w:rsid w:val="00040E00"/>
    <w:rsid w:val="00046728"/>
    <w:rsid w:val="000525E0"/>
    <w:rsid w:val="00053EEF"/>
    <w:rsid w:val="000543DC"/>
    <w:rsid w:val="00055022"/>
    <w:rsid w:val="0005750B"/>
    <w:rsid w:val="0006045E"/>
    <w:rsid w:val="0006551D"/>
    <w:rsid w:val="0006587B"/>
    <w:rsid w:val="00070322"/>
    <w:rsid w:val="00082D01"/>
    <w:rsid w:val="0008447D"/>
    <w:rsid w:val="00087856"/>
    <w:rsid w:val="000902AA"/>
    <w:rsid w:val="00091232"/>
    <w:rsid w:val="00095D40"/>
    <w:rsid w:val="000A00A2"/>
    <w:rsid w:val="000A1C6D"/>
    <w:rsid w:val="000A58E4"/>
    <w:rsid w:val="000A61EF"/>
    <w:rsid w:val="000A7D69"/>
    <w:rsid w:val="000B33D1"/>
    <w:rsid w:val="000C0A39"/>
    <w:rsid w:val="000C0B40"/>
    <w:rsid w:val="000C3040"/>
    <w:rsid w:val="000C3053"/>
    <w:rsid w:val="000C5A28"/>
    <w:rsid w:val="000D53F1"/>
    <w:rsid w:val="000D5777"/>
    <w:rsid w:val="000E1DEF"/>
    <w:rsid w:val="000E6B75"/>
    <w:rsid w:val="000F53F4"/>
    <w:rsid w:val="001034D7"/>
    <w:rsid w:val="00104F2A"/>
    <w:rsid w:val="00107A04"/>
    <w:rsid w:val="0011170B"/>
    <w:rsid w:val="00116AE7"/>
    <w:rsid w:val="001178CA"/>
    <w:rsid w:val="001307A5"/>
    <w:rsid w:val="00137474"/>
    <w:rsid w:val="00152153"/>
    <w:rsid w:val="00157E04"/>
    <w:rsid w:val="00160657"/>
    <w:rsid w:val="00160B87"/>
    <w:rsid w:val="0016323E"/>
    <w:rsid w:val="001677DC"/>
    <w:rsid w:val="00172119"/>
    <w:rsid w:val="00175651"/>
    <w:rsid w:val="001825EB"/>
    <w:rsid w:val="00182BAE"/>
    <w:rsid w:val="001845BD"/>
    <w:rsid w:val="0019328A"/>
    <w:rsid w:val="001A04CE"/>
    <w:rsid w:val="001A0E0A"/>
    <w:rsid w:val="001A23B5"/>
    <w:rsid w:val="001A403F"/>
    <w:rsid w:val="001A4633"/>
    <w:rsid w:val="001B4509"/>
    <w:rsid w:val="001C0891"/>
    <w:rsid w:val="001C10AF"/>
    <w:rsid w:val="001C6053"/>
    <w:rsid w:val="001D4FDD"/>
    <w:rsid w:val="001E2CF1"/>
    <w:rsid w:val="001F3524"/>
    <w:rsid w:val="001F49BF"/>
    <w:rsid w:val="001F77B2"/>
    <w:rsid w:val="00200E58"/>
    <w:rsid w:val="002064D3"/>
    <w:rsid w:val="002106BF"/>
    <w:rsid w:val="0021503C"/>
    <w:rsid w:val="002176B8"/>
    <w:rsid w:val="002216AD"/>
    <w:rsid w:val="00221D99"/>
    <w:rsid w:val="00222854"/>
    <w:rsid w:val="00223A9F"/>
    <w:rsid w:val="0022674D"/>
    <w:rsid w:val="00227977"/>
    <w:rsid w:val="0023449A"/>
    <w:rsid w:val="00235F88"/>
    <w:rsid w:val="00241772"/>
    <w:rsid w:val="002430C9"/>
    <w:rsid w:val="00244E9C"/>
    <w:rsid w:val="00255975"/>
    <w:rsid w:val="002661D0"/>
    <w:rsid w:val="002702F7"/>
    <w:rsid w:val="00273EAA"/>
    <w:rsid w:val="00275398"/>
    <w:rsid w:val="00276702"/>
    <w:rsid w:val="00276C3D"/>
    <w:rsid w:val="0028328D"/>
    <w:rsid w:val="002838F5"/>
    <w:rsid w:val="002851AB"/>
    <w:rsid w:val="00285BB6"/>
    <w:rsid w:val="0029491C"/>
    <w:rsid w:val="002A2FCA"/>
    <w:rsid w:val="002A4078"/>
    <w:rsid w:val="002A5CE0"/>
    <w:rsid w:val="002B2F3C"/>
    <w:rsid w:val="002C1DC1"/>
    <w:rsid w:val="002C32AB"/>
    <w:rsid w:val="002C41D0"/>
    <w:rsid w:val="002C41F9"/>
    <w:rsid w:val="002C4495"/>
    <w:rsid w:val="002C5AC8"/>
    <w:rsid w:val="002C76AB"/>
    <w:rsid w:val="002C775C"/>
    <w:rsid w:val="002D0780"/>
    <w:rsid w:val="002D4536"/>
    <w:rsid w:val="002E65B6"/>
    <w:rsid w:val="002E67C1"/>
    <w:rsid w:val="002F48C8"/>
    <w:rsid w:val="002F55CE"/>
    <w:rsid w:val="002F76F5"/>
    <w:rsid w:val="00302A2C"/>
    <w:rsid w:val="003042AC"/>
    <w:rsid w:val="00310C8D"/>
    <w:rsid w:val="00314A8A"/>
    <w:rsid w:val="003165CA"/>
    <w:rsid w:val="00324EC2"/>
    <w:rsid w:val="003279F2"/>
    <w:rsid w:val="003328C4"/>
    <w:rsid w:val="00342BA9"/>
    <w:rsid w:val="003455BC"/>
    <w:rsid w:val="00346F17"/>
    <w:rsid w:val="00354503"/>
    <w:rsid w:val="003623F0"/>
    <w:rsid w:val="00370164"/>
    <w:rsid w:val="003711CD"/>
    <w:rsid w:val="00372D88"/>
    <w:rsid w:val="00380DB1"/>
    <w:rsid w:val="00383BFC"/>
    <w:rsid w:val="00384611"/>
    <w:rsid w:val="00384CA0"/>
    <w:rsid w:val="003870BA"/>
    <w:rsid w:val="00390880"/>
    <w:rsid w:val="00395A89"/>
    <w:rsid w:val="003A2FA8"/>
    <w:rsid w:val="003A3403"/>
    <w:rsid w:val="003B1496"/>
    <w:rsid w:val="003B4770"/>
    <w:rsid w:val="003B7D8F"/>
    <w:rsid w:val="003C20BF"/>
    <w:rsid w:val="003D5616"/>
    <w:rsid w:val="003E666B"/>
    <w:rsid w:val="003F0B7B"/>
    <w:rsid w:val="003F3E19"/>
    <w:rsid w:val="003F6E89"/>
    <w:rsid w:val="00403C3C"/>
    <w:rsid w:val="00423092"/>
    <w:rsid w:val="004253E8"/>
    <w:rsid w:val="00427EA9"/>
    <w:rsid w:val="004319BC"/>
    <w:rsid w:val="004350B0"/>
    <w:rsid w:val="00436CE5"/>
    <w:rsid w:val="00437539"/>
    <w:rsid w:val="00445093"/>
    <w:rsid w:val="0045437A"/>
    <w:rsid w:val="00470AB4"/>
    <w:rsid w:val="00472E16"/>
    <w:rsid w:val="004734DF"/>
    <w:rsid w:val="00486943"/>
    <w:rsid w:val="00495B91"/>
    <w:rsid w:val="004A340D"/>
    <w:rsid w:val="004A4C72"/>
    <w:rsid w:val="004A5408"/>
    <w:rsid w:val="004C18DF"/>
    <w:rsid w:val="004C29E5"/>
    <w:rsid w:val="004C2B46"/>
    <w:rsid w:val="004D4C6D"/>
    <w:rsid w:val="004D50DA"/>
    <w:rsid w:val="004E01A4"/>
    <w:rsid w:val="004E3B80"/>
    <w:rsid w:val="004F2550"/>
    <w:rsid w:val="004F38A6"/>
    <w:rsid w:val="004F6742"/>
    <w:rsid w:val="004F709B"/>
    <w:rsid w:val="00500F07"/>
    <w:rsid w:val="00503049"/>
    <w:rsid w:val="00513602"/>
    <w:rsid w:val="00526028"/>
    <w:rsid w:val="005310E9"/>
    <w:rsid w:val="00534B03"/>
    <w:rsid w:val="00534C33"/>
    <w:rsid w:val="00536DB4"/>
    <w:rsid w:val="0054025D"/>
    <w:rsid w:val="0055123E"/>
    <w:rsid w:val="00560A17"/>
    <w:rsid w:val="005627EF"/>
    <w:rsid w:val="00574572"/>
    <w:rsid w:val="00581E37"/>
    <w:rsid w:val="00585CA4"/>
    <w:rsid w:val="00597948"/>
    <w:rsid w:val="005A5EFD"/>
    <w:rsid w:val="005B1AC5"/>
    <w:rsid w:val="005B6A25"/>
    <w:rsid w:val="005B6ACF"/>
    <w:rsid w:val="005C1537"/>
    <w:rsid w:val="005C4647"/>
    <w:rsid w:val="005D48BF"/>
    <w:rsid w:val="005D68F7"/>
    <w:rsid w:val="005E0CF2"/>
    <w:rsid w:val="005E2AEA"/>
    <w:rsid w:val="005E6B70"/>
    <w:rsid w:val="00601239"/>
    <w:rsid w:val="006035AF"/>
    <w:rsid w:val="006122D8"/>
    <w:rsid w:val="0061247A"/>
    <w:rsid w:val="00615938"/>
    <w:rsid w:val="0063014E"/>
    <w:rsid w:val="00634B9A"/>
    <w:rsid w:val="0065112D"/>
    <w:rsid w:val="00651FA9"/>
    <w:rsid w:val="0066134E"/>
    <w:rsid w:val="006679A9"/>
    <w:rsid w:val="00674194"/>
    <w:rsid w:val="006814BB"/>
    <w:rsid w:val="006840EB"/>
    <w:rsid w:val="00686715"/>
    <w:rsid w:val="0069342C"/>
    <w:rsid w:val="006A541C"/>
    <w:rsid w:val="006A5B3B"/>
    <w:rsid w:val="006B1DA6"/>
    <w:rsid w:val="006B3733"/>
    <w:rsid w:val="006C7A4C"/>
    <w:rsid w:val="006D0008"/>
    <w:rsid w:val="006D406B"/>
    <w:rsid w:val="006D48BE"/>
    <w:rsid w:val="006D5CB3"/>
    <w:rsid w:val="006E2B32"/>
    <w:rsid w:val="006F299B"/>
    <w:rsid w:val="006F2B34"/>
    <w:rsid w:val="006F3298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60D0C"/>
    <w:rsid w:val="00762DD6"/>
    <w:rsid w:val="007631C7"/>
    <w:rsid w:val="00763CCC"/>
    <w:rsid w:val="0077303B"/>
    <w:rsid w:val="00776C72"/>
    <w:rsid w:val="0078258F"/>
    <w:rsid w:val="007846BC"/>
    <w:rsid w:val="00794B6E"/>
    <w:rsid w:val="007969A4"/>
    <w:rsid w:val="00797BC5"/>
    <w:rsid w:val="007A0114"/>
    <w:rsid w:val="007A444A"/>
    <w:rsid w:val="007B1321"/>
    <w:rsid w:val="007B1904"/>
    <w:rsid w:val="007C6275"/>
    <w:rsid w:val="007D6370"/>
    <w:rsid w:val="007E092F"/>
    <w:rsid w:val="007E4CD9"/>
    <w:rsid w:val="007E5EC0"/>
    <w:rsid w:val="007F15BF"/>
    <w:rsid w:val="0080098A"/>
    <w:rsid w:val="00801209"/>
    <w:rsid w:val="00801761"/>
    <w:rsid w:val="008111EB"/>
    <w:rsid w:val="008130C9"/>
    <w:rsid w:val="00813D02"/>
    <w:rsid w:val="00814833"/>
    <w:rsid w:val="0082033D"/>
    <w:rsid w:val="00820946"/>
    <w:rsid w:val="008222AD"/>
    <w:rsid w:val="00830EA2"/>
    <w:rsid w:val="0083104D"/>
    <w:rsid w:val="008349AE"/>
    <w:rsid w:val="00834E0B"/>
    <w:rsid w:val="00842C2C"/>
    <w:rsid w:val="00845AE6"/>
    <w:rsid w:val="008460D5"/>
    <w:rsid w:val="00846D77"/>
    <w:rsid w:val="00852480"/>
    <w:rsid w:val="00852716"/>
    <w:rsid w:val="0085662C"/>
    <w:rsid w:val="00856632"/>
    <w:rsid w:val="008615B4"/>
    <w:rsid w:val="00867308"/>
    <w:rsid w:val="008764F4"/>
    <w:rsid w:val="008775A1"/>
    <w:rsid w:val="00890448"/>
    <w:rsid w:val="0089099B"/>
    <w:rsid w:val="00894441"/>
    <w:rsid w:val="008A7F8D"/>
    <w:rsid w:val="008B0543"/>
    <w:rsid w:val="008B2F02"/>
    <w:rsid w:val="008C0888"/>
    <w:rsid w:val="008C0C27"/>
    <w:rsid w:val="008C3505"/>
    <w:rsid w:val="008C75BE"/>
    <w:rsid w:val="008D10A4"/>
    <w:rsid w:val="008D30EA"/>
    <w:rsid w:val="008D55C8"/>
    <w:rsid w:val="008E20DE"/>
    <w:rsid w:val="008E2965"/>
    <w:rsid w:val="008F1770"/>
    <w:rsid w:val="009000A5"/>
    <w:rsid w:val="009013C5"/>
    <w:rsid w:val="00904DE0"/>
    <w:rsid w:val="009061A4"/>
    <w:rsid w:val="00911BD5"/>
    <w:rsid w:val="00912E02"/>
    <w:rsid w:val="00913F6D"/>
    <w:rsid w:val="00926C8C"/>
    <w:rsid w:val="00927291"/>
    <w:rsid w:val="0093440F"/>
    <w:rsid w:val="0094150C"/>
    <w:rsid w:val="00942024"/>
    <w:rsid w:val="00944550"/>
    <w:rsid w:val="009550AD"/>
    <w:rsid w:val="009565D4"/>
    <w:rsid w:val="009635E3"/>
    <w:rsid w:val="00964F6A"/>
    <w:rsid w:val="00967D7C"/>
    <w:rsid w:val="009711D0"/>
    <w:rsid w:val="00972AFF"/>
    <w:rsid w:val="0097600C"/>
    <w:rsid w:val="00977D73"/>
    <w:rsid w:val="009837CC"/>
    <w:rsid w:val="00985F4F"/>
    <w:rsid w:val="0099262A"/>
    <w:rsid w:val="0099739B"/>
    <w:rsid w:val="009A05F3"/>
    <w:rsid w:val="009B0272"/>
    <w:rsid w:val="009B56DA"/>
    <w:rsid w:val="009D13BB"/>
    <w:rsid w:val="009D50EB"/>
    <w:rsid w:val="009E32F5"/>
    <w:rsid w:val="009E6279"/>
    <w:rsid w:val="009F1F1A"/>
    <w:rsid w:val="009F2649"/>
    <w:rsid w:val="009F704C"/>
    <w:rsid w:val="00A0215D"/>
    <w:rsid w:val="00A06666"/>
    <w:rsid w:val="00A105E0"/>
    <w:rsid w:val="00A257F3"/>
    <w:rsid w:val="00A3018B"/>
    <w:rsid w:val="00A3128D"/>
    <w:rsid w:val="00A324EA"/>
    <w:rsid w:val="00A33A46"/>
    <w:rsid w:val="00A45B43"/>
    <w:rsid w:val="00A4794A"/>
    <w:rsid w:val="00A533DE"/>
    <w:rsid w:val="00A53D74"/>
    <w:rsid w:val="00A53E2B"/>
    <w:rsid w:val="00A63F46"/>
    <w:rsid w:val="00A77ED5"/>
    <w:rsid w:val="00A817CE"/>
    <w:rsid w:val="00A9161A"/>
    <w:rsid w:val="00A928FA"/>
    <w:rsid w:val="00A97F68"/>
    <w:rsid w:val="00AA21F6"/>
    <w:rsid w:val="00AA6801"/>
    <w:rsid w:val="00AA7B0B"/>
    <w:rsid w:val="00AB32CF"/>
    <w:rsid w:val="00AB4548"/>
    <w:rsid w:val="00AB7637"/>
    <w:rsid w:val="00AC0C31"/>
    <w:rsid w:val="00AC59EB"/>
    <w:rsid w:val="00AD2235"/>
    <w:rsid w:val="00AD6564"/>
    <w:rsid w:val="00AE093E"/>
    <w:rsid w:val="00AE20FA"/>
    <w:rsid w:val="00AE77DA"/>
    <w:rsid w:val="00B02599"/>
    <w:rsid w:val="00B14060"/>
    <w:rsid w:val="00B16B3C"/>
    <w:rsid w:val="00B25EE3"/>
    <w:rsid w:val="00B268DD"/>
    <w:rsid w:val="00B269D4"/>
    <w:rsid w:val="00B3357C"/>
    <w:rsid w:val="00B35377"/>
    <w:rsid w:val="00B361C9"/>
    <w:rsid w:val="00B61C4A"/>
    <w:rsid w:val="00B61EC9"/>
    <w:rsid w:val="00B679AD"/>
    <w:rsid w:val="00B7744A"/>
    <w:rsid w:val="00B82D4D"/>
    <w:rsid w:val="00B87EE6"/>
    <w:rsid w:val="00B87F1F"/>
    <w:rsid w:val="00B9260A"/>
    <w:rsid w:val="00B94D30"/>
    <w:rsid w:val="00B96ABD"/>
    <w:rsid w:val="00BA5983"/>
    <w:rsid w:val="00BC5499"/>
    <w:rsid w:val="00BC565E"/>
    <w:rsid w:val="00BC7A28"/>
    <w:rsid w:val="00BE5068"/>
    <w:rsid w:val="00BF18DC"/>
    <w:rsid w:val="00C04B4F"/>
    <w:rsid w:val="00C13DE2"/>
    <w:rsid w:val="00C14408"/>
    <w:rsid w:val="00C14776"/>
    <w:rsid w:val="00C17F58"/>
    <w:rsid w:val="00C263F0"/>
    <w:rsid w:val="00C307E7"/>
    <w:rsid w:val="00C3370C"/>
    <w:rsid w:val="00C34A92"/>
    <w:rsid w:val="00C35829"/>
    <w:rsid w:val="00C370A7"/>
    <w:rsid w:val="00C379AD"/>
    <w:rsid w:val="00C54CA0"/>
    <w:rsid w:val="00C57E90"/>
    <w:rsid w:val="00C60157"/>
    <w:rsid w:val="00C62F1C"/>
    <w:rsid w:val="00C6380F"/>
    <w:rsid w:val="00C744A3"/>
    <w:rsid w:val="00C77706"/>
    <w:rsid w:val="00C81DB5"/>
    <w:rsid w:val="00C87677"/>
    <w:rsid w:val="00C900FF"/>
    <w:rsid w:val="00C90C4E"/>
    <w:rsid w:val="00C91460"/>
    <w:rsid w:val="00CB3FC8"/>
    <w:rsid w:val="00CB442A"/>
    <w:rsid w:val="00CB5AB9"/>
    <w:rsid w:val="00CC1766"/>
    <w:rsid w:val="00CD1FFC"/>
    <w:rsid w:val="00CD3376"/>
    <w:rsid w:val="00CD36B0"/>
    <w:rsid w:val="00CD4B2E"/>
    <w:rsid w:val="00CD4DE4"/>
    <w:rsid w:val="00CD6527"/>
    <w:rsid w:val="00CD6B3F"/>
    <w:rsid w:val="00CF3E63"/>
    <w:rsid w:val="00CF561E"/>
    <w:rsid w:val="00D02391"/>
    <w:rsid w:val="00D143BA"/>
    <w:rsid w:val="00D20DD2"/>
    <w:rsid w:val="00D26157"/>
    <w:rsid w:val="00D34EEE"/>
    <w:rsid w:val="00D37BAF"/>
    <w:rsid w:val="00D40A64"/>
    <w:rsid w:val="00D51337"/>
    <w:rsid w:val="00D51B1E"/>
    <w:rsid w:val="00D64527"/>
    <w:rsid w:val="00D86F55"/>
    <w:rsid w:val="00D93D19"/>
    <w:rsid w:val="00D96598"/>
    <w:rsid w:val="00D979EA"/>
    <w:rsid w:val="00DA02B9"/>
    <w:rsid w:val="00DA42EA"/>
    <w:rsid w:val="00DA7FEA"/>
    <w:rsid w:val="00DB269B"/>
    <w:rsid w:val="00DB2E3E"/>
    <w:rsid w:val="00DC02B5"/>
    <w:rsid w:val="00DC3E9D"/>
    <w:rsid w:val="00DD27D1"/>
    <w:rsid w:val="00DE221A"/>
    <w:rsid w:val="00DE2334"/>
    <w:rsid w:val="00DE5C1E"/>
    <w:rsid w:val="00DF68F0"/>
    <w:rsid w:val="00DF6CDE"/>
    <w:rsid w:val="00E0113D"/>
    <w:rsid w:val="00E0121B"/>
    <w:rsid w:val="00E039CB"/>
    <w:rsid w:val="00E11E50"/>
    <w:rsid w:val="00E1423B"/>
    <w:rsid w:val="00E27784"/>
    <w:rsid w:val="00E317E1"/>
    <w:rsid w:val="00E33231"/>
    <w:rsid w:val="00E45090"/>
    <w:rsid w:val="00E5650A"/>
    <w:rsid w:val="00E6186E"/>
    <w:rsid w:val="00E61996"/>
    <w:rsid w:val="00E72F03"/>
    <w:rsid w:val="00E7429A"/>
    <w:rsid w:val="00E75D89"/>
    <w:rsid w:val="00E84434"/>
    <w:rsid w:val="00E90007"/>
    <w:rsid w:val="00E961A1"/>
    <w:rsid w:val="00E96762"/>
    <w:rsid w:val="00EA0512"/>
    <w:rsid w:val="00EB30F5"/>
    <w:rsid w:val="00EB5C8B"/>
    <w:rsid w:val="00EC3CC1"/>
    <w:rsid w:val="00EC47CA"/>
    <w:rsid w:val="00ED263C"/>
    <w:rsid w:val="00ED2A92"/>
    <w:rsid w:val="00ED503D"/>
    <w:rsid w:val="00EE11FD"/>
    <w:rsid w:val="00EE1D07"/>
    <w:rsid w:val="00EE2DA2"/>
    <w:rsid w:val="00EE35EF"/>
    <w:rsid w:val="00F0358E"/>
    <w:rsid w:val="00F106F7"/>
    <w:rsid w:val="00F10B95"/>
    <w:rsid w:val="00F13235"/>
    <w:rsid w:val="00F1494E"/>
    <w:rsid w:val="00F23798"/>
    <w:rsid w:val="00F240AA"/>
    <w:rsid w:val="00F2490C"/>
    <w:rsid w:val="00F260AC"/>
    <w:rsid w:val="00F26DFB"/>
    <w:rsid w:val="00F27043"/>
    <w:rsid w:val="00F32C54"/>
    <w:rsid w:val="00F32E6E"/>
    <w:rsid w:val="00F41461"/>
    <w:rsid w:val="00F4263A"/>
    <w:rsid w:val="00F4547E"/>
    <w:rsid w:val="00F47E96"/>
    <w:rsid w:val="00F50A3A"/>
    <w:rsid w:val="00F53A4C"/>
    <w:rsid w:val="00F5526E"/>
    <w:rsid w:val="00F62A1E"/>
    <w:rsid w:val="00F64DB9"/>
    <w:rsid w:val="00F65513"/>
    <w:rsid w:val="00F6618E"/>
    <w:rsid w:val="00F82553"/>
    <w:rsid w:val="00F85399"/>
    <w:rsid w:val="00F921BD"/>
    <w:rsid w:val="00F93183"/>
    <w:rsid w:val="00FA035F"/>
    <w:rsid w:val="00FA33EC"/>
    <w:rsid w:val="00FA686C"/>
    <w:rsid w:val="00FA6932"/>
    <w:rsid w:val="00FB2175"/>
    <w:rsid w:val="00FB3972"/>
    <w:rsid w:val="00FB70DE"/>
    <w:rsid w:val="00FC2BD1"/>
    <w:rsid w:val="00FD17C2"/>
    <w:rsid w:val="00FD634F"/>
    <w:rsid w:val="00FE0A7C"/>
    <w:rsid w:val="00FE2611"/>
    <w:rsid w:val="00FF206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E96762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E96762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E96762"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rsid w:val="00E96762"/>
    <w:pPr>
      <w:ind w:left="1152"/>
    </w:pPr>
  </w:style>
  <w:style w:type="paragraph" w:styleId="TOC4">
    <w:name w:val="toc 4"/>
    <w:basedOn w:val="BodyText"/>
    <w:next w:val="BodyText"/>
    <w:semiHidden/>
    <w:rsid w:val="00E96762"/>
    <w:pPr>
      <w:ind w:left="1728"/>
    </w:pPr>
  </w:style>
  <w:style w:type="paragraph" w:styleId="TOC5">
    <w:name w:val="toc 5"/>
    <w:basedOn w:val="Normal"/>
    <w:next w:val="Normal"/>
    <w:autoRedefine/>
    <w:semiHidden/>
    <w:rsid w:val="00E96762"/>
    <w:pPr>
      <w:ind w:left="960"/>
    </w:pPr>
  </w:style>
  <w:style w:type="paragraph" w:styleId="TOC6">
    <w:name w:val="toc 6"/>
    <w:basedOn w:val="Normal"/>
    <w:next w:val="Normal"/>
    <w:autoRedefine/>
    <w:semiHidden/>
    <w:rsid w:val="00E96762"/>
    <w:pPr>
      <w:ind w:left="1200"/>
    </w:pPr>
  </w:style>
  <w:style w:type="paragraph" w:styleId="TOC7">
    <w:name w:val="toc 7"/>
    <w:basedOn w:val="Normal"/>
    <w:next w:val="Normal"/>
    <w:autoRedefine/>
    <w:semiHidden/>
    <w:rsid w:val="00E96762"/>
    <w:pPr>
      <w:ind w:left="1440"/>
    </w:pPr>
  </w:style>
  <w:style w:type="paragraph" w:styleId="TOC8">
    <w:name w:val="toc 8"/>
    <w:basedOn w:val="Normal"/>
    <w:next w:val="Normal"/>
    <w:autoRedefine/>
    <w:semiHidden/>
    <w:rsid w:val="00E96762"/>
    <w:pPr>
      <w:ind w:left="1680"/>
    </w:pPr>
  </w:style>
  <w:style w:type="paragraph" w:styleId="TOC9">
    <w:name w:val="toc 9"/>
    <w:basedOn w:val="Normal"/>
    <w:next w:val="Normal"/>
    <w:autoRedefine/>
    <w:semiHidden/>
    <w:rsid w:val="00E96762"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E96762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E96762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E96762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E96762"/>
    <w:pPr>
      <w:numPr>
        <w:numId w:val="1"/>
      </w:numPr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916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3B80"/>
    <w:rPr>
      <w:sz w:val="22"/>
    </w:rPr>
  </w:style>
  <w:style w:type="character" w:styleId="FollowedHyperlink">
    <w:name w:val="FollowedHyperlink"/>
    <w:basedOn w:val="DefaultParagraphFont"/>
    <w:rsid w:val="0077303B"/>
    <w:rPr>
      <w:color w:val="0070C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916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3B80"/>
    <w:rPr>
      <w:sz w:val="22"/>
    </w:rPr>
  </w:style>
  <w:style w:type="character" w:styleId="FollowedHyperlink">
    <w:name w:val="FollowedHyperlink"/>
    <w:basedOn w:val="DefaultParagraphFont"/>
    <w:rsid w:val="0077303B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who.int/cid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f.hhs.gov/programs/opre/welfare_employ/ch_outcomes/reports/welfare_reform_children/wel_ref_chil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es.ed.gov/ncee/pdf/20090049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.northwestern.edu/jcpr/workingpapers/wpfiles/magnuson_mcgrode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ldstats.gov/pdf/ac2011/ac_11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C7EA-FE11-4983-A399-0E069CAE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14108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CTAC</cp:lastModifiedBy>
  <cp:revision>2</cp:revision>
  <cp:lastPrinted>2012-05-04T19:33:00Z</cp:lastPrinted>
  <dcterms:created xsi:type="dcterms:W3CDTF">2012-10-17T18:16:00Z</dcterms:created>
  <dcterms:modified xsi:type="dcterms:W3CDTF">2012-10-17T18:16:00Z</dcterms:modified>
  <cp:category>Templates</cp:category>
</cp:coreProperties>
</file>