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1429"/>
        <w:tblOverlap w:val="never"/>
        <w:tblW w:w="0" w:type="auto"/>
        <w:jc w:val="center"/>
        <w:tblLayout w:type="fixed"/>
        <w:tblCellMar>
          <w:left w:w="115" w:type="dxa"/>
          <w:right w:w="115" w:type="dxa"/>
        </w:tblCellMar>
        <w:tblLook w:val="04A0" w:firstRow="1" w:lastRow="0" w:firstColumn="1" w:lastColumn="0" w:noHBand="0" w:noVBand="1"/>
      </w:tblPr>
      <w:tblGrid>
        <w:gridCol w:w="3618"/>
        <w:gridCol w:w="4057"/>
      </w:tblGrid>
      <w:tr w:rsidR="00E57636" w:rsidRPr="001D0AD5" w:rsidTr="00E57636">
        <w:trPr>
          <w:jc w:val="center"/>
        </w:trPr>
        <w:tc>
          <w:tcPr>
            <w:tcW w:w="3618" w:type="dxa"/>
          </w:tcPr>
          <w:p w:rsidR="00E57636" w:rsidRPr="001D0AD5" w:rsidRDefault="00E57636" w:rsidP="00E57636">
            <w:pPr>
              <w:spacing w:line="240" w:lineRule="exact"/>
              <w:ind w:firstLine="0"/>
              <w:jc w:val="left"/>
              <w:rPr>
                <w:rFonts w:ascii="Lucida Sans" w:hAnsi="Lucida Sans"/>
                <w:sz w:val="17"/>
                <w:szCs w:val="16"/>
              </w:rPr>
            </w:pPr>
            <w:bookmarkStart w:id="0" w:name="_GoBack"/>
            <w:bookmarkEnd w:id="0"/>
            <w:r w:rsidRPr="001D0AD5">
              <w:rPr>
                <w:rFonts w:ascii="Lucida Sans" w:hAnsi="Lucida Sans"/>
                <w:sz w:val="17"/>
                <w:szCs w:val="16"/>
              </w:rPr>
              <w:t>U.S. Department of Health and Human Services</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Administration for Children and Families</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Office of Planning, Research, and Evaluation</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Aerospace 7th Floor West</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901 D Street, SW</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Washington DC 20447</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Project Officers: Nancye Campbell and</w:t>
            </w:r>
          </w:p>
          <w:p w:rsidR="00E57636" w:rsidRPr="001D0AD5" w:rsidRDefault="00E57636" w:rsidP="00E57636">
            <w:pPr>
              <w:spacing w:after="180" w:line="240" w:lineRule="exact"/>
              <w:ind w:left="1368" w:firstLine="0"/>
              <w:jc w:val="left"/>
              <w:rPr>
                <w:rFonts w:ascii="Lucida Sans" w:hAnsi="Lucida Sans"/>
                <w:sz w:val="17"/>
                <w:szCs w:val="16"/>
              </w:rPr>
            </w:pPr>
            <w:r w:rsidRPr="001D0AD5">
              <w:rPr>
                <w:rFonts w:ascii="Lucida Sans" w:hAnsi="Lucida Sans"/>
                <w:sz w:val="17"/>
                <w:szCs w:val="16"/>
              </w:rPr>
              <w:t>Seth Chamberlain</w:t>
            </w:r>
          </w:p>
          <w:p w:rsidR="00E57636" w:rsidRPr="001D0AD5" w:rsidRDefault="00E57636" w:rsidP="00E57636">
            <w:pPr>
              <w:spacing w:after="180" w:line="240" w:lineRule="exact"/>
              <w:ind w:left="1440" w:firstLine="0"/>
              <w:jc w:val="left"/>
              <w:rPr>
                <w:rFonts w:ascii="Lucida Sans" w:hAnsi="Lucida Sans"/>
                <w:sz w:val="16"/>
                <w:szCs w:val="16"/>
              </w:rPr>
            </w:pPr>
          </w:p>
        </w:tc>
        <w:tc>
          <w:tcPr>
            <w:tcW w:w="4057" w:type="dxa"/>
          </w:tcPr>
          <w:p w:rsidR="00E57636" w:rsidRPr="001D0AD5" w:rsidRDefault="00E57636" w:rsidP="00E57636">
            <w:pPr>
              <w:spacing w:after="144" w:line="312" w:lineRule="auto"/>
              <w:ind w:left="58" w:firstLine="0"/>
              <w:jc w:val="left"/>
              <w:rPr>
                <w:rFonts w:ascii="Lucida Sans" w:hAnsi="Lucida Sans"/>
                <w:b/>
                <w:sz w:val="22"/>
                <w:szCs w:val="22"/>
              </w:rPr>
            </w:pPr>
            <w:r w:rsidRPr="001D0AD5">
              <w:rPr>
                <w:rFonts w:ascii="Lucida Sans" w:hAnsi="Lucida Sans"/>
                <w:b/>
                <w:sz w:val="22"/>
                <w:szCs w:val="22"/>
              </w:rPr>
              <w:t>Parents and Children Together (PACT) Evaluation</w:t>
            </w:r>
            <w:r>
              <w:rPr>
                <w:rFonts w:ascii="Lucida Sans" w:hAnsi="Lucida Sans"/>
                <w:b/>
                <w:sz w:val="22"/>
                <w:szCs w:val="22"/>
              </w:rPr>
              <w:t xml:space="preserve"> (0970-0403)</w:t>
            </w:r>
            <w:r w:rsidRPr="001D0AD5">
              <w:rPr>
                <w:rFonts w:ascii="Lucida Sans" w:hAnsi="Lucida Sans"/>
                <w:b/>
                <w:sz w:val="22"/>
                <w:szCs w:val="22"/>
              </w:rPr>
              <w:t xml:space="preserve">: </w:t>
            </w:r>
          </w:p>
          <w:p w:rsidR="00E57636" w:rsidRPr="001D0AD5" w:rsidRDefault="00E57636" w:rsidP="00E57636">
            <w:pPr>
              <w:spacing w:after="144" w:line="312" w:lineRule="auto"/>
              <w:ind w:left="58" w:firstLine="0"/>
              <w:jc w:val="left"/>
              <w:rPr>
                <w:rFonts w:ascii="Lucida Sans" w:hAnsi="Lucida Sans"/>
                <w:b/>
                <w:sz w:val="22"/>
                <w:szCs w:val="22"/>
              </w:rPr>
            </w:pPr>
            <w:r w:rsidRPr="001D0AD5">
              <w:rPr>
                <w:rFonts w:ascii="Lucida Sans" w:hAnsi="Lucida Sans"/>
                <w:b/>
                <w:sz w:val="22"/>
                <w:szCs w:val="22"/>
              </w:rPr>
              <w:t xml:space="preserve">OMB Supporting Statement for the Baseline Data Collection and Study MIS </w:t>
            </w:r>
          </w:p>
          <w:p w:rsidR="00E57636" w:rsidRPr="001D0AD5" w:rsidRDefault="00E57636" w:rsidP="00E57636">
            <w:pPr>
              <w:spacing w:after="144" w:line="312" w:lineRule="auto"/>
              <w:ind w:left="58" w:firstLine="0"/>
              <w:jc w:val="left"/>
              <w:rPr>
                <w:rFonts w:ascii="Lucida Sans" w:hAnsi="Lucida Sans"/>
                <w:b/>
                <w:sz w:val="22"/>
                <w:szCs w:val="22"/>
              </w:rPr>
            </w:pPr>
            <w:r w:rsidRPr="001D0AD5">
              <w:rPr>
                <w:rFonts w:ascii="Lucida Sans" w:hAnsi="Lucida Sans"/>
                <w:b/>
                <w:sz w:val="22"/>
                <w:szCs w:val="22"/>
              </w:rPr>
              <w:t>Part B: Collection of Information Involving Statistical Methods</w:t>
            </w:r>
          </w:p>
          <w:p w:rsidR="00E57636" w:rsidRPr="001D0AD5" w:rsidRDefault="00076C8D" w:rsidP="00E57636">
            <w:pPr>
              <w:spacing w:before="144" w:after="288" w:line="360" w:lineRule="exact"/>
              <w:ind w:left="58" w:firstLine="0"/>
              <w:jc w:val="left"/>
              <w:rPr>
                <w:rFonts w:ascii="Lucida Sans" w:hAnsi="Lucida Sans"/>
                <w:sz w:val="22"/>
                <w:szCs w:val="22"/>
              </w:rPr>
            </w:pPr>
            <w:r>
              <w:rPr>
                <w:rFonts w:ascii="Lucida Sans" w:hAnsi="Lucida Sans"/>
                <w:sz w:val="22"/>
                <w:szCs w:val="22"/>
              </w:rPr>
              <w:t>June</w:t>
            </w:r>
            <w:r w:rsidR="00E57636" w:rsidRPr="001D0AD5">
              <w:rPr>
                <w:rFonts w:ascii="Lucida Sans" w:hAnsi="Lucida Sans"/>
                <w:sz w:val="22"/>
                <w:szCs w:val="22"/>
              </w:rPr>
              <w:t xml:space="preserve"> 2012</w:t>
            </w:r>
            <w:r w:rsidR="005277F5">
              <w:rPr>
                <w:rFonts w:ascii="Lucida Sans" w:hAnsi="Lucida Sans"/>
                <w:sz w:val="22"/>
                <w:szCs w:val="22"/>
              </w:rPr>
              <w:t>; Updated October 2012</w:t>
            </w:r>
          </w:p>
          <w:p w:rsidR="00E57636" w:rsidRPr="001D0AD5" w:rsidRDefault="00E57636" w:rsidP="00E57636">
            <w:pPr>
              <w:spacing w:line="280" w:lineRule="exact"/>
              <w:ind w:left="58" w:firstLine="0"/>
              <w:jc w:val="left"/>
              <w:rPr>
                <w:rFonts w:ascii="Lucida Sans" w:hAnsi="Lucida Sans"/>
                <w:sz w:val="20"/>
                <w:szCs w:val="20"/>
              </w:rPr>
            </w:pPr>
          </w:p>
          <w:p w:rsidR="00E57636" w:rsidRPr="001D0AD5" w:rsidRDefault="00E57636" w:rsidP="00E57636">
            <w:pPr>
              <w:spacing w:line="264" w:lineRule="auto"/>
              <w:ind w:left="58" w:firstLine="0"/>
              <w:jc w:val="left"/>
              <w:rPr>
                <w:rFonts w:ascii="Lucida Sans" w:hAnsi="Lucida Sans"/>
                <w:sz w:val="20"/>
                <w:szCs w:val="20"/>
              </w:rPr>
            </w:pPr>
          </w:p>
          <w:p w:rsidR="00E57636" w:rsidRPr="001D0AD5" w:rsidRDefault="00E57636" w:rsidP="00E57636">
            <w:pPr>
              <w:spacing w:line="264" w:lineRule="auto"/>
              <w:ind w:left="58" w:firstLine="0"/>
              <w:jc w:val="left"/>
              <w:rPr>
                <w:rFonts w:ascii="Lucida Sans" w:hAnsi="Lucida Sans"/>
                <w:sz w:val="22"/>
                <w:szCs w:val="22"/>
              </w:rPr>
            </w:pPr>
          </w:p>
        </w:tc>
      </w:tr>
    </w:tbl>
    <w:p w:rsidR="00B97269" w:rsidRDefault="00B97269" w:rsidP="00E57636">
      <w:pPr>
        <w:tabs>
          <w:tab w:val="clear" w:pos="432"/>
        </w:tabs>
        <w:spacing w:line="240" w:lineRule="auto"/>
        <w:ind w:firstLine="0"/>
        <w:jc w:val="left"/>
      </w:pPr>
      <w:r>
        <w:br w:type="page"/>
      </w:r>
    </w:p>
    <w:p w:rsidR="00AC06CA" w:rsidRDefault="00AC06CA" w:rsidP="00AC06CA">
      <w:pPr>
        <w:pStyle w:val="Heading2Black"/>
      </w:pPr>
      <w:r>
        <w:lastRenderedPageBreak/>
        <w:t>1.</w:t>
      </w:r>
      <w:r>
        <w:tab/>
        <w:t>Respondent Universe and Sampling Methods</w:t>
      </w:r>
    </w:p>
    <w:p w:rsidR="00AC06CA" w:rsidRDefault="00AC06CA" w:rsidP="00AC06CA">
      <w:pPr>
        <w:pStyle w:val="NormalSS"/>
      </w:pPr>
      <w:r>
        <w:t xml:space="preserve">The PACT </w:t>
      </w:r>
      <w:r w:rsidR="00A07E14">
        <w:t>E</w:t>
      </w:r>
      <w:r>
        <w:t xml:space="preserve">valuation will focus on grantee programs purposively selected for the study. Up to 15 grantees are expected to be selected </w:t>
      </w:r>
      <w:r w:rsidR="00AB4706">
        <w:t>across the impact and implementation/qualitative only sites</w:t>
      </w:r>
      <w:r w:rsidR="001E2A76">
        <w:t xml:space="preserve">. </w:t>
      </w:r>
    </w:p>
    <w:p w:rsidR="00AC06CA" w:rsidRDefault="00AC06CA" w:rsidP="00AC06CA">
      <w:pPr>
        <w:pStyle w:val="NormalSS"/>
      </w:pPr>
      <w:r>
        <w:t>The grantees will be selected for their ability to address important research questions:</w:t>
      </w:r>
    </w:p>
    <w:p w:rsidR="00AC06CA" w:rsidRDefault="00AC06CA" w:rsidP="00AC06CA">
      <w:pPr>
        <w:pStyle w:val="BulletBlack"/>
      </w:pPr>
      <w:r>
        <w:t>What are the experiences, issues, and challenges in designing, implementing, and operating comprehensive responsible fatherhood services for lower-income fathers?</w:t>
      </w:r>
    </w:p>
    <w:p w:rsidR="00AC06CA" w:rsidRDefault="00AC06CA" w:rsidP="00AC06CA">
      <w:pPr>
        <w:pStyle w:val="BulletBlack"/>
      </w:pPr>
      <w:r>
        <w:t xml:space="preserve">What are the net impacts of the programs on relationship quality and stability, parenting attitudes and behaviors, measures of adult and child well-being, and economic outcomes? </w:t>
      </w:r>
    </w:p>
    <w:p w:rsidR="00AC06CA" w:rsidRDefault="00AC06CA" w:rsidP="00AC06CA">
      <w:pPr>
        <w:pStyle w:val="BulletBlackLastSS"/>
      </w:pPr>
      <w:r>
        <w:t>What are the experiences of fathers who volunteer for the programs?</w:t>
      </w:r>
    </w:p>
    <w:p w:rsidR="00D145CA" w:rsidRPr="00D145CA" w:rsidRDefault="007919C0" w:rsidP="00AC06CA">
      <w:pPr>
        <w:pStyle w:val="NormalSS"/>
      </w:pPr>
      <w:r w:rsidRPr="007919C0">
        <w:rPr>
          <w:rFonts w:cstheme="minorHAnsi"/>
        </w:rPr>
        <w:t>An impact study site will also need to meet the following three key criteria: (1) a random assignment evaluation can be successfully implemented at the grantee’s program—it must be possible to collect the necessary baseline information, to insert random assignment into the program’s intake procedures, and to form a control group that does not receive the same or similar services to those offered the program group; (2) the program must be able to enroll enough participants to meet sample size requirements; and (3) it must be plausible that the program can lead to impacts that are detectable with the planned sample size.</w:t>
      </w:r>
    </w:p>
    <w:p w:rsidR="00AC06CA" w:rsidRPr="00D145CA" w:rsidRDefault="007919C0" w:rsidP="00AC06CA">
      <w:pPr>
        <w:pStyle w:val="NormalSS"/>
      </w:pPr>
      <w:r w:rsidRPr="007919C0">
        <w:rPr>
          <w:rFonts w:cstheme="minorHAnsi"/>
        </w:rPr>
        <w:t xml:space="preserve">The </w:t>
      </w:r>
      <w:r w:rsidR="00D145CA">
        <w:rPr>
          <w:rFonts w:cstheme="minorHAnsi"/>
        </w:rPr>
        <w:t xml:space="preserve">implementation/qualitative-only </w:t>
      </w:r>
      <w:r w:rsidRPr="007919C0">
        <w:rPr>
          <w:rFonts w:cstheme="minorHAnsi"/>
        </w:rPr>
        <w:t>grantees need not meet the criteria for being an impact study grantee, but will have to present some particular feature of program design or target population that warrants detailed study. Examples of program design features that may warrant detailed study include specific services provided, such as inclusion of a subsidized employment component or facilitation of non-custodial parent visitation, and program structure, such as involvement of different types of community partners to deliver key services. Examples of target populations that may warrant detailed study include incarceration status of men and extent of multiple partner fertility, i.e., adults who have had children with multiple partners</w:t>
      </w:r>
    </w:p>
    <w:p w:rsidR="00D145CA" w:rsidRPr="00D145CA" w:rsidRDefault="007919C0" w:rsidP="00AC06CA">
      <w:pPr>
        <w:pStyle w:val="NormalSS"/>
        <w:rPr>
          <w:sz w:val="28"/>
        </w:rPr>
      </w:pPr>
      <w:r w:rsidRPr="007919C0">
        <w:t>With</w:t>
      </w:r>
      <w:r w:rsidRPr="007919C0">
        <w:rPr>
          <w:szCs w:val="22"/>
        </w:rPr>
        <w:t xml:space="preserve"> regard to interpretation of results, we will take the characteristics of sites into account when interpreting and discussing results.  Differences in the characteristics of sites may suggest plausible explanations for differences among sites in impacts. Thus, in our discussion of results, we will carefully hypothesize how these characteristics may have influenced outcomes.   </w:t>
      </w:r>
    </w:p>
    <w:p w:rsidR="00AC06CA" w:rsidRDefault="00AC06CA" w:rsidP="00AC06CA">
      <w:pPr>
        <w:pStyle w:val="NormalSS"/>
      </w:pPr>
      <w:r w:rsidRPr="00BD2783">
        <w:rPr>
          <w:b/>
        </w:rPr>
        <w:t>Baseline Survey.</w:t>
      </w:r>
      <w:r>
        <w:t xml:space="preserve"> The baseline survey will be used in </w:t>
      </w:r>
      <w:r w:rsidR="009A5D9D">
        <w:t xml:space="preserve">both </w:t>
      </w:r>
      <w:r>
        <w:t>impact study sites</w:t>
      </w:r>
      <w:r w:rsidR="00F7409A">
        <w:t xml:space="preserve"> and implementation/qualitative only sites</w:t>
      </w:r>
      <w:r>
        <w:t xml:space="preserve">. </w:t>
      </w:r>
      <w:r w:rsidR="00F7409A">
        <w:t xml:space="preserve">In </w:t>
      </w:r>
      <w:r w:rsidR="001E2A76">
        <w:t xml:space="preserve">the evaluation </w:t>
      </w:r>
      <w:r w:rsidR="00F7409A">
        <w:t>sites, e</w:t>
      </w:r>
      <w:r>
        <w:t>ligible applicants will be asked to provide consent before participating in the baseline survey; therefore, the sample frame for the baseline survey includes all eligible applicants to the selected grantee programs who consent to participate in the study.</w:t>
      </w:r>
      <w:r w:rsidR="00F7409A">
        <w:t xml:space="preserve"> </w:t>
      </w:r>
      <w:r>
        <w:t>The sample intake period</w:t>
      </w:r>
      <w:r w:rsidR="00F7409A">
        <w:t xml:space="preserve"> in both impact and implementation/qualitative only sites</w:t>
      </w:r>
      <w:r>
        <w:t xml:space="preserve"> is expected to be about two years. </w:t>
      </w:r>
    </w:p>
    <w:p w:rsidR="00AC06CA" w:rsidRDefault="00AC06CA" w:rsidP="00AC06CA">
      <w:pPr>
        <w:pStyle w:val="NormalSS"/>
      </w:pPr>
      <w:r>
        <w:t xml:space="preserve">Only fathers who have biological children under the age of 18 will be eligible for the study of RF programs. Applicants that do not meet </w:t>
      </w:r>
      <w:r w:rsidR="00C4687D">
        <w:t>this criterion</w:t>
      </w:r>
      <w:r>
        <w:t xml:space="preserve"> might still be eligible to receive program services but will not be included in the study. </w:t>
      </w:r>
    </w:p>
    <w:p w:rsidR="00F7409A" w:rsidRDefault="00AC06CA" w:rsidP="00AC06CA">
      <w:pPr>
        <w:pStyle w:val="NormalSS"/>
      </w:pPr>
      <w:r>
        <w:lastRenderedPageBreak/>
        <w:t xml:space="preserve">We </w:t>
      </w:r>
      <w:r w:rsidR="001E2A76">
        <w:t xml:space="preserve">estimate that </w:t>
      </w:r>
      <w:r>
        <w:t xml:space="preserve">about </w:t>
      </w:r>
      <w:r w:rsidR="00F25312">
        <w:t>421</w:t>
      </w:r>
      <w:r w:rsidR="008F2EA8">
        <w:t xml:space="preserve"> </w:t>
      </w:r>
      <w:r>
        <w:t xml:space="preserve">fathers </w:t>
      </w:r>
      <w:r w:rsidR="001E2A76">
        <w:t xml:space="preserve">will </w:t>
      </w:r>
      <w:r>
        <w:t>apply for services in each program site during the two-year intake period. Of these 42</w:t>
      </w:r>
      <w:r w:rsidR="00F25312">
        <w:t>1</w:t>
      </w:r>
      <w:r w:rsidR="008F2EA8">
        <w:t xml:space="preserve"> </w:t>
      </w:r>
      <w:r>
        <w:t xml:space="preserve">fathers, </w:t>
      </w:r>
      <w:r w:rsidR="001E2A76">
        <w:t xml:space="preserve">we estimate that </w:t>
      </w:r>
      <w:r>
        <w:t xml:space="preserve">about 400 will be eligible to participate in the program and the study, consent to participate in the study, and complete the baseline survey. </w:t>
      </w:r>
    </w:p>
    <w:p w:rsidR="00AC06CA" w:rsidRDefault="00F7409A" w:rsidP="00AC06CA">
      <w:pPr>
        <w:pStyle w:val="NormalSS"/>
      </w:pPr>
      <w:r>
        <w:t>In impact sites, t</w:t>
      </w:r>
      <w:r w:rsidR="00AC06CA">
        <w:t>hese 400 fathers</w:t>
      </w:r>
      <w:r>
        <w:t xml:space="preserve"> </w:t>
      </w:r>
      <w:r w:rsidR="00AC06CA">
        <w:t xml:space="preserve">who consent to participate in the study and complete the baseline survey will be randomly assigned. About 200 fathers will be assigned to the program group and 200 to the control group. Follow-up </w:t>
      </w:r>
      <w:r w:rsidR="001E2A76">
        <w:t xml:space="preserve">survey </w:t>
      </w:r>
      <w:r w:rsidR="00AC06CA">
        <w:t>data collection will be attempted on all 400 fathers</w:t>
      </w:r>
      <w:r w:rsidR="001E2A76">
        <w:t xml:space="preserve"> in the research sample</w:t>
      </w:r>
      <w:r w:rsidR="00AC06CA">
        <w:t>. We expect that follow-up data will be successfully collected on 320 participant fathers (that is, the response rate will be about 80 percent).</w:t>
      </w:r>
    </w:p>
    <w:p w:rsidR="00AC06CA" w:rsidRDefault="009D5240" w:rsidP="00AC06CA">
      <w:pPr>
        <w:pStyle w:val="NormalSS"/>
      </w:pPr>
      <w:r w:rsidRPr="00BD2783">
        <w:rPr>
          <w:b/>
        </w:rPr>
        <w:t>Study MIS.</w:t>
      </w:r>
      <w:r>
        <w:t xml:space="preserve"> The MIS will be used by all grantee programs selected to participate in the PACT impact</w:t>
      </w:r>
      <w:r w:rsidR="00F7409A">
        <w:t xml:space="preserve"> and implementation/qualitative only sites</w:t>
      </w:r>
      <w:r>
        <w:t xml:space="preserve">. We estimate that a total of 90 staff members (six </w:t>
      </w:r>
      <w:r w:rsidR="00D47C45">
        <w:t xml:space="preserve">in each of 15 </w:t>
      </w:r>
      <w:r>
        <w:t>program</w:t>
      </w:r>
      <w:r w:rsidR="00D47C45">
        <w:t>s</w:t>
      </w:r>
      <w:r>
        <w:t xml:space="preserve">) will use the MIS. Staff will enter the MIS information on all fathers who consent to participate in the study. </w:t>
      </w:r>
      <w:r w:rsidRPr="00116EE3">
        <w:t>Staff will continue to enter information into the system on</w:t>
      </w:r>
      <w:r w:rsidR="009D316C">
        <w:t xml:space="preserve"> the estimated 4,500 program enrollees across the impact sites (</w:t>
      </w:r>
      <w:r w:rsidRPr="00116EE3">
        <w:t>study participants assigned to the program group</w:t>
      </w:r>
      <w:r w:rsidR="009D316C">
        <w:t xml:space="preserve">) and </w:t>
      </w:r>
      <w:r w:rsidR="00D47C45">
        <w:t xml:space="preserve">the implementation/qualitative only </w:t>
      </w:r>
      <w:r w:rsidR="009D316C">
        <w:t>sites</w:t>
      </w:r>
      <w:r w:rsidR="00D47C45">
        <w:t>.</w:t>
      </w:r>
    </w:p>
    <w:p w:rsidR="00AC06CA" w:rsidRDefault="00AC06CA" w:rsidP="00AC06CA">
      <w:pPr>
        <w:pStyle w:val="Heading2Black"/>
      </w:pPr>
      <w:r>
        <w:t>2.</w:t>
      </w:r>
      <w:r>
        <w:tab/>
        <w:t>Procedures for Collecting Information</w:t>
      </w:r>
    </w:p>
    <w:p w:rsidR="00AC06CA" w:rsidRDefault="00AC06CA" w:rsidP="00AC06CA">
      <w:pPr>
        <w:pStyle w:val="Heading3"/>
      </w:pPr>
      <w:r>
        <w:t>a.</w:t>
      </w:r>
      <w:r>
        <w:tab/>
        <w:t>Statistical Methodology, Estimation, and Degree of Accuracy</w:t>
      </w:r>
    </w:p>
    <w:p w:rsidR="009D5240" w:rsidRDefault="00E844CE" w:rsidP="00D14777">
      <w:pPr>
        <w:pStyle w:val="NormalSS"/>
      </w:pPr>
      <w:r>
        <w:t>We expect to select no more than 15 grantee programs for the evaluations. The minimum number</w:t>
      </w:r>
      <w:r w:rsidR="00B47EBD">
        <w:t xml:space="preserve"> of programs</w:t>
      </w:r>
      <w:r>
        <w:t xml:space="preserve"> anticipated to be included </w:t>
      </w:r>
      <w:r w:rsidR="005D03E7">
        <w:t xml:space="preserve">in the impact evaluation </w:t>
      </w:r>
      <w:r>
        <w:t>is four, though th</w:t>
      </w:r>
      <w:r w:rsidR="00D14777">
        <w:t>e actual number of programs</w:t>
      </w:r>
      <w:r>
        <w:t xml:space="preserve"> will be determined after discussions with grantees</w:t>
      </w:r>
      <w:r w:rsidR="00D14777">
        <w:t xml:space="preserve"> and</w:t>
      </w:r>
      <w:r>
        <w:t xml:space="preserve"> will be </w:t>
      </w:r>
      <w:r w:rsidR="00D14777">
        <w:t>based on</w:t>
      </w:r>
      <w:r>
        <w:t xml:space="preserve"> the estimated sample size that can be generated by the set of grantees. A</w:t>
      </w:r>
      <w:r w:rsidR="009D5240">
        <w:t xml:space="preserve"> sample </w:t>
      </w:r>
      <w:r>
        <w:t>of 400</w:t>
      </w:r>
      <w:r w:rsidR="00D14777">
        <w:t>, which we expect to be the site-level sample size,</w:t>
      </w:r>
      <w:r>
        <w:t xml:space="preserve"> </w:t>
      </w:r>
      <w:r w:rsidR="009D5240">
        <w:t xml:space="preserve">is large enough to detect impacts on several key outcomes. As Table B.1 shows, with a single-site sample of 400 (200 in the program group and 200 in the control group) with baseline data and 320 with follow-up data, we are confident of detecting impacts on continuous outcomes that have an effect size of 0.20 or larger. This is sufficient to be able to detect impacts on fathers’ attitudes toward fatherhood. Cowan et al. (2009) found an effect size of 0.31 of a fatherhood program on a measure indicating the extent to which fathers viewed fatherhood as one of the main roles in their lives. </w:t>
      </w:r>
      <w:r w:rsidR="00C00704">
        <w:t>A</w:t>
      </w:r>
      <w:r w:rsidR="009D5240">
        <w:t xml:space="preserve"> sample </w:t>
      </w:r>
      <w:r w:rsidR="00C00704">
        <w:t xml:space="preserve">of 400 </w:t>
      </w:r>
      <w:r w:rsidR="009D5240">
        <w:t xml:space="preserve">is also large enough to detect an impact on employment of 6 percentage points, an impact smaller than the one found in a pilot employment program for parents behind in their child support in four communities in New York (Lippold and Sorensen 2011). </w:t>
      </w:r>
    </w:p>
    <w:p w:rsidR="00AC06CA" w:rsidRDefault="00AC06CA" w:rsidP="00AC06CA">
      <w:pPr>
        <w:pStyle w:val="MarkforTableHeading"/>
        <w:rPr>
          <w:highlight w:val="yellow"/>
        </w:rPr>
      </w:pPr>
      <w:r w:rsidRPr="00BD2783">
        <w:t>Table B.1. Minimum Detectable Impacts for Key Outcomes</w:t>
      </w:r>
    </w:p>
    <w:tbl>
      <w:tblPr>
        <w:tblStyle w:val="SMPRTableBlack"/>
        <w:tblW w:w="5000" w:type="pct"/>
        <w:tblInd w:w="0" w:type="dxa"/>
        <w:tblLook w:val="04A0" w:firstRow="1" w:lastRow="0" w:firstColumn="1" w:lastColumn="0" w:noHBand="0" w:noVBand="1"/>
      </w:tblPr>
      <w:tblGrid>
        <w:gridCol w:w="2127"/>
        <w:gridCol w:w="2483"/>
        <w:gridCol w:w="2482"/>
        <w:gridCol w:w="2484"/>
      </w:tblGrid>
      <w:tr w:rsidR="002940C5" w:rsidRPr="002A0BE3" w:rsidTr="001346A3">
        <w:trPr>
          <w:cnfStyle w:val="100000000000" w:firstRow="1" w:lastRow="0" w:firstColumn="0" w:lastColumn="0" w:oddVBand="0" w:evenVBand="0" w:oddHBand="0" w:evenHBand="0" w:firstRowFirstColumn="0" w:firstRowLastColumn="0" w:lastRowFirstColumn="0" w:lastRowLastColumn="0"/>
        </w:trPr>
        <w:tc>
          <w:tcPr>
            <w:tcW w:w="1110" w:type="pct"/>
            <w:vAlign w:val="bottom"/>
          </w:tcPr>
          <w:p w:rsidR="002940C5" w:rsidRPr="002A0BE3" w:rsidRDefault="002940C5" w:rsidP="00B85BBC">
            <w:pPr>
              <w:pStyle w:val="TableHeaderLeft"/>
            </w:pPr>
            <w:r w:rsidRPr="002A0BE3">
              <w:t>Sample Size</w:t>
            </w:r>
            <w:r>
              <w:br/>
              <w:t>(Fathers)</w:t>
            </w:r>
            <w:r>
              <w:br/>
              <w:t>(Baseline/Follow-up)</w:t>
            </w:r>
          </w:p>
        </w:tc>
        <w:tc>
          <w:tcPr>
            <w:tcW w:w="1296" w:type="pct"/>
            <w:vAlign w:val="bottom"/>
          </w:tcPr>
          <w:p w:rsidR="002940C5" w:rsidRPr="002A0BE3" w:rsidRDefault="002940C5" w:rsidP="00AB2340">
            <w:pPr>
              <w:pStyle w:val="TableHeaderCenter"/>
            </w:pPr>
            <w:r>
              <w:t>Continuous Outcome</w:t>
            </w:r>
            <w:r>
              <w:br/>
              <w:t>(effect size</w:t>
            </w:r>
            <w:r w:rsidRPr="002A0BE3">
              <w:t>)</w:t>
            </w:r>
          </w:p>
        </w:tc>
        <w:tc>
          <w:tcPr>
            <w:tcW w:w="1296" w:type="pct"/>
            <w:vAlign w:val="bottom"/>
          </w:tcPr>
          <w:p w:rsidR="002940C5" w:rsidRPr="002A0BE3" w:rsidRDefault="002940C5" w:rsidP="009D5240">
            <w:pPr>
              <w:pStyle w:val="TableHeaderCenter"/>
            </w:pPr>
            <w:r w:rsidRPr="002A0BE3">
              <w:t xml:space="preserve">Fathers’ </w:t>
            </w:r>
            <w:r>
              <w:t>Likelihood of Employment</w:t>
            </w:r>
            <w:r>
              <w:br/>
              <w:t>(percentage points)</w:t>
            </w:r>
            <w:r>
              <w:br/>
              <w:t>Control = 0.11</w:t>
            </w:r>
            <w:r w:rsidRPr="00167B67">
              <w:rPr>
                <w:vertAlign w:val="superscript"/>
              </w:rPr>
              <w:t>a</w:t>
            </w:r>
          </w:p>
        </w:tc>
        <w:tc>
          <w:tcPr>
            <w:tcW w:w="1297" w:type="pct"/>
          </w:tcPr>
          <w:p w:rsidR="002940C5" w:rsidRDefault="002940C5" w:rsidP="002940C5">
            <w:pPr>
              <w:pStyle w:val="TableHeaderCenter"/>
            </w:pPr>
            <w:r>
              <w:t>Fathers’ Annual Earnings    Control Group Std Dev = $14,717</w:t>
            </w:r>
            <w:r w:rsidRPr="00167B67">
              <w:rPr>
                <w:vertAlign w:val="superscript"/>
              </w:rPr>
              <w:t xml:space="preserve"> </w:t>
            </w:r>
            <w:r>
              <w:rPr>
                <w:vertAlign w:val="superscript"/>
              </w:rPr>
              <w:t>b</w:t>
            </w:r>
          </w:p>
        </w:tc>
      </w:tr>
      <w:tr w:rsidR="002940C5" w:rsidRPr="002A0BE3" w:rsidTr="001346A3">
        <w:tc>
          <w:tcPr>
            <w:tcW w:w="1110" w:type="pct"/>
          </w:tcPr>
          <w:p w:rsidR="002940C5" w:rsidRPr="002A0BE3" w:rsidRDefault="002940C5" w:rsidP="00AB2340">
            <w:pPr>
              <w:pStyle w:val="TableText"/>
              <w:spacing w:before="120" w:after="60"/>
            </w:pPr>
            <w:r>
              <w:t>400/320</w:t>
            </w:r>
          </w:p>
        </w:tc>
        <w:tc>
          <w:tcPr>
            <w:tcW w:w="1296" w:type="pct"/>
          </w:tcPr>
          <w:p w:rsidR="002940C5" w:rsidRDefault="002940C5" w:rsidP="00AB2340">
            <w:pPr>
              <w:pStyle w:val="TableText"/>
              <w:tabs>
                <w:tab w:val="decimal" w:pos="1057"/>
              </w:tabs>
              <w:spacing w:before="120" w:after="60"/>
            </w:pPr>
            <w:r>
              <w:t>0.20</w:t>
            </w:r>
          </w:p>
        </w:tc>
        <w:tc>
          <w:tcPr>
            <w:tcW w:w="1296" w:type="pct"/>
          </w:tcPr>
          <w:p w:rsidR="002940C5" w:rsidRPr="002A0BE3" w:rsidRDefault="002940C5" w:rsidP="00AB2340">
            <w:pPr>
              <w:pStyle w:val="TableText"/>
              <w:tabs>
                <w:tab w:val="decimal" w:pos="1057"/>
              </w:tabs>
              <w:spacing w:before="120" w:after="60"/>
            </w:pPr>
            <w:r>
              <w:t>0.06</w:t>
            </w:r>
          </w:p>
        </w:tc>
        <w:tc>
          <w:tcPr>
            <w:tcW w:w="1297" w:type="pct"/>
          </w:tcPr>
          <w:p w:rsidR="00C90424" w:rsidRDefault="00027FBE" w:rsidP="00C90424">
            <w:pPr>
              <w:pStyle w:val="TableText"/>
              <w:spacing w:before="120" w:after="60"/>
              <w:jc w:val="center"/>
            </w:pPr>
            <w:r w:rsidRPr="00027FBE">
              <w:t>$2</w:t>
            </w:r>
            <w:r w:rsidR="002940C5">
              <w:t>,89</w:t>
            </w:r>
            <w:r w:rsidR="008F4D5E">
              <w:t>3</w:t>
            </w:r>
          </w:p>
        </w:tc>
      </w:tr>
      <w:tr w:rsidR="002940C5" w:rsidRPr="002A0BE3" w:rsidTr="001346A3">
        <w:tc>
          <w:tcPr>
            <w:tcW w:w="1110" w:type="pct"/>
          </w:tcPr>
          <w:p w:rsidR="002940C5" w:rsidRPr="002A0BE3" w:rsidRDefault="002940C5" w:rsidP="00AB2340">
            <w:pPr>
              <w:pStyle w:val="TableText"/>
              <w:spacing w:before="120" w:after="60"/>
            </w:pPr>
            <w:r>
              <w:t>600/480</w:t>
            </w:r>
          </w:p>
        </w:tc>
        <w:tc>
          <w:tcPr>
            <w:tcW w:w="1296" w:type="pct"/>
          </w:tcPr>
          <w:p w:rsidR="002940C5" w:rsidRDefault="002940C5" w:rsidP="00AB2340">
            <w:pPr>
              <w:pStyle w:val="TableText"/>
              <w:tabs>
                <w:tab w:val="decimal" w:pos="1057"/>
              </w:tabs>
              <w:spacing w:before="120" w:after="60"/>
            </w:pPr>
            <w:r>
              <w:t>0.16</w:t>
            </w:r>
          </w:p>
        </w:tc>
        <w:tc>
          <w:tcPr>
            <w:tcW w:w="1296" w:type="pct"/>
          </w:tcPr>
          <w:p w:rsidR="002940C5" w:rsidRPr="002A0BE3" w:rsidRDefault="002940C5" w:rsidP="00AB2340">
            <w:pPr>
              <w:pStyle w:val="TableText"/>
              <w:tabs>
                <w:tab w:val="decimal" w:pos="1057"/>
              </w:tabs>
              <w:spacing w:before="120" w:after="60"/>
            </w:pPr>
            <w:r>
              <w:t>0.05</w:t>
            </w:r>
          </w:p>
        </w:tc>
        <w:tc>
          <w:tcPr>
            <w:tcW w:w="1297" w:type="pct"/>
          </w:tcPr>
          <w:p w:rsidR="00C90424" w:rsidRDefault="00027FBE" w:rsidP="00C90424">
            <w:pPr>
              <w:pStyle w:val="TableText"/>
              <w:spacing w:before="120" w:after="60"/>
              <w:jc w:val="center"/>
            </w:pPr>
            <w:r w:rsidRPr="00027FBE">
              <w:t>$2,</w:t>
            </w:r>
            <w:r w:rsidR="002940C5">
              <w:t>36</w:t>
            </w:r>
            <w:r w:rsidR="008F4D5E">
              <w:t>2</w:t>
            </w:r>
          </w:p>
        </w:tc>
      </w:tr>
      <w:tr w:rsidR="002940C5" w:rsidRPr="002A0BE3" w:rsidTr="001346A3">
        <w:tc>
          <w:tcPr>
            <w:tcW w:w="1110" w:type="pct"/>
          </w:tcPr>
          <w:p w:rsidR="002940C5" w:rsidRDefault="002940C5" w:rsidP="00AB2340">
            <w:pPr>
              <w:pStyle w:val="TableText"/>
              <w:spacing w:before="120" w:after="60"/>
            </w:pPr>
            <w:r>
              <w:t>800/640</w:t>
            </w:r>
          </w:p>
        </w:tc>
        <w:tc>
          <w:tcPr>
            <w:tcW w:w="1296" w:type="pct"/>
          </w:tcPr>
          <w:p w:rsidR="002940C5" w:rsidRDefault="002940C5" w:rsidP="00AB2340">
            <w:pPr>
              <w:pStyle w:val="TableText"/>
              <w:tabs>
                <w:tab w:val="decimal" w:pos="1057"/>
              </w:tabs>
              <w:spacing w:before="120" w:after="60"/>
            </w:pPr>
            <w:r>
              <w:t>0.14</w:t>
            </w:r>
          </w:p>
        </w:tc>
        <w:tc>
          <w:tcPr>
            <w:tcW w:w="1296" w:type="pct"/>
          </w:tcPr>
          <w:p w:rsidR="002940C5" w:rsidRDefault="002940C5" w:rsidP="00AB2340">
            <w:pPr>
              <w:pStyle w:val="TableText"/>
              <w:tabs>
                <w:tab w:val="decimal" w:pos="1057"/>
              </w:tabs>
              <w:spacing w:before="120" w:after="60"/>
            </w:pPr>
            <w:r>
              <w:t>0.04</w:t>
            </w:r>
          </w:p>
        </w:tc>
        <w:tc>
          <w:tcPr>
            <w:tcW w:w="1297" w:type="pct"/>
          </w:tcPr>
          <w:p w:rsidR="00C90424" w:rsidRDefault="00027FBE" w:rsidP="00C90424">
            <w:pPr>
              <w:pStyle w:val="TableText"/>
              <w:spacing w:before="120" w:after="60"/>
              <w:jc w:val="center"/>
            </w:pPr>
            <w:r w:rsidRPr="00027FBE">
              <w:t>$</w:t>
            </w:r>
            <w:r w:rsidR="002940C5">
              <w:t>2,04</w:t>
            </w:r>
            <w:r w:rsidR="007221E7">
              <w:t>6</w:t>
            </w:r>
          </w:p>
        </w:tc>
      </w:tr>
      <w:tr w:rsidR="002940C5" w:rsidRPr="002A0BE3" w:rsidTr="001346A3">
        <w:tc>
          <w:tcPr>
            <w:tcW w:w="1110" w:type="pct"/>
          </w:tcPr>
          <w:p w:rsidR="002940C5" w:rsidRPr="002A0BE3" w:rsidRDefault="002940C5" w:rsidP="00AB2340">
            <w:pPr>
              <w:pStyle w:val="TableText"/>
              <w:spacing w:before="120" w:after="60"/>
            </w:pPr>
            <w:r>
              <w:t>1,800/1,440</w:t>
            </w:r>
          </w:p>
        </w:tc>
        <w:tc>
          <w:tcPr>
            <w:tcW w:w="1296" w:type="pct"/>
          </w:tcPr>
          <w:p w:rsidR="002940C5" w:rsidRPr="002A0BE3" w:rsidRDefault="002940C5" w:rsidP="00AB2340">
            <w:pPr>
              <w:pStyle w:val="TableText"/>
              <w:tabs>
                <w:tab w:val="decimal" w:pos="1057"/>
              </w:tabs>
              <w:spacing w:before="120" w:after="60"/>
            </w:pPr>
            <w:r>
              <w:t>0.09</w:t>
            </w:r>
          </w:p>
        </w:tc>
        <w:tc>
          <w:tcPr>
            <w:tcW w:w="1296" w:type="pct"/>
          </w:tcPr>
          <w:p w:rsidR="002940C5" w:rsidRPr="002A0BE3" w:rsidRDefault="002940C5" w:rsidP="00AB2340">
            <w:pPr>
              <w:pStyle w:val="TableText"/>
              <w:tabs>
                <w:tab w:val="decimal" w:pos="1057"/>
              </w:tabs>
              <w:spacing w:before="120" w:after="60"/>
            </w:pPr>
            <w:r>
              <w:t>0.03</w:t>
            </w:r>
          </w:p>
        </w:tc>
        <w:tc>
          <w:tcPr>
            <w:tcW w:w="1297" w:type="pct"/>
          </w:tcPr>
          <w:p w:rsidR="002940C5" w:rsidRDefault="002940C5" w:rsidP="00E44F9C">
            <w:pPr>
              <w:pStyle w:val="TableText"/>
              <w:spacing w:before="120" w:after="60"/>
              <w:jc w:val="center"/>
            </w:pPr>
            <w:r>
              <w:t>$1,36</w:t>
            </w:r>
            <w:r w:rsidR="007221E7">
              <w:t>4</w:t>
            </w:r>
          </w:p>
        </w:tc>
      </w:tr>
    </w:tbl>
    <w:p w:rsidR="00AC06CA" w:rsidRDefault="00AC06CA" w:rsidP="00AC06CA">
      <w:pPr>
        <w:pStyle w:val="TableText"/>
      </w:pPr>
    </w:p>
    <w:p w:rsidR="00AC06CA" w:rsidRPr="00605AFD" w:rsidRDefault="00AC06CA" w:rsidP="00AC06CA">
      <w:pPr>
        <w:pStyle w:val="TableSourceCaption"/>
        <w:rPr>
          <w:sz w:val="20"/>
        </w:rPr>
      </w:pPr>
      <w:r>
        <w:t xml:space="preserve">Note: </w:t>
      </w:r>
      <w:r>
        <w:tab/>
      </w:r>
      <w:r w:rsidRPr="002A0BE3">
        <w:t>We assume an effective response rate of 8</w:t>
      </w:r>
      <w:r>
        <w:t>0</w:t>
      </w:r>
      <w:r w:rsidRPr="002A0BE3">
        <w:t xml:space="preserve"> percent</w:t>
      </w:r>
      <w:r w:rsidR="00A06FFF">
        <w:t>, and</w:t>
      </w:r>
      <w:r w:rsidRPr="002A0BE3">
        <w:t xml:space="preserve"> a 50-50 split of sample members into </w:t>
      </w:r>
      <w:r>
        <w:t>program</w:t>
      </w:r>
      <w:r w:rsidRPr="002A0BE3">
        <w:t xml:space="preserve"> and control groups. All calculations assume a 95</w:t>
      </w:r>
      <w:r>
        <w:t>-</w:t>
      </w:r>
      <w:r w:rsidRPr="002A0BE3">
        <w:t>percent confidence level, 80</w:t>
      </w:r>
      <w:r>
        <w:t>-</w:t>
      </w:r>
      <w:r w:rsidRPr="002A0BE3">
        <w:lastRenderedPageBreak/>
        <w:t>percent power, and a one-tailed test.</w:t>
      </w:r>
      <w:r>
        <w:t xml:space="preserve"> We assume an R-squared in the impact regression of 0.50.</w:t>
      </w:r>
    </w:p>
    <w:p w:rsidR="00AC06CA" w:rsidRDefault="00AC06CA" w:rsidP="00AC06CA">
      <w:pPr>
        <w:pStyle w:val="TableFootnoteCaption"/>
        <w:spacing w:after="0"/>
      </w:pPr>
      <w:r w:rsidRPr="00167B67">
        <w:rPr>
          <w:vertAlign w:val="superscript"/>
        </w:rPr>
        <w:t>a.</w:t>
      </w:r>
      <w:r>
        <w:t xml:space="preserve"> Lippold and Sorensen (2011).</w:t>
      </w:r>
    </w:p>
    <w:p w:rsidR="00AC06CA" w:rsidRDefault="00AC06CA" w:rsidP="00AC06CA">
      <w:pPr>
        <w:pStyle w:val="TableFootnoteCaption"/>
      </w:pPr>
      <w:r w:rsidRPr="00167B67">
        <w:rPr>
          <w:vertAlign w:val="superscript"/>
        </w:rPr>
        <w:t>b.</w:t>
      </w:r>
      <w:r>
        <w:t xml:space="preserve"> </w:t>
      </w:r>
      <w:r w:rsidR="008F4D5E">
        <w:t>Building Strong Families Study.</w:t>
      </w:r>
    </w:p>
    <w:p w:rsidR="0064251B" w:rsidRDefault="0064251B">
      <w:pPr>
        <w:pStyle w:val="NormalSS"/>
        <w:ind w:firstLine="0"/>
      </w:pPr>
    </w:p>
    <w:p w:rsidR="006A1EFF" w:rsidRDefault="00D14777" w:rsidP="006A1EFF">
      <w:pPr>
        <w:pStyle w:val="NormalSS"/>
      </w:pPr>
      <w:r>
        <w:t xml:space="preserve">However, a sample size of 400 per site </w:t>
      </w:r>
      <w:r w:rsidR="005E6EE9">
        <w:t xml:space="preserve">may </w:t>
      </w:r>
      <w:r>
        <w:t xml:space="preserve">not </w:t>
      </w:r>
      <w:r w:rsidR="005E6EE9">
        <w:t xml:space="preserve">be </w:t>
      </w:r>
      <w:r>
        <w:t>sufficient for subgroup analysis at the site level</w:t>
      </w:r>
      <w:r w:rsidR="00C56300">
        <w:t xml:space="preserve">, as fewer </w:t>
      </w:r>
      <w:r w:rsidR="006A1EFF">
        <w:t xml:space="preserve">than </w:t>
      </w:r>
      <w:r w:rsidR="00C56300">
        <w:t>400 fathers per site will belong to a</w:t>
      </w:r>
      <w:r w:rsidR="006A1EFF">
        <w:t>ny</w:t>
      </w:r>
      <w:r w:rsidR="00C56300">
        <w:t xml:space="preserve"> particular subgroup</w:t>
      </w:r>
      <w:r>
        <w:t xml:space="preserve">. To conduct subgroup analysis, </w:t>
      </w:r>
      <w:r w:rsidR="00C56300">
        <w:t>we will need to be able to pool samples from two or more sites (depending on the size of the subgroup).</w:t>
      </w:r>
      <w:r w:rsidR="006A1EFF">
        <w:t xml:space="preserve"> </w:t>
      </w:r>
      <w:r w:rsidR="00C56300">
        <w:t xml:space="preserve">Pooling sites will also allow us to measure impacts on outcomes that are more variable, such as </w:t>
      </w:r>
      <w:r w:rsidR="008F4D5E">
        <w:t>earnings</w:t>
      </w:r>
      <w:r w:rsidR="00C56300">
        <w:t>, and will allow us to measure small</w:t>
      </w:r>
      <w:r w:rsidR="006A1EFF">
        <w:t>er impacts</w:t>
      </w:r>
      <w:r w:rsidR="00C56300">
        <w:t>.</w:t>
      </w:r>
      <w:r>
        <w:t xml:space="preserve"> </w:t>
      </w:r>
    </w:p>
    <w:p w:rsidR="00D14777" w:rsidRDefault="006A1EFF" w:rsidP="006A1EFF">
      <w:pPr>
        <w:pStyle w:val="NormalSS"/>
      </w:pPr>
      <w:r>
        <w:t>T</w:t>
      </w:r>
      <w:r w:rsidR="00C00704">
        <w:t>o allow for subgroup analysis</w:t>
      </w:r>
      <w:r>
        <w:t>, w</w:t>
      </w:r>
      <w:r w:rsidR="00D14777">
        <w:t>e anticipate i</w:t>
      </w:r>
      <w:r>
        <w:t>ncluding a set of grantees that offer</w:t>
      </w:r>
      <w:r w:rsidR="00D14777">
        <w:t xml:space="preserve"> strong programs and that, combined, will generate at least 1,800 sample members over two years for the impact evaluation. Past evaluations have demonstrated effect sizes of 0.1 or g</w:t>
      </w:r>
      <w:r w:rsidR="008F4D5E">
        <w:t>reater on relationship outcomes</w:t>
      </w:r>
      <w:r w:rsidR="00D14777">
        <w:t xml:space="preserve"> </w:t>
      </w:r>
      <w:r w:rsidR="00E504D7">
        <w:t xml:space="preserve">(Wood, 2010) </w:t>
      </w:r>
      <w:r w:rsidR="00D14777">
        <w:t>and</w:t>
      </w:r>
      <w:r w:rsidR="008F4D5E">
        <w:t xml:space="preserve"> </w:t>
      </w:r>
      <w:r w:rsidR="00D14777">
        <w:t>$1,</w:t>
      </w:r>
      <w:r w:rsidR="00677802">
        <w:t>308</w:t>
      </w:r>
      <w:r w:rsidR="00D14777">
        <w:t xml:space="preserve"> in increased </w:t>
      </w:r>
      <w:r w:rsidR="00677802">
        <w:t>earnings</w:t>
      </w:r>
      <w:r w:rsidR="00E504D7">
        <w:t xml:space="preserve"> (Schochet, 2006)</w:t>
      </w:r>
      <w:r w:rsidR="00D14777">
        <w:t xml:space="preserve">. A sample of 1,800 will position the evaluation to detect impacts of </w:t>
      </w:r>
      <w:r w:rsidR="008F4D5E">
        <w:t xml:space="preserve">about </w:t>
      </w:r>
      <w:r w:rsidR="00D14777">
        <w:t>this size.</w:t>
      </w:r>
      <w:r>
        <w:t xml:space="preserve"> </w:t>
      </w:r>
      <w:r w:rsidR="00D14777">
        <w:t>Furthermore, a sample of 1,800 will permit subgro</w:t>
      </w:r>
      <w:r w:rsidR="008F4D5E">
        <w:t>up analyses of approximately 25 percent</w:t>
      </w:r>
      <w:r w:rsidR="00D14777">
        <w:t>, or 400.</w:t>
      </w:r>
    </w:p>
    <w:p w:rsidR="00AC06CA" w:rsidRDefault="009D5240" w:rsidP="00AC06CA">
      <w:pPr>
        <w:pStyle w:val="NormalSS"/>
      </w:pPr>
      <w:r>
        <w:t xml:space="preserve">Based on previous experience, we are confident that an 80 percent response rate for the 12-month follow-up data collection can be achieved. The response rate for the 15-month follow-up survey for the Building Strong Families Study was 72 percent for fathers. We expect to achieve a higher response rate for fathers than in Building Strong Families for four reasons: (1) we are conducting the follow-up interview at 12 months after random assignment rather than 15 months after random assignment; (2) the baseline survey will be conducted by telephone by a trained interviewer who can collect more detailed and accurate contact information than the </w:t>
      </w:r>
      <w:r w:rsidR="00271A93">
        <w:t xml:space="preserve">grantee </w:t>
      </w:r>
      <w:r>
        <w:t>staff members who administered the Building Strong Families baseline survey; (3) the PACT baseline survey will collect both email and social media addresses, which were not collected in the Building Strong Families Study; and (4) a reminder about the study and a request for updated contact information will be texted or emailed to respondents at about 6 months after random assignment</w:t>
      </w:r>
      <w:r w:rsidR="00503CB7">
        <w:t xml:space="preserve"> (this is included as Appendix E)</w:t>
      </w:r>
      <w:r>
        <w:t>.</w:t>
      </w:r>
    </w:p>
    <w:p w:rsidR="00AC06CA" w:rsidRDefault="00AC06CA" w:rsidP="00AC06CA">
      <w:pPr>
        <w:pStyle w:val="Heading3"/>
      </w:pPr>
      <w:r>
        <w:t>b.</w:t>
      </w:r>
      <w:r>
        <w:tab/>
        <w:t>Unusual Problems Requiring Specialized Sampling Procedures</w:t>
      </w:r>
    </w:p>
    <w:p w:rsidR="00AC06CA" w:rsidRDefault="00AC06CA" w:rsidP="00AC06CA">
      <w:pPr>
        <w:pStyle w:val="NormalSS"/>
      </w:pPr>
      <w:r>
        <w:t>There are no unusual problems requiring specialized sampling procedures.</w:t>
      </w:r>
    </w:p>
    <w:p w:rsidR="00AC06CA" w:rsidRDefault="00AC06CA" w:rsidP="00AC06CA">
      <w:pPr>
        <w:pStyle w:val="Heading3"/>
      </w:pPr>
      <w:r>
        <w:t>c.</w:t>
      </w:r>
      <w:r>
        <w:tab/>
        <w:t>Periodic Cycles to Reduce Burden</w:t>
      </w:r>
    </w:p>
    <w:p w:rsidR="00AC06CA" w:rsidRDefault="00AC06CA" w:rsidP="00AC06CA">
      <w:pPr>
        <w:pStyle w:val="NormalSS"/>
      </w:pPr>
      <w:r>
        <w:t>There will be only one cycle of baseline data and one cycle of follow-up data collection.</w:t>
      </w:r>
    </w:p>
    <w:p w:rsidR="00AC06CA" w:rsidRDefault="00AC06CA" w:rsidP="00AC06CA">
      <w:pPr>
        <w:pStyle w:val="Heading2Black"/>
      </w:pPr>
      <w:r>
        <w:t>3.</w:t>
      </w:r>
      <w:r>
        <w:tab/>
        <w:t>Methods to Maximize Response Rates and Data Reliability</w:t>
      </w:r>
    </w:p>
    <w:p w:rsidR="00AC06CA" w:rsidRDefault="00AC06CA" w:rsidP="00AC06CA">
      <w:pPr>
        <w:pStyle w:val="NormalSS"/>
      </w:pPr>
      <w:r w:rsidRPr="00BD2783">
        <w:rPr>
          <w:b/>
        </w:rPr>
        <w:t>Baseline Survey.</w:t>
      </w:r>
      <w:r>
        <w:t xml:space="preserve"> </w:t>
      </w:r>
      <w:r w:rsidR="002F7F93">
        <w:t xml:space="preserve">In </w:t>
      </w:r>
      <w:r w:rsidR="006A7DF7">
        <w:t xml:space="preserve">both </w:t>
      </w:r>
      <w:r w:rsidR="002F7F93">
        <w:t xml:space="preserve">impact </w:t>
      </w:r>
      <w:r w:rsidR="006A7DF7">
        <w:t xml:space="preserve">and implementation/qualitative </w:t>
      </w:r>
      <w:r w:rsidR="006A1EFF">
        <w:t xml:space="preserve">only </w:t>
      </w:r>
      <w:r w:rsidR="002F7F93">
        <w:t>sites, t</w:t>
      </w:r>
      <w:r>
        <w:t>o maximize response rates and data reliability for the baseline survey effort, we will take the following steps:</w:t>
      </w:r>
    </w:p>
    <w:p w:rsidR="00AC06CA" w:rsidRDefault="00AC06CA" w:rsidP="00AC06CA">
      <w:pPr>
        <w:pStyle w:val="BulletBlack"/>
      </w:pPr>
      <w:r w:rsidRPr="009D5240">
        <w:rPr>
          <w:b/>
        </w:rPr>
        <w:t>Use a pretested questionnaire common to all sites.</w:t>
      </w:r>
      <w:r>
        <w:t xml:space="preserve"> </w:t>
      </w:r>
      <w:r w:rsidR="009E49AE">
        <w:t xml:space="preserve">While the </w:t>
      </w:r>
      <w:r>
        <w:t>baseline questionnaire is unique to the current evaluation</w:t>
      </w:r>
      <w:r w:rsidR="009E49AE">
        <w:t>, a number of the questions included have been used</w:t>
      </w:r>
      <w:r>
        <w:t xml:space="preserve"> </w:t>
      </w:r>
      <w:r w:rsidR="009E49AE">
        <w:t xml:space="preserve">successfully in prior studies.  </w:t>
      </w:r>
      <w:r>
        <w:t xml:space="preserve">The form </w:t>
      </w:r>
      <w:r w:rsidR="009E49AE">
        <w:t xml:space="preserve">has </w:t>
      </w:r>
      <w:r>
        <w:t xml:space="preserve">been extensively reviewed by project staff and staff at ACF and </w:t>
      </w:r>
      <w:r w:rsidR="009E49AE">
        <w:t xml:space="preserve">reflects </w:t>
      </w:r>
      <w:r w:rsidR="00925ACE">
        <w:t xml:space="preserve">information obtained through </w:t>
      </w:r>
      <w:r w:rsidR="006A1EFF">
        <w:t xml:space="preserve">cognitive interviews or </w:t>
      </w:r>
      <w:r w:rsidR="00925ACE">
        <w:t xml:space="preserve">pretests with </w:t>
      </w:r>
      <w:r w:rsidR="00F91426">
        <w:t>9</w:t>
      </w:r>
      <w:r w:rsidR="00925ACE">
        <w:t xml:space="preserve"> individuals </w:t>
      </w:r>
      <w:r>
        <w:t xml:space="preserve">who have backgrounds similar to anticipated PACT </w:t>
      </w:r>
      <w:r w:rsidR="00A07E14">
        <w:lastRenderedPageBreak/>
        <w:t>E</w:t>
      </w:r>
      <w:r>
        <w:t xml:space="preserve">valuation participants. </w:t>
      </w:r>
      <w:r w:rsidR="00925ACE">
        <w:t xml:space="preserve">The </w:t>
      </w:r>
      <w:r w:rsidR="006A1EFF">
        <w:t xml:space="preserve">same </w:t>
      </w:r>
      <w:r w:rsidR="00925ACE">
        <w:t>baseline survey will be used across all telephone interviewers and PACT program sites, ensuring consistency in data collection.</w:t>
      </w:r>
    </w:p>
    <w:p w:rsidR="00AC06CA" w:rsidRDefault="00AC06CA" w:rsidP="00AC06CA">
      <w:pPr>
        <w:pStyle w:val="BulletBlack"/>
      </w:pPr>
      <w:r w:rsidRPr="009D5240">
        <w:rPr>
          <w:b/>
        </w:rPr>
        <w:t>Use a straightforward, undemanding survey.</w:t>
      </w:r>
      <w:r>
        <w:t xml:space="preserve"> The PACT baseline survey is designed to be easy to complete. The questions </w:t>
      </w:r>
      <w:r w:rsidR="002F7F93">
        <w:t xml:space="preserve">use </w:t>
      </w:r>
      <w:r>
        <w:t>clear and straightforward language. The average time required for the respondent to complete the survey is estimated at 30 minutes.</w:t>
      </w:r>
    </w:p>
    <w:p w:rsidR="00C90424" w:rsidRDefault="00AC06CA" w:rsidP="00C90424">
      <w:pPr>
        <w:pStyle w:val="BulletBlack"/>
        <w:keepLines/>
      </w:pPr>
      <w:r w:rsidRPr="009D5240">
        <w:rPr>
          <w:b/>
        </w:rPr>
        <w:t>Administer the survey using computer-assisted technical interviewing (CATI).</w:t>
      </w:r>
      <w:r>
        <w:t xml:space="preserve"> Administering the baseline survey via CATI will maximize the reliability of the data entered by telephone interviewers through skip-pattern logic and checks for consistency and validity. </w:t>
      </w:r>
    </w:p>
    <w:p w:rsidR="00AC06CA" w:rsidRDefault="00AC06CA" w:rsidP="00AC06CA">
      <w:pPr>
        <w:pStyle w:val="BulletBlack"/>
      </w:pPr>
      <w:r w:rsidRPr="009D5240">
        <w:rPr>
          <w:b/>
        </w:rPr>
        <w:t>Use trained interviewers.</w:t>
      </w:r>
      <w:r>
        <w:t xml:space="preserve"> Respondents will be interviewed by trained members of Mathematica’s survey operations staff, many of which are experienced working on previous studies conducted for ACF. Most of these staff are familiar with similar questionnaire content. All survey staff assigned to the study will participate in both general training (if they are not already trained) and an extensive project-specific training. Interviewers will not work on the study until they have been certified as prepared. The project-specific training will include role playing with scenarios and other techniques to ensure that interviewers are ready to respond effectively to sample members’ questions. They will also focus on developing skills for securing respondents’ cooperation and averting and converting refusals.</w:t>
      </w:r>
    </w:p>
    <w:p w:rsidR="00AC06CA" w:rsidRDefault="00AC06CA" w:rsidP="00AC06CA">
      <w:pPr>
        <w:pStyle w:val="BulletBlack"/>
      </w:pPr>
      <w:r w:rsidRPr="009D5240">
        <w:rPr>
          <w:b/>
        </w:rPr>
        <w:t>Be able to administer the survey in multiple languages.</w:t>
      </w:r>
      <w:r>
        <w:t xml:space="preserve"> During telephone contact, interviewers will identify Spanish-speaking respondents and connect them to speak with a bilingual interviewer. When necessary, translators for languages other than Spanish will be used. Mathematica employs staff who speak a wide range of languages and have experience conducting interviews in a number of languages. </w:t>
      </w:r>
    </w:p>
    <w:p w:rsidR="00AC06CA" w:rsidRDefault="00AC06CA" w:rsidP="00AC06CA">
      <w:pPr>
        <w:pStyle w:val="BulletBlackLastSS"/>
      </w:pPr>
      <w:r w:rsidRPr="009D5240">
        <w:rPr>
          <w:b/>
        </w:rPr>
        <w:t>Provide payments for survey participants.</w:t>
      </w:r>
      <w:r>
        <w:t xml:space="preserve"> </w:t>
      </w:r>
      <w:r w:rsidR="00CF4585">
        <w:t>W</w:t>
      </w:r>
      <w:r>
        <w:t>e suggest offering a</w:t>
      </w:r>
      <w:r w:rsidR="00CF4585">
        <w:t xml:space="preserve"> modest</w:t>
      </w:r>
      <w:r>
        <w:t xml:space="preserve"> $10 payment to </w:t>
      </w:r>
      <w:r w:rsidR="003C5A25">
        <w:t xml:space="preserve">baseline survey respondents </w:t>
      </w:r>
      <w:r w:rsidR="00CF4585">
        <w:t xml:space="preserve">to </w:t>
      </w:r>
      <w:r w:rsidR="004B0BD6">
        <w:t xml:space="preserve">increase program applicants’ agreement to participate in the study and to </w:t>
      </w:r>
      <w:r>
        <w:t>reduce attrition for follow-up data collection.</w:t>
      </w:r>
      <w:r w:rsidR="00704202">
        <w:t xml:space="preserve"> (This is discussed in greater detail in Question A9.)</w:t>
      </w:r>
    </w:p>
    <w:p w:rsidR="00AC06CA" w:rsidRDefault="00AC06CA" w:rsidP="00AC06CA">
      <w:pPr>
        <w:pStyle w:val="NormalSS"/>
      </w:pPr>
      <w:r>
        <w:t xml:space="preserve">We anticipate high response rates to the baseline survey. </w:t>
      </w:r>
      <w:r w:rsidR="00986E00">
        <w:t>We anticipate that 8</w:t>
      </w:r>
      <w:r w:rsidR="00A21844">
        <w:t>0 percent</w:t>
      </w:r>
      <w:r w:rsidR="00986E00">
        <w:t xml:space="preserve"> of program applicants will agree to participate in the evaluation (consent)</w:t>
      </w:r>
      <w:r w:rsidR="00A21844">
        <w:t xml:space="preserve"> and that 100 percent of those who do consent will complete the </w:t>
      </w:r>
      <w:r>
        <w:t>baseline survey</w:t>
      </w:r>
      <w:r w:rsidR="00A21844">
        <w:t xml:space="preserve"> as</w:t>
      </w:r>
      <w:r>
        <w:t xml:space="preserve"> part of the intake process. Likewise, we do not anticipate significant item nonresponse on the baseline survey </w:t>
      </w:r>
      <w:r w:rsidR="00CF4585">
        <w:t>based on prior experience asking similar questions with similar popu</w:t>
      </w:r>
      <w:r w:rsidR="00A07E14">
        <w:t>l</w:t>
      </w:r>
      <w:r w:rsidR="00CF4585">
        <w:t>ations</w:t>
      </w:r>
      <w:r>
        <w:t xml:space="preserve">.  </w:t>
      </w:r>
    </w:p>
    <w:p w:rsidR="005B5892" w:rsidRDefault="007737C5" w:rsidP="00AC06CA">
      <w:pPr>
        <w:pStyle w:val="NormalSS"/>
      </w:pPr>
      <w:r>
        <w:t>With regard to the follow-up survey, i</w:t>
      </w:r>
      <w:r w:rsidR="005B5892">
        <w:t>n the previous Building Strong Families study, we obtained a 72 percent response rate with fathers</w:t>
      </w:r>
      <w:r>
        <w:t xml:space="preserve"> on the 15-month follow-up</w:t>
      </w:r>
      <w:r w:rsidR="005B5892">
        <w:t xml:space="preserve">.  </w:t>
      </w:r>
      <w:r w:rsidR="005B5892" w:rsidRPr="00DB3D1D">
        <w:t xml:space="preserve">Before calling </w:t>
      </w:r>
      <w:r w:rsidR="005B5892">
        <w:t>sample members</w:t>
      </w:r>
      <w:r w:rsidR="005B5892" w:rsidRPr="00DB3D1D">
        <w:t xml:space="preserve"> to complete the </w:t>
      </w:r>
      <w:r w:rsidR="005B5892">
        <w:t xml:space="preserve">BSF </w:t>
      </w:r>
      <w:r w:rsidR="005B5892" w:rsidRPr="00DB3D1D">
        <w:t xml:space="preserve">15-month survey, </w:t>
      </w:r>
      <w:r w:rsidR="005B5892">
        <w:t>the contractor</w:t>
      </w:r>
      <w:r w:rsidR="005B5892" w:rsidRPr="00DB3D1D">
        <w:t xml:space="preserve"> mailed letters to respondents’ homes reminding them about the study. The letter</w:t>
      </w:r>
      <w:r w:rsidR="005B5892">
        <w:t xml:space="preserve"> also</w:t>
      </w:r>
      <w:r w:rsidR="005B5892" w:rsidRPr="00DB3D1D">
        <w:t xml:space="preserve"> included </w:t>
      </w:r>
      <w:r w:rsidR="005B5892">
        <w:t>a</w:t>
      </w:r>
      <w:r w:rsidR="005B5892" w:rsidRPr="00DB3D1D">
        <w:t xml:space="preserve"> toll-free number so respondents could call-in to complete the survey. </w:t>
      </w:r>
      <w:r w:rsidR="005B5892">
        <w:t xml:space="preserve">If letters were returned marked “return to sender,” </w:t>
      </w:r>
      <w:r w:rsidR="005B5892" w:rsidRPr="00DB3D1D">
        <w:t>expert locating staff utilized database searches to find additional</w:t>
      </w:r>
      <w:r w:rsidR="005B5892">
        <w:t>, updated</w:t>
      </w:r>
      <w:r w:rsidR="005B5892" w:rsidRPr="00DB3D1D">
        <w:t xml:space="preserve"> contact information for </w:t>
      </w:r>
      <w:r w:rsidR="005B5892">
        <w:t xml:space="preserve">sample members (address, telephone number) and additional contact was made by phone or letter based on the information obtained. As necessary, trained </w:t>
      </w:r>
      <w:r w:rsidR="005B5892" w:rsidRPr="00DB3D1D">
        <w:t xml:space="preserve">field interviewers </w:t>
      </w:r>
      <w:r w:rsidR="005B5892">
        <w:t xml:space="preserve">were also used </w:t>
      </w:r>
      <w:r w:rsidR="005B5892" w:rsidRPr="00DB3D1D">
        <w:t xml:space="preserve">to locate respondents in person </w:t>
      </w:r>
      <w:r w:rsidR="005B5892">
        <w:t xml:space="preserve">in the area of their last known residence.  Once found, the field interviewer had a cell phone and could connect the father to the survey staff to complete the survey at that time.  </w:t>
      </w:r>
      <w:r w:rsidR="005B5892" w:rsidRPr="00DB3D1D">
        <w:t xml:space="preserve">The PACT evaluation will </w:t>
      </w:r>
      <w:r w:rsidR="005B5892">
        <w:t>utilize</w:t>
      </w:r>
      <w:r w:rsidR="005B5892" w:rsidRPr="00DB3D1D">
        <w:t xml:space="preserve"> the</w:t>
      </w:r>
      <w:r w:rsidR="005B5892">
        <w:t>se</w:t>
      </w:r>
      <w:r w:rsidR="005B5892" w:rsidRPr="00DB3D1D">
        <w:t xml:space="preserve"> same </w:t>
      </w:r>
      <w:r w:rsidR="005B5892">
        <w:t xml:space="preserve">survey </w:t>
      </w:r>
      <w:r w:rsidR="005B5892" w:rsidRPr="00DB3D1D">
        <w:t>techniques</w:t>
      </w:r>
      <w:r w:rsidR="005B5892">
        <w:t xml:space="preserve"> in addition to using email and social </w:t>
      </w:r>
      <w:r w:rsidR="005B5892">
        <w:lastRenderedPageBreak/>
        <w:t xml:space="preserve">media to contact sample members.  </w:t>
      </w:r>
      <w:r w:rsidR="005B5892" w:rsidRPr="00DB3D1D">
        <w:t>We will describe our approach to conducting the follow-up survey in more detail in a subsequent ICR.</w:t>
      </w:r>
    </w:p>
    <w:p w:rsidR="00AC06CA" w:rsidRDefault="00AC06CA" w:rsidP="00AC06CA">
      <w:pPr>
        <w:pStyle w:val="NormalSS"/>
      </w:pPr>
      <w:r w:rsidRPr="00CE72DA">
        <w:rPr>
          <w:b/>
        </w:rPr>
        <w:t>Study MIS.</w:t>
      </w:r>
      <w:r>
        <w:t xml:space="preserve"> To maximize response rates and data reliability for the study MIS, we will take these steps:</w:t>
      </w:r>
    </w:p>
    <w:p w:rsidR="00AC06CA" w:rsidRDefault="00AC06CA" w:rsidP="00AC06CA">
      <w:pPr>
        <w:pStyle w:val="BulletBlack"/>
      </w:pPr>
      <w:r w:rsidRPr="00CE72DA">
        <w:rPr>
          <w:b/>
        </w:rPr>
        <w:t>Develop a user-friendly, flexible MIS.</w:t>
      </w:r>
      <w:r>
        <w:t xml:space="preserve"> The MIS was specifically des</w:t>
      </w:r>
      <w:r w:rsidR="00271A93">
        <w:t>igned for use by grantee</w:t>
      </w:r>
      <w:r>
        <w:t xml:space="preserve"> staff. As such, it will be extremely user-friendly and flexible to meet each site’s needs. By providing sites with this system, we standardize the information being collected from each site and improve the reliability of our implementation and impact components.</w:t>
      </w:r>
    </w:p>
    <w:p w:rsidR="00AC06CA" w:rsidRDefault="00AC06CA" w:rsidP="00AC06CA">
      <w:pPr>
        <w:pStyle w:val="BulletBlack"/>
      </w:pPr>
      <w:r w:rsidRPr="00CE72DA">
        <w:rPr>
          <w:b/>
        </w:rPr>
        <w:t>Include data quality checks in the MIS.</w:t>
      </w:r>
      <w:r>
        <w:t xml:space="preserve"> The MIS will also ensure data reliability by instituting automatic data quality checks. For example, if </w:t>
      </w:r>
      <w:r w:rsidR="00271A93">
        <w:t>grantee</w:t>
      </w:r>
      <w:r>
        <w:t xml:space="preserve"> staff enter odd or unlikely values in a particular field, the system will prompt users to check the value. For some fields, the response values will be restricted; for others, </w:t>
      </w:r>
      <w:r w:rsidR="00271A93">
        <w:t>grantee</w:t>
      </w:r>
      <w:r>
        <w:t xml:space="preserve"> staff will be able to override the check.</w:t>
      </w:r>
    </w:p>
    <w:p w:rsidR="00AC06CA" w:rsidRDefault="00AC06CA" w:rsidP="00AC06CA">
      <w:pPr>
        <w:pStyle w:val="BulletBlack"/>
      </w:pPr>
      <w:r w:rsidRPr="00CE72DA">
        <w:rPr>
          <w:b/>
        </w:rPr>
        <w:t xml:space="preserve">Provide extensive training to </w:t>
      </w:r>
      <w:r w:rsidR="00271A93">
        <w:rPr>
          <w:b/>
        </w:rPr>
        <w:t>grantee</w:t>
      </w:r>
      <w:r w:rsidRPr="00CE72DA">
        <w:rPr>
          <w:b/>
        </w:rPr>
        <w:t xml:space="preserve"> staff.</w:t>
      </w:r>
      <w:r>
        <w:t xml:space="preserve"> To increase data quality, we will provide extensive training to system users prior to initial use. Initial training will be on site; follow-up training will be conducted using web and telephone conferences. Following training, PACT team members will conduct follow-up site visits to ensure compliance with procedures and be available by phone and email to assist users.</w:t>
      </w:r>
    </w:p>
    <w:p w:rsidR="00AC06CA" w:rsidRDefault="00AC06CA" w:rsidP="00AC06CA">
      <w:pPr>
        <w:pStyle w:val="BulletBlackLastSS"/>
      </w:pPr>
      <w:r w:rsidRPr="00CE72DA">
        <w:rPr>
          <w:b/>
        </w:rPr>
        <w:t>Monitor data quality.</w:t>
      </w:r>
      <w:r>
        <w:t xml:space="preserve"> We will also monitor the data entered by grantees and provide feedback to grantees on their data quality. Initially, we will monitor data quality on a weekly basis, tapering that gradually to monthly monitoring as agencies demonstrate their ability to use the system correctly.</w:t>
      </w:r>
    </w:p>
    <w:p w:rsidR="00AC06CA" w:rsidRDefault="00AC06CA" w:rsidP="00AC06CA">
      <w:pPr>
        <w:pStyle w:val="Heading2Black"/>
      </w:pPr>
      <w:r>
        <w:t>4.</w:t>
      </w:r>
      <w:r>
        <w:tab/>
        <w:t>Tests of Procedures or Methods</w:t>
      </w:r>
    </w:p>
    <w:p w:rsidR="005122BE" w:rsidRDefault="00AC06CA" w:rsidP="00AC06CA">
      <w:pPr>
        <w:pStyle w:val="NormalSS"/>
      </w:pPr>
      <w:r w:rsidRPr="00CE72DA">
        <w:rPr>
          <w:b/>
        </w:rPr>
        <w:t>Baseline Survey.</w:t>
      </w:r>
      <w:r>
        <w:t xml:space="preserve"> </w:t>
      </w:r>
      <w:r w:rsidR="00F91426">
        <w:t>In-person cognitive interviews and telephone p</w:t>
      </w:r>
      <w:r>
        <w:t xml:space="preserve">retests of the baseline survey </w:t>
      </w:r>
      <w:r w:rsidR="00A67085">
        <w:t xml:space="preserve">have been conducted </w:t>
      </w:r>
      <w:r>
        <w:t xml:space="preserve">for </w:t>
      </w:r>
      <w:r w:rsidR="00F91426">
        <w:t>four</w:t>
      </w:r>
      <w:r w:rsidR="008F4D5E">
        <w:t xml:space="preserve"> purposes: </w:t>
      </w:r>
      <w:r>
        <w:t xml:space="preserve">(1) </w:t>
      </w:r>
      <w:r w:rsidR="00F91426">
        <w:t xml:space="preserve">to ensure that questions </w:t>
      </w:r>
      <w:r w:rsidR="00E76C60">
        <w:t>a</w:t>
      </w:r>
      <w:r w:rsidR="00F91426">
        <w:t xml:space="preserve">re understood and </w:t>
      </w:r>
      <w:r w:rsidR="00E76C60">
        <w:t>are consistent with the concepts they aim to measure</w:t>
      </w:r>
      <w:r w:rsidR="00F91426">
        <w:t xml:space="preserve">; (2) </w:t>
      </w:r>
      <w:r>
        <w:t>to identify typical instrumentation problems such as question wording and incomplete or inappropriate response categories</w:t>
      </w:r>
      <w:r w:rsidR="00F91426">
        <w:t>;</w:t>
      </w:r>
      <w:r>
        <w:t xml:space="preserve"> (</w:t>
      </w:r>
      <w:r w:rsidR="00F91426">
        <w:t>3</w:t>
      </w:r>
      <w:r>
        <w:t>) to measure the response burden</w:t>
      </w:r>
      <w:r w:rsidR="00F91426">
        <w:t xml:space="preserve">; and (4) to </w:t>
      </w:r>
      <w:r w:rsidR="00795D8B">
        <w:t xml:space="preserve">check that there are no unforeseen difficulties in administering </w:t>
      </w:r>
      <w:r w:rsidR="00E76C60">
        <w:t>the instrument via telephone</w:t>
      </w:r>
      <w:r>
        <w:t xml:space="preserve">. </w:t>
      </w:r>
    </w:p>
    <w:p w:rsidR="00704202" w:rsidRDefault="00795D8B" w:rsidP="005122BE">
      <w:pPr>
        <w:pStyle w:val="NormalSS"/>
      </w:pPr>
      <w:r>
        <w:t>Cognitive i</w:t>
      </w:r>
      <w:r w:rsidR="00F91426">
        <w:t xml:space="preserve">nterviews </w:t>
      </w:r>
      <w:r w:rsidR="00A67085">
        <w:t>were</w:t>
      </w:r>
      <w:r w:rsidR="00AC06CA">
        <w:t xml:space="preserve"> conducted with </w:t>
      </w:r>
      <w:r>
        <w:t>four respondents</w:t>
      </w:r>
      <w:r w:rsidR="00677802">
        <w:t xml:space="preserve"> (two African-American men and two Hispanic men)</w:t>
      </w:r>
      <w:r>
        <w:t xml:space="preserve"> and telephone pretests were conducted with </w:t>
      </w:r>
      <w:r w:rsidR="008B0C3B">
        <w:t>three</w:t>
      </w:r>
      <w:r>
        <w:t xml:space="preserve"> </w:t>
      </w:r>
      <w:r w:rsidR="00AC06CA">
        <w:t xml:space="preserve">respondents. The respondents selected for the </w:t>
      </w:r>
      <w:r w:rsidR="00F91426">
        <w:t xml:space="preserve">cognitive interviews and </w:t>
      </w:r>
      <w:r w:rsidR="00E76C60">
        <w:t xml:space="preserve">telephone </w:t>
      </w:r>
      <w:r w:rsidR="00AC06CA">
        <w:t xml:space="preserve">pretests </w:t>
      </w:r>
      <w:r w:rsidR="00A67085">
        <w:t xml:space="preserve">were </w:t>
      </w:r>
      <w:r w:rsidR="00AC06CA">
        <w:t>as similar to likely actual sample members as possible</w:t>
      </w:r>
      <w:r w:rsidR="00A67085">
        <w:t xml:space="preserve"> (w</w:t>
      </w:r>
      <w:r w:rsidR="00AC06CA">
        <w:t>e recruit</w:t>
      </w:r>
      <w:r w:rsidR="00A67085">
        <w:t>ed</w:t>
      </w:r>
      <w:r w:rsidR="00AC06CA">
        <w:t xml:space="preserve"> pretest participants by contacting </w:t>
      </w:r>
      <w:r w:rsidR="00A67085">
        <w:t>similar programs)</w:t>
      </w:r>
      <w:r w:rsidR="00AC06CA">
        <w:t xml:space="preserve">. </w:t>
      </w:r>
      <w:r w:rsidR="000D1261">
        <w:t xml:space="preserve">Cognitive interviews revealed several questions that did not resonate with respondents or did not capture the intended information. </w:t>
      </w:r>
      <w:r w:rsidR="00AC06CA">
        <w:t xml:space="preserve">Telephone pretest interviews </w:t>
      </w:r>
      <w:r w:rsidR="00A67085">
        <w:t xml:space="preserve">were </w:t>
      </w:r>
      <w:r w:rsidR="00AC06CA">
        <w:t>audio-taped or monitored to identify potential issues</w:t>
      </w:r>
      <w:r w:rsidR="005122BE">
        <w:t xml:space="preserve">. </w:t>
      </w:r>
      <w:r w:rsidR="00AC06CA">
        <w:t>As a result of the</w:t>
      </w:r>
      <w:r w:rsidR="00E76C60">
        <w:t xml:space="preserve"> cognitive interviews and telephone</w:t>
      </w:r>
      <w:r w:rsidR="00AC06CA">
        <w:t xml:space="preserve"> pretest</w:t>
      </w:r>
      <w:r w:rsidR="005122BE">
        <w:t>s</w:t>
      </w:r>
      <w:r w:rsidR="00AC06CA">
        <w:t>, we ma</w:t>
      </w:r>
      <w:r w:rsidR="00A67085">
        <w:t>d</w:t>
      </w:r>
      <w:r w:rsidR="00AC06CA">
        <w:t xml:space="preserve">e changes </w:t>
      </w:r>
      <w:r w:rsidR="005122BE">
        <w:t xml:space="preserve">to the </w:t>
      </w:r>
      <w:r w:rsidR="00A119F4">
        <w:t>survey instrument</w:t>
      </w:r>
      <w:r w:rsidR="005122BE">
        <w:t xml:space="preserve"> </w:t>
      </w:r>
      <w:r w:rsidR="00AC06CA">
        <w:t xml:space="preserve">to improve the wording of the questions and their sequencing.  </w:t>
      </w:r>
    </w:p>
    <w:p w:rsidR="00AC06CA" w:rsidRDefault="00AC06CA" w:rsidP="00AC06CA">
      <w:pPr>
        <w:pStyle w:val="NormalSS"/>
      </w:pPr>
      <w:r w:rsidRPr="00CE72DA">
        <w:rPr>
          <w:b/>
        </w:rPr>
        <w:t>Study MIS.</w:t>
      </w:r>
      <w:r>
        <w:t xml:space="preserve"> </w:t>
      </w:r>
      <w:r w:rsidR="00925ACE">
        <w:t>The automated version of the</w:t>
      </w:r>
      <w:r>
        <w:t xml:space="preserve"> MIS system will be rigorously tested and evaluated by the development team</w:t>
      </w:r>
      <w:r w:rsidR="00925ACE">
        <w:t xml:space="preserve"> to ensure proper functionality</w:t>
      </w:r>
      <w:r>
        <w:t>. Additionally, we will consult with practitioners on the usability of the system and engage these practitioners in the testing phase.</w:t>
      </w:r>
    </w:p>
    <w:p w:rsidR="00AC06CA" w:rsidRDefault="00AC06CA" w:rsidP="00AC06CA">
      <w:pPr>
        <w:pStyle w:val="Heading2Black"/>
      </w:pPr>
      <w:r>
        <w:lastRenderedPageBreak/>
        <w:t>5.</w:t>
      </w:r>
      <w:r>
        <w:tab/>
        <w:t>Individuals Consulted on Statistical Methods</w:t>
      </w:r>
    </w:p>
    <w:p w:rsidR="00AC06CA" w:rsidRDefault="009D316C" w:rsidP="00AC06CA">
      <w:pPr>
        <w:pStyle w:val="NormalSS"/>
      </w:pPr>
      <w:r>
        <w:t>Preliminary i</w:t>
      </w:r>
      <w:r w:rsidR="00AC06CA">
        <w:t>nput on statistical methods was received from staff in the ACF Office of Planning, Research, and Evaluation as well as staff at Mathematica Policy Research</w:t>
      </w:r>
      <w:r>
        <w:t>, including</w:t>
      </w:r>
      <w:r w:rsidR="00AC06CA">
        <w:t xml:space="preserve"> the</w:t>
      </w:r>
      <w:r>
        <w:t xml:space="preserve"> following</w:t>
      </w:r>
      <w:r w:rsidR="00AC06CA">
        <w:t xml:space="preserve"> individuals:</w:t>
      </w:r>
    </w:p>
    <w:p w:rsidR="00AC06CA" w:rsidRDefault="00AC06CA" w:rsidP="00AC06CA">
      <w:pPr>
        <w:pStyle w:val="NormalSS"/>
        <w:spacing w:after="0"/>
      </w:pPr>
      <w:r>
        <w:t>Ms. Nancye Campbell</w:t>
      </w:r>
    </w:p>
    <w:p w:rsidR="00AC06CA" w:rsidRDefault="00AC06CA" w:rsidP="00AC06CA">
      <w:pPr>
        <w:pStyle w:val="NormalSS"/>
        <w:spacing w:after="0"/>
      </w:pPr>
      <w:r>
        <w:t>7th Floor West</w:t>
      </w:r>
    </w:p>
    <w:p w:rsidR="00AC06CA" w:rsidRDefault="00AC06CA" w:rsidP="00AC06CA">
      <w:pPr>
        <w:pStyle w:val="NormalSS"/>
        <w:spacing w:after="0"/>
      </w:pPr>
      <w:r>
        <w:t>901 D Street, SW</w:t>
      </w:r>
    </w:p>
    <w:p w:rsidR="00AC06CA" w:rsidRDefault="00AC06CA" w:rsidP="00AC06CA">
      <w:pPr>
        <w:pStyle w:val="NormalSS"/>
        <w:spacing w:after="0"/>
      </w:pPr>
      <w:r>
        <w:t>Washington, DC 20447</w:t>
      </w:r>
    </w:p>
    <w:p w:rsidR="00F37028" w:rsidRDefault="00F37028" w:rsidP="00AC06CA">
      <w:pPr>
        <w:pStyle w:val="NormalSS"/>
        <w:spacing w:after="0"/>
      </w:pPr>
    </w:p>
    <w:p w:rsidR="00AC06CA" w:rsidRDefault="00AC06CA" w:rsidP="00AC06CA">
      <w:pPr>
        <w:pStyle w:val="NormalSS"/>
        <w:spacing w:after="0"/>
      </w:pPr>
      <w:r>
        <w:t>Mr. Seth Chamberlain</w:t>
      </w:r>
    </w:p>
    <w:p w:rsidR="00AC06CA" w:rsidRDefault="00AC06CA" w:rsidP="00AC06CA">
      <w:pPr>
        <w:pStyle w:val="NormalSS"/>
        <w:spacing w:after="0"/>
      </w:pPr>
      <w:r>
        <w:t>7th Floor West</w:t>
      </w:r>
    </w:p>
    <w:p w:rsidR="00AC06CA" w:rsidRDefault="00AC06CA" w:rsidP="00AC06CA">
      <w:pPr>
        <w:pStyle w:val="NormalSS"/>
        <w:spacing w:after="0"/>
      </w:pPr>
      <w:r>
        <w:t>901 D Street, SW</w:t>
      </w:r>
    </w:p>
    <w:p w:rsidR="00AC06CA" w:rsidRDefault="00AC06CA" w:rsidP="00AC06CA">
      <w:pPr>
        <w:pStyle w:val="NormalSS"/>
        <w:spacing w:after="0"/>
      </w:pPr>
      <w:r>
        <w:t>Washington, DC 20447</w:t>
      </w:r>
    </w:p>
    <w:p w:rsidR="00F37028" w:rsidRDefault="00F37028" w:rsidP="00C90424">
      <w:pPr>
        <w:pStyle w:val="NormalSS"/>
        <w:keepNext/>
        <w:spacing w:after="0"/>
      </w:pPr>
    </w:p>
    <w:p w:rsidR="00C90424" w:rsidRDefault="00AC06CA" w:rsidP="00C90424">
      <w:pPr>
        <w:pStyle w:val="NormalSS"/>
        <w:keepNext/>
        <w:spacing w:after="0"/>
      </w:pPr>
      <w:r>
        <w:t>Dr. Sheena McConnell</w:t>
      </w:r>
    </w:p>
    <w:p w:rsidR="00C90424" w:rsidRDefault="00AC06CA" w:rsidP="00C90424">
      <w:pPr>
        <w:pStyle w:val="NormalSS"/>
        <w:keepNext/>
        <w:spacing w:after="0"/>
      </w:pPr>
      <w:r>
        <w:t>Mathematica Policy Research</w:t>
      </w:r>
    </w:p>
    <w:p w:rsidR="00C90424" w:rsidRDefault="00AC06CA" w:rsidP="00C90424">
      <w:pPr>
        <w:pStyle w:val="NormalSS"/>
        <w:keepNext/>
        <w:spacing w:after="0"/>
      </w:pPr>
      <w:r>
        <w:t>1100 First Street, NE, #1200</w:t>
      </w:r>
    </w:p>
    <w:p w:rsidR="00C90424" w:rsidRDefault="00AC06CA" w:rsidP="00C90424">
      <w:pPr>
        <w:pStyle w:val="NormalSS"/>
        <w:keepNext/>
        <w:spacing w:after="0"/>
      </w:pPr>
      <w:r>
        <w:t>Washington, DC 20024</w:t>
      </w:r>
    </w:p>
    <w:p w:rsidR="00F37028" w:rsidRDefault="00F37028" w:rsidP="00AC06CA">
      <w:pPr>
        <w:pStyle w:val="NormalSS"/>
        <w:spacing w:after="0"/>
      </w:pPr>
    </w:p>
    <w:p w:rsidR="00AC06CA" w:rsidRDefault="00AC06CA" w:rsidP="00AC06CA">
      <w:pPr>
        <w:pStyle w:val="NormalSS"/>
        <w:spacing w:after="0"/>
      </w:pPr>
      <w:r>
        <w:t>Dr. Robert Wood</w:t>
      </w:r>
    </w:p>
    <w:p w:rsidR="00AC06CA" w:rsidRDefault="00AC06CA" w:rsidP="00AC06CA">
      <w:pPr>
        <w:pStyle w:val="NormalSS"/>
        <w:spacing w:after="0"/>
      </w:pPr>
      <w:r>
        <w:t>Mathematica Policy Research</w:t>
      </w:r>
    </w:p>
    <w:p w:rsidR="00AC06CA" w:rsidRDefault="00AC06CA" w:rsidP="00AC06CA">
      <w:pPr>
        <w:pStyle w:val="NormalSS"/>
        <w:spacing w:after="0"/>
      </w:pPr>
      <w:r>
        <w:t>P.O. Box 2393</w:t>
      </w:r>
    </w:p>
    <w:p w:rsidR="00AC06CA" w:rsidRDefault="00AC06CA" w:rsidP="00AC06CA">
      <w:pPr>
        <w:pStyle w:val="NormalSS"/>
        <w:spacing w:after="0"/>
      </w:pPr>
      <w:r>
        <w:t>Princeton, NJ 08543</w:t>
      </w:r>
    </w:p>
    <w:p w:rsidR="00F37028" w:rsidRDefault="00F37028" w:rsidP="00AC06CA">
      <w:pPr>
        <w:pStyle w:val="NormalSS"/>
        <w:keepNext/>
        <w:spacing w:after="0"/>
      </w:pPr>
    </w:p>
    <w:p w:rsidR="00AC06CA" w:rsidRDefault="00AC06CA" w:rsidP="00AC06CA">
      <w:pPr>
        <w:pStyle w:val="NormalSS"/>
        <w:keepNext/>
        <w:spacing w:after="0"/>
      </w:pPr>
      <w:r>
        <w:t>Dr. Jane Fortson</w:t>
      </w:r>
    </w:p>
    <w:p w:rsidR="00AC06CA" w:rsidRDefault="00AC06CA" w:rsidP="00AC06CA">
      <w:pPr>
        <w:pStyle w:val="NormalSS"/>
        <w:keepNext/>
        <w:spacing w:after="0"/>
      </w:pPr>
      <w:r>
        <w:t>Mathematica Policy Research</w:t>
      </w:r>
    </w:p>
    <w:p w:rsidR="00AC06CA" w:rsidRDefault="00AC06CA" w:rsidP="00AC06CA">
      <w:pPr>
        <w:pStyle w:val="NormalSS"/>
        <w:keepNext/>
        <w:spacing w:after="0"/>
      </w:pPr>
      <w:r>
        <w:t>505 14th Street</w:t>
      </w:r>
    </w:p>
    <w:p w:rsidR="00AC06CA" w:rsidRDefault="00AC06CA" w:rsidP="00AC06CA">
      <w:pPr>
        <w:pStyle w:val="NormalSS"/>
        <w:keepNext/>
        <w:spacing w:after="0"/>
      </w:pPr>
      <w:r>
        <w:t>Suite 800</w:t>
      </w:r>
    </w:p>
    <w:p w:rsidR="00AC06CA" w:rsidRDefault="00AC06CA" w:rsidP="00AC06CA">
      <w:pPr>
        <w:pStyle w:val="NormalSS"/>
        <w:keepNext/>
        <w:spacing w:after="0"/>
      </w:pPr>
      <w:r>
        <w:t>Oakland, CA 94612</w:t>
      </w:r>
    </w:p>
    <w:p w:rsidR="00F37028" w:rsidRDefault="00F37028" w:rsidP="00FF7C51">
      <w:pPr>
        <w:pStyle w:val="NormalSS"/>
      </w:pPr>
    </w:p>
    <w:p w:rsidR="009D316C" w:rsidRDefault="009D316C" w:rsidP="00FF7C51">
      <w:pPr>
        <w:pStyle w:val="NormalSS"/>
      </w:pPr>
      <w:r>
        <w:t>In the future, further input</w:t>
      </w:r>
      <w:r w:rsidR="00E76C60">
        <w:t xml:space="preserve"> on analytic approaches</w:t>
      </w:r>
      <w:r>
        <w:t xml:space="preserve"> may be sought from additional staff at these organizations </w:t>
      </w:r>
      <w:r w:rsidR="005E6EE9">
        <w:t>and</w:t>
      </w:r>
      <w:r>
        <w:t xml:space="preserve"> from outside consultants.</w:t>
      </w:r>
    </w:p>
    <w:p w:rsidR="00FF7C51" w:rsidRDefault="00FF7C51" w:rsidP="00FF7C51">
      <w:pPr>
        <w:pStyle w:val="NormalSS"/>
        <w:sectPr w:rsidR="00FF7C51" w:rsidSect="00030EDA">
          <w:headerReference w:type="default" r:id="rId11"/>
          <w:footerReference w:type="default" r:id="rId12"/>
          <w:footnotePr>
            <w:numRestart w:val="eachSect"/>
          </w:footnotePr>
          <w:endnotePr>
            <w:numFmt w:val="decimal"/>
          </w:endnotePr>
          <w:pgSz w:w="12240" w:h="15840" w:code="1"/>
          <w:pgMar w:top="1440" w:right="1440" w:bottom="576" w:left="1440" w:header="720" w:footer="576" w:gutter="0"/>
          <w:pgNumType w:start="1"/>
          <w:cols w:space="720"/>
          <w:docGrid w:linePitch="326"/>
        </w:sectPr>
      </w:pPr>
    </w:p>
    <w:p w:rsidR="00E504D7" w:rsidRPr="00E504D7" w:rsidRDefault="00AC06CA" w:rsidP="00E504D7">
      <w:pPr>
        <w:pStyle w:val="Heading1Black"/>
      </w:pPr>
      <w:r>
        <w:lastRenderedPageBreak/>
        <w:t>REFERENCES</w:t>
      </w:r>
    </w:p>
    <w:p w:rsidR="00AC06CA" w:rsidRPr="00B8296B" w:rsidRDefault="00AC06CA" w:rsidP="00AC06CA">
      <w:pPr>
        <w:pStyle w:val="References"/>
        <w:rPr>
          <w:bCs/>
        </w:rPr>
      </w:pPr>
      <w:r>
        <w:rPr>
          <w:bCs/>
        </w:rPr>
        <w:t xml:space="preserve">Cowan, Philip A., Carolyn Pape Cowan, Marsha Kline Pruett, Kyle Pruett, and Jessie Wong. “Promoting Fathers’ Engagement with Children: Preventive Interventions for Low-Income Families.” </w:t>
      </w:r>
      <w:r>
        <w:rPr>
          <w:bCs/>
          <w:i/>
        </w:rPr>
        <w:t>Journal of Marriage and Family,</w:t>
      </w:r>
      <w:r>
        <w:rPr>
          <w:bCs/>
        </w:rPr>
        <w:t xml:space="preserve"> vol. 71, August 2009, pp. 663–679.</w:t>
      </w:r>
    </w:p>
    <w:p w:rsidR="00D93D1C" w:rsidRDefault="00AC06CA" w:rsidP="008F4D5E">
      <w:pPr>
        <w:pStyle w:val="References"/>
      </w:pPr>
      <w:r>
        <w:rPr>
          <w:bCs/>
        </w:rPr>
        <w:t>Lippold, Kye, and Elaine Sorensen. “Strengthening Families Through Stronger Fathers: Final Impact Report for the Pilot Employment Programs.” The Urban Institute, October 2011.</w:t>
      </w:r>
      <w:r w:rsidRPr="00C74ACA">
        <w:t xml:space="preserve"> </w:t>
      </w:r>
    </w:p>
    <w:p w:rsidR="00E504D7" w:rsidRDefault="00E504D7" w:rsidP="00E504D7">
      <w:pPr>
        <w:pStyle w:val="References"/>
      </w:pPr>
      <w:r>
        <w:t>Schochet, Peter Z., John Burghardt, and Sheena McConnell. “National Job Corps Study and Longer-Term Follow-Up Study: Impact and Benefit-Cost Findings Using Survey and Summary Earnings Records Data.” Princeton, NJ: Mathematica Policy Research, August 2006.</w:t>
      </w:r>
    </w:p>
    <w:p w:rsidR="00E504D7" w:rsidRDefault="00E504D7" w:rsidP="00E504D7">
      <w:pPr>
        <w:pStyle w:val="References"/>
      </w:pPr>
      <w:r>
        <w:t>Wood, Robert G., Sheena McConnell, Quinn Moore, Andrew Clarkwest, and JoAnn Hsueh. “Strengthening Unmarried Parents’ Relationships: The Early Impacts of Building Strong Families.” Princeton, NJ: Mathematica Policy Research, May 2010.</w:t>
      </w:r>
    </w:p>
    <w:p w:rsidR="00E504D7" w:rsidRPr="0001119F" w:rsidRDefault="00E504D7" w:rsidP="008F4D5E">
      <w:pPr>
        <w:pStyle w:val="References"/>
      </w:pPr>
    </w:p>
    <w:sectPr w:rsidR="00E504D7" w:rsidRPr="0001119F" w:rsidSect="000561DD">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27" w:rsidRDefault="00EA3E27">
      <w:pPr>
        <w:spacing w:line="240" w:lineRule="auto"/>
        <w:ind w:firstLine="0"/>
      </w:pPr>
    </w:p>
  </w:endnote>
  <w:endnote w:type="continuationSeparator" w:id="0">
    <w:p w:rsidR="00EA3E27" w:rsidRDefault="00EA3E27">
      <w:pPr>
        <w:spacing w:line="240" w:lineRule="auto"/>
        <w:ind w:firstLine="0"/>
      </w:pPr>
    </w:p>
  </w:endnote>
  <w:endnote w:type="continuationNotice" w:id="1">
    <w:p w:rsidR="00EA3E27" w:rsidRDefault="00EA3E27">
      <w:pPr>
        <w:spacing w:line="240" w:lineRule="auto"/>
        <w:ind w:firstLine="0"/>
      </w:pPr>
    </w:p>
    <w:p w:rsidR="00EA3E27" w:rsidRDefault="00EA3E27"/>
    <w:p w:rsidR="00EA3E27" w:rsidRDefault="00EA3E2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K:\Chamberlain Files\PACT\Data Collection\Baseline and MIS\ICR\Package from Molly\PACT - ICR - Baseline+MIS - Supporting Statement B - 6-4-12.docx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93" w:rsidRDefault="007919C0" w:rsidP="00AB234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271A93">
      <w:rPr>
        <w:rStyle w:val="PageNumber"/>
      </w:rPr>
      <w:instrText xml:space="preserve"> PAGE </w:instrText>
    </w:r>
    <w:r>
      <w:rPr>
        <w:rStyle w:val="PageNumber"/>
      </w:rPr>
      <w:fldChar w:fldCharType="separate"/>
    </w:r>
    <w:r w:rsidR="009B01E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27" w:rsidRDefault="00EA3E27">
      <w:pPr>
        <w:spacing w:line="240" w:lineRule="auto"/>
        <w:ind w:firstLine="0"/>
      </w:pPr>
      <w:r>
        <w:separator/>
      </w:r>
    </w:p>
  </w:footnote>
  <w:footnote w:type="continuationSeparator" w:id="0">
    <w:p w:rsidR="00EA3E27" w:rsidRDefault="00EA3E27">
      <w:pPr>
        <w:spacing w:line="240" w:lineRule="auto"/>
        <w:ind w:firstLine="0"/>
      </w:pPr>
      <w:r>
        <w:separator/>
      </w:r>
    </w:p>
    <w:p w:rsidR="00EA3E27" w:rsidRDefault="00EA3E27">
      <w:pPr>
        <w:spacing w:line="240" w:lineRule="auto"/>
        <w:ind w:firstLine="0"/>
        <w:rPr>
          <w:i/>
        </w:rPr>
      </w:pPr>
      <w:r>
        <w:rPr>
          <w:i/>
        </w:rPr>
        <w:t>(continued)</w:t>
      </w:r>
    </w:p>
  </w:footnote>
  <w:footnote w:type="continuationNotice" w:id="1">
    <w:p w:rsidR="00EA3E27" w:rsidRDefault="00EA3E2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93" w:rsidRPr="000A4439" w:rsidRDefault="00271A93" w:rsidP="006C5B99">
    <w:pPr>
      <w:pStyle w:val="Header"/>
      <w:rPr>
        <w:szCs w:val="22"/>
      </w:rPr>
    </w:pPr>
    <w:r>
      <w:rPr>
        <w:szCs w:val="22"/>
      </w:rPr>
      <w:t>PACT – Part B</w:t>
    </w:r>
    <w:r w:rsidRPr="000A4439">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900"/>
        </w:tabs>
        <w:ind w:left="900" w:hanging="360"/>
      </w:pPr>
      <w:rPr>
        <w:rFonts w:hint="default"/>
      </w:rPr>
    </w:lvl>
  </w:abstractNum>
  <w:abstractNum w:abstractNumId="10">
    <w:nsid w:val="56681AED"/>
    <w:multiLevelType w:val="hybridMultilevel"/>
    <w:tmpl w:val="60B213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9425F52"/>
    <w:multiLevelType w:val="hybridMultilevel"/>
    <w:tmpl w:val="BE542E70"/>
    <w:lvl w:ilvl="0" w:tplc="F1D4148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1"/>
  </w:num>
  <w:num w:numId="5">
    <w:abstractNumId w:val="0"/>
  </w:num>
  <w:num w:numId="6">
    <w:abstractNumId w:val="18"/>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8"/>
  </w:num>
  <w:num w:numId="24">
    <w:abstractNumId w:val="9"/>
    <w:lvlOverride w:ilvl="0">
      <w:startOverride w:val="1"/>
    </w:lvlOverride>
  </w:num>
  <w:num w:numId="25">
    <w:abstractNumId w:val="10"/>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CA7F6E"/>
    <w:rsid w:val="00000664"/>
    <w:rsid w:val="000015FB"/>
    <w:rsid w:val="00005F28"/>
    <w:rsid w:val="00006E1F"/>
    <w:rsid w:val="00007CA0"/>
    <w:rsid w:val="0001119F"/>
    <w:rsid w:val="00012372"/>
    <w:rsid w:val="00012863"/>
    <w:rsid w:val="00016C4D"/>
    <w:rsid w:val="00017DD1"/>
    <w:rsid w:val="00021A62"/>
    <w:rsid w:val="000250A4"/>
    <w:rsid w:val="00027FBE"/>
    <w:rsid w:val="000300AF"/>
    <w:rsid w:val="00030EDA"/>
    <w:rsid w:val="00037098"/>
    <w:rsid w:val="0004076E"/>
    <w:rsid w:val="00046CA3"/>
    <w:rsid w:val="00046E51"/>
    <w:rsid w:val="00052499"/>
    <w:rsid w:val="00053968"/>
    <w:rsid w:val="000561DD"/>
    <w:rsid w:val="00056C64"/>
    <w:rsid w:val="00063123"/>
    <w:rsid w:val="00063FEF"/>
    <w:rsid w:val="00066AB9"/>
    <w:rsid w:val="000769A1"/>
    <w:rsid w:val="00076C8D"/>
    <w:rsid w:val="00076CF0"/>
    <w:rsid w:val="00080DFA"/>
    <w:rsid w:val="000812AE"/>
    <w:rsid w:val="00081D47"/>
    <w:rsid w:val="00082FFB"/>
    <w:rsid w:val="0008353A"/>
    <w:rsid w:val="00085B6E"/>
    <w:rsid w:val="00090529"/>
    <w:rsid w:val="0009065A"/>
    <w:rsid w:val="00097873"/>
    <w:rsid w:val="000A2CAE"/>
    <w:rsid w:val="000A4439"/>
    <w:rsid w:val="000A544F"/>
    <w:rsid w:val="000B2BD0"/>
    <w:rsid w:val="000B2E0D"/>
    <w:rsid w:val="000B39F4"/>
    <w:rsid w:val="000B3A77"/>
    <w:rsid w:val="000B7E70"/>
    <w:rsid w:val="000C0118"/>
    <w:rsid w:val="000C15B4"/>
    <w:rsid w:val="000C21AF"/>
    <w:rsid w:val="000C2713"/>
    <w:rsid w:val="000C57E2"/>
    <w:rsid w:val="000C70DC"/>
    <w:rsid w:val="000C72F8"/>
    <w:rsid w:val="000C7CAE"/>
    <w:rsid w:val="000D0839"/>
    <w:rsid w:val="000D1261"/>
    <w:rsid w:val="000D550D"/>
    <w:rsid w:val="000D709F"/>
    <w:rsid w:val="000E1D9E"/>
    <w:rsid w:val="000E6D11"/>
    <w:rsid w:val="000F022E"/>
    <w:rsid w:val="000F79B9"/>
    <w:rsid w:val="001001FA"/>
    <w:rsid w:val="00105D23"/>
    <w:rsid w:val="001073C9"/>
    <w:rsid w:val="001110F1"/>
    <w:rsid w:val="00113335"/>
    <w:rsid w:val="001139E9"/>
    <w:rsid w:val="00114F50"/>
    <w:rsid w:val="0012342A"/>
    <w:rsid w:val="00123EF4"/>
    <w:rsid w:val="00124330"/>
    <w:rsid w:val="001272C4"/>
    <w:rsid w:val="00130424"/>
    <w:rsid w:val="0013282C"/>
    <w:rsid w:val="00132E2F"/>
    <w:rsid w:val="001332C0"/>
    <w:rsid w:val="001346A3"/>
    <w:rsid w:val="00135AF5"/>
    <w:rsid w:val="00137AF2"/>
    <w:rsid w:val="001407AD"/>
    <w:rsid w:val="00141646"/>
    <w:rsid w:val="00141705"/>
    <w:rsid w:val="00141A0B"/>
    <w:rsid w:val="001425AF"/>
    <w:rsid w:val="00142AE3"/>
    <w:rsid w:val="00144DA7"/>
    <w:rsid w:val="00145B55"/>
    <w:rsid w:val="001463AE"/>
    <w:rsid w:val="0015189D"/>
    <w:rsid w:val="0015295D"/>
    <w:rsid w:val="00153436"/>
    <w:rsid w:val="0015677A"/>
    <w:rsid w:val="00160306"/>
    <w:rsid w:val="00160E09"/>
    <w:rsid w:val="0016162A"/>
    <w:rsid w:val="00161E76"/>
    <w:rsid w:val="00162191"/>
    <w:rsid w:val="00175BAB"/>
    <w:rsid w:val="00175C27"/>
    <w:rsid w:val="00181F53"/>
    <w:rsid w:val="0018564C"/>
    <w:rsid w:val="00190B7F"/>
    <w:rsid w:val="0019215E"/>
    <w:rsid w:val="001933B1"/>
    <w:rsid w:val="001A00F6"/>
    <w:rsid w:val="001A07D4"/>
    <w:rsid w:val="001A1BDD"/>
    <w:rsid w:val="001A6182"/>
    <w:rsid w:val="001B0C0C"/>
    <w:rsid w:val="001B21DB"/>
    <w:rsid w:val="001B2699"/>
    <w:rsid w:val="001B360E"/>
    <w:rsid w:val="001B7611"/>
    <w:rsid w:val="001C4E61"/>
    <w:rsid w:val="001C6D08"/>
    <w:rsid w:val="001D0AD5"/>
    <w:rsid w:val="001D11DE"/>
    <w:rsid w:val="001D1DCA"/>
    <w:rsid w:val="001D247C"/>
    <w:rsid w:val="001D3C41"/>
    <w:rsid w:val="001D5AA1"/>
    <w:rsid w:val="001D634E"/>
    <w:rsid w:val="001E045B"/>
    <w:rsid w:val="001E0AB2"/>
    <w:rsid w:val="001E2A76"/>
    <w:rsid w:val="001E36BD"/>
    <w:rsid w:val="001E466A"/>
    <w:rsid w:val="001F5410"/>
    <w:rsid w:val="00200B10"/>
    <w:rsid w:val="00200CC4"/>
    <w:rsid w:val="002045B5"/>
    <w:rsid w:val="002053F3"/>
    <w:rsid w:val="0021695D"/>
    <w:rsid w:val="002217EE"/>
    <w:rsid w:val="00222E32"/>
    <w:rsid w:val="00223990"/>
    <w:rsid w:val="0022402B"/>
    <w:rsid w:val="00236122"/>
    <w:rsid w:val="00237F6F"/>
    <w:rsid w:val="00243909"/>
    <w:rsid w:val="00243DEE"/>
    <w:rsid w:val="00244706"/>
    <w:rsid w:val="0025182E"/>
    <w:rsid w:val="002529B7"/>
    <w:rsid w:val="002550BA"/>
    <w:rsid w:val="002613D2"/>
    <w:rsid w:val="00264716"/>
    <w:rsid w:val="00264C95"/>
    <w:rsid w:val="00267F6C"/>
    <w:rsid w:val="00271A93"/>
    <w:rsid w:val="00271B2B"/>
    <w:rsid w:val="00280AB2"/>
    <w:rsid w:val="002812A2"/>
    <w:rsid w:val="00281C08"/>
    <w:rsid w:val="00282FD0"/>
    <w:rsid w:val="0028389F"/>
    <w:rsid w:val="00283FBD"/>
    <w:rsid w:val="00284557"/>
    <w:rsid w:val="002849EE"/>
    <w:rsid w:val="00287FD7"/>
    <w:rsid w:val="002911B1"/>
    <w:rsid w:val="002921C5"/>
    <w:rsid w:val="002940C5"/>
    <w:rsid w:val="002942FB"/>
    <w:rsid w:val="002A0847"/>
    <w:rsid w:val="002A1ADA"/>
    <w:rsid w:val="002A28C9"/>
    <w:rsid w:val="002A70E7"/>
    <w:rsid w:val="002A7359"/>
    <w:rsid w:val="002B034E"/>
    <w:rsid w:val="002B1593"/>
    <w:rsid w:val="002B224F"/>
    <w:rsid w:val="002B68A5"/>
    <w:rsid w:val="002B6DA0"/>
    <w:rsid w:val="002C23B3"/>
    <w:rsid w:val="002C244D"/>
    <w:rsid w:val="002C3A9A"/>
    <w:rsid w:val="002C413C"/>
    <w:rsid w:val="002C5A5E"/>
    <w:rsid w:val="002C64E8"/>
    <w:rsid w:val="002C7011"/>
    <w:rsid w:val="002C734A"/>
    <w:rsid w:val="002D098F"/>
    <w:rsid w:val="002D0A34"/>
    <w:rsid w:val="002D2011"/>
    <w:rsid w:val="002D279D"/>
    <w:rsid w:val="002D6999"/>
    <w:rsid w:val="002D7CCC"/>
    <w:rsid w:val="002E3E03"/>
    <w:rsid w:val="002E6FA1"/>
    <w:rsid w:val="002F1E71"/>
    <w:rsid w:val="002F36A7"/>
    <w:rsid w:val="002F440B"/>
    <w:rsid w:val="002F60A0"/>
    <w:rsid w:val="002F71D4"/>
    <w:rsid w:val="002F7C83"/>
    <w:rsid w:val="002F7F93"/>
    <w:rsid w:val="00300CE3"/>
    <w:rsid w:val="003038C0"/>
    <w:rsid w:val="00303CF8"/>
    <w:rsid w:val="003046C1"/>
    <w:rsid w:val="00305F1C"/>
    <w:rsid w:val="00313671"/>
    <w:rsid w:val="00313E69"/>
    <w:rsid w:val="003142E6"/>
    <w:rsid w:val="0031698E"/>
    <w:rsid w:val="00317EDA"/>
    <w:rsid w:val="00320EB3"/>
    <w:rsid w:val="00323E55"/>
    <w:rsid w:val="00325C9D"/>
    <w:rsid w:val="0032778C"/>
    <w:rsid w:val="00336A60"/>
    <w:rsid w:val="00342CD8"/>
    <w:rsid w:val="00343A0C"/>
    <w:rsid w:val="00350399"/>
    <w:rsid w:val="00350E63"/>
    <w:rsid w:val="00353544"/>
    <w:rsid w:val="00353E51"/>
    <w:rsid w:val="00354942"/>
    <w:rsid w:val="00354C34"/>
    <w:rsid w:val="0035674B"/>
    <w:rsid w:val="003607F3"/>
    <w:rsid w:val="00362133"/>
    <w:rsid w:val="00365511"/>
    <w:rsid w:val="00366FF5"/>
    <w:rsid w:val="00372AB1"/>
    <w:rsid w:val="00372FB4"/>
    <w:rsid w:val="00374549"/>
    <w:rsid w:val="00380586"/>
    <w:rsid w:val="00381622"/>
    <w:rsid w:val="00381A96"/>
    <w:rsid w:val="00381B5C"/>
    <w:rsid w:val="00386508"/>
    <w:rsid w:val="00387706"/>
    <w:rsid w:val="003939E8"/>
    <w:rsid w:val="00393BE2"/>
    <w:rsid w:val="00394752"/>
    <w:rsid w:val="003A1506"/>
    <w:rsid w:val="003A1774"/>
    <w:rsid w:val="003A17E0"/>
    <w:rsid w:val="003A26BB"/>
    <w:rsid w:val="003B1FFC"/>
    <w:rsid w:val="003B303A"/>
    <w:rsid w:val="003B5F27"/>
    <w:rsid w:val="003C0A5F"/>
    <w:rsid w:val="003C0AC3"/>
    <w:rsid w:val="003C0BAC"/>
    <w:rsid w:val="003C27A1"/>
    <w:rsid w:val="003C57EB"/>
    <w:rsid w:val="003C5A25"/>
    <w:rsid w:val="003D77B2"/>
    <w:rsid w:val="003D7B28"/>
    <w:rsid w:val="003E0A97"/>
    <w:rsid w:val="003E0D48"/>
    <w:rsid w:val="003E10A4"/>
    <w:rsid w:val="003E4DE6"/>
    <w:rsid w:val="003F2BD8"/>
    <w:rsid w:val="00401627"/>
    <w:rsid w:val="00401DB0"/>
    <w:rsid w:val="0040780A"/>
    <w:rsid w:val="00407BBB"/>
    <w:rsid w:val="00410D8F"/>
    <w:rsid w:val="00410F60"/>
    <w:rsid w:val="004118E0"/>
    <w:rsid w:val="00412D08"/>
    <w:rsid w:val="00414FF6"/>
    <w:rsid w:val="004178CB"/>
    <w:rsid w:val="00417B7A"/>
    <w:rsid w:val="0042039D"/>
    <w:rsid w:val="0042391D"/>
    <w:rsid w:val="0042461E"/>
    <w:rsid w:val="00424B01"/>
    <w:rsid w:val="004338D1"/>
    <w:rsid w:val="00435788"/>
    <w:rsid w:val="0044551C"/>
    <w:rsid w:val="00446472"/>
    <w:rsid w:val="004467B5"/>
    <w:rsid w:val="00446CE2"/>
    <w:rsid w:val="00447C62"/>
    <w:rsid w:val="004503A4"/>
    <w:rsid w:val="00450873"/>
    <w:rsid w:val="00455C7B"/>
    <w:rsid w:val="004569AC"/>
    <w:rsid w:val="004600D4"/>
    <w:rsid w:val="00463045"/>
    <w:rsid w:val="00465DD2"/>
    <w:rsid w:val="004728A9"/>
    <w:rsid w:val="00474405"/>
    <w:rsid w:val="0047478B"/>
    <w:rsid w:val="004750A7"/>
    <w:rsid w:val="00475483"/>
    <w:rsid w:val="00476CB1"/>
    <w:rsid w:val="00490847"/>
    <w:rsid w:val="00492B73"/>
    <w:rsid w:val="00494874"/>
    <w:rsid w:val="00494DE9"/>
    <w:rsid w:val="004A0392"/>
    <w:rsid w:val="004A071B"/>
    <w:rsid w:val="004A423A"/>
    <w:rsid w:val="004A46CC"/>
    <w:rsid w:val="004B0BD6"/>
    <w:rsid w:val="004B0D54"/>
    <w:rsid w:val="004B1E30"/>
    <w:rsid w:val="004B6916"/>
    <w:rsid w:val="004C360F"/>
    <w:rsid w:val="004D5BF1"/>
    <w:rsid w:val="004D62CD"/>
    <w:rsid w:val="004E6555"/>
    <w:rsid w:val="004E6B24"/>
    <w:rsid w:val="004E7D79"/>
    <w:rsid w:val="004F0B74"/>
    <w:rsid w:val="004F3118"/>
    <w:rsid w:val="004F493C"/>
    <w:rsid w:val="004F7785"/>
    <w:rsid w:val="00503CB7"/>
    <w:rsid w:val="005122BE"/>
    <w:rsid w:val="00512AF4"/>
    <w:rsid w:val="00514703"/>
    <w:rsid w:val="00516A86"/>
    <w:rsid w:val="005173B9"/>
    <w:rsid w:val="00521890"/>
    <w:rsid w:val="00525772"/>
    <w:rsid w:val="005277F5"/>
    <w:rsid w:val="00531424"/>
    <w:rsid w:val="005342D9"/>
    <w:rsid w:val="005356BF"/>
    <w:rsid w:val="00537F22"/>
    <w:rsid w:val="00542523"/>
    <w:rsid w:val="00557FE1"/>
    <w:rsid w:val="005604DC"/>
    <w:rsid w:val="0056175F"/>
    <w:rsid w:val="005637D0"/>
    <w:rsid w:val="0056487B"/>
    <w:rsid w:val="00564E98"/>
    <w:rsid w:val="00573C02"/>
    <w:rsid w:val="00576C4F"/>
    <w:rsid w:val="00576FB9"/>
    <w:rsid w:val="005811B3"/>
    <w:rsid w:val="00581CCD"/>
    <w:rsid w:val="00581EE2"/>
    <w:rsid w:val="00582CD2"/>
    <w:rsid w:val="00583141"/>
    <w:rsid w:val="00584664"/>
    <w:rsid w:val="0058753C"/>
    <w:rsid w:val="00591AE6"/>
    <w:rsid w:val="00592E1A"/>
    <w:rsid w:val="00594428"/>
    <w:rsid w:val="005944EC"/>
    <w:rsid w:val="00597C9C"/>
    <w:rsid w:val="00597FEB"/>
    <w:rsid w:val="005A19C0"/>
    <w:rsid w:val="005A2EA6"/>
    <w:rsid w:val="005A3631"/>
    <w:rsid w:val="005A3D02"/>
    <w:rsid w:val="005A4E2C"/>
    <w:rsid w:val="005A52EB"/>
    <w:rsid w:val="005A66CB"/>
    <w:rsid w:val="005A6B0A"/>
    <w:rsid w:val="005B0472"/>
    <w:rsid w:val="005B19AB"/>
    <w:rsid w:val="005B5892"/>
    <w:rsid w:val="005C0C29"/>
    <w:rsid w:val="005C228F"/>
    <w:rsid w:val="005C272F"/>
    <w:rsid w:val="005C716E"/>
    <w:rsid w:val="005C750A"/>
    <w:rsid w:val="005D01A8"/>
    <w:rsid w:val="005D03E7"/>
    <w:rsid w:val="005E1375"/>
    <w:rsid w:val="005E1C64"/>
    <w:rsid w:val="005E556D"/>
    <w:rsid w:val="005E6EE9"/>
    <w:rsid w:val="005E7695"/>
    <w:rsid w:val="005F162C"/>
    <w:rsid w:val="005F1E2D"/>
    <w:rsid w:val="005F28D4"/>
    <w:rsid w:val="005F430F"/>
    <w:rsid w:val="005F53E1"/>
    <w:rsid w:val="00600494"/>
    <w:rsid w:val="00606D0E"/>
    <w:rsid w:val="00607ECB"/>
    <w:rsid w:val="006109E1"/>
    <w:rsid w:val="006150A8"/>
    <w:rsid w:val="0062522C"/>
    <w:rsid w:val="0062578A"/>
    <w:rsid w:val="00626C58"/>
    <w:rsid w:val="00635EC3"/>
    <w:rsid w:val="00636860"/>
    <w:rsid w:val="00637A61"/>
    <w:rsid w:val="0064008B"/>
    <w:rsid w:val="00641AC0"/>
    <w:rsid w:val="0064251B"/>
    <w:rsid w:val="0064434C"/>
    <w:rsid w:val="00645FA6"/>
    <w:rsid w:val="00646710"/>
    <w:rsid w:val="00650A00"/>
    <w:rsid w:val="006518B1"/>
    <w:rsid w:val="00655B0B"/>
    <w:rsid w:val="00656171"/>
    <w:rsid w:val="006571CE"/>
    <w:rsid w:val="00666769"/>
    <w:rsid w:val="00670448"/>
    <w:rsid w:val="006714AC"/>
    <w:rsid w:val="00671E2B"/>
    <w:rsid w:val="00672F90"/>
    <w:rsid w:val="006739C6"/>
    <w:rsid w:val="0067684B"/>
    <w:rsid w:val="00677802"/>
    <w:rsid w:val="00677BF6"/>
    <w:rsid w:val="0068057E"/>
    <w:rsid w:val="006811CE"/>
    <w:rsid w:val="00681F7A"/>
    <w:rsid w:val="00682AC9"/>
    <w:rsid w:val="00682BCD"/>
    <w:rsid w:val="0068692D"/>
    <w:rsid w:val="00690B57"/>
    <w:rsid w:val="0069443D"/>
    <w:rsid w:val="00694C04"/>
    <w:rsid w:val="006959AF"/>
    <w:rsid w:val="006A078C"/>
    <w:rsid w:val="006A1899"/>
    <w:rsid w:val="006A1EFF"/>
    <w:rsid w:val="006A2228"/>
    <w:rsid w:val="006A3DE8"/>
    <w:rsid w:val="006A5367"/>
    <w:rsid w:val="006A64EC"/>
    <w:rsid w:val="006A65E7"/>
    <w:rsid w:val="006A72C4"/>
    <w:rsid w:val="006A7614"/>
    <w:rsid w:val="006A7DF7"/>
    <w:rsid w:val="006B0652"/>
    <w:rsid w:val="006B1B9E"/>
    <w:rsid w:val="006B2B5D"/>
    <w:rsid w:val="006B39F6"/>
    <w:rsid w:val="006B43E8"/>
    <w:rsid w:val="006B7B5F"/>
    <w:rsid w:val="006C24AB"/>
    <w:rsid w:val="006C34E1"/>
    <w:rsid w:val="006C3C39"/>
    <w:rsid w:val="006C5B99"/>
    <w:rsid w:val="006C5D72"/>
    <w:rsid w:val="006C5F78"/>
    <w:rsid w:val="006C7C85"/>
    <w:rsid w:val="006D3367"/>
    <w:rsid w:val="006D413F"/>
    <w:rsid w:val="006D4428"/>
    <w:rsid w:val="006D44FA"/>
    <w:rsid w:val="006D6716"/>
    <w:rsid w:val="006D67B8"/>
    <w:rsid w:val="006D6B4E"/>
    <w:rsid w:val="006E158D"/>
    <w:rsid w:val="006E2AEF"/>
    <w:rsid w:val="006E3DE1"/>
    <w:rsid w:val="006F00FD"/>
    <w:rsid w:val="006F053F"/>
    <w:rsid w:val="006F0832"/>
    <w:rsid w:val="006F168E"/>
    <w:rsid w:val="006F548A"/>
    <w:rsid w:val="006F794C"/>
    <w:rsid w:val="0070016B"/>
    <w:rsid w:val="00702D34"/>
    <w:rsid w:val="00702F27"/>
    <w:rsid w:val="00704202"/>
    <w:rsid w:val="00707664"/>
    <w:rsid w:val="00711CA6"/>
    <w:rsid w:val="0071244B"/>
    <w:rsid w:val="00712A21"/>
    <w:rsid w:val="00717B10"/>
    <w:rsid w:val="00720A3E"/>
    <w:rsid w:val="00720F11"/>
    <w:rsid w:val="007214EF"/>
    <w:rsid w:val="007221E7"/>
    <w:rsid w:val="00722516"/>
    <w:rsid w:val="00723C00"/>
    <w:rsid w:val="007247F7"/>
    <w:rsid w:val="00725938"/>
    <w:rsid w:val="007263E4"/>
    <w:rsid w:val="00726DD4"/>
    <w:rsid w:val="00730892"/>
    <w:rsid w:val="00731A4C"/>
    <w:rsid w:val="00731AAF"/>
    <w:rsid w:val="00742342"/>
    <w:rsid w:val="00742C8C"/>
    <w:rsid w:val="00744CFB"/>
    <w:rsid w:val="0074653C"/>
    <w:rsid w:val="00747001"/>
    <w:rsid w:val="0074778F"/>
    <w:rsid w:val="00747B99"/>
    <w:rsid w:val="007525FD"/>
    <w:rsid w:val="00752653"/>
    <w:rsid w:val="00754E03"/>
    <w:rsid w:val="00763A57"/>
    <w:rsid w:val="007670A1"/>
    <w:rsid w:val="00770914"/>
    <w:rsid w:val="00773734"/>
    <w:rsid w:val="007737C5"/>
    <w:rsid w:val="007761AF"/>
    <w:rsid w:val="00780748"/>
    <w:rsid w:val="0078102C"/>
    <w:rsid w:val="0078127B"/>
    <w:rsid w:val="00783445"/>
    <w:rsid w:val="00784530"/>
    <w:rsid w:val="00784BA2"/>
    <w:rsid w:val="007906CE"/>
    <w:rsid w:val="007919C0"/>
    <w:rsid w:val="007959C1"/>
    <w:rsid w:val="00795D8B"/>
    <w:rsid w:val="007966F4"/>
    <w:rsid w:val="007A5803"/>
    <w:rsid w:val="007B2015"/>
    <w:rsid w:val="007B2497"/>
    <w:rsid w:val="007B2F7F"/>
    <w:rsid w:val="007B5799"/>
    <w:rsid w:val="007B6C77"/>
    <w:rsid w:val="007B6D9E"/>
    <w:rsid w:val="007B705F"/>
    <w:rsid w:val="007C0CD8"/>
    <w:rsid w:val="007C1AB6"/>
    <w:rsid w:val="007C1E2F"/>
    <w:rsid w:val="007C21D9"/>
    <w:rsid w:val="007C307D"/>
    <w:rsid w:val="007C3668"/>
    <w:rsid w:val="007C39E6"/>
    <w:rsid w:val="007C4167"/>
    <w:rsid w:val="007C5524"/>
    <w:rsid w:val="007D158F"/>
    <w:rsid w:val="007D1991"/>
    <w:rsid w:val="007D4181"/>
    <w:rsid w:val="007D4918"/>
    <w:rsid w:val="007D4EE1"/>
    <w:rsid w:val="007D5F48"/>
    <w:rsid w:val="007D64C8"/>
    <w:rsid w:val="007D754B"/>
    <w:rsid w:val="007E0B04"/>
    <w:rsid w:val="007E1553"/>
    <w:rsid w:val="007E3A67"/>
    <w:rsid w:val="007E48E8"/>
    <w:rsid w:val="007E4B90"/>
    <w:rsid w:val="007E6625"/>
    <w:rsid w:val="007E66CE"/>
    <w:rsid w:val="007F0DA1"/>
    <w:rsid w:val="007F1C0F"/>
    <w:rsid w:val="007F2742"/>
    <w:rsid w:val="007F3E0A"/>
    <w:rsid w:val="007F58E6"/>
    <w:rsid w:val="007F686C"/>
    <w:rsid w:val="007F76BA"/>
    <w:rsid w:val="008039B9"/>
    <w:rsid w:val="00806376"/>
    <w:rsid w:val="0080734C"/>
    <w:rsid w:val="00813568"/>
    <w:rsid w:val="00813F25"/>
    <w:rsid w:val="00815170"/>
    <w:rsid w:val="008154F6"/>
    <w:rsid w:val="00815ABB"/>
    <w:rsid w:val="008160BC"/>
    <w:rsid w:val="008169DF"/>
    <w:rsid w:val="00816DF1"/>
    <w:rsid w:val="00821DD9"/>
    <w:rsid w:val="008228EC"/>
    <w:rsid w:val="00833128"/>
    <w:rsid w:val="00840E7C"/>
    <w:rsid w:val="008421A1"/>
    <w:rsid w:val="008432EE"/>
    <w:rsid w:val="00844455"/>
    <w:rsid w:val="00844631"/>
    <w:rsid w:val="00850CF2"/>
    <w:rsid w:val="00851DFB"/>
    <w:rsid w:val="00855573"/>
    <w:rsid w:val="00857845"/>
    <w:rsid w:val="0086314C"/>
    <w:rsid w:val="0086519F"/>
    <w:rsid w:val="00865D38"/>
    <w:rsid w:val="008663FA"/>
    <w:rsid w:val="00872016"/>
    <w:rsid w:val="00873713"/>
    <w:rsid w:val="00874265"/>
    <w:rsid w:val="00883BD4"/>
    <w:rsid w:val="00883E66"/>
    <w:rsid w:val="008840EE"/>
    <w:rsid w:val="00886B4B"/>
    <w:rsid w:val="00887478"/>
    <w:rsid w:val="00887757"/>
    <w:rsid w:val="00887A63"/>
    <w:rsid w:val="00893B1D"/>
    <w:rsid w:val="008942EE"/>
    <w:rsid w:val="00894485"/>
    <w:rsid w:val="00895A2A"/>
    <w:rsid w:val="008A3B53"/>
    <w:rsid w:val="008A5CB9"/>
    <w:rsid w:val="008A6880"/>
    <w:rsid w:val="008B032B"/>
    <w:rsid w:val="008B0C3B"/>
    <w:rsid w:val="008B1F5A"/>
    <w:rsid w:val="008B419E"/>
    <w:rsid w:val="008B43D6"/>
    <w:rsid w:val="008C00EB"/>
    <w:rsid w:val="008C0EA3"/>
    <w:rsid w:val="008C4666"/>
    <w:rsid w:val="008D0DC0"/>
    <w:rsid w:val="008D129A"/>
    <w:rsid w:val="008D5065"/>
    <w:rsid w:val="008D52AB"/>
    <w:rsid w:val="008D538F"/>
    <w:rsid w:val="008D5B53"/>
    <w:rsid w:val="008D697E"/>
    <w:rsid w:val="008E12AE"/>
    <w:rsid w:val="008E27F1"/>
    <w:rsid w:val="008E602B"/>
    <w:rsid w:val="008F0865"/>
    <w:rsid w:val="008F251D"/>
    <w:rsid w:val="008F2B23"/>
    <w:rsid w:val="008F2EA8"/>
    <w:rsid w:val="008F312B"/>
    <w:rsid w:val="008F4403"/>
    <w:rsid w:val="008F4D5E"/>
    <w:rsid w:val="008F5A8F"/>
    <w:rsid w:val="009009D0"/>
    <w:rsid w:val="00902B68"/>
    <w:rsid w:val="00903CAA"/>
    <w:rsid w:val="00906954"/>
    <w:rsid w:val="0090766C"/>
    <w:rsid w:val="00912344"/>
    <w:rsid w:val="00913C98"/>
    <w:rsid w:val="009156D2"/>
    <w:rsid w:val="0091635D"/>
    <w:rsid w:val="0092134D"/>
    <w:rsid w:val="00924790"/>
    <w:rsid w:val="00925ACE"/>
    <w:rsid w:val="00931BDB"/>
    <w:rsid w:val="00936037"/>
    <w:rsid w:val="00937170"/>
    <w:rsid w:val="00940186"/>
    <w:rsid w:val="00944D67"/>
    <w:rsid w:val="00945642"/>
    <w:rsid w:val="00945D20"/>
    <w:rsid w:val="00952494"/>
    <w:rsid w:val="009527CF"/>
    <w:rsid w:val="00952FE4"/>
    <w:rsid w:val="009540DF"/>
    <w:rsid w:val="009546E8"/>
    <w:rsid w:val="00955CD5"/>
    <w:rsid w:val="00956F27"/>
    <w:rsid w:val="0095754B"/>
    <w:rsid w:val="009603FE"/>
    <w:rsid w:val="009672E4"/>
    <w:rsid w:val="00972701"/>
    <w:rsid w:val="00980DB0"/>
    <w:rsid w:val="009847AD"/>
    <w:rsid w:val="00984B0B"/>
    <w:rsid w:val="009862E6"/>
    <w:rsid w:val="00986E00"/>
    <w:rsid w:val="00991C65"/>
    <w:rsid w:val="00994EDD"/>
    <w:rsid w:val="0099560B"/>
    <w:rsid w:val="009967F0"/>
    <w:rsid w:val="00997375"/>
    <w:rsid w:val="00997C0F"/>
    <w:rsid w:val="009A1591"/>
    <w:rsid w:val="009A2805"/>
    <w:rsid w:val="009A3817"/>
    <w:rsid w:val="009A3970"/>
    <w:rsid w:val="009A5D9D"/>
    <w:rsid w:val="009B01E8"/>
    <w:rsid w:val="009B20BD"/>
    <w:rsid w:val="009B4174"/>
    <w:rsid w:val="009B61A1"/>
    <w:rsid w:val="009B6D2E"/>
    <w:rsid w:val="009C0EAF"/>
    <w:rsid w:val="009C1F87"/>
    <w:rsid w:val="009C3E07"/>
    <w:rsid w:val="009C4947"/>
    <w:rsid w:val="009C53EB"/>
    <w:rsid w:val="009C67C5"/>
    <w:rsid w:val="009D316C"/>
    <w:rsid w:val="009D5240"/>
    <w:rsid w:val="009E19BD"/>
    <w:rsid w:val="009E3E1A"/>
    <w:rsid w:val="009E49AE"/>
    <w:rsid w:val="009E62C0"/>
    <w:rsid w:val="009E7EE8"/>
    <w:rsid w:val="009F0F58"/>
    <w:rsid w:val="009F3745"/>
    <w:rsid w:val="009F6DA2"/>
    <w:rsid w:val="00A01202"/>
    <w:rsid w:val="00A0418C"/>
    <w:rsid w:val="00A06FFF"/>
    <w:rsid w:val="00A0718C"/>
    <w:rsid w:val="00A07E14"/>
    <w:rsid w:val="00A10ACD"/>
    <w:rsid w:val="00A119F4"/>
    <w:rsid w:val="00A129F1"/>
    <w:rsid w:val="00A1384B"/>
    <w:rsid w:val="00A160A1"/>
    <w:rsid w:val="00A21844"/>
    <w:rsid w:val="00A23E1F"/>
    <w:rsid w:val="00A26CF0"/>
    <w:rsid w:val="00A274D2"/>
    <w:rsid w:val="00A279B0"/>
    <w:rsid w:val="00A31BC3"/>
    <w:rsid w:val="00A32F6A"/>
    <w:rsid w:val="00A3304F"/>
    <w:rsid w:val="00A33F5D"/>
    <w:rsid w:val="00A341CB"/>
    <w:rsid w:val="00A3488D"/>
    <w:rsid w:val="00A34CF7"/>
    <w:rsid w:val="00A356E7"/>
    <w:rsid w:val="00A35F51"/>
    <w:rsid w:val="00A36752"/>
    <w:rsid w:val="00A37976"/>
    <w:rsid w:val="00A42745"/>
    <w:rsid w:val="00A43B1C"/>
    <w:rsid w:val="00A467CE"/>
    <w:rsid w:val="00A50725"/>
    <w:rsid w:val="00A5366E"/>
    <w:rsid w:val="00A55276"/>
    <w:rsid w:val="00A553D5"/>
    <w:rsid w:val="00A56BB5"/>
    <w:rsid w:val="00A56C6B"/>
    <w:rsid w:val="00A60FFF"/>
    <w:rsid w:val="00A61A2C"/>
    <w:rsid w:val="00A6306A"/>
    <w:rsid w:val="00A6331F"/>
    <w:rsid w:val="00A63890"/>
    <w:rsid w:val="00A650E4"/>
    <w:rsid w:val="00A67085"/>
    <w:rsid w:val="00A678FC"/>
    <w:rsid w:val="00A71837"/>
    <w:rsid w:val="00A71B7A"/>
    <w:rsid w:val="00A72CF0"/>
    <w:rsid w:val="00A74277"/>
    <w:rsid w:val="00A80A4F"/>
    <w:rsid w:val="00A82430"/>
    <w:rsid w:val="00A91891"/>
    <w:rsid w:val="00A92D37"/>
    <w:rsid w:val="00A9613A"/>
    <w:rsid w:val="00A973B2"/>
    <w:rsid w:val="00AA3ADC"/>
    <w:rsid w:val="00AA3DAB"/>
    <w:rsid w:val="00AB0F92"/>
    <w:rsid w:val="00AB2340"/>
    <w:rsid w:val="00AB4706"/>
    <w:rsid w:val="00AB567E"/>
    <w:rsid w:val="00AC06CA"/>
    <w:rsid w:val="00AC08A8"/>
    <w:rsid w:val="00AC17B9"/>
    <w:rsid w:val="00AC3943"/>
    <w:rsid w:val="00AC4317"/>
    <w:rsid w:val="00AC5EBF"/>
    <w:rsid w:val="00AC6981"/>
    <w:rsid w:val="00AD4163"/>
    <w:rsid w:val="00AE3A26"/>
    <w:rsid w:val="00AE7658"/>
    <w:rsid w:val="00AF1B2F"/>
    <w:rsid w:val="00AF65DF"/>
    <w:rsid w:val="00AF73D9"/>
    <w:rsid w:val="00B02A50"/>
    <w:rsid w:val="00B13000"/>
    <w:rsid w:val="00B20019"/>
    <w:rsid w:val="00B20450"/>
    <w:rsid w:val="00B21550"/>
    <w:rsid w:val="00B24137"/>
    <w:rsid w:val="00B2529D"/>
    <w:rsid w:val="00B27C88"/>
    <w:rsid w:val="00B3096B"/>
    <w:rsid w:val="00B31765"/>
    <w:rsid w:val="00B31FEF"/>
    <w:rsid w:val="00B325E1"/>
    <w:rsid w:val="00B3588C"/>
    <w:rsid w:val="00B40821"/>
    <w:rsid w:val="00B43736"/>
    <w:rsid w:val="00B45A06"/>
    <w:rsid w:val="00B47EBD"/>
    <w:rsid w:val="00B5102A"/>
    <w:rsid w:val="00B528FB"/>
    <w:rsid w:val="00B53B38"/>
    <w:rsid w:val="00B559AA"/>
    <w:rsid w:val="00B564BC"/>
    <w:rsid w:val="00B62E57"/>
    <w:rsid w:val="00B63270"/>
    <w:rsid w:val="00B64400"/>
    <w:rsid w:val="00B65228"/>
    <w:rsid w:val="00B66EDA"/>
    <w:rsid w:val="00B70CD9"/>
    <w:rsid w:val="00B71319"/>
    <w:rsid w:val="00B714B7"/>
    <w:rsid w:val="00B761CE"/>
    <w:rsid w:val="00B82337"/>
    <w:rsid w:val="00B82E71"/>
    <w:rsid w:val="00B83493"/>
    <w:rsid w:val="00B85BBC"/>
    <w:rsid w:val="00B93E14"/>
    <w:rsid w:val="00B940DD"/>
    <w:rsid w:val="00B95847"/>
    <w:rsid w:val="00B966ED"/>
    <w:rsid w:val="00B97269"/>
    <w:rsid w:val="00BA268A"/>
    <w:rsid w:val="00BA3D8F"/>
    <w:rsid w:val="00BA65A5"/>
    <w:rsid w:val="00BB3689"/>
    <w:rsid w:val="00BB6193"/>
    <w:rsid w:val="00BB6A0B"/>
    <w:rsid w:val="00BB726A"/>
    <w:rsid w:val="00BB756B"/>
    <w:rsid w:val="00BC15E4"/>
    <w:rsid w:val="00BC6911"/>
    <w:rsid w:val="00BD00F4"/>
    <w:rsid w:val="00BD1A05"/>
    <w:rsid w:val="00BD1B80"/>
    <w:rsid w:val="00BD1ED3"/>
    <w:rsid w:val="00BD2304"/>
    <w:rsid w:val="00BD5FBC"/>
    <w:rsid w:val="00BD66D6"/>
    <w:rsid w:val="00BE335A"/>
    <w:rsid w:val="00BE4FA2"/>
    <w:rsid w:val="00BF187B"/>
    <w:rsid w:val="00BF6074"/>
    <w:rsid w:val="00C00704"/>
    <w:rsid w:val="00C02961"/>
    <w:rsid w:val="00C02B5E"/>
    <w:rsid w:val="00C057EF"/>
    <w:rsid w:val="00C07274"/>
    <w:rsid w:val="00C14296"/>
    <w:rsid w:val="00C16B6E"/>
    <w:rsid w:val="00C179F3"/>
    <w:rsid w:val="00C20725"/>
    <w:rsid w:val="00C2333D"/>
    <w:rsid w:val="00C2452C"/>
    <w:rsid w:val="00C2551D"/>
    <w:rsid w:val="00C2695D"/>
    <w:rsid w:val="00C32246"/>
    <w:rsid w:val="00C41693"/>
    <w:rsid w:val="00C4260B"/>
    <w:rsid w:val="00C43792"/>
    <w:rsid w:val="00C450AE"/>
    <w:rsid w:val="00C4687D"/>
    <w:rsid w:val="00C474EE"/>
    <w:rsid w:val="00C510A3"/>
    <w:rsid w:val="00C53387"/>
    <w:rsid w:val="00C546B7"/>
    <w:rsid w:val="00C56300"/>
    <w:rsid w:val="00C56ED2"/>
    <w:rsid w:val="00C61F2D"/>
    <w:rsid w:val="00C62CA0"/>
    <w:rsid w:val="00C6392E"/>
    <w:rsid w:val="00C6623A"/>
    <w:rsid w:val="00C673E2"/>
    <w:rsid w:val="00C70000"/>
    <w:rsid w:val="00C70B6C"/>
    <w:rsid w:val="00C73D74"/>
    <w:rsid w:val="00C74089"/>
    <w:rsid w:val="00C74890"/>
    <w:rsid w:val="00C758F5"/>
    <w:rsid w:val="00C80C83"/>
    <w:rsid w:val="00C86F5A"/>
    <w:rsid w:val="00C90424"/>
    <w:rsid w:val="00C90E85"/>
    <w:rsid w:val="00C91F55"/>
    <w:rsid w:val="00C92E5D"/>
    <w:rsid w:val="00C93509"/>
    <w:rsid w:val="00C9777C"/>
    <w:rsid w:val="00CA0455"/>
    <w:rsid w:val="00CA4A39"/>
    <w:rsid w:val="00CA4C69"/>
    <w:rsid w:val="00CA58CB"/>
    <w:rsid w:val="00CA5BC7"/>
    <w:rsid w:val="00CA7F6E"/>
    <w:rsid w:val="00CB137C"/>
    <w:rsid w:val="00CB3ABF"/>
    <w:rsid w:val="00CB4E54"/>
    <w:rsid w:val="00CB6AA7"/>
    <w:rsid w:val="00CC181D"/>
    <w:rsid w:val="00CC215D"/>
    <w:rsid w:val="00CC3F2F"/>
    <w:rsid w:val="00CC4A3E"/>
    <w:rsid w:val="00CC602E"/>
    <w:rsid w:val="00CC62E0"/>
    <w:rsid w:val="00CC740E"/>
    <w:rsid w:val="00CD0EB5"/>
    <w:rsid w:val="00CD4EF6"/>
    <w:rsid w:val="00CD6D27"/>
    <w:rsid w:val="00CD6F65"/>
    <w:rsid w:val="00CE16E0"/>
    <w:rsid w:val="00CE4587"/>
    <w:rsid w:val="00CF1131"/>
    <w:rsid w:val="00CF3E4E"/>
    <w:rsid w:val="00CF4585"/>
    <w:rsid w:val="00CF5581"/>
    <w:rsid w:val="00CF61D8"/>
    <w:rsid w:val="00D02140"/>
    <w:rsid w:val="00D03E51"/>
    <w:rsid w:val="00D11C16"/>
    <w:rsid w:val="00D1214E"/>
    <w:rsid w:val="00D145CA"/>
    <w:rsid w:val="00D14777"/>
    <w:rsid w:val="00D14FDB"/>
    <w:rsid w:val="00D150CA"/>
    <w:rsid w:val="00D15D3F"/>
    <w:rsid w:val="00D20BD0"/>
    <w:rsid w:val="00D21854"/>
    <w:rsid w:val="00D2311D"/>
    <w:rsid w:val="00D27605"/>
    <w:rsid w:val="00D302A8"/>
    <w:rsid w:val="00D33385"/>
    <w:rsid w:val="00D3638A"/>
    <w:rsid w:val="00D36521"/>
    <w:rsid w:val="00D42C39"/>
    <w:rsid w:val="00D42D7D"/>
    <w:rsid w:val="00D451FE"/>
    <w:rsid w:val="00D47C45"/>
    <w:rsid w:val="00D50E23"/>
    <w:rsid w:val="00D52262"/>
    <w:rsid w:val="00D531A3"/>
    <w:rsid w:val="00D61BF4"/>
    <w:rsid w:val="00D627AE"/>
    <w:rsid w:val="00D62AA3"/>
    <w:rsid w:val="00D62DF9"/>
    <w:rsid w:val="00D67274"/>
    <w:rsid w:val="00D77566"/>
    <w:rsid w:val="00D85474"/>
    <w:rsid w:val="00D863C2"/>
    <w:rsid w:val="00D87E01"/>
    <w:rsid w:val="00D90DB4"/>
    <w:rsid w:val="00D93D1C"/>
    <w:rsid w:val="00D9411B"/>
    <w:rsid w:val="00D94283"/>
    <w:rsid w:val="00DA371A"/>
    <w:rsid w:val="00DA39C5"/>
    <w:rsid w:val="00DA621C"/>
    <w:rsid w:val="00DB3842"/>
    <w:rsid w:val="00DB4896"/>
    <w:rsid w:val="00DB4CA9"/>
    <w:rsid w:val="00DB5A55"/>
    <w:rsid w:val="00DB6227"/>
    <w:rsid w:val="00DB625D"/>
    <w:rsid w:val="00DB783D"/>
    <w:rsid w:val="00DC05C1"/>
    <w:rsid w:val="00DD3355"/>
    <w:rsid w:val="00DD4EA8"/>
    <w:rsid w:val="00DE151A"/>
    <w:rsid w:val="00DE1DED"/>
    <w:rsid w:val="00DE264C"/>
    <w:rsid w:val="00DE5628"/>
    <w:rsid w:val="00DE6AD2"/>
    <w:rsid w:val="00DE6E1C"/>
    <w:rsid w:val="00DF4385"/>
    <w:rsid w:val="00E008D5"/>
    <w:rsid w:val="00E03491"/>
    <w:rsid w:val="00E0443C"/>
    <w:rsid w:val="00E04753"/>
    <w:rsid w:val="00E0544B"/>
    <w:rsid w:val="00E0641D"/>
    <w:rsid w:val="00E12C39"/>
    <w:rsid w:val="00E13871"/>
    <w:rsid w:val="00E16A37"/>
    <w:rsid w:val="00E172BB"/>
    <w:rsid w:val="00E21B7C"/>
    <w:rsid w:val="00E25796"/>
    <w:rsid w:val="00E302E5"/>
    <w:rsid w:val="00E30764"/>
    <w:rsid w:val="00E30A46"/>
    <w:rsid w:val="00E3155F"/>
    <w:rsid w:val="00E324AA"/>
    <w:rsid w:val="00E33FB4"/>
    <w:rsid w:val="00E35802"/>
    <w:rsid w:val="00E36FE2"/>
    <w:rsid w:val="00E405A6"/>
    <w:rsid w:val="00E44417"/>
    <w:rsid w:val="00E44F9C"/>
    <w:rsid w:val="00E4596F"/>
    <w:rsid w:val="00E504D7"/>
    <w:rsid w:val="00E51B91"/>
    <w:rsid w:val="00E51D5A"/>
    <w:rsid w:val="00E51F41"/>
    <w:rsid w:val="00E53479"/>
    <w:rsid w:val="00E54002"/>
    <w:rsid w:val="00E5691B"/>
    <w:rsid w:val="00E57636"/>
    <w:rsid w:val="00E601F3"/>
    <w:rsid w:val="00E60D3B"/>
    <w:rsid w:val="00E60E4B"/>
    <w:rsid w:val="00E61505"/>
    <w:rsid w:val="00E6158B"/>
    <w:rsid w:val="00E62F09"/>
    <w:rsid w:val="00E63ACD"/>
    <w:rsid w:val="00E673D2"/>
    <w:rsid w:val="00E701E0"/>
    <w:rsid w:val="00E70983"/>
    <w:rsid w:val="00E70E1C"/>
    <w:rsid w:val="00E72220"/>
    <w:rsid w:val="00E74059"/>
    <w:rsid w:val="00E74213"/>
    <w:rsid w:val="00E76C60"/>
    <w:rsid w:val="00E76CD9"/>
    <w:rsid w:val="00E80549"/>
    <w:rsid w:val="00E844CE"/>
    <w:rsid w:val="00E85272"/>
    <w:rsid w:val="00E90FAE"/>
    <w:rsid w:val="00E91E19"/>
    <w:rsid w:val="00E95106"/>
    <w:rsid w:val="00E95F26"/>
    <w:rsid w:val="00EA023E"/>
    <w:rsid w:val="00EA082E"/>
    <w:rsid w:val="00EA0EBF"/>
    <w:rsid w:val="00EA3E27"/>
    <w:rsid w:val="00EB2BE9"/>
    <w:rsid w:val="00EC0B2E"/>
    <w:rsid w:val="00EC4561"/>
    <w:rsid w:val="00EC52E2"/>
    <w:rsid w:val="00ED15EC"/>
    <w:rsid w:val="00ED1CC5"/>
    <w:rsid w:val="00ED47C6"/>
    <w:rsid w:val="00ED5B22"/>
    <w:rsid w:val="00ED60AB"/>
    <w:rsid w:val="00ED74EC"/>
    <w:rsid w:val="00ED79BB"/>
    <w:rsid w:val="00EE0957"/>
    <w:rsid w:val="00EE0E4E"/>
    <w:rsid w:val="00EF0715"/>
    <w:rsid w:val="00EF0B95"/>
    <w:rsid w:val="00EF1732"/>
    <w:rsid w:val="00EF1DB5"/>
    <w:rsid w:val="00EF2B41"/>
    <w:rsid w:val="00EF3ABF"/>
    <w:rsid w:val="00EF3C0F"/>
    <w:rsid w:val="00EF4672"/>
    <w:rsid w:val="00EF4E15"/>
    <w:rsid w:val="00EF636A"/>
    <w:rsid w:val="00EF6520"/>
    <w:rsid w:val="00EF6795"/>
    <w:rsid w:val="00EF7342"/>
    <w:rsid w:val="00EF776D"/>
    <w:rsid w:val="00EF7BFD"/>
    <w:rsid w:val="00EF7F86"/>
    <w:rsid w:val="00F03412"/>
    <w:rsid w:val="00F11FE7"/>
    <w:rsid w:val="00F142BF"/>
    <w:rsid w:val="00F1508D"/>
    <w:rsid w:val="00F15183"/>
    <w:rsid w:val="00F222EF"/>
    <w:rsid w:val="00F25312"/>
    <w:rsid w:val="00F30F6D"/>
    <w:rsid w:val="00F31F97"/>
    <w:rsid w:val="00F336F6"/>
    <w:rsid w:val="00F339D9"/>
    <w:rsid w:val="00F34CB5"/>
    <w:rsid w:val="00F35860"/>
    <w:rsid w:val="00F36C1D"/>
    <w:rsid w:val="00F37028"/>
    <w:rsid w:val="00F40E54"/>
    <w:rsid w:val="00F42C01"/>
    <w:rsid w:val="00F45261"/>
    <w:rsid w:val="00F47394"/>
    <w:rsid w:val="00F5243D"/>
    <w:rsid w:val="00F54CB4"/>
    <w:rsid w:val="00F55106"/>
    <w:rsid w:val="00F560A1"/>
    <w:rsid w:val="00F570F0"/>
    <w:rsid w:val="00F5755F"/>
    <w:rsid w:val="00F62807"/>
    <w:rsid w:val="00F64351"/>
    <w:rsid w:val="00F647CA"/>
    <w:rsid w:val="00F65289"/>
    <w:rsid w:val="00F731D3"/>
    <w:rsid w:val="00F7409A"/>
    <w:rsid w:val="00F74F01"/>
    <w:rsid w:val="00F75BBF"/>
    <w:rsid w:val="00F7769D"/>
    <w:rsid w:val="00F90017"/>
    <w:rsid w:val="00F91426"/>
    <w:rsid w:val="00F92ECF"/>
    <w:rsid w:val="00F96808"/>
    <w:rsid w:val="00F968DD"/>
    <w:rsid w:val="00FA2139"/>
    <w:rsid w:val="00FA3B5D"/>
    <w:rsid w:val="00FA4878"/>
    <w:rsid w:val="00FA63D5"/>
    <w:rsid w:val="00FA7F74"/>
    <w:rsid w:val="00FB0335"/>
    <w:rsid w:val="00FB3929"/>
    <w:rsid w:val="00FB6B35"/>
    <w:rsid w:val="00FB6B9E"/>
    <w:rsid w:val="00FC0EF5"/>
    <w:rsid w:val="00FC5611"/>
    <w:rsid w:val="00FC5F8C"/>
    <w:rsid w:val="00FC6FF4"/>
    <w:rsid w:val="00FC79B6"/>
    <w:rsid w:val="00FD0DE5"/>
    <w:rsid w:val="00FD1CCB"/>
    <w:rsid w:val="00FD5DDC"/>
    <w:rsid w:val="00FD5DDF"/>
    <w:rsid w:val="00FE0906"/>
    <w:rsid w:val="00FE130F"/>
    <w:rsid w:val="00FE2767"/>
    <w:rsid w:val="00FE79BE"/>
    <w:rsid w:val="00FF0DCF"/>
    <w:rsid w:val="00FF7C51"/>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0"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516A86"/>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516A86"/>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516A86"/>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NormalSSChar">
    <w:name w:val="NormalSS Char"/>
    <w:basedOn w:val="DefaultParagraphFont"/>
    <w:link w:val="NormalSS"/>
    <w:rsid w:val="00CA7F6E"/>
  </w:style>
  <w:style w:type="character" w:styleId="Hyperlink">
    <w:name w:val="Hyperlink"/>
    <w:basedOn w:val="DefaultParagraphFont"/>
    <w:uiPriority w:val="99"/>
    <w:unhideWhenUsed/>
    <w:rsid w:val="000F022E"/>
    <w:rPr>
      <w:color w:val="0000FF" w:themeColor="hyperlink"/>
      <w:u w:val="single"/>
    </w:rPr>
  </w:style>
  <w:style w:type="paragraph" w:customStyle="1" w:styleId="Bullet">
    <w:name w:val="Bullet"/>
    <w:rsid w:val="00D93D1C"/>
    <w:pPr>
      <w:tabs>
        <w:tab w:val="num" w:pos="360"/>
      </w:tabs>
      <w:spacing w:after="180"/>
      <w:ind w:left="720" w:right="360" w:hanging="288"/>
      <w:jc w:val="both"/>
    </w:pPr>
    <w:rPr>
      <w:rFonts w:ascii="Times New Roman" w:hAnsi="Times New Roman"/>
      <w:szCs w:val="20"/>
    </w:rPr>
  </w:style>
  <w:style w:type="paragraph" w:styleId="Subtitle">
    <w:name w:val="Subtitle"/>
    <w:basedOn w:val="Normal"/>
    <w:link w:val="SubtitleChar"/>
    <w:qFormat/>
    <w:rsid w:val="00D93D1C"/>
    <w:pPr>
      <w:jc w:val="left"/>
    </w:pPr>
    <w:rPr>
      <w:rFonts w:ascii="Times New Roman" w:hAnsi="Times New Roman"/>
      <w:b/>
      <w:bCs/>
      <w:smallCaps/>
      <w:szCs w:val="20"/>
    </w:rPr>
  </w:style>
  <w:style w:type="character" w:customStyle="1" w:styleId="SubtitleChar">
    <w:name w:val="Subtitle Char"/>
    <w:basedOn w:val="DefaultParagraphFont"/>
    <w:link w:val="Subtitle"/>
    <w:rsid w:val="00D93D1C"/>
    <w:rPr>
      <w:rFonts w:ascii="Times New Roman" w:hAnsi="Times New Roman"/>
      <w:b/>
      <w:bCs/>
      <w:smallCaps/>
      <w:szCs w:val="20"/>
    </w:rPr>
  </w:style>
  <w:style w:type="paragraph" w:styleId="BodyText2">
    <w:name w:val="Body Text 2"/>
    <w:basedOn w:val="Normal"/>
    <w:link w:val="BodyText2Char"/>
    <w:semiHidden/>
    <w:rsid w:val="00D93D1C"/>
    <w:pPr>
      <w:spacing w:line="240" w:lineRule="auto"/>
      <w:ind w:firstLine="0"/>
      <w:jc w:val="left"/>
    </w:pPr>
    <w:rPr>
      <w:b/>
      <w:bCs/>
      <w:szCs w:val="20"/>
    </w:rPr>
  </w:style>
  <w:style w:type="character" w:customStyle="1" w:styleId="BodyText2Char">
    <w:name w:val="Body Text 2 Char"/>
    <w:basedOn w:val="DefaultParagraphFont"/>
    <w:link w:val="BodyText2"/>
    <w:semiHidden/>
    <w:rsid w:val="00D93D1C"/>
    <w:rPr>
      <w:b/>
      <w:bCs/>
      <w:szCs w:val="20"/>
    </w:rPr>
  </w:style>
  <w:style w:type="character" w:customStyle="1" w:styleId="Heading2Char">
    <w:name w:val="Heading 2 Char"/>
    <w:basedOn w:val="DefaultParagraphFont"/>
    <w:link w:val="Heading2"/>
    <w:semiHidden/>
    <w:rsid w:val="00F90017"/>
    <w:rPr>
      <w:b/>
      <w:caps/>
    </w:rPr>
  </w:style>
  <w:style w:type="character" w:styleId="CommentReference">
    <w:name w:val="annotation reference"/>
    <w:basedOn w:val="DefaultParagraphFont"/>
    <w:uiPriority w:val="99"/>
    <w:semiHidden/>
    <w:unhideWhenUsed/>
    <w:rsid w:val="009847AD"/>
    <w:rPr>
      <w:sz w:val="16"/>
      <w:szCs w:val="16"/>
    </w:rPr>
  </w:style>
  <w:style w:type="paragraph" w:styleId="CommentText">
    <w:name w:val="annotation text"/>
    <w:basedOn w:val="Normal"/>
    <w:link w:val="CommentTextChar"/>
    <w:uiPriority w:val="99"/>
    <w:unhideWhenUsed/>
    <w:rsid w:val="009847AD"/>
    <w:pPr>
      <w:spacing w:line="240" w:lineRule="auto"/>
    </w:pPr>
    <w:rPr>
      <w:sz w:val="20"/>
      <w:szCs w:val="20"/>
    </w:rPr>
  </w:style>
  <w:style w:type="character" w:customStyle="1" w:styleId="CommentTextChar">
    <w:name w:val="Comment Text Char"/>
    <w:basedOn w:val="DefaultParagraphFont"/>
    <w:link w:val="CommentText"/>
    <w:uiPriority w:val="99"/>
    <w:rsid w:val="009847AD"/>
    <w:rPr>
      <w:sz w:val="20"/>
      <w:szCs w:val="20"/>
    </w:rPr>
  </w:style>
  <w:style w:type="paragraph" w:styleId="CommentSubject">
    <w:name w:val="annotation subject"/>
    <w:basedOn w:val="CommentText"/>
    <w:next w:val="CommentText"/>
    <w:link w:val="CommentSubjectChar"/>
    <w:uiPriority w:val="99"/>
    <w:semiHidden/>
    <w:unhideWhenUsed/>
    <w:rsid w:val="005C716E"/>
    <w:rPr>
      <w:b/>
      <w:bCs/>
    </w:rPr>
  </w:style>
  <w:style w:type="character" w:customStyle="1" w:styleId="CommentSubjectChar">
    <w:name w:val="Comment Subject Char"/>
    <w:basedOn w:val="CommentTextChar"/>
    <w:link w:val="CommentSubject"/>
    <w:uiPriority w:val="99"/>
    <w:semiHidden/>
    <w:rsid w:val="005C716E"/>
    <w:rPr>
      <w:b/>
      <w:bCs/>
      <w:sz w:val="20"/>
      <w:szCs w:val="20"/>
    </w:rPr>
  </w:style>
  <w:style w:type="paragraph" w:styleId="DocumentMap">
    <w:name w:val="Document Map"/>
    <w:basedOn w:val="Normal"/>
    <w:link w:val="DocumentMapChar"/>
    <w:uiPriority w:val="99"/>
    <w:semiHidden/>
    <w:unhideWhenUsed/>
    <w:rsid w:val="002550B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0BA"/>
    <w:rPr>
      <w:rFonts w:ascii="Tahoma" w:hAnsi="Tahoma" w:cs="Tahoma"/>
      <w:sz w:val="16"/>
      <w:szCs w:val="16"/>
    </w:rPr>
  </w:style>
  <w:style w:type="paragraph" w:styleId="Revision">
    <w:name w:val="Revision"/>
    <w:hidden/>
    <w:uiPriority w:val="99"/>
    <w:semiHidden/>
    <w:rsid w:val="005C0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8441">
      <w:bodyDiv w:val="1"/>
      <w:marLeft w:val="0"/>
      <w:marRight w:val="0"/>
      <w:marTop w:val="0"/>
      <w:marBottom w:val="0"/>
      <w:divBdr>
        <w:top w:val="none" w:sz="0" w:space="0" w:color="auto"/>
        <w:left w:val="none" w:sz="0" w:space="0" w:color="auto"/>
        <w:bottom w:val="none" w:sz="0" w:space="0" w:color="auto"/>
        <w:right w:val="none" w:sz="0" w:space="0" w:color="auto"/>
      </w:divBdr>
    </w:div>
    <w:div w:id="1378965801">
      <w:bodyDiv w:val="1"/>
      <w:marLeft w:val="0"/>
      <w:marRight w:val="0"/>
      <w:marTop w:val="0"/>
      <w:marBottom w:val="0"/>
      <w:divBdr>
        <w:top w:val="none" w:sz="0" w:space="0" w:color="auto"/>
        <w:left w:val="none" w:sz="0" w:space="0" w:color="auto"/>
        <w:bottom w:val="none" w:sz="0" w:space="0" w:color="auto"/>
        <w:right w:val="none" w:sz="0" w:space="0" w:color="auto"/>
      </w:divBdr>
    </w:div>
    <w:div w:id="209658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0325-2379-4121-9EB3-61CA540D55AE}">
  <ds:schemaRefs>
    <ds:schemaRef ds:uri="http://schemas.openxmlformats.org/officeDocument/2006/bibliography"/>
  </ds:schemaRefs>
</ds:datastoreItem>
</file>

<file path=customXml/itemProps2.xml><?xml version="1.0" encoding="utf-8"?>
<ds:datastoreItem xmlns:ds="http://schemas.openxmlformats.org/officeDocument/2006/customXml" ds:itemID="{8E8559C1-B96A-4209-9326-C28A8F100FAA}">
  <ds:schemaRefs>
    <ds:schemaRef ds:uri="http://schemas.openxmlformats.org/officeDocument/2006/bibliography"/>
  </ds:schemaRefs>
</ds:datastoreItem>
</file>

<file path=customXml/itemProps3.xml><?xml version="1.0" encoding="utf-8"?>
<ds:datastoreItem xmlns:ds="http://schemas.openxmlformats.org/officeDocument/2006/customXml" ds:itemID="{232D8E2E-C964-45F1-9206-F5890D83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8</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06997 PACT OMB</vt:lpstr>
    </vt:vector>
  </TitlesOfParts>
  <Company>Mathematica, Inc</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06997 PACT OMB</dc:title>
  <dc:subject>OMB Package Part A</dc:subject>
  <dc:creator>Sheena McConnell (formatted by Sheena Flowers)</dc:creator>
  <cp:keywords>06997, PACT OMB</cp:keywords>
  <cp:lastModifiedBy>CTAC</cp:lastModifiedBy>
  <cp:revision>2</cp:revision>
  <cp:lastPrinted>2012-06-04T15:54:00Z</cp:lastPrinted>
  <dcterms:created xsi:type="dcterms:W3CDTF">2012-10-31T15:20:00Z</dcterms:created>
  <dcterms:modified xsi:type="dcterms:W3CDTF">2012-10-31T15:20:00Z</dcterms:modified>
  <cp:category>OMB</cp:category>
</cp:coreProperties>
</file>