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1F" w:rsidRPr="00D411EF" w:rsidRDefault="008C5D1F" w:rsidP="008C5D1F">
      <w:pPr>
        <w:pStyle w:val="Heading2"/>
        <w:spacing w:line="240" w:lineRule="auto"/>
      </w:pPr>
      <w:r w:rsidRPr="00D411EF">
        <w:t>SUPPORTING STATEMENT</w:t>
      </w:r>
    </w:p>
    <w:p w:rsidR="008C5D1F" w:rsidRPr="00D411EF" w:rsidRDefault="008C5D1F" w:rsidP="008C5D1F">
      <w:pPr>
        <w:jc w:val="center"/>
        <w:rPr>
          <w:rFonts w:ascii="Times" w:hAnsi="Times"/>
          <w:u w:val="single"/>
        </w:rPr>
      </w:pPr>
      <w:r w:rsidRPr="00D411EF">
        <w:rPr>
          <w:rFonts w:ascii="Times" w:hAnsi="Times"/>
        </w:rPr>
        <w:t xml:space="preserve">Consumer Price Index </w:t>
      </w:r>
      <w:r>
        <w:rPr>
          <w:rFonts w:ascii="Times" w:hAnsi="Times"/>
        </w:rPr>
        <w:t>Housing</w:t>
      </w:r>
    </w:p>
    <w:p w:rsidR="008C5D1F" w:rsidRPr="00D411EF" w:rsidRDefault="008C5D1F" w:rsidP="008C5D1F">
      <w:pPr>
        <w:rPr>
          <w:rFonts w:ascii="Times" w:hAnsi="Times"/>
          <w:u w:val="single"/>
        </w:rPr>
      </w:pPr>
    </w:p>
    <w:p w:rsidR="008C5D1F" w:rsidRPr="00D411EF" w:rsidRDefault="008C5D1F" w:rsidP="008C5D1F"/>
    <w:p w:rsidR="008C5D1F" w:rsidRPr="00D411EF" w:rsidRDefault="008C5D1F" w:rsidP="008C5D1F">
      <w:r w:rsidRPr="00D411EF">
        <w:t xml:space="preserve">A.  </w:t>
      </w:r>
      <w:r w:rsidRPr="00D411EF">
        <w:rPr>
          <w:u w:val="single"/>
        </w:rPr>
        <w:t>JUSTIFICATION</w:t>
      </w:r>
    </w:p>
    <w:p w:rsidR="008C5D1F" w:rsidRPr="00D411EF" w:rsidRDefault="008C5D1F" w:rsidP="008C5D1F"/>
    <w:p w:rsidR="008C5D1F" w:rsidRPr="00D411EF" w:rsidRDefault="008C5D1F" w:rsidP="008C5D1F">
      <w:r w:rsidRPr="001B54C6">
        <w:rPr>
          <w:b/>
        </w:rPr>
        <w:t>1.</w:t>
      </w:r>
      <w:r>
        <w:tab/>
      </w:r>
      <w:r>
        <w:rPr>
          <w:b/>
        </w:rPr>
        <w:t>Necessity of the Information Collection.</w:t>
      </w:r>
    </w:p>
    <w:p w:rsidR="008C5D1F" w:rsidRPr="00D411EF" w:rsidRDefault="008C5D1F" w:rsidP="008C5D1F">
      <w:pPr>
        <w:pStyle w:val="Header"/>
        <w:tabs>
          <w:tab w:val="clear" w:pos="4320"/>
          <w:tab w:val="clear" w:pos="8640"/>
        </w:tabs>
      </w:pPr>
    </w:p>
    <w:p w:rsidR="008C5D1F" w:rsidRPr="00D411EF" w:rsidRDefault="008C5D1F" w:rsidP="008C5D1F">
      <w:r w:rsidRPr="00D411EF">
        <w:t xml:space="preserve">Section 2 of Title 29, Chapter 1, Subchapter 1, United States Code Annotated directs the Bureau of Labor Statistics (BLS), under the direction of the Secretary of Labor, to collect, collate, and report full and complete statistics of the conditions of labor and the products and distribution of the products of the same.  A copy of the relevant section of Title 29 is attached.  </w:t>
      </w:r>
    </w:p>
    <w:p w:rsidR="008C5D1F" w:rsidRPr="00D411EF" w:rsidRDefault="008C5D1F" w:rsidP="008C5D1F"/>
    <w:p w:rsidR="008C5D1F" w:rsidRPr="00D411EF" w:rsidRDefault="008C5D1F" w:rsidP="008C5D1F">
      <w:r w:rsidRPr="00D411EF">
        <w:t xml:space="preserve">The Consumer Price Index (CPI) is the only index compiled by the U.S. Government that is designed to measure changes in the purchasing power of the consumer's dollar.  The CPI is a measure of the average change in prices over time in a market basket of goods and services.  It is calculated monthly for two population groups, one consisting of all urban </w:t>
      </w:r>
      <w:r>
        <w:t>consumers</w:t>
      </w:r>
      <w:r w:rsidRPr="00D411EF">
        <w:t xml:space="preserve"> (CPI-U), and the other consisting of urban wage earners and clerical workers (CPI-W).  The CPI-U represents the buying habits of about 87 percent of the population of the </w:t>
      </w:r>
      <w:smartTag w:uri="urn:schemas-microsoft-com:office:smarttags" w:element="place">
        <w:smartTag w:uri="urn:schemas-microsoft-com:office:smarttags" w:element="country-region">
          <w:r w:rsidRPr="00D411EF">
            <w:t>United States</w:t>
          </w:r>
        </w:smartTag>
      </w:smartTag>
      <w:r w:rsidRPr="00D411EF">
        <w:t xml:space="preserve">, while the CPI-W represents approximately 32 percent of that group. </w:t>
      </w:r>
    </w:p>
    <w:p w:rsidR="008C5D1F" w:rsidRPr="00D411EF" w:rsidRDefault="008C5D1F" w:rsidP="008C5D1F"/>
    <w:p w:rsidR="008C5D1F" w:rsidRPr="00D411EF" w:rsidRDefault="008C5D1F" w:rsidP="008C5D1F">
      <w:r w:rsidRPr="00D411EF">
        <w:t xml:space="preserve">In addition to the above produced indexes, BLS also produces the Chained Consumer Price Index for all urban consumers (C-CPI-U). </w:t>
      </w:r>
      <w:r>
        <w:t xml:space="preserve"> </w:t>
      </w:r>
      <w:r w:rsidRPr="00D411EF">
        <w:t>The C-CPI-U is a “superlative”</w:t>
      </w:r>
      <w:r>
        <w:t xml:space="preserve"> type</w:t>
      </w:r>
      <w:r w:rsidRPr="00D411EF">
        <w:t xml:space="preserve"> index that is designed to be a closer approximation to a “cost-of-living” index than the CPI-U and CPI-W.  The C-CPI-U is distinguished from the CPI-U and CPI-W </w:t>
      </w:r>
      <w:r>
        <w:t>by</w:t>
      </w:r>
      <w:r w:rsidRPr="00D411EF">
        <w:t xml:space="preserve"> the expenditure weights and formula used to produce aggregate measures of price change.  </w:t>
      </w:r>
      <w:r>
        <w:t xml:space="preserve">Expenditure data required for the calculation of the </w:t>
      </w:r>
      <w:r w:rsidRPr="00E57A29">
        <w:rPr>
          <w:bCs/>
        </w:rPr>
        <w:t>C-CPI-U</w:t>
      </w:r>
      <w:r>
        <w:t xml:space="preserve"> are available only with a time lag.  Thus, the </w:t>
      </w:r>
      <w:r w:rsidRPr="00E57A29">
        <w:rPr>
          <w:bCs/>
        </w:rPr>
        <w:t>C-CPI-U</w:t>
      </w:r>
      <w:r>
        <w:t xml:space="preserve"> is being issued first in preliminary form using the latest available expenditure data at that time and is subject to two subsequent revisions.  </w:t>
      </w:r>
      <w:r w:rsidRPr="00D411EF">
        <w:t>The</w:t>
      </w:r>
      <w:r>
        <w:t xml:space="preserve"> </w:t>
      </w:r>
      <w:r w:rsidRPr="00FD6C97">
        <w:rPr>
          <w:bCs/>
        </w:rPr>
        <w:t>C-CPI-U</w:t>
      </w:r>
      <w:r w:rsidRPr="00D411EF">
        <w:t xml:space="preserve"> is issued for national averages only and </w:t>
      </w:r>
      <w:r>
        <w:t>is</w:t>
      </w:r>
      <w:r w:rsidRPr="00D411EF">
        <w:t xml:space="preserve"> not seasonally adjusted.  </w:t>
      </w:r>
    </w:p>
    <w:p w:rsidR="008C5D1F" w:rsidRPr="00D411EF" w:rsidRDefault="008C5D1F" w:rsidP="008C5D1F">
      <w:pPr>
        <w:pStyle w:val="Header"/>
        <w:tabs>
          <w:tab w:val="clear" w:pos="4320"/>
          <w:tab w:val="clear" w:pos="8640"/>
        </w:tabs>
      </w:pPr>
    </w:p>
    <w:p w:rsidR="008C5D1F" w:rsidRPr="001B54C6" w:rsidRDefault="008C5D1F" w:rsidP="008C5D1F">
      <w:pPr>
        <w:pStyle w:val="Header"/>
        <w:tabs>
          <w:tab w:val="clear" w:pos="4320"/>
          <w:tab w:val="clear" w:pos="8640"/>
        </w:tabs>
        <w:rPr>
          <w:b/>
        </w:rPr>
      </w:pPr>
      <w:r w:rsidRPr="001B54C6">
        <w:rPr>
          <w:b/>
        </w:rPr>
        <w:t>2.</w:t>
      </w:r>
      <w:r w:rsidRPr="001B54C6">
        <w:rPr>
          <w:b/>
        </w:rPr>
        <w:tab/>
        <w:t>Use of the Information</w:t>
      </w:r>
      <w:r>
        <w:rPr>
          <w:b/>
        </w:rPr>
        <w:t>.</w:t>
      </w:r>
    </w:p>
    <w:p w:rsidR="008C5D1F" w:rsidRPr="00D411EF" w:rsidRDefault="008C5D1F" w:rsidP="008C5D1F">
      <w:pPr>
        <w:pStyle w:val="Header"/>
        <w:tabs>
          <w:tab w:val="clear" w:pos="4320"/>
          <w:tab w:val="clear" w:pos="8640"/>
        </w:tabs>
      </w:pPr>
    </w:p>
    <w:p w:rsidR="008C5D1F" w:rsidRPr="00D411EF" w:rsidRDefault="008C5D1F" w:rsidP="008C5D1F">
      <w:r w:rsidRPr="00D411EF">
        <w:t xml:space="preserve">The CPI is used most widely as a measure of inflation and serves as an indicator of the effectiveness of government economic policy.  It is also used as a deflator of other economic series, that is, to adjust other series for price changes and to translate these series into inflation-free dollars.  Examples include retail sales, hourly and weekly earnings, and components of the Gross Domestic Product.  </w:t>
      </w:r>
    </w:p>
    <w:p w:rsidR="008C5D1F" w:rsidRDefault="008C5D1F" w:rsidP="008C5D1F"/>
    <w:p w:rsidR="008C5D1F" w:rsidRDefault="008C5D1F" w:rsidP="008C5D1F">
      <w:pPr>
        <w:rPr>
          <w:szCs w:val="24"/>
        </w:rPr>
      </w:pPr>
      <w:r>
        <w:rPr>
          <w:szCs w:val="24"/>
        </w:rPr>
        <w:t>Another</w:t>
      </w:r>
      <w:r w:rsidRPr="007A6E93">
        <w:rPr>
          <w:szCs w:val="24"/>
        </w:rPr>
        <w:t xml:space="preserve"> major use of the CPI is to adjust income payments.  Almost 2 million workers are covered by collective bargaining contracts, which provide for increases in wage rates based on increases in the CPI.  </w:t>
      </w:r>
      <w:r>
        <w:rPr>
          <w:szCs w:val="24"/>
        </w:rPr>
        <w:t>Similarly, nine s</w:t>
      </w:r>
      <w:r w:rsidRPr="007A6E93">
        <w:rPr>
          <w:szCs w:val="24"/>
        </w:rPr>
        <w:t xml:space="preserve">tates have laws that link the </w:t>
      </w:r>
      <w:r>
        <w:rPr>
          <w:szCs w:val="24"/>
        </w:rPr>
        <w:t xml:space="preserve">adjustment </w:t>
      </w:r>
      <w:r w:rsidRPr="007A6E93">
        <w:rPr>
          <w:szCs w:val="24"/>
        </w:rPr>
        <w:t xml:space="preserve">in state minimum wage to </w:t>
      </w:r>
      <w:r>
        <w:rPr>
          <w:szCs w:val="24"/>
        </w:rPr>
        <w:t>t</w:t>
      </w:r>
      <w:r w:rsidRPr="007A6E93">
        <w:rPr>
          <w:szCs w:val="24"/>
        </w:rPr>
        <w:t xml:space="preserve">he </w:t>
      </w:r>
      <w:r>
        <w:rPr>
          <w:szCs w:val="24"/>
        </w:rPr>
        <w:t xml:space="preserve">changes in the </w:t>
      </w:r>
      <w:r w:rsidRPr="007A6E93">
        <w:rPr>
          <w:szCs w:val="24"/>
        </w:rPr>
        <w:t>CPI.  In addition to private sector workers whose wages or pensions are adjusted according to changes in the CPI, the index also affects the income of million</w:t>
      </w:r>
      <w:r>
        <w:rPr>
          <w:szCs w:val="24"/>
        </w:rPr>
        <w:t>s of</w:t>
      </w:r>
      <w:r w:rsidRPr="007A6E93">
        <w:rPr>
          <w:szCs w:val="24"/>
        </w:rPr>
        <w:t xml:space="preserve"> persons, largely as a result of statutory action</w:t>
      </w:r>
      <w:r>
        <w:rPr>
          <w:szCs w:val="24"/>
        </w:rPr>
        <w:t xml:space="preserve"> including</w:t>
      </w:r>
      <w:r w:rsidRPr="007A6E93">
        <w:rPr>
          <w:szCs w:val="24"/>
        </w:rPr>
        <w:t>:  social security beneficiaries; retired military and Federal Civil Service employees and survivors</w:t>
      </w:r>
      <w:r>
        <w:rPr>
          <w:szCs w:val="24"/>
        </w:rPr>
        <w:t>;</w:t>
      </w:r>
      <w:r w:rsidRPr="007A6E93">
        <w:rPr>
          <w:szCs w:val="24"/>
        </w:rPr>
        <w:t xml:space="preserve"> and food stamp recipients.  Under </w:t>
      </w:r>
      <w:r w:rsidRPr="007A6E93">
        <w:rPr>
          <w:szCs w:val="24"/>
        </w:rPr>
        <w:lastRenderedPageBreak/>
        <w:t>the National School Lunch Act and Child Nutrition Act, national average payments for those lunches and breakfasts are adjusted annually by the Secretary of Agriculture on the basis of the change in the CPI series, "Food away from Home."  Since 1985, the CPI has been used to adjust the Federal income tax structure to prevent inflation-induced tax rate increases.</w:t>
      </w:r>
      <w:r>
        <w:rPr>
          <w:szCs w:val="24"/>
        </w:rPr>
        <w:t xml:space="preserve">  Additionally, since 2000, the CPI has been used to adjust the maximum amount disaster survivors seeking financial assistance can receive through the programs administered by the Federal Emergency Management Agency (FEMA).</w:t>
      </w:r>
    </w:p>
    <w:p w:rsidR="008C5D1F" w:rsidRDefault="008C5D1F" w:rsidP="008C5D1F"/>
    <w:p w:rsidR="00C95505" w:rsidRDefault="008C5D1F" w:rsidP="008C5D1F">
      <w:r>
        <w:rPr>
          <w:b/>
        </w:rPr>
        <w:t>3.</w:t>
      </w:r>
      <w:r>
        <w:rPr>
          <w:b/>
        </w:rPr>
        <w:tab/>
        <w:t>Use of Electronic Collection Methods.</w:t>
      </w:r>
    </w:p>
    <w:p w:rsidR="008C5D1F" w:rsidRDefault="008C5D1F" w:rsidP="008C5D1F"/>
    <w:p w:rsidR="008C5D1F" w:rsidRDefault="008C5D1F" w:rsidP="008C5D1F">
      <w:r>
        <w:t>Non-responses and addresses identified as renters are analyzed by BLS statisticians.  Potentially good addresses are computerized.  At this point, trained BLS Economic Assistants (EAs) begin the screening and initiation processes.  Utilizing computer-assisted data collection (CADC), EAs determine if the pre-selected addresses are eligible for the Housing Survey</w:t>
      </w:r>
      <w:r w:rsidRPr="00796F12">
        <w:t xml:space="preserve"> </w:t>
      </w:r>
      <w:r>
        <w:t xml:space="preserve">(screening) by making personal visits or using the telephone numbers collected during the prescreening process.  If the units are eligible, they are initiated into the sample by collecting the rent that is paid and specific housing services that are associated with the unit.  Once initiated, EAs collect all data utilizing CADC by telephone or by personal visit.  Respondents may be the renters, managers, or landlords of the selected dwellings.  This process greatly reduces the amount of time EAs spend collecting and transmitting data to </w:t>
      </w:r>
      <w:smartTag w:uri="urn:schemas-microsoft-com:office:smarttags" w:element="place">
        <w:smartTag w:uri="urn:schemas-microsoft-com:office:smarttags" w:element="State">
          <w:r>
            <w:t>Washington</w:t>
          </w:r>
        </w:smartTag>
      </w:smartTag>
      <w:r>
        <w:t>.</w:t>
      </w:r>
    </w:p>
    <w:p w:rsidR="008C5D1F" w:rsidRDefault="008C5D1F" w:rsidP="008C5D1F"/>
    <w:p w:rsidR="008C5D1F" w:rsidRDefault="008C5D1F" w:rsidP="008C5D1F">
      <w:r>
        <w:t>The Housing Data Collection Manual (HDCM) gives detailed directions for conducting and completing the interview.  The HDCM is approximately 600 pages and is revised as there are changes to software or administrative procedures related to data collection.  The HDCM is available on the computers used by EAs for quick reference while in the field.  With the exception of prescreening, respondents do not fill out any forms, nor are they requested to submit responses at a later time.</w:t>
      </w:r>
    </w:p>
    <w:p w:rsidR="008C5D1F" w:rsidRDefault="008C5D1F" w:rsidP="008C5D1F"/>
    <w:p w:rsidR="008C5D1F" w:rsidRDefault="008C5D1F" w:rsidP="008C5D1F">
      <w:pPr>
        <w:rPr>
          <w:b/>
        </w:rPr>
      </w:pPr>
      <w:r>
        <w:rPr>
          <w:b/>
        </w:rPr>
        <w:t>4.</w:t>
      </w:r>
      <w:r>
        <w:rPr>
          <w:b/>
        </w:rPr>
        <w:tab/>
        <w:t>Efforts to Identify Duplication.</w:t>
      </w:r>
    </w:p>
    <w:p w:rsidR="008C5D1F" w:rsidRDefault="008C5D1F" w:rsidP="008C5D1F"/>
    <w:p w:rsidR="008C5D1F" w:rsidRDefault="008C5D1F" w:rsidP="008C5D1F">
      <w:r>
        <w:t>The CPI is the nation's chief source of information on retail price changes.  The BLS has made extensive efforts to identify, from other government agencies and the scientific literature, other sources of data.  To the BLS's knowledge, there is no duplication of indexes and no other series is available which performs the function of the CPI.</w:t>
      </w:r>
    </w:p>
    <w:p w:rsidR="008C5D1F" w:rsidRDefault="008C5D1F" w:rsidP="008C5D1F"/>
    <w:p w:rsidR="008C5D1F" w:rsidRDefault="008C5D1F" w:rsidP="008C5D1F">
      <w:r>
        <w:t>The CPI Housing Survey is the nation's primary source of information on residential rent change.  In addition to being nationally consistent, CPI Housing data must be timely and available monthly.  No other survey is both as timely and geographically comprehensive.  The information provided by the American Housing Survey, Current Population Survey or American Community Survey do not meet the CPI’s timeliness or geographic requirements.</w:t>
      </w:r>
    </w:p>
    <w:p w:rsidR="008C5D1F" w:rsidRDefault="008C5D1F" w:rsidP="008C5D1F">
      <w:pPr>
        <w:rPr>
          <w:b/>
        </w:rPr>
      </w:pPr>
    </w:p>
    <w:p w:rsidR="008C5D1F" w:rsidRDefault="008C5D1F" w:rsidP="008C5D1F">
      <w:pPr>
        <w:rPr>
          <w:b/>
        </w:rPr>
      </w:pPr>
      <w:r>
        <w:rPr>
          <w:b/>
        </w:rPr>
        <w:t>5.</w:t>
      </w:r>
      <w:r>
        <w:rPr>
          <w:b/>
        </w:rPr>
        <w:tab/>
        <w:t>Impact on Small Businesses.</w:t>
      </w:r>
    </w:p>
    <w:p w:rsidR="008C5D1F" w:rsidRDefault="008C5D1F" w:rsidP="008C5D1F"/>
    <w:p w:rsidR="008C5D1F" w:rsidRDefault="008C5D1F" w:rsidP="008C5D1F">
      <w:r>
        <w:t xml:space="preserve">The Housing Survey is aimed at rental housing.  Some respondents are the owners and managers of housing complexes, some of which are small businesses.  The respondents in these situations are Authorized Representatives and their designation as a small business is not collected.  </w:t>
      </w:r>
    </w:p>
    <w:p w:rsidR="008C5D1F" w:rsidRDefault="008C5D1F" w:rsidP="008C5D1F"/>
    <w:p w:rsidR="008C5D1F" w:rsidRDefault="008C5D1F" w:rsidP="008C5D1F">
      <w:r>
        <w:t>Through software developed for the use of CADC, a pricing module for multiple-unit addresses enables data to be collected from a single respondent for several units.  This pricing pod is called the Interview Group (IG).  IG collection from one respondent is more efficient in that respondent burden is reduced.  IGs are formed over time as EAs become more familiar with their address collection assignments.  Since FY 2007, the number of interview groups has increased by 4.8 percent by using grids or tabs for each unit in the IG.  This function in the collection instrument has reduced burden for respondents who give information for several housing units.  Burden on small businesses has been reduced especially for respondents (owners, managers or authorized representatives) supplying information for more than one housing unit.  We estimate that the total response time for the survey has been reduced by approximately three hours.</w:t>
      </w:r>
    </w:p>
    <w:p w:rsidR="008C5D1F" w:rsidRDefault="008C5D1F" w:rsidP="008C5D1F"/>
    <w:p w:rsidR="008C5D1F" w:rsidRDefault="008C5D1F" w:rsidP="008C5D1F">
      <w:r>
        <w:t xml:space="preserve">For the time period of this submittal, FY 2013 through 2015, the savings through the establishment of interview groups would not be established until sometime after the augmented sample has been established.  Consequently, we are unable to estimate future burden savings through IG formulations.   </w:t>
      </w:r>
    </w:p>
    <w:p w:rsidR="008C5D1F" w:rsidRDefault="008C5D1F" w:rsidP="008C5D1F"/>
    <w:p w:rsidR="008C5D1F" w:rsidRPr="00D411EF" w:rsidRDefault="008C5D1F" w:rsidP="008C5D1F"/>
    <w:p w:rsidR="008C5D1F" w:rsidRPr="00100EFA" w:rsidRDefault="008C5D1F" w:rsidP="008C5D1F">
      <w:pPr>
        <w:rPr>
          <w:b/>
        </w:rPr>
      </w:pPr>
      <w:r w:rsidRPr="00100EFA">
        <w:rPr>
          <w:b/>
        </w:rPr>
        <w:t>6.</w:t>
      </w:r>
      <w:r w:rsidRPr="00100EFA">
        <w:rPr>
          <w:b/>
        </w:rPr>
        <w:tab/>
        <w:t>Consequences of Less Frequent Data Collection</w:t>
      </w:r>
      <w:r>
        <w:rPr>
          <w:b/>
        </w:rPr>
        <w:t>.</w:t>
      </w:r>
    </w:p>
    <w:p w:rsidR="008C5D1F" w:rsidRPr="00D411EF" w:rsidRDefault="008C5D1F" w:rsidP="008C5D1F">
      <w:pPr>
        <w:pStyle w:val="Header"/>
        <w:tabs>
          <w:tab w:val="clear" w:pos="4320"/>
          <w:tab w:val="clear" w:pos="8640"/>
        </w:tabs>
      </w:pPr>
    </w:p>
    <w:p w:rsidR="008C5D1F" w:rsidRPr="00D411EF" w:rsidRDefault="008C5D1F" w:rsidP="008C5D1F">
      <w:r w:rsidRPr="00D411EF">
        <w:t xml:space="preserve">If the information on prices of </w:t>
      </w:r>
      <w:r>
        <w:t>rental units</w:t>
      </w:r>
      <w:r w:rsidRPr="00D411EF">
        <w:t xml:space="preserve"> were not collected, all the programs discussed in items (1) and (2) above could not function properly.  Federal fiscal and monetary policies would be hampered due to the lack of information on price changes in a major sector of the </w:t>
      </w:r>
      <w:smartTag w:uri="urn:schemas-microsoft-com:office:smarttags" w:element="place">
        <w:smartTag w:uri="urn:schemas-microsoft-com:office:smarttags" w:element="country-region">
          <w:r w:rsidRPr="00D411EF">
            <w:t>U.S.</w:t>
          </w:r>
        </w:smartTag>
      </w:smartTag>
      <w:r w:rsidRPr="00D411EF">
        <w:t xml:space="preserve"> economy and estimates of the real value of G</w:t>
      </w:r>
      <w:r>
        <w:t>DP</w:t>
      </w:r>
      <w:r w:rsidRPr="00D411EF">
        <w:t xml:space="preserve"> could not be made.  The consequences to both the Federal and private sectors would be far-reaching and would have serious repercussions on Federal government policy and institutions.</w:t>
      </w:r>
    </w:p>
    <w:p w:rsidR="008C5D1F" w:rsidRPr="00D411EF" w:rsidRDefault="008C5D1F" w:rsidP="008C5D1F"/>
    <w:p w:rsidR="008C5D1F" w:rsidRPr="00D411EF" w:rsidRDefault="008C5D1F" w:rsidP="008C5D1F">
      <w:r w:rsidRPr="00D411EF">
        <w:t>If collection were conducted less frequently, the timeliness and accuracy of the CPI would be significantly decreased.</w:t>
      </w:r>
    </w:p>
    <w:p w:rsidR="008C5D1F" w:rsidRPr="00D411EF" w:rsidRDefault="008C5D1F" w:rsidP="008C5D1F"/>
    <w:p w:rsidR="008C5D1F" w:rsidRPr="007F3740" w:rsidRDefault="008C5D1F" w:rsidP="008C5D1F">
      <w:pPr>
        <w:rPr>
          <w:b/>
        </w:rPr>
      </w:pPr>
      <w:r w:rsidRPr="007F3740">
        <w:rPr>
          <w:b/>
        </w:rPr>
        <w:t>7.</w:t>
      </w:r>
      <w:r w:rsidRPr="007F3740">
        <w:rPr>
          <w:b/>
        </w:rPr>
        <w:tab/>
        <w:t>Special Circumstances</w:t>
      </w:r>
      <w:r>
        <w:rPr>
          <w:b/>
        </w:rPr>
        <w:t>.</w:t>
      </w:r>
    </w:p>
    <w:p w:rsidR="008C5D1F" w:rsidRPr="00D411EF" w:rsidRDefault="008C5D1F" w:rsidP="008C5D1F">
      <w:pPr>
        <w:pStyle w:val="Header"/>
        <w:tabs>
          <w:tab w:val="clear" w:pos="4320"/>
          <w:tab w:val="clear" w:pos="8640"/>
        </w:tabs>
      </w:pPr>
    </w:p>
    <w:p w:rsidR="008C5D1F" w:rsidRPr="00D411EF" w:rsidRDefault="008C5D1F" w:rsidP="008C5D1F">
      <w:r w:rsidRPr="00D411EF">
        <w:t>All data are collected in a manner consistent with the guidelines in 5 CFR 1320.5.(d)(2).</w:t>
      </w:r>
    </w:p>
    <w:p w:rsidR="008C5D1F" w:rsidRPr="00D411EF" w:rsidRDefault="008C5D1F" w:rsidP="008C5D1F"/>
    <w:p w:rsidR="008C5D1F" w:rsidRDefault="008C5D1F" w:rsidP="008C5D1F">
      <w:pPr>
        <w:ind w:left="720" w:hanging="720"/>
        <w:rPr>
          <w:b/>
        </w:rPr>
      </w:pPr>
      <w:r w:rsidRPr="00141CC0">
        <w:rPr>
          <w:b/>
          <w:szCs w:val="24"/>
        </w:rPr>
        <w:t>8.</w:t>
      </w:r>
      <w:r w:rsidRPr="00141CC0">
        <w:rPr>
          <w:b/>
          <w:szCs w:val="24"/>
        </w:rPr>
        <w:tab/>
      </w:r>
      <w:r w:rsidRPr="0089037F">
        <w:rPr>
          <w:b/>
          <w:szCs w:val="24"/>
        </w:rPr>
        <w:t xml:space="preserve">Federal Register </w:t>
      </w:r>
      <w:r>
        <w:rPr>
          <w:b/>
          <w:szCs w:val="24"/>
        </w:rPr>
        <w:t xml:space="preserve">Notice </w:t>
      </w:r>
      <w:r w:rsidRPr="0089037F">
        <w:rPr>
          <w:b/>
          <w:szCs w:val="24"/>
        </w:rPr>
        <w:t xml:space="preserve">and Consultation </w:t>
      </w:r>
      <w:r>
        <w:rPr>
          <w:b/>
          <w:szCs w:val="24"/>
        </w:rPr>
        <w:t>Outside the BLS.</w:t>
      </w:r>
    </w:p>
    <w:p w:rsidR="008C5D1F" w:rsidRDefault="008C5D1F" w:rsidP="008C5D1F">
      <w:pPr>
        <w:ind w:left="720" w:hanging="720"/>
        <w:rPr>
          <w:u w:val="single"/>
        </w:rPr>
      </w:pPr>
      <w:r w:rsidRPr="008D66DA">
        <w:rPr>
          <w:u w:val="single"/>
        </w:rPr>
        <w:t>Federal Register Notice</w:t>
      </w:r>
    </w:p>
    <w:p w:rsidR="008C5D1F" w:rsidRDefault="008C5D1F" w:rsidP="008C5D1F">
      <w:pPr>
        <w:ind w:left="720" w:hanging="720"/>
        <w:rPr>
          <w:u w:val="single"/>
        </w:rPr>
      </w:pPr>
    </w:p>
    <w:p w:rsidR="00630B35" w:rsidRDefault="00630B35" w:rsidP="00630B35">
      <w:r>
        <w:t>One comment was received as a result of the Federal Register Notice published in 77 FR 36296 on June 18, 2012.</w:t>
      </w:r>
    </w:p>
    <w:p w:rsidR="00630B35" w:rsidRDefault="00630B35" w:rsidP="00630B35"/>
    <w:p w:rsidR="00630B35" w:rsidRDefault="00630B35" w:rsidP="00630B35">
      <w:r>
        <w:t xml:space="preserve">The Bureau of Economic Analysis (BEA) commented that it </w:t>
      </w:r>
      <w:r w:rsidR="00503B90">
        <w:t>“</w:t>
      </w:r>
      <w:r w:rsidRPr="00503B90">
        <w:rPr>
          <w:i/>
        </w:rPr>
        <w:t xml:space="preserve">strongly supports the extension and sample update of the Consumer Price Index Housing Survey since it is the only data source used to deflate key components of BEA’s economic statistics.  BEA uses information from this survey to estimate gross domestic product (GDP) in the national income and product accounts, and to prepare the input-output (I-O) accounts and GDP by industry accounts.  The CPI’s for rent and owners’ equivalent rent are used to prepare real (inflation-adjusted) estimates of the </w:t>
      </w:r>
      <w:r w:rsidRPr="00503B90">
        <w:rPr>
          <w:i/>
        </w:rPr>
        <w:lastRenderedPageBreak/>
        <w:t>housing services component of personal consumption expenditures (PCE) in GDP and the rental income component of national income.</w:t>
      </w:r>
      <w:r w:rsidR="00503B90">
        <w:t>”—Dennis Fixler, Chief Statistician</w:t>
      </w:r>
    </w:p>
    <w:p w:rsidR="008C5D1F" w:rsidRDefault="008C5D1F" w:rsidP="008C5D1F">
      <w:pPr>
        <w:ind w:left="720" w:hanging="720"/>
        <w:rPr>
          <w:u w:val="single"/>
        </w:rPr>
      </w:pPr>
    </w:p>
    <w:p w:rsidR="008C5D1F" w:rsidRDefault="008C5D1F" w:rsidP="008C5D1F">
      <w:pPr>
        <w:pStyle w:val="BodyText"/>
        <w:rPr>
          <w:u w:val="single"/>
        </w:rPr>
      </w:pPr>
      <w:r>
        <w:rPr>
          <w:u w:val="single"/>
        </w:rPr>
        <w:t>Consultation with Outside Sources</w:t>
      </w:r>
    </w:p>
    <w:p w:rsidR="008C5D1F" w:rsidRDefault="008C5D1F" w:rsidP="008C5D1F">
      <w:pPr>
        <w:pStyle w:val="BodyText"/>
        <w:rPr>
          <w:u w:val="single"/>
        </w:rPr>
      </w:pPr>
    </w:p>
    <w:p w:rsidR="008C5D1F" w:rsidRDefault="008C5D1F" w:rsidP="008C5D1F">
      <w:pPr>
        <w:pStyle w:val="BodyText"/>
      </w:pPr>
      <w:r>
        <w:t>Due to the CPI's high visibility, data collection, data review and index methodologies used for its construction are under constant scrutiny by individuals and organizations within and outside the U.S. Government.  Agencies with which the BLS has had recent contact for the purposes of eliciting comments regarding methodology and procedures include:</w:t>
      </w:r>
    </w:p>
    <w:p w:rsidR="008C5D1F" w:rsidRDefault="008C5D1F" w:rsidP="008C5D1F">
      <w:pPr>
        <w:pStyle w:val="BodyText"/>
        <w:numPr>
          <w:ilvl w:val="0"/>
          <w:numId w:val="1"/>
        </w:numPr>
      </w:pPr>
      <w:r>
        <w:t xml:space="preserve">the Council of Economic Advisers (CEA), </w:t>
      </w:r>
    </w:p>
    <w:p w:rsidR="008C5D1F" w:rsidRDefault="008C5D1F" w:rsidP="008C5D1F">
      <w:pPr>
        <w:pStyle w:val="BodyText"/>
        <w:numPr>
          <w:ilvl w:val="0"/>
          <w:numId w:val="1"/>
        </w:numPr>
      </w:pPr>
      <w:r>
        <w:t xml:space="preserve">the Office of Management and Budget (OMB), </w:t>
      </w:r>
    </w:p>
    <w:p w:rsidR="008C5D1F" w:rsidRDefault="008C5D1F" w:rsidP="008C5D1F">
      <w:pPr>
        <w:pStyle w:val="BodyText"/>
        <w:numPr>
          <w:ilvl w:val="0"/>
          <w:numId w:val="1"/>
        </w:numPr>
      </w:pPr>
      <w:r>
        <w:t xml:space="preserve">the Congressional Budget Office (CBO), </w:t>
      </w:r>
    </w:p>
    <w:p w:rsidR="008C5D1F" w:rsidRDefault="008C5D1F" w:rsidP="008C5D1F">
      <w:pPr>
        <w:pStyle w:val="BodyText"/>
        <w:numPr>
          <w:ilvl w:val="0"/>
          <w:numId w:val="1"/>
        </w:numPr>
      </w:pPr>
      <w:r>
        <w:t xml:space="preserve">the Congressional Joint Economic Committee (JEC), </w:t>
      </w:r>
    </w:p>
    <w:p w:rsidR="008C5D1F" w:rsidRDefault="008C5D1F" w:rsidP="008C5D1F">
      <w:pPr>
        <w:pStyle w:val="BodyText"/>
        <w:numPr>
          <w:ilvl w:val="0"/>
          <w:numId w:val="1"/>
        </w:numPr>
      </w:pPr>
      <w:r>
        <w:t xml:space="preserve">the Bureau of Economic Analysis (BEA), </w:t>
      </w:r>
    </w:p>
    <w:p w:rsidR="008C5D1F" w:rsidRDefault="008C5D1F" w:rsidP="008C5D1F">
      <w:pPr>
        <w:pStyle w:val="BodyText"/>
        <w:numPr>
          <w:ilvl w:val="0"/>
          <w:numId w:val="1"/>
        </w:numPr>
      </w:pPr>
      <w:r>
        <w:t xml:space="preserve">the Federal Reserve Board (FRB), </w:t>
      </w:r>
    </w:p>
    <w:p w:rsidR="008C5D1F" w:rsidRDefault="008C5D1F" w:rsidP="008C5D1F">
      <w:pPr>
        <w:pStyle w:val="BodyText"/>
        <w:numPr>
          <w:ilvl w:val="0"/>
          <w:numId w:val="1"/>
        </w:numPr>
      </w:pPr>
      <w:r>
        <w:t>the Federal Economic Statistics Advisory Committee (FESAC), and</w:t>
      </w:r>
    </w:p>
    <w:p w:rsidR="008C5D1F" w:rsidRDefault="008C5D1F" w:rsidP="008C5D1F">
      <w:pPr>
        <w:pStyle w:val="BodyText"/>
        <w:numPr>
          <w:ilvl w:val="0"/>
          <w:numId w:val="1"/>
        </w:numPr>
      </w:pPr>
      <w:r>
        <w:t xml:space="preserve">the Government Accountability Office (GAO). </w:t>
      </w:r>
    </w:p>
    <w:p w:rsidR="008C5D1F" w:rsidRDefault="008C5D1F" w:rsidP="008C5D1F">
      <w:pPr>
        <w:pStyle w:val="BodyText"/>
      </w:pPr>
    </w:p>
    <w:p w:rsidR="008C5D1F" w:rsidRPr="00980B64" w:rsidRDefault="008C5D1F" w:rsidP="008C5D1F">
      <w:pPr>
        <w:spacing w:line="240" w:lineRule="exact"/>
        <w:rPr>
          <w:color w:val="000000"/>
          <w:szCs w:val="24"/>
        </w:rPr>
      </w:pPr>
      <w:r>
        <w:rPr>
          <w:color w:val="333333"/>
          <w:szCs w:val="24"/>
        </w:rPr>
        <w:t xml:space="preserve">The </w:t>
      </w:r>
      <w:r w:rsidRPr="00980B64">
        <w:rPr>
          <w:color w:val="333333"/>
          <w:szCs w:val="24"/>
        </w:rPr>
        <w:t>BLS</w:t>
      </w:r>
      <w:r>
        <w:rPr>
          <w:color w:val="333333"/>
          <w:szCs w:val="24"/>
        </w:rPr>
        <w:t xml:space="preserve"> is a </w:t>
      </w:r>
      <w:r w:rsidRPr="00980B64">
        <w:rPr>
          <w:color w:val="333333"/>
          <w:szCs w:val="24"/>
        </w:rPr>
        <w:t xml:space="preserve">full partner with the Census Department and the Bureau of Economic Analysis in the resumption of </w:t>
      </w:r>
      <w:r>
        <w:rPr>
          <w:color w:val="333333"/>
          <w:szCs w:val="24"/>
        </w:rPr>
        <w:t xml:space="preserve">the </w:t>
      </w:r>
      <w:r w:rsidRPr="00980B64">
        <w:rPr>
          <w:szCs w:val="24"/>
        </w:rPr>
        <w:t>Federal Economic Statistics Advisory Committee (FESAC).  The committee advise</w:t>
      </w:r>
      <w:r>
        <w:rPr>
          <w:szCs w:val="24"/>
        </w:rPr>
        <w:t>s</w:t>
      </w:r>
      <w:r w:rsidRPr="00980B64">
        <w:rPr>
          <w:szCs w:val="24"/>
        </w:rPr>
        <w:t xml:space="preserve"> the Directors of </w:t>
      </w:r>
      <w:r>
        <w:rPr>
          <w:szCs w:val="24"/>
        </w:rPr>
        <w:t>Economics and Statistical Administration’s</w:t>
      </w:r>
      <w:r w:rsidRPr="00980B64">
        <w:rPr>
          <w:szCs w:val="24"/>
        </w:rPr>
        <w:t xml:space="preserve"> two statistical agencies, the Bureau of Economic Analysis (BEA) and the U.S Census Bureau (Census), and the Commissioner of the BLS on statistical methodology and other technical matters related to the collection, tabulation, and analysis of federal economic statistics. </w:t>
      </w:r>
    </w:p>
    <w:p w:rsidR="008C5D1F" w:rsidRPr="00980B64" w:rsidRDefault="008C5D1F" w:rsidP="008C5D1F">
      <w:pPr>
        <w:spacing w:line="240" w:lineRule="exact"/>
        <w:rPr>
          <w:szCs w:val="24"/>
        </w:rPr>
      </w:pPr>
    </w:p>
    <w:p w:rsidR="008C5D1F" w:rsidRDefault="008C5D1F" w:rsidP="008C5D1F">
      <w:pPr>
        <w:spacing w:line="240" w:lineRule="exact"/>
      </w:pPr>
      <w:r w:rsidRPr="00980B64">
        <w:rPr>
          <w:szCs w:val="24"/>
        </w:rPr>
        <w:t>In past years, members of the CPI staff in Washington have participated in meetings of the National Bureau of Economic Research, American Economic Association, the Conference of European Statisticians, the International Working Group on Price Indices (the Ottawa Group) and the American Statistical Association to discuss various aspects of the CPI survey, including methodological and procedural aspects of the data collection process.</w:t>
      </w:r>
      <w:r w:rsidRPr="00D411EF">
        <w:t xml:space="preserve"> </w:t>
      </w:r>
    </w:p>
    <w:p w:rsidR="008C5D1F" w:rsidRPr="00D411EF" w:rsidRDefault="008C5D1F" w:rsidP="008C5D1F">
      <w:pPr>
        <w:spacing w:line="240" w:lineRule="exact"/>
      </w:pPr>
    </w:p>
    <w:p w:rsidR="008C5D1F" w:rsidRDefault="008C5D1F" w:rsidP="008C5D1F">
      <w:r>
        <w:t xml:space="preserve">CPI staff participate in quarterly discussions with the Housing Statistics Users Group, made up of representatives from Federal agencies and private businesses and industries, usually sponsored by the National Association of Home Builders (NAHB: 202-822-0200).  </w:t>
      </w:r>
    </w:p>
    <w:p w:rsidR="008C5D1F" w:rsidRDefault="008C5D1F" w:rsidP="008C5D1F"/>
    <w:p w:rsidR="008C5D1F" w:rsidRDefault="008C5D1F" w:rsidP="008C5D1F">
      <w:r>
        <w:t>The BLS Commissioner and Associate Commissioners report on a monthly basis to the Congressional Joint Economic Committee, and they meet as needed with the Council of Economic Advisors and the Government Accountability Office to discuss BLS issues, and especially the CPI program.</w:t>
      </w:r>
    </w:p>
    <w:p w:rsidR="008C5D1F" w:rsidRDefault="008C5D1F" w:rsidP="008C5D1F"/>
    <w:p w:rsidR="008C5D1F" w:rsidRPr="008C283C" w:rsidRDefault="008C5D1F" w:rsidP="008C5D1F">
      <w:pPr>
        <w:rPr>
          <w:b/>
        </w:rPr>
      </w:pPr>
      <w:r w:rsidRPr="008C283C">
        <w:rPr>
          <w:b/>
        </w:rPr>
        <w:t>9.</w:t>
      </w:r>
      <w:r w:rsidRPr="008C283C">
        <w:rPr>
          <w:b/>
        </w:rPr>
        <w:tab/>
      </w:r>
      <w:r>
        <w:rPr>
          <w:b/>
        </w:rPr>
        <w:t xml:space="preserve">Payment to </w:t>
      </w:r>
      <w:r w:rsidRPr="008C283C">
        <w:rPr>
          <w:b/>
        </w:rPr>
        <w:t>Respondent</w:t>
      </w:r>
      <w:r>
        <w:rPr>
          <w:b/>
        </w:rPr>
        <w:t>s.</w:t>
      </w:r>
      <w:r w:rsidRPr="008C283C">
        <w:rPr>
          <w:b/>
        </w:rPr>
        <w:t xml:space="preserve"> </w:t>
      </w:r>
    </w:p>
    <w:p w:rsidR="008C5D1F" w:rsidRPr="00D411EF" w:rsidRDefault="008C5D1F" w:rsidP="008C5D1F">
      <w:pPr>
        <w:pStyle w:val="Header"/>
        <w:tabs>
          <w:tab w:val="clear" w:pos="4320"/>
          <w:tab w:val="clear" w:pos="8640"/>
        </w:tabs>
      </w:pPr>
    </w:p>
    <w:p w:rsidR="008C5D1F" w:rsidRPr="00D411EF" w:rsidRDefault="008C5D1F" w:rsidP="008C5D1F">
      <w:r w:rsidRPr="00D411EF">
        <w:t>Cooperation by the respondents to supply data for the CPI is voluntary and no remuneration, payment or gift is provided.</w:t>
      </w:r>
    </w:p>
    <w:p w:rsidR="008C5D1F" w:rsidRPr="00D411EF" w:rsidRDefault="008C5D1F" w:rsidP="008C5D1F"/>
    <w:p w:rsidR="008C5D1F" w:rsidRPr="008C283C" w:rsidRDefault="008C5D1F" w:rsidP="008C5D1F">
      <w:pPr>
        <w:rPr>
          <w:b/>
        </w:rPr>
      </w:pPr>
      <w:r>
        <w:rPr>
          <w:b/>
        </w:rPr>
        <w:t>10.</w:t>
      </w:r>
      <w:r>
        <w:rPr>
          <w:b/>
        </w:rPr>
        <w:tab/>
        <w:t>Assurance of Confidentiality.</w:t>
      </w:r>
    </w:p>
    <w:p w:rsidR="008C5D1F" w:rsidRPr="00D411EF" w:rsidRDefault="008C5D1F" w:rsidP="008C5D1F">
      <w:pPr>
        <w:pStyle w:val="Header"/>
        <w:tabs>
          <w:tab w:val="clear" w:pos="4320"/>
          <w:tab w:val="clear" w:pos="8640"/>
        </w:tabs>
      </w:pPr>
    </w:p>
    <w:p w:rsidR="008C5D1F" w:rsidRPr="00734827" w:rsidRDefault="008C5D1F" w:rsidP="008C5D1F">
      <w:pPr>
        <w:rPr>
          <w:szCs w:val="24"/>
        </w:rPr>
      </w:pPr>
      <w:r w:rsidRPr="00DF59B6">
        <w:rPr>
          <w:szCs w:val="24"/>
        </w:rPr>
        <w:lastRenderedPageBreak/>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8C5D1F" w:rsidRPr="00734827" w:rsidRDefault="008C5D1F" w:rsidP="008C5D1F">
      <w:pPr>
        <w:rPr>
          <w:szCs w:val="24"/>
        </w:rPr>
      </w:pPr>
      <w:r w:rsidRPr="00DF59B6">
        <w:rPr>
          <w:szCs w:val="24"/>
        </w:rPr>
        <w:t> </w:t>
      </w:r>
    </w:p>
    <w:p w:rsidR="008C5D1F" w:rsidRPr="00734827" w:rsidRDefault="008C5D1F" w:rsidP="008C5D1F">
      <w:pPr>
        <w:rPr>
          <w:szCs w:val="24"/>
        </w:rPr>
      </w:pPr>
      <w:r w:rsidRPr="00DF59B6">
        <w:rPr>
          <w:szCs w:val="24"/>
        </w:rPr>
        <w:t>Based on this law, the BLS provides respondents with the following confidentiality pledge/informed consent statement:</w:t>
      </w:r>
    </w:p>
    <w:p w:rsidR="008C5D1F" w:rsidRPr="00734827" w:rsidRDefault="008C5D1F" w:rsidP="008C5D1F">
      <w:pPr>
        <w:rPr>
          <w:szCs w:val="24"/>
        </w:rPr>
      </w:pPr>
      <w:r w:rsidRPr="00DF59B6">
        <w:rPr>
          <w:szCs w:val="24"/>
        </w:rPr>
        <w:t> </w:t>
      </w:r>
    </w:p>
    <w:p w:rsidR="008C5D1F" w:rsidRPr="00734827" w:rsidRDefault="008C5D1F" w:rsidP="008C5D1F">
      <w:pPr>
        <w:rPr>
          <w:szCs w:val="24"/>
        </w:rPr>
      </w:pPr>
      <w:r w:rsidRPr="00DF59B6">
        <w:rPr>
          <w:i/>
          <w:iCs/>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8C5D1F" w:rsidRPr="00734827" w:rsidRDefault="008C5D1F" w:rsidP="008C5D1F">
      <w:pPr>
        <w:rPr>
          <w:szCs w:val="24"/>
        </w:rPr>
      </w:pPr>
      <w:r w:rsidRPr="00DF59B6">
        <w:rPr>
          <w:szCs w:val="24"/>
        </w:rPr>
        <w:t> </w:t>
      </w:r>
    </w:p>
    <w:p w:rsidR="008C5D1F" w:rsidRPr="00734827" w:rsidRDefault="008C5D1F" w:rsidP="008C5D1F">
      <w:pPr>
        <w:rPr>
          <w:szCs w:val="24"/>
        </w:rPr>
      </w:pPr>
      <w:r w:rsidRPr="00DF59B6">
        <w:rPr>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8C5D1F" w:rsidRPr="00D411EF" w:rsidRDefault="008C5D1F" w:rsidP="008C5D1F"/>
    <w:p w:rsidR="008C5D1F" w:rsidRPr="00D411EF" w:rsidRDefault="008C5D1F" w:rsidP="008C5D1F">
      <w:r w:rsidRPr="00D411EF">
        <w:t>Special care is taken to ensure data security.  Data collected by E</w:t>
      </w:r>
      <w:r>
        <w:t>As</w:t>
      </w:r>
      <w:r w:rsidRPr="00D411EF">
        <w:t xml:space="preserve"> using CADC is encrypted and transmitted over telephone lines to a Remote Access Server (RAS) in Washington D.C.  </w:t>
      </w:r>
    </w:p>
    <w:p w:rsidR="008C5D1F" w:rsidRPr="00D411EF" w:rsidRDefault="008C5D1F" w:rsidP="008C5D1F"/>
    <w:p w:rsidR="008C5D1F" w:rsidRDefault="008C5D1F" w:rsidP="008C5D1F">
      <w:r w:rsidRPr="00D411EF">
        <w:t>The data are stored in computer files wh</w:t>
      </w:r>
      <w:r>
        <w:t xml:space="preserve">ich have </w:t>
      </w:r>
      <w:r w:rsidRPr="00D411EF">
        <w:t xml:space="preserve">provisions for data security and extensive rules for data access </w:t>
      </w:r>
      <w:r>
        <w:t xml:space="preserve">to protect </w:t>
      </w:r>
      <w:r w:rsidRPr="00D411EF">
        <w:t xml:space="preserve">the data </w:t>
      </w:r>
      <w:r>
        <w:t>from</w:t>
      </w:r>
      <w:r w:rsidRPr="00D411EF">
        <w:t xml:space="preserve"> unauthorized use.  Collected variables are maintained in the </w:t>
      </w:r>
      <w:r>
        <w:t>Housing</w:t>
      </w:r>
      <w:r w:rsidRPr="00D411EF">
        <w:t xml:space="preserve"> server database for a period of </w:t>
      </w:r>
      <w:r>
        <w:t xml:space="preserve">60 </w:t>
      </w:r>
      <w:r w:rsidRPr="00D411EF">
        <w:t>months.  After that timeframe the data are moved to an archive</w:t>
      </w:r>
      <w:r>
        <w:t xml:space="preserve"> </w:t>
      </w:r>
      <w:r w:rsidRPr="00D411EF">
        <w:t>d</w:t>
      </w:r>
      <w:r>
        <w:t>atabase</w:t>
      </w:r>
      <w:r w:rsidRPr="00D411EF">
        <w:t>.</w:t>
      </w:r>
    </w:p>
    <w:p w:rsidR="008C5D1F" w:rsidRPr="00D411EF" w:rsidRDefault="008C5D1F" w:rsidP="008C5D1F"/>
    <w:p w:rsidR="008C5D1F" w:rsidRPr="00D411EF" w:rsidRDefault="008C5D1F" w:rsidP="008C5D1F">
      <w:r w:rsidRPr="00D411EF">
        <w:t xml:space="preserve">Although the CADC data capture screens do not include </w:t>
      </w:r>
      <w:r>
        <w:t xml:space="preserve">a statement regarding confidentiality or burden, </w:t>
      </w:r>
      <w:r w:rsidRPr="00D411EF">
        <w:t xml:space="preserve">the data collection staff </w:t>
      </w:r>
      <w:r>
        <w:t xml:space="preserve">do provide respondents a pamphlet that </w:t>
      </w:r>
      <w:r w:rsidRPr="00D411EF">
        <w:t xml:space="preserve">contains </w:t>
      </w:r>
      <w:r>
        <w:t>confidentiality and burden statements.</w:t>
      </w:r>
    </w:p>
    <w:p w:rsidR="008C5D1F" w:rsidRDefault="008C5D1F" w:rsidP="008C5D1F"/>
    <w:p w:rsidR="008C5D1F" w:rsidRDefault="008C5D1F" w:rsidP="008C5D1F">
      <w:pPr>
        <w:pStyle w:val="BodyTextIndent"/>
        <w:spacing w:after="0"/>
        <w:ind w:left="540"/>
        <w:rPr>
          <w:rFonts w:cs="Arial"/>
          <w:szCs w:val="24"/>
        </w:rPr>
      </w:pPr>
    </w:p>
    <w:p w:rsidR="008C5D1F" w:rsidRDefault="008C5D1F" w:rsidP="008C5D1F">
      <w:pPr>
        <w:rPr>
          <w:b/>
        </w:rPr>
      </w:pPr>
      <w:r>
        <w:rPr>
          <w:b/>
        </w:rPr>
        <w:t>11.</w:t>
      </w:r>
      <w:r>
        <w:rPr>
          <w:b/>
        </w:rPr>
        <w:tab/>
        <w:t>Justification for Sensitive Questions.</w:t>
      </w:r>
    </w:p>
    <w:p w:rsidR="008C5D1F" w:rsidRDefault="008C5D1F" w:rsidP="008C5D1F"/>
    <w:p w:rsidR="008C5D1F" w:rsidRDefault="008C5D1F" w:rsidP="008C5D1F">
      <w:r>
        <w:t>There are no sensitive questions in this survey.</w:t>
      </w:r>
    </w:p>
    <w:p w:rsidR="008C5D1F" w:rsidRDefault="008C5D1F" w:rsidP="008C5D1F">
      <w:pPr>
        <w:rPr>
          <w:b/>
        </w:rPr>
      </w:pPr>
    </w:p>
    <w:p w:rsidR="008C5D1F" w:rsidRDefault="008C5D1F" w:rsidP="008C5D1F">
      <w:pPr>
        <w:rPr>
          <w:b/>
        </w:rPr>
      </w:pPr>
      <w:r>
        <w:rPr>
          <w:b/>
        </w:rPr>
        <w:t>12.</w:t>
      </w:r>
      <w:r>
        <w:rPr>
          <w:b/>
        </w:rPr>
        <w:tab/>
        <w:t>Estimation of Response Burden.</w:t>
      </w:r>
    </w:p>
    <w:p w:rsidR="008C5D1F" w:rsidRDefault="008C5D1F" w:rsidP="008C5D1F">
      <w:pPr>
        <w:rPr>
          <w:b/>
        </w:rPr>
      </w:pPr>
    </w:p>
    <w:p w:rsidR="008C5D1F" w:rsidRDefault="008C5D1F" w:rsidP="008C5D1F">
      <w:r>
        <w:t xml:space="preserve">The following paragraphs and tables give the derivation of the respondent burden for each activity and project, and totals for all activities for Fiscal Years 2013 through 2015.  There are four activities that might be associated with any one project listed below.  They are prescreening, screening, initiating and pricing.  Successful completion of this four-stage process provides the information required to revise and update the Housing samples (See Section B) and continue </w:t>
      </w:r>
      <w:r>
        <w:lastRenderedPageBreak/>
        <w:t>accurate and timely collection of rent information for monthly calculation and publication of the CPI.</w:t>
      </w:r>
    </w:p>
    <w:p w:rsidR="008C5D1F" w:rsidRDefault="008C5D1F" w:rsidP="008C5D1F"/>
    <w:p w:rsidR="008C5D1F" w:rsidRDefault="008C5D1F" w:rsidP="008C5D1F">
      <w:r>
        <w:t>Updating the Housing sample begins with CPI economists and statisticians using 2000 Census data to identify selected block groups.  They may also use Census American Community Survey (ACS) data as it becomes available.  Address lists are then purchased for the pre-selected block groups.  The address lists also contain tenure codes.  The codes represent the likely tenure—owner/renter—of the addresses within the designated block groups.  Addresses with a high probability of being owner or that can be identified as commercial or post office boxes</w:t>
      </w:r>
      <w:r w:rsidRPr="00C824B0">
        <w:t xml:space="preserve"> </w:t>
      </w:r>
      <w:r>
        <w:t>are eliminated.  A sample of addresses is selected from the modified lists for each block group.  These sampled addresses are sent to a vendor who conducts a mail prescreening survey for the BLS.  The vendor receives the returned surveys and transmits the results to BLS.  Addresses identified as owner or commercial are eliminated; while non-responses and addresses identified as renter are provided to EAs for additional screening and initiation.</w:t>
      </w:r>
    </w:p>
    <w:p w:rsidR="008C5D1F" w:rsidRDefault="008C5D1F" w:rsidP="008C5D1F"/>
    <w:p w:rsidR="008C5D1F" w:rsidRDefault="008C5D1F" w:rsidP="008C5D1F">
      <w:r>
        <w:t>Upon the successful completion of the screening questions, initiation commences smoothly and without interruption.  During this phase, questions about the unit, the rent, and what is included in the rent are asked of respondents.  The initiation of rental units is a one-time activity, and subsequent visits to these addresses are termed as pricings.  Once a unit is initiated, it is in the sample.  Subsequently, an attempt to contact a respondent at that address will be made every six months.  The number of respondents for this activity is variable over the three fiscal years because the number of initiations depends upon the number of successful screenings.</w:t>
      </w:r>
    </w:p>
    <w:p w:rsidR="008C5D1F" w:rsidRDefault="008C5D1F" w:rsidP="008C5D1F"/>
    <w:p w:rsidR="008C5D1F" w:rsidRDefault="008C5D1F" w:rsidP="008C5D1F">
      <w:r>
        <w:t>There are two types of pricing—short and long.  With short pricing, fewer questions are asked of the respondent.  Certain conditions determine a short pricing interview.  If the unit has the same occupant and respondent as was recorded during the last pricing and there have been no changes in the unit, questions for the short pricing interview are asked.  Short pricing questions save time for both our respondent and the EA.  After two years pass and there have been no changes in respondent or the unit, the long pricing questions are asked.  When there is a new occupant or certain modifications have been made in the unit, a long pricing interview occurs.</w:t>
      </w:r>
    </w:p>
    <w:p w:rsidR="008C5D1F" w:rsidRDefault="008C5D1F" w:rsidP="008C5D1F"/>
    <w:p w:rsidR="008C5D1F" w:rsidRPr="00880909" w:rsidRDefault="008C5D1F" w:rsidP="008C5D1F">
      <w:pPr>
        <w:rPr>
          <w:b/>
        </w:rPr>
      </w:pPr>
      <w:r>
        <w:t xml:space="preserve">CADC data capture screens do not include respondent burden statements.  The data collection personnel carry a brochure that contains the burden statements to be handed to respondents at screening/initiation or whenever there is a new respondent as follows (Attachment IV):  </w:t>
      </w:r>
    </w:p>
    <w:p w:rsidR="008C5D1F" w:rsidRDefault="008C5D1F" w:rsidP="008C5D1F"/>
    <w:p w:rsidR="008C5D1F" w:rsidRDefault="008C5D1F" w:rsidP="008C5D1F">
      <w:r w:rsidRPr="00880909">
        <w:rPr>
          <w:b/>
        </w:rPr>
        <w:t xml:space="preserve">Prescreening </w:t>
      </w:r>
      <w:r w:rsidR="00C262E0">
        <w:rPr>
          <w:b/>
        </w:rPr>
        <w:t>b</w:t>
      </w:r>
      <w:r w:rsidRPr="00880909">
        <w:rPr>
          <w:b/>
        </w:rPr>
        <w:t>urden</w:t>
      </w:r>
      <w:r>
        <w:rPr>
          <w:b/>
        </w:rPr>
        <w:t xml:space="preserve"> </w:t>
      </w:r>
      <w:r w:rsidR="00C262E0">
        <w:rPr>
          <w:b/>
        </w:rPr>
        <w:t>s</w:t>
      </w:r>
      <w:r>
        <w:rPr>
          <w:b/>
        </w:rPr>
        <w:t>tatement</w:t>
      </w:r>
      <w:r w:rsidRPr="00A21EAE">
        <w:rPr>
          <w:b/>
        </w:rPr>
        <w:t>:</w:t>
      </w:r>
      <w:r>
        <w:t xml:space="preserve">  The time needed to complete this survey was estimated to be less than 2 minutes.  If you have comments concerning the accuracy of this time estimate or suggestions for making the survey simpler, you can write to:  Office of Prices and Living Conditions, </w:t>
      </w:r>
      <w:smartTag w:uri="urn:schemas-microsoft-com:office:smarttags" w:element="City">
        <w:r>
          <w:t>2</w:t>
        </w:r>
      </w:smartTag>
      <w:r>
        <w:t xml:space="preserve"> Massachusetts Ave., </w:t>
      </w:r>
      <w:smartTag w:uri="urn:schemas-microsoft-com:office:smarttags" w:element="State">
        <w:r>
          <w:t>NE</w:t>
        </w:r>
      </w:smartTag>
      <w:r>
        <w:t xml:space="preserve">, Rm. 3655,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20212</w:t>
          </w:r>
        </w:smartTag>
      </w:smartTag>
      <w:r>
        <w:t>.</w:t>
      </w:r>
    </w:p>
    <w:p w:rsidR="008C5D1F" w:rsidRDefault="008C5D1F" w:rsidP="008C5D1F"/>
    <w:p w:rsidR="008C5D1F" w:rsidRDefault="00C262E0" w:rsidP="008C5D1F">
      <w:pPr>
        <w:rPr>
          <w:b/>
        </w:rPr>
      </w:pPr>
      <w:r>
        <w:rPr>
          <w:b/>
        </w:rPr>
        <w:t xml:space="preserve">Public burden statement:  </w:t>
      </w:r>
      <w:r w:rsidRPr="00C262E0">
        <w:t>The survey interview can be completed in an estimated 7-12 minutes</w:t>
      </w:r>
      <w:r>
        <w:rPr>
          <w:b/>
        </w:rPr>
        <w:t>.</w:t>
      </w:r>
    </w:p>
    <w:p w:rsidR="008C5D1F" w:rsidRDefault="008C5D1F" w:rsidP="008C5D1F">
      <w:pPr>
        <w:rPr>
          <w:b/>
        </w:rPr>
      </w:pPr>
    </w:p>
    <w:p w:rsidR="008C5D1F" w:rsidRDefault="008C5D1F" w:rsidP="008C5D1F">
      <w:r>
        <w:rPr>
          <w:b/>
        </w:rPr>
        <w:t>*</w:t>
      </w:r>
      <w:r>
        <w:rPr>
          <w:b/>
        </w:rPr>
        <w:tab/>
      </w:r>
      <w:r w:rsidRPr="00766A5A">
        <w:t xml:space="preserve">To determine </w:t>
      </w:r>
      <w:r>
        <w:t xml:space="preserve">your </w:t>
      </w:r>
      <w:r w:rsidRPr="00766A5A">
        <w:t>eligibility – 7 minutes</w:t>
      </w:r>
    </w:p>
    <w:p w:rsidR="008C5D1F" w:rsidRDefault="008C5D1F" w:rsidP="008C5D1F">
      <w:r>
        <w:t>*</w:t>
      </w:r>
      <w:r>
        <w:tab/>
        <w:t xml:space="preserve">If eligible, to complete </w:t>
      </w:r>
      <w:r w:rsidR="00C262E0">
        <w:t>the interview</w:t>
      </w:r>
      <w:r>
        <w:t xml:space="preserve"> – 5 minutes</w:t>
      </w:r>
    </w:p>
    <w:p w:rsidR="008C5D1F" w:rsidRDefault="008C5D1F" w:rsidP="008C5D1F">
      <w:r>
        <w:t>*</w:t>
      </w:r>
      <w:r>
        <w:tab/>
        <w:t xml:space="preserve">Follow-up </w:t>
      </w:r>
      <w:r w:rsidR="00C262E0">
        <w:t>just twice per year</w:t>
      </w:r>
      <w:r>
        <w:t xml:space="preserve"> – 7 minutes</w:t>
      </w:r>
    </w:p>
    <w:p w:rsidR="008C5D1F" w:rsidRDefault="008C5D1F">
      <w:pPr>
        <w:spacing w:after="200" w:line="276" w:lineRule="auto"/>
      </w:pPr>
      <w:r>
        <w:lastRenderedPageBreak/>
        <w:br w:type="page"/>
      </w:r>
    </w:p>
    <w:tbl>
      <w:tblPr>
        <w:tblW w:w="10651" w:type="dxa"/>
        <w:tblInd w:w="90" w:type="dxa"/>
        <w:tblLook w:val="04A0"/>
      </w:tblPr>
      <w:tblGrid>
        <w:gridCol w:w="9818"/>
        <w:gridCol w:w="833"/>
      </w:tblGrid>
      <w:tr w:rsidR="008C5D1F" w:rsidRPr="004228DB" w:rsidTr="003A07A2">
        <w:trPr>
          <w:gridAfter w:val="1"/>
          <w:wAfter w:w="833" w:type="dxa"/>
          <w:trHeight w:val="255"/>
        </w:trPr>
        <w:tc>
          <w:tcPr>
            <w:tcW w:w="9818" w:type="dxa"/>
            <w:tcBorders>
              <w:top w:val="nil"/>
              <w:left w:val="nil"/>
              <w:bottom w:val="nil"/>
              <w:right w:val="nil"/>
            </w:tcBorders>
            <w:shd w:val="clear" w:color="auto" w:fill="auto"/>
            <w:noWrap/>
            <w:vAlign w:val="bottom"/>
            <w:hideMark/>
          </w:tcPr>
          <w:tbl>
            <w:tblPr>
              <w:tblW w:w="8646" w:type="dxa"/>
              <w:tblLook w:val="04A0"/>
            </w:tblPr>
            <w:tblGrid>
              <w:gridCol w:w="680"/>
              <w:gridCol w:w="680"/>
              <w:gridCol w:w="853"/>
              <w:gridCol w:w="853"/>
              <w:gridCol w:w="1180"/>
              <w:gridCol w:w="1068"/>
              <w:gridCol w:w="1068"/>
              <w:gridCol w:w="1104"/>
              <w:gridCol w:w="1160"/>
            </w:tblGrid>
            <w:tr w:rsidR="008C5D1F" w:rsidRPr="00B006CB" w:rsidTr="003A07A2">
              <w:trPr>
                <w:trHeight w:val="255"/>
              </w:trPr>
              <w:tc>
                <w:tcPr>
                  <w:tcW w:w="3066" w:type="dxa"/>
                  <w:gridSpan w:val="4"/>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b/>
                      <w:bCs/>
                      <w:sz w:val="20"/>
                    </w:rPr>
                  </w:pPr>
                  <w:r>
                    <w:lastRenderedPageBreak/>
                    <w:br w:type="page"/>
                  </w:r>
                  <w:r>
                    <w:br w:type="page"/>
                  </w:r>
                  <w:r w:rsidRPr="00B006CB">
                    <w:rPr>
                      <w:rFonts w:ascii="Arial" w:hAnsi="Arial" w:cs="Arial"/>
                      <w:b/>
                      <w:bCs/>
                      <w:sz w:val="20"/>
                    </w:rPr>
                    <w:t>Base Sample (1990)</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b/>
                      <w:bCs/>
                      <w:sz w:val="20"/>
                    </w:rPr>
                  </w:pPr>
                </w:p>
              </w:tc>
              <w:tc>
                <w:tcPr>
                  <w:tcW w:w="1068" w:type="dxa"/>
                  <w:tcBorders>
                    <w:top w:val="nil"/>
                    <w:left w:val="nil"/>
                    <w:bottom w:val="nil"/>
                    <w:right w:val="nil"/>
                  </w:tcBorders>
                  <w:shd w:val="clear" w:color="auto" w:fill="auto"/>
                  <w:vAlign w:val="bottom"/>
                  <w:hideMark/>
                </w:tcPr>
                <w:p w:rsidR="008C5D1F" w:rsidRPr="00B006CB" w:rsidRDefault="008C5D1F" w:rsidP="003A07A2">
                  <w:pPr>
                    <w:jc w:val="center"/>
                    <w:rPr>
                      <w:rFonts w:ascii="Arial" w:hAnsi="Arial" w:cs="Arial"/>
                      <w:b/>
                      <w:bCs/>
                      <w:sz w:val="20"/>
                    </w:rPr>
                  </w:pPr>
                  <w:r w:rsidRPr="00B006CB">
                    <w:rPr>
                      <w:rFonts w:ascii="Arial" w:hAnsi="Arial" w:cs="Arial"/>
                      <w:b/>
                      <w:bCs/>
                      <w:sz w:val="20"/>
                    </w:rPr>
                    <w:t>FY 2013</w:t>
                  </w:r>
                </w:p>
              </w:tc>
              <w:tc>
                <w:tcPr>
                  <w:tcW w:w="1068" w:type="dxa"/>
                  <w:tcBorders>
                    <w:top w:val="nil"/>
                    <w:left w:val="nil"/>
                    <w:bottom w:val="nil"/>
                    <w:right w:val="nil"/>
                  </w:tcBorders>
                  <w:shd w:val="clear" w:color="auto" w:fill="auto"/>
                  <w:vAlign w:val="bottom"/>
                  <w:hideMark/>
                </w:tcPr>
                <w:p w:rsidR="008C5D1F" w:rsidRPr="00B006CB" w:rsidRDefault="008C5D1F" w:rsidP="003A07A2">
                  <w:pPr>
                    <w:jc w:val="center"/>
                    <w:rPr>
                      <w:rFonts w:ascii="Arial" w:hAnsi="Arial" w:cs="Arial"/>
                      <w:b/>
                      <w:bCs/>
                      <w:sz w:val="20"/>
                    </w:rPr>
                  </w:pPr>
                  <w:r w:rsidRPr="00B006CB">
                    <w:rPr>
                      <w:rFonts w:ascii="Arial" w:hAnsi="Arial" w:cs="Arial"/>
                      <w:b/>
                      <w:bCs/>
                      <w:sz w:val="20"/>
                    </w:rPr>
                    <w:t>FY 2014</w:t>
                  </w:r>
                </w:p>
              </w:tc>
              <w:tc>
                <w:tcPr>
                  <w:tcW w:w="1104" w:type="dxa"/>
                  <w:tcBorders>
                    <w:top w:val="nil"/>
                    <w:left w:val="nil"/>
                    <w:bottom w:val="nil"/>
                    <w:right w:val="nil"/>
                  </w:tcBorders>
                  <w:shd w:val="clear" w:color="auto" w:fill="auto"/>
                  <w:vAlign w:val="bottom"/>
                  <w:hideMark/>
                </w:tcPr>
                <w:p w:rsidR="008C5D1F" w:rsidRPr="00B006CB" w:rsidRDefault="008C5D1F" w:rsidP="003A07A2">
                  <w:pPr>
                    <w:jc w:val="center"/>
                    <w:rPr>
                      <w:rFonts w:ascii="Arial" w:hAnsi="Arial" w:cs="Arial"/>
                      <w:b/>
                      <w:bCs/>
                      <w:sz w:val="20"/>
                    </w:rPr>
                  </w:pPr>
                  <w:r w:rsidRPr="00B006CB">
                    <w:rPr>
                      <w:rFonts w:ascii="Arial" w:hAnsi="Arial" w:cs="Arial"/>
                      <w:b/>
                      <w:bCs/>
                      <w:sz w:val="20"/>
                    </w:rPr>
                    <w:t>FY 2015</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b/>
                      <w:bCs/>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533"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Long Pricing</w:t>
                  </w: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Number of respondents</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11,475</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6,285</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1,239</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Responses per respondent</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1.750</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1.750</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1.750</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responses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20,081</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10,999</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2,168</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Hours/Response</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0.11</w:t>
                  </w:r>
                  <w:r w:rsidR="00ED33FE">
                    <w:rPr>
                      <w:rFonts w:ascii="Arial" w:hAnsi="Arial" w:cs="Arial"/>
                      <w:sz w:val="20"/>
                    </w:rPr>
                    <w:t>66</w:t>
                  </w:r>
                  <w:r w:rsidRPr="00B006CB">
                    <w:rPr>
                      <w:rFonts w:ascii="Arial" w:hAnsi="Arial" w:cs="Arial"/>
                      <w:sz w:val="20"/>
                    </w:rPr>
                    <w:t>7</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0.11</w:t>
                  </w:r>
                  <w:r w:rsidR="00ED33FE">
                    <w:rPr>
                      <w:rFonts w:ascii="Arial" w:hAnsi="Arial" w:cs="Arial"/>
                      <w:sz w:val="20"/>
                    </w:rPr>
                    <w:t>66</w:t>
                  </w:r>
                  <w:r w:rsidRPr="00B006CB">
                    <w:rPr>
                      <w:rFonts w:ascii="Arial" w:hAnsi="Arial" w:cs="Arial"/>
                      <w:sz w:val="20"/>
                    </w:rPr>
                    <w:t>7</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0.11</w:t>
                  </w:r>
                  <w:r w:rsidR="00ED33FE">
                    <w:rPr>
                      <w:rFonts w:ascii="Arial" w:hAnsi="Arial" w:cs="Arial"/>
                      <w:sz w:val="20"/>
                    </w:rPr>
                    <w:t>66</w:t>
                  </w:r>
                  <w:r w:rsidRPr="00B006CB">
                    <w:rPr>
                      <w:rFonts w:ascii="Arial" w:hAnsi="Arial" w:cs="Arial"/>
                      <w:sz w:val="20"/>
                    </w:rPr>
                    <w:t>7</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hours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2,3</w:t>
                  </w:r>
                  <w:r w:rsidR="00ED33FE">
                    <w:rPr>
                      <w:rFonts w:ascii="Arial" w:hAnsi="Arial" w:cs="Arial"/>
                      <w:sz w:val="20"/>
                    </w:rPr>
                    <w:t>43</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1,28</w:t>
                  </w:r>
                  <w:r w:rsidR="00ED33FE">
                    <w:rPr>
                      <w:rFonts w:ascii="Arial" w:hAnsi="Arial" w:cs="Arial"/>
                      <w:sz w:val="20"/>
                    </w:rPr>
                    <w:t>3</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25</w:t>
                  </w:r>
                  <w:r w:rsidR="00ED33FE">
                    <w:rPr>
                      <w:rFonts w:ascii="Arial" w:hAnsi="Arial" w:cs="Arial"/>
                      <w:sz w:val="20"/>
                    </w:rPr>
                    <w:t>3</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04"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533"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Short Pricing</w:t>
                  </w: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Number of respondents</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24,018</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13,155</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2,594</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Responses per respondent</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1.750</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1.750</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1.750</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responses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42,032</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23,021</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4,540</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Hours/Response</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0.083</w:t>
                  </w:r>
                  <w:r w:rsidR="00ED33FE">
                    <w:rPr>
                      <w:rFonts w:ascii="Arial" w:hAnsi="Arial" w:cs="Arial"/>
                      <w:sz w:val="20"/>
                    </w:rPr>
                    <w:t>33</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0.083</w:t>
                  </w:r>
                  <w:r w:rsidR="00ED33FE">
                    <w:rPr>
                      <w:rFonts w:ascii="Arial" w:hAnsi="Arial" w:cs="Arial"/>
                      <w:sz w:val="20"/>
                    </w:rPr>
                    <w:t>33</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0.083</w:t>
                  </w:r>
                  <w:r w:rsidR="00ED33FE">
                    <w:rPr>
                      <w:rFonts w:ascii="Arial" w:hAnsi="Arial" w:cs="Arial"/>
                      <w:sz w:val="20"/>
                    </w:rPr>
                    <w:t>33</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hours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3,</w:t>
                  </w:r>
                  <w:r w:rsidR="00ED33FE">
                    <w:rPr>
                      <w:rFonts w:ascii="Arial" w:hAnsi="Arial" w:cs="Arial"/>
                      <w:sz w:val="20"/>
                    </w:rPr>
                    <w:t>503</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1,91</w:t>
                  </w:r>
                  <w:r w:rsidR="00ED33FE">
                    <w:rPr>
                      <w:rFonts w:ascii="Arial" w:hAnsi="Arial" w:cs="Arial"/>
                      <w:sz w:val="20"/>
                    </w:rPr>
                    <w:t>8</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37</w:t>
                  </w:r>
                  <w:r w:rsidR="00ED33FE">
                    <w:rPr>
                      <w:rFonts w:ascii="Arial" w:hAnsi="Arial" w:cs="Arial"/>
                      <w:sz w:val="20"/>
                    </w:rPr>
                    <w:t>8</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04"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3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All Questions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Number of respondents</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35,493</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19,440</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3,833</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Responses per respondent</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1.750</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1.750</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1.750</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responses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62,113</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34,020</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6,708</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Hours/Response</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0.094</w:t>
                  </w:r>
                  <w:r w:rsidR="00ED33FE">
                    <w:rPr>
                      <w:rFonts w:ascii="Arial" w:hAnsi="Arial" w:cs="Arial"/>
                      <w:sz w:val="20"/>
                    </w:rPr>
                    <w:t>11</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0.094</w:t>
                  </w:r>
                  <w:r w:rsidR="00ED33FE">
                    <w:rPr>
                      <w:rFonts w:ascii="Arial" w:hAnsi="Arial" w:cs="Arial"/>
                      <w:sz w:val="20"/>
                    </w:rPr>
                    <w:t>11</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0.094</w:t>
                  </w:r>
                  <w:r w:rsidR="00ED33FE">
                    <w:rPr>
                      <w:rFonts w:ascii="Arial" w:hAnsi="Arial" w:cs="Arial"/>
                      <w:sz w:val="20"/>
                    </w:rPr>
                    <w:t>11</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hours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5,8</w:t>
                  </w:r>
                  <w:r w:rsidR="00ED33FE">
                    <w:rPr>
                      <w:rFonts w:ascii="Arial" w:hAnsi="Arial" w:cs="Arial"/>
                      <w:sz w:val="20"/>
                    </w:rPr>
                    <w:t>45</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3,</w:t>
                  </w:r>
                  <w:r w:rsidR="00ED33FE">
                    <w:rPr>
                      <w:rFonts w:ascii="Arial" w:hAnsi="Arial" w:cs="Arial"/>
                      <w:sz w:val="20"/>
                    </w:rPr>
                    <w:t>202</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63</w:t>
                  </w:r>
                  <w:r w:rsidR="00ED33FE">
                    <w:rPr>
                      <w:rFonts w:ascii="Arial" w:hAnsi="Arial" w:cs="Arial"/>
                      <w:sz w:val="20"/>
                    </w:rPr>
                    <w:t>1</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04"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70"/>
              </w:trPr>
              <w:tc>
                <w:tcPr>
                  <w:tcW w:w="4246" w:type="dxa"/>
                  <w:gridSpan w:val="5"/>
                  <w:tcBorders>
                    <w:top w:val="nil"/>
                    <w:left w:val="nil"/>
                    <w:bottom w:val="nil"/>
                    <w:right w:val="nil"/>
                  </w:tcBorders>
                  <w:shd w:val="clear" w:color="auto" w:fill="auto"/>
                  <w:vAlign w:val="bottom"/>
                  <w:hideMark/>
                </w:tcPr>
                <w:p w:rsidR="008C5D1F" w:rsidRPr="00B006CB" w:rsidRDefault="008C5D1F" w:rsidP="003A07A2">
                  <w:pPr>
                    <w:rPr>
                      <w:rFonts w:ascii="Arial" w:hAnsi="Arial" w:cs="Arial"/>
                      <w:b/>
                      <w:bCs/>
                      <w:sz w:val="20"/>
                    </w:rPr>
                  </w:pPr>
                  <w:r w:rsidRPr="00B006CB">
                    <w:rPr>
                      <w:rFonts w:ascii="Arial" w:hAnsi="Arial" w:cs="Arial"/>
                      <w:b/>
                      <w:bCs/>
                      <w:sz w:val="20"/>
                    </w:rPr>
                    <w:t>Rent Sample Augmentation (2010-2011)</w:t>
                  </w:r>
                </w:p>
              </w:tc>
              <w:tc>
                <w:tcPr>
                  <w:tcW w:w="1068" w:type="dxa"/>
                  <w:tcBorders>
                    <w:top w:val="nil"/>
                    <w:left w:val="nil"/>
                    <w:bottom w:val="nil"/>
                    <w:right w:val="nil"/>
                  </w:tcBorders>
                  <w:shd w:val="clear" w:color="auto" w:fill="auto"/>
                  <w:vAlign w:val="bottom"/>
                  <w:hideMark/>
                </w:tcPr>
                <w:p w:rsidR="008C5D1F" w:rsidRPr="00B006CB" w:rsidRDefault="008C5D1F" w:rsidP="003A07A2">
                  <w:pPr>
                    <w:jc w:val="center"/>
                    <w:rPr>
                      <w:rFonts w:ascii="Arial" w:hAnsi="Arial" w:cs="Arial"/>
                      <w:b/>
                      <w:bCs/>
                      <w:sz w:val="20"/>
                    </w:rPr>
                  </w:pPr>
                  <w:r w:rsidRPr="00B006CB">
                    <w:rPr>
                      <w:rFonts w:ascii="Arial" w:hAnsi="Arial" w:cs="Arial"/>
                      <w:b/>
                      <w:bCs/>
                      <w:sz w:val="20"/>
                    </w:rPr>
                    <w:t>FY 2013</w:t>
                  </w:r>
                </w:p>
              </w:tc>
              <w:tc>
                <w:tcPr>
                  <w:tcW w:w="1068" w:type="dxa"/>
                  <w:tcBorders>
                    <w:top w:val="nil"/>
                    <w:left w:val="nil"/>
                    <w:bottom w:val="nil"/>
                    <w:right w:val="nil"/>
                  </w:tcBorders>
                  <w:shd w:val="clear" w:color="auto" w:fill="auto"/>
                  <w:vAlign w:val="bottom"/>
                  <w:hideMark/>
                </w:tcPr>
                <w:p w:rsidR="008C5D1F" w:rsidRPr="00B006CB" w:rsidRDefault="008C5D1F" w:rsidP="003A07A2">
                  <w:pPr>
                    <w:jc w:val="center"/>
                    <w:rPr>
                      <w:rFonts w:ascii="Arial" w:hAnsi="Arial" w:cs="Arial"/>
                      <w:b/>
                      <w:bCs/>
                      <w:sz w:val="20"/>
                    </w:rPr>
                  </w:pPr>
                  <w:r w:rsidRPr="00B006CB">
                    <w:rPr>
                      <w:rFonts w:ascii="Arial" w:hAnsi="Arial" w:cs="Arial"/>
                      <w:b/>
                      <w:bCs/>
                      <w:sz w:val="20"/>
                    </w:rPr>
                    <w:t>FY 2014</w:t>
                  </w:r>
                </w:p>
              </w:tc>
              <w:tc>
                <w:tcPr>
                  <w:tcW w:w="1104" w:type="dxa"/>
                  <w:tcBorders>
                    <w:top w:val="nil"/>
                    <w:left w:val="nil"/>
                    <w:bottom w:val="nil"/>
                    <w:right w:val="nil"/>
                  </w:tcBorders>
                  <w:shd w:val="clear" w:color="auto" w:fill="auto"/>
                  <w:vAlign w:val="bottom"/>
                  <w:hideMark/>
                </w:tcPr>
                <w:p w:rsidR="008C5D1F" w:rsidRPr="00B006CB" w:rsidRDefault="008C5D1F" w:rsidP="003A07A2">
                  <w:pPr>
                    <w:jc w:val="center"/>
                    <w:rPr>
                      <w:rFonts w:ascii="Arial" w:hAnsi="Arial" w:cs="Arial"/>
                      <w:b/>
                      <w:bCs/>
                      <w:sz w:val="20"/>
                    </w:rPr>
                  </w:pPr>
                  <w:r w:rsidRPr="00B006CB">
                    <w:rPr>
                      <w:rFonts w:ascii="Arial" w:hAnsi="Arial" w:cs="Arial"/>
                      <w:b/>
                      <w:bCs/>
                      <w:sz w:val="20"/>
                    </w:rPr>
                    <w:t>FY 2015</w:t>
                  </w:r>
                </w:p>
              </w:tc>
              <w:tc>
                <w:tcPr>
                  <w:tcW w:w="1160" w:type="dxa"/>
                  <w:tcBorders>
                    <w:top w:val="nil"/>
                    <w:left w:val="nil"/>
                    <w:bottom w:val="nil"/>
                    <w:right w:val="nil"/>
                  </w:tcBorders>
                  <w:shd w:val="clear" w:color="auto" w:fill="auto"/>
                  <w:vAlign w:val="bottom"/>
                  <w:hideMark/>
                </w:tcPr>
                <w:p w:rsidR="008C5D1F" w:rsidRPr="00B006CB" w:rsidRDefault="008C5D1F" w:rsidP="003A07A2">
                  <w:pPr>
                    <w:jc w:val="right"/>
                    <w:rPr>
                      <w:rFonts w:ascii="Arial" w:hAnsi="Arial" w:cs="Arial"/>
                      <w:b/>
                      <w:bCs/>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533"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Long Pricing</w:t>
                  </w: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Number of respondents</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10,200</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10,056</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9,914</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Responses per respondent</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1.000</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1.000</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1.000</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responses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10,200</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10,056</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9,914</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Hours/Response</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0.11</w:t>
                  </w:r>
                  <w:r w:rsidR="00ED33FE">
                    <w:rPr>
                      <w:rFonts w:ascii="Arial" w:hAnsi="Arial" w:cs="Arial"/>
                      <w:sz w:val="20"/>
                    </w:rPr>
                    <w:t>66</w:t>
                  </w:r>
                  <w:r w:rsidRPr="00B006CB">
                    <w:rPr>
                      <w:rFonts w:ascii="Arial" w:hAnsi="Arial" w:cs="Arial"/>
                      <w:sz w:val="20"/>
                    </w:rPr>
                    <w:t>7</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0.11</w:t>
                  </w:r>
                  <w:r w:rsidR="00ED33FE">
                    <w:rPr>
                      <w:rFonts w:ascii="Arial" w:hAnsi="Arial" w:cs="Arial"/>
                      <w:sz w:val="20"/>
                    </w:rPr>
                    <w:t>66</w:t>
                  </w:r>
                  <w:r w:rsidRPr="00B006CB">
                    <w:rPr>
                      <w:rFonts w:ascii="Arial" w:hAnsi="Arial" w:cs="Arial"/>
                      <w:sz w:val="20"/>
                    </w:rPr>
                    <w:t>7</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0.11</w:t>
                  </w:r>
                  <w:r w:rsidR="00ED33FE">
                    <w:rPr>
                      <w:rFonts w:ascii="Arial" w:hAnsi="Arial" w:cs="Arial"/>
                      <w:sz w:val="20"/>
                    </w:rPr>
                    <w:t>66</w:t>
                  </w:r>
                  <w:r w:rsidRPr="00B006CB">
                    <w:rPr>
                      <w:rFonts w:ascii="Arial" w:hAnsi="Arial" w:cs="Arial"/>
                      <w:sz w:val="20"/>
                    </w:rPr>
                    <w:t>7</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hours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1,19</w:t>
                  </w:r>
                  <w:r w:rsidR="00ED33FE">
                    <w:rPr>
                      <w:rFonts w:ascii="Arial" w:hAnsi="Arial" w:cs="Arial"/>
                      <w:sz w:val="20"/>
                    </w:rPr>
                    <w:t>0</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1,17</w:t>
                  </w:r>
                  <w:r w:rsidR="00ED33FE">
                    <w:rPr>
                      <w:rFonts w:ascii="Arial" w:hAnsi="Arial" w:cs="Arial"/>
                      <w:sz w:val="20"/>
                    </w:rPr>
                    <w:t>3</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1,1</w:t>
                  </w:r>
                  <w:r w:rsidR="00ED33FE">
                    <w:rPr>
                      <w:rFonts w:ascii="Arial" w:hAnsi="Arial" w:cs="Arial"/>
                      <w:sz w:val="20"/>
                    </w:rPr>
                    <w:t>57</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04"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533"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Short Pricing</w:t>
                  </w: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Number of respondents</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21,350</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21,048</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20,752</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Responses per respondent</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1.000</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1.000</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1.000</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responses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21,350</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21,048</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20,752</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Hours/Response</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0.083</w:t>
                  </w:r>
                  <w:r w:rsidR="00ED33FE">
                    <w:rPr>
                      <w:rFonts w:ascii="Arial" w:hAnsi="Arial" w:cs="Arial"/>
                      <w:sz w:val="20"/>
                    </w:rPr>
                    <w:t>33</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0.083</w:t>
                  </w:r>
                  <w:r w:rsidR="00ED33FE">
                    <w:rPr>
                      <w:rFonts w:ascii="Arial" w:hAnsi="Arial" w:cs="Arial"/>
                      <w:sz w:val="20"/>
                    </w:rPr>
                    <w:t>33</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0.083</w:t>
                  </w:r>
                  <w:r w:rsidR="00ED33FE">
                    <w:rPr>
                      <w:rFonts w:ascii="Arial" w:hAnsi="Arial" w:cs="Arial"/>
                      <w:sz w:val="20"/>
                    </w:rPr>
                    <w:t>33</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hours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1,77</w:t>
                  </w:r>
                  <w:r w:rsidR="00ED33FE">
                    <w:rPr>
                      <w:rFonts w:ascii="Arial" w:hAnsi="Arial" w:cs="Arial"/>
                      <w:sz w:val="20"/>
                    </w:rPr>
                    <w:t>9</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1,7</w:t>
                  </w:r>
                  <w:r w:rsidR="00ED33FE">
                    <w:rPr>
                      <w:rFonts w:ascii="Arial" w:hAnsi="Arial" w:cs="Arial"/>
                      <w:sz w:val="20"/>
                    </w:rPr>
                    <w:t>54</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1,72</w:t>
                  </w:r>
                  <w:r w:rsidR="00ED33FE">
                    <w:rPr>
                      <w:rFonts w:ascii="Arial" w:hAnsi="Arial" w:cs="Arial"/>
                      <w:sz w:val="20"/>
                    </w:rPr>
                    <w:t>9</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853"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04"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3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All Questions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Number of respondents</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31,550</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31,104</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30,666</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Responses per respondent</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1.000</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1.000</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1.000</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responses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31,550</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31,104</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30,666</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Hours/Response</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0.094</w:t>
                  </w:r>
                  <w:r w:rsidR="00ED33FE">
                    <w:rPr>
                      <w:rFonts w:ascii="Arial" w:hAnsi="Arial" w:cs="Arial"/>
                      <w:sz w:val="20"/>
                    </w:rPr>
                    <w:t>11</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0.094</w:t>
                  </w:r>
                  <w:r w:rsidR="00ED33FE">
                    <w:rPr>
                      <w:rFonts w:ascii="Arial" w:hAnsi="Arial" w:cs="Arial"/>
                      <w:sz w:val="20"/>
                    </w:rPr>
                    <w:t>11</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0.094</w:t>
                  </w:r>
                  <w:r w:rsidR="00ED33FE">
                    <w:rPr>
                      <w:rFonts w:ascii="Arial" w:hAnsi="Arial" w:cs="Arial"/>
                      <w:sz w:val="20"/>
                    </w:rPr>
                    <w:t>11</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r w:rsidR="008C5D1F" w:rsidRPr="00B006CB" w:rsidTr="003A07A2">
              <w:trPr>
                <w:trHeight w:val="255"/>
              </w:trPr>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6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r w:rsidRPr="00B006CB">
                    <w:rPr>
                      <w:rFonts w:ascii="Arial" w:hAnsi="Arial" w:cs="Arial"/>
                      <w:sz w:val="20"/>
                    </w:rPr>
                    <w:t>Total hours</w:t>
                  </w:r>
                </w:p>
              </w:tc>
              <w:tc>
                <w:tcPr>
                  <w:tcW w:w="1180" w:type="dxa"/>
                  <w:tcBorders>
                    <w:top w:val="nil"/>
                    <w:left w:val="nil"/>
                    <w:bottom w:val="nil"/>
                    <w:right w:val="nil"/>
                  </w:tcBorders>
                  <w:shd w:val="clear" w:color="auto" w:fill="auto"/>
                  <w:noWrap/>
                  <w:vAlign w:val="bottom"/>
                  <w:hideMark/>
                </w:tcPr>
                <w:p w:rsidR="008C5D1F" w:rsidRPr="00B006CB" w:rsidRDefault="008C5D1F" w:rsidP="003A07A2">
                  <w:pPr>
                    <w:rPr>
                      <w:rFonts w:ascii="Arial" w:hAnsi="Arial" w:cs="Arial"/>
                      <w:sz w:val="20"/>
                    </w:rPr>
                  </w:pP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2,96</w:t>
                  </w:r>
                  <w:r w:rsidR="00ED33FE">
                    <w:rPr>
                      <w:rFonts w:ascii="Arial" w:hAnsi="Arial" w:cs="Arial"/>
                      <w:sz w:val="20"/>
                    </w:rPr>
                    <w:t>9</w:t>
                  </w:r>
                </w:p>
              </w:tc>
              <w:tc>
                <w:tcPr>
                  <w:tcW w:w="1068"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2,92</w:t>
                  </w:r>
                  <w:r w:rsidR="00ED33FE">
                    <w:rPr>
                      <w:rFonts w:ascii="Arial" w:hAnsi="Arial" w:cs="Arial"/>
                      <w:sz w:val="20"/>
                    </w:rPr>
                    <w:t>7</w:t>
                  </w:r>
                </w:p>
              </w:tc>
              <w:tc>
                <w:tcPr>
                  <w:tcW w:w="1104"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r w:rsidRPr="00B006CB">
                    <w:rPr>
                      <w:rFonts w:ascii="Arial" w:hAnsi="Arial" w:cs="Arial"/>
                      <w:sz w:val="20"/>
                    </w:rPr>
                    <w:t>2,88</w:t>
                  </w:r>
                  <w:r w:rsidR="00ED33FE">
                    <w:rPr>
                      <w:rFonts w:ascii="Arial" w:hAnsi="Arial" w:cs="Arial"/>
                      <w:sz w:val="20"/>
                    </w:rPr>
                    <w:t>6</w:t>
                  </w:r>
                </w:p>
              </w:tc>
              <w:tc>
                <w:tcPr>
                  <w:tcW w:w="1160" w:type="dxa"/>
                  <w:tcBorders>
                    <w:top w:val="nil"/>
                    <w:left w:val="nil"/>
                    <w:bottom w:val="nil"/>
                    <w:right w:val="nil"/>
                  </w:tcBorders>
                  <w:shd w:val="clear" w:color="auto" w:fill="auto"/>
                  <w:noWrap/>
                  <w:vAlign w:val="bottom"/>
                  <w:hideMark/>
                </w:tcPr>
                <w:p w:rsidR="008C5D1F" w:rsidRPr="00B006CB" w:rsidRDefault="008C5D1F" w:rsidP="003A07A2">
                  <w:pPr>
                    <w:jc w:val="right"/>
                    <w:rPr>
                      <w:rFonts w:ascii="Arial" w:hAnsi="Arial" w:cs="Arial"/>
                      <w:sz w:val="20"/>
                    </w:rPr>
                  </w:pPr>
                </w:p>
              </w:tc>
            </w:tr>
          </w:tbl>
          <w:p w:rsidR="008C5D1F" w:rsidRDefault="008C5D1F" w:rsidP="003A07A2">
            <w:pPr>
              <w:rPr>
                <w:rFonts w:ascii="Arial" w:hAnsi="Arial" w:cs="Arial"/>
                <w:sz w:val="20"/>
              </w:rPr>
            </w:pPr>
          </w:p>
          <w:p w:rsidR="008C5D1F" w:rsidRDefault="008C5D1F" w:rsidP="003A07A2">
            <w:pPr>
              <w:rPr>
                <w:rFonts w:ascii="Arial" w:hAnsi="Arial" w:cs="Arial"/>
                <w:sz w:val="20"/>
              </w:rPr>
            </w:pPr>
          </w:p>
          <w:p w:rsidR="008C5D1F" w:rsidRDefault="008C5D1F" w:rsidP="003A07A2">
            <w:pPr>
              <w:rPr>
                <w:rFonts w:ascii="Arial" w:hAnsi="Arial" w:cs="Arial"/>
                <w:sz w:val="20"/>
              </w:rPr>
            </w:pPr>
          </w:p>
          <w:p w:rsidR="008C5D1F" w:rsidRDefault="008C5D1F" w:rsidP="003A07A2">
            <w:pPr>
              <w:rPr>
                <w:rFonts w:ascii="Arial" w:hAnsi="Arial" w:cs="Arial"/>
                <w:sz w:val="20"/>
              </w:rPr>
            </w:pPr>
          </w:p>
          <w:p w:rsidR="008C5D1F" w:rsidRDefault="008C5D1F" w:rsidP="003A07A2">
            <w:pPr>
              <w:rPr>
                <w:rFonts w:ascii="Arial" w:hAnsi="Arial" w:cs="Arial"/>
                <w:sz w:val="20"/>
              </w:rPr>
            </w:pPr>
          </w:p>
          <w:p w:rsidR="008C5D1F" w:rsidRDefault="008C5D1F" w:rsidP="003A07A2">
            <w:pPr>
              <w:rPr>
                <w:rFonts w:ascii="Arial" w:hAnsi="Arial" w:cs="Arial"/>
                <w:sz w:val="20"/>
              </w:rPr>
            </w:pPr>
          </w:p>
          <w:p w:rsidR="008C5D1F" w:rsidRDefault="008C5D1F" w:rsidP="003A07A2">
            <w:pPr>
              <w:rPr>
                <w:rFonts w:ascii="Arial" w:hAnsi="Arial" w:cs="Arial"/>
                <w:sz w:val="20"/>
              </w:rPr>
            </w:pPr>
          </w:p>
          <w:p w:rsidR="008C5D1F" w:rsidRPr="004228DB" w:rsidRDefault="008C5D1F" w:rsidP="003A07A2">
            <w:pPr>
              <w:rPr>
                <w:rFonts w:ascii="Arial" w:hAnsi="Arial" w:cs="Arial"/>
                <w:sz w:val="20"/>
              </w:rPr>
            </w:pPr>
          </w:p>
        </w:tc>
      </w:tr>
      <w:tr w:rsidR="008C5D1F" w:rsidRPr="004228DB" w:rsidTr="003A07A2">
        <w:trPr>
          <w:gridAfter w:val="1"/>
          <w:wAfter w:w="833" w:type="dxa"/>
          <w:trHeight w:val="255"/>
        </w:trPr>
        <w:tc>
          <w:tcPr>
            <w:tcW w:w="9818" w:type="dxa"/>
            <w:tcBorders>
              <w:top w:val="nil"/>
              <w:left w:val="nil"/>
              <w:bottom w:val="nil"/>
              <w:right w:val="nil"/>
            </w:tcBorders>
            <w:shd w:val="clear" w:color="auto" w:fill="auto"/>
            <w:noWrap/>
            <w:vAlign w:val="bottom"/>
            <w:hideMark/>
          </w:tcPr>
          <w:p w:rsidR="008C5D1F" w:rsidRPr="004228DB" w:rsidRDefault="008C5D1F" w:rsidP="003A07A2">
            <w:pPr>
              <w:rPr>
                <w:rFonts w:ascii="Arial" w:hAnsi="Arial" w:cs="Arial"/>
                <w:sz w:val="20"/>
              </w:rPr>
            </w:pPr>
          </w:p>
        </w:tc>
      </w:tr>
      <w:tr w:rsidR="008C5D1F" w:rsidRPr="004228DB" w:rsidTr="003A07A2">
        <w:trPr>
          <w:trHeight w:val="255"/>
        </w:trPr>
        <w:tc>
          <w:tcPr>
            <w:tcW w:w="10651" w:type="dxa"/>
            <w:gridSpan w:val="2"/>
            <w:tcBorders>
              <w:top w:val="nil"/>
              <w:left w:val="nil"/>
              <w:bottom w:val="nil"/>
              <w:right w:val="nil"/>
            </w:tcBorders>
            <w:shd w:val="clear" w:color="auto" w:fill="auto"/>
            <w:vAlign w:val="bottom"/>
            <w:hideMark/>
          </w:tcPr>
          <w:tbl>
            <w:tblPr>
              <w:tblW w:w="8460" w:type="dxa"/>
              <w:tblLook w:val="04A0"/>
            </w:tblPr>
            <w:tblGrid>
              <w:gridCol w:w="674"/>
              <w:gridCol w:w="775"/>
              <w:gridCol w:w="865"/>
              <w:gridCol w:w="841"/>
              <w:gridCol w:w="775"/>
              <w:gridCol w:w="1120"/>
              <w:gridCol w:w="1120"/>
              <w:gridCol w:w="1160"/>
              <w:gridCol w:w="1160"/>
            </w:tblGrid>
            <w:tr w:rsidR="008C5D1F" w:rsidRPr="00197BE0" w:rsidTr="003A07A2">
              <w:trPr>
                <w:trHeight w:val="255"/>
              </w:trPr>
              <w:tc>
                <w:tcPr>
                  <w:tcW w:w="3900" w:type="dxa"/>
                  <w:gridSpan w:val="5"/>
                  <w:tcBorders>
                    <w:top w:val="nil"/>
                    <w:left w:val="nil"/>
                    <w:bottom w:val="nil"/>
                    <w:right w:val="nil"/>
                  </w:tcBorders>
                  <w:shd w:val="clear" w:color="auto" w:fill="auto"/>
                  <w:vAlign w:val="bottom"/>
                  <w:hideMark/>
                </w:tcPr>
                <w:p w:rsidR="008C5D1F" w:rsidRPr="00197BE0" w:rsidRDefault="008C5D1F" w:rsidP="003A07A2">
                  <w:pPr>
                    <w:rPr>
                      <w:rFonts w:ascii="Arial" w:hAnsi="Arial" w:cs="Arial"/>
                      <w:b/>
                      <w:bCs/>
                      <w:sz w:val="20"/>
                    </w:rPr>
                  </w:pPr>
                  <w:r w:rsidRPr="00197BE0">
                    <w:rPr>
                      <w:rFonts w:ascii="Arial" w:hAnsi="Arial" w:cs="Arial"/>
                      <w:b/>
                      <w:bCs/>
                      <w:sz w:val="20"/>
                    </w:rPr>
                    <w:t>Rent Sample Replacement (2012-2015)</w:t>
                  </w:r>
                </w:p>
              </w:tc>
              <w:tc>
                <w:tcPr>
                  <w:tcW w:w="1120" w:type="dxa"/>
                  <w:tcBorders>
                    <w:top w:val="nil"/>
                    <w:left w:val="nil"/>
                    <w:bottom w:val="nil"/>
                    <w:right w:val="nil"/>
                  </w:tcBorders>
                  <w:shd w:val="clear" w:color="auto" w:fill="auto"/>
                  <w:vAlign w:val="bottom"/>
                  <w:hideMark/>
                </w:tcPr>
                <w:p w:rsidR="008C5D1F" w:rsidRPr="00197BE0" w:rsidRDefault="008C5D1F" w:rsidP="003A07A2">
                  <w:pPr>
                    <w:jc w:val="center"/>
                    <w:rPr>
                      <w:rFonts w:ascii="Arial" w:hAnsi="Arial" w:cs="Arial"/>
                      <w:b/>
                      <w:bCs/>
                      <w:sz w:val="20"/>
                    </w:rPr>
                  </w:pPr>
                  <w:r w:rsidRPr="00197BE0">
                    <w:rPr>
                      <w:rFonts w:ascii="Arial" w:hAnsi="Arial" w:cs="Arial"/>
                      <w:b/>
                      <w:bCs/>
                      <w:sz w:val="20"/>
                    </w:rPr>
                    <w:t>FY 2013</w:t>
                  </w:r>
                </w:p>
              </w:tc>
              <w:tc>
                <w:tcPr>
                  <w:tcW w:w="1120" w:type="dxa"/>
                  <w:tcBorders>
                    <w:top w:val="nil"/>
                    <w:left w:val="nil"/>
                    <w:bottom w:val="nil"/>
                    <w:right w:val="nil"/>
                  </w:tcBorders>
                  <w:shd w:val="clear" w:color="auto" w:fill="auto"/>
                  <w:vAlign w:val="bottom"/>
                  <w:hideMark/>
                </w:tcPr>
                <w:p w:rsidR="008C5D1F" w:rsidRPr="00197BE0" w:rsidRDefault="008C5D1F" w:rsidP="003A07A2">
                  <w:pPr>
                    <w:jc w:val="center"/>
                    <w:rPr>
                      <w:rFonts w:ascii="Arial" w:hAnsi="Arial" w:cs="Arial"/>
                      <w:b/>
                      <w:bCs/>
                      <w:sz w:val="20"/>
                    </w:rPr>
                  </w:pPr>
                  <w:r w:rsidRPr="00197BE0">
                    <w:rPr>
                      <w:rFonts w:ascii="Arial" w:hAnsi="Arial" w:cs="Arial"/>
                      <w:b/>
                      <w:bCs/>
                      <w:sz w:val="20"/>
                    </w:rPr>
                    <w:t>FY 2014</w:t>
                  </w:r>
                </w:p>
              </w:tc>
              <w:tc>
                <w:tcPr>
                  <w:tcW w:w="1160" w:type="dxa"/>
                  <w:tcBorders>
                    <w:top w:val="nil"/>
                    <w:left w:val="nil"/>
                    <w:bottom w:val="nil"/>
                    <w:right w:val="nil"/>
                  </w:tcBorders>
                  <w:shd w:val="clear" w:color="auto" w:fill="auto"/>
                  <w:vAlign w:val="bottom"/>
                  <w:hideMark/>
                </w:tcPr>
                <w:p w:rsidR="008C5D1F" w:rsidRPr="00197BE0" w:rsidRDefault="008C5D1F" w:rsidP="003A07A2">
                  <w:pPr>
                    <w:jc w:val="center"/>
                    <w:rPr>
                      <w:rFonts w:ascii="Arial" w:hAnsi="Arial" w:cs="Arial"/>
                      <w:b/>
                      <w:bCs/>
                      <w:sz w:val="20"/>
                    </w:rPr>
                  </w:pPr>
                  <w:r w:rsidRPr="00197BE0">
                    <w:rPr>
                      <w:rFonts w:ascii="Arial" w:hAnsi="Arial" w:cs="Arial"/>
                      <w:b/>
                      <w:bCs/>
                      <w:sz w:val="20"/>
                    </w:rPr>
                    <w:t>FY 2015</w:t>
                  </w:r>
                </w:p>
              </w:tc>
              <w:tc>
                <w:tcPr>
                  <w:tcW w:w="1160" w:type="dxa"/>
                  <w:tcBorders>
                    <w:top w:val="nil"/>
                    <w:left w:val="nil"/>
                    <w:bottom w:val="nil"/>
                    <w:right w:val="nil"/>
                  </w:tcBorders>
                  <w:shd w:val="clear" w:color="auto" w:fill="auto"/>
                  <w:vAlign w:val="bottom"/>
                  <w:hideMark/>
                </w:tcPr>
                <w:p w:rsidR="008C5D1F" w:rsidRPr="00197BE0" w:rsidRDefault="008C5D1F" w:rsidP="003A07A2">
                  <w:pPr>
                    <w:jc w:val="right"/>
                    <w:rPr>
                      <w:rFonts w:ascii="Arial" w:hAnsi="Arial" w:cs="Arial"/>
                      <w:b/>
                      <w:bCs/>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25"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Pre-Screening</w:t>
                  </w:r>
                </w:p>
              </w:tc>
              <w:tc>
                <w:tcPr>
                  <w:tcW w:w="82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45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Number of respondents</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42,400</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42,400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48,000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45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Responses per respondent</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0.250</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0.250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0.250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responses</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10,600</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10,600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12,000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Hours/Response</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0.033</w:t>
                  </w:r>
                  <w:r w:rsidR="00ED33FE">
                    <w:rPr>
                      <w:rFonts w:ascii="Arial" w:hAnsi="Arial" w:cs="Arial"/>
                      <w:sz w:val="20"/>
                    </w:rPr>
                    <w:t>33</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0.033</w:t>
                  </w:r>
                  <w:r w:rsidR="00ED33FE">
                    <w:rPr>
                      <w:rFonts w:ascii="Arial" w:hAnsi="Arial" w:cs="Arial"/>
                      <w:sz w:val="20"/>
                    </w:rPr>
                    <w:t>33</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0.033</w:t>
                  </w:r>
                  <w:r w:rsidR="00ED33FE">
                    <w:rPr>
                      <w:rFonts w:ascii="Arial" w:hAnsi="Arial" w:cs="Arial"/>
                      <w:sz w:val="20"/>
                    </w:rPr>
                    <w:t>33</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hours</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w:t>
                  </w:r>
                  <w:r w:rsidR="00ED33FE">
                    <w:rPr>
                      <w:rFonts w:ascii="Arial" w:hAnsi="Arial" w:cs="Arial"/>
                      <w:sz w:val="20"/>
                    </w:rPr>
                    <w:t>3</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w:t>
                  </w:r>
                  <w:r w:rsidR="00ED33FE">
                    <w:rPr>
                      <w:rFonts w:ascii="Arial" w:hAnsi="Arial" w:cs="Arial"/>
                      <w:sz w:val="20"/>
                    </w:rPr>
                    <w:t>3</w:t>
                  </w:r>
                </w:p>
              </w:tc>
              <w:tc>
                <w:tcPr>
                  <w:tcW w:w="1160" w:type="dxa"/>
                  <w:tcBorders>
                    <w:top w:val="nil"/>
                    <w:left w:val="nil"/>
                    <w:bottom w:val="nil"/>
                    <w:right w:val="nil"/>
                  </w:tcBorders>
                  <w:shd w:val="clear" w:color="auto" w:fill="auto"/>
                  <w:noWrap/>
                  <w:vAlign w:val="bottom"/>
                  <w:hideMark/>
                </w:tcPr>
                <w:p w:rsidR="008C5D1F" w:rsidRPr="00197BE0" w:rsidRDefault="00ED33FE" w:rsidP="003A07A2">
                  <w:pPr>
                    <w:jc w:val="right"/>
                    <w:rPr>
                      <w:rFonts w:ascii="Arial" w:hAnsi="Arial" w:cs="Arial"/>
                      <w:sz w:val="20"/>
                    </w:rPr>
                  </w:pPr>
                  <w:r>
                    <w:rPr>
                      <w:rFonts w:ascii="Arial" w:hAnsi="Arial" w:cs="Arial"/>
                      <w:sz w:val="20"/>
                    </w:rPr>
                    <w:t>400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85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82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25"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Screening</w:t>
                  </w:r>
                </w:p>
              </w:tc>
              <w:tc>
                <w:tcPr>
                  <w:tcW w:w="82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45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Number of respondents</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35,192</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35,192</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39,840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45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Responses per respondent</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1.000</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responses</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35,192</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35,192</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39,840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Hours/Response</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0.100</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hours</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3,519</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3,519</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3,984</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85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82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25"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Initiation</w:t>
                  </w:r>
                </w:p>
              </w:tc>
              <w:tc>
                <w:tcPr>
                  <w:tcW w:w="82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45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Number of respondents</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8,249</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8,249</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9,338</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45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Responses per respondent</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1.140</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1.140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1.140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responses</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9,404</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9,404</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10,645</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Hours/Response</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0.150</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0.150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0.150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hours</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1,411</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1,411</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1,597</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85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82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25"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Long Pricing</w:t>
                  </w:r>
                </w:p>
              </w:tc>
              <w:tc>
                <w:tcPr>
                  <w:tcW w:w="82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45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Number of respondents</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5,260</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10,370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15,334</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45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Responses per respondent</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1.000</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responses</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5,260</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10,370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15,334</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Hours/Response</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0.11</w:t>
                  </w:r>
                  <w:r w:rsidR="00ED33FE">
                    <w:rPr>
                      <w:rFonts w:ascii="Arial" w:hAnsi="Arial" w:cs="Arial"/>
                      <w:sz w:val="20"/>
                    </w:rPr>
                    <w:t>66</w:t>
                  </w:r>
                  <w:r w:rsidRPr="00197BE0">
                    <w:rPr>
                      <w:rFonts w:ascii="Arial" w:hAnsi="Arial" w:cs="Arial"/>
                      <w:sz w:val="20"/>
                    </w:rPr>
                    <w:t>7</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0.11</w:t>
                  </w:r>
                  <w:r w:rsidR="00ED33FE">
                    <w:rPr>
                      <w:rFonts w:ascii="Arial" w:hAnsi="Arial" w:cs="Arial"/>
                      <w:sz w:val="20"/>
                    </w:rPr>
                    <w:t>66</w:t>
                  </w:r>
                  <w:r w:rsidRPr="00197BE0">
                    <w:rPr>
                      <w:rFonts w:ascii="Arial" w:hAnsi="Arial" w:cs="Arial"/>
                      <w:sz w:val="20"/>
                    </w:rPr>
                    <w:t>7</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0.11</w:t>
                  </w:r>
                  <w:r w:rsidR="00ED33FE">
                    <w:rPr>
                      <w:rFonts w:ascii="Arial" w:hAnsi="Arial" w:cs="Arial"/>
                      <w:sz w:val="20"/>
                    </w:rPr>
                    <w:t>66</w:t>
                  </w:r>
                  <w:r w:rsidRPr="00197BE0">
                    <w:rPr>
                      <w:rFonts w:ascii="Arial" w:hAnsi="Arial" w:cs="Arial"/>
                      <w:sz w:val="20"/>
                    </w:rPr>
                    <w:t>7</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hours</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61</w:t>
                  </w:r>
                  <w:r w:rsidR="00ED33FE">
                    <w:rPr>
                      <w:rFonts w:ascii="Arial" w:hAnsi="Arial" w:cs="Arial"/>
                      <w:sz w:val="20"/>
                    </w:rPr>
                    <w:t>4</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1,21</w:t>
                  </w:r>
                  <w:r w:rsidR="00ED33FE">
                    <w:rPr>
                      <w:rFonts w:ascii="Arial" w:hAnsi="Arial" w:cs="Arial"/>
                      <w:sz w:val="20"/>
                    </w:rPr>
                    <w:t>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1,7</w:t>
                  </w:r>
                  <w:r w:rsidR="00ED33FE">
                    <w:rPr>
                      <w:rFonts w:ascii="Arial" w:hAnsi="Arial" w:cs="Arial"/>
                      <w:sz w:val="20"/>
                    </w:rPr>
                    <w:t>89</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85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82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25"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Short Pricing</w:t>
                  </w:r>
                </w:p>
              </w:tc>
              <w:tc>
                <w:tcPr>
                  <w:tcW w:w="82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45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Number of respondents</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11,008</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21,704</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32,098</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45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Responses per respondent</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1.000</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responses</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11,008</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21,704</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32,098</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Hours/Response</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0.083</w:t>
                  </w:r>
                  <w:r w:rsidR="00ED33FE">
                    <w:rPr>
                      <w:rFonts w:ascii="Arial" w:hAnsi="Arial" w:cs="Arial"/>
                      <w:sz w:val="20"/>
                    </w:rPr>
                    <w:t>33</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0.083</w:t>
                  </w:r>
                  <w:r w:rsidR="00ED33FE">
                    <w:rPr>
                      <w:rFonts w:ascii="Arial" w:hAnsi="Arial" w:cs="Arial"/>
                      <w:sz w:val="20"/>
                    </w:rPr>
                    <w:t>33</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0.083</w:t>
                  </w:r>
                  <w:r w:rsidR="00ED33FE">
                    <w:rPr>
                      <w:rFonts w:ascii="Arial" w:hAnsi="Arial" w:cs="Arial"/>
                      <w:sz w:val="20"/>
                    </w:rPr>
                    <w:t>33</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hours</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91</w:t>
                  </w:r>
                  <w:r w:rsidR="00ED33FE">
                    <w:rPr>
                      <w:rFonts w:ascii="Arial" w:hAnsi="Arial" w:cs="Arial"/>
                      <w:sz w:val="20"/>
                    </w:rPr>
                    <w:t>7</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1,80</w:t>
                  </w:r>
                  <w:r w:rsidR="00ED33FE">
                    <w:rPr>
                      <w:rFonts w:ascii="Arial" w:hAnsi="Arial" w:cs="Arial"/>
                      <w:sz w:val="20"/>
                    </w:rPr>
                    <w:t>9</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2,6</w:t>
                  </w:r>
                  <w:r w:rsidR="00ED33FE">
                    <w:rPr>
                      <w:rFonts w:ascii="Arial" w:hAnsi="Arial" w:cs="Arial"/>
                      <w:sz w:val="20"/>
                    </w:rPr>
                    <w:t>75</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85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82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45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All Questions</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45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Number of respondents</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102,109</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117,915</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144,610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45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Responses per respondent</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0.700</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0.740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0.760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responses</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71,464</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87,270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109,917</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Hours/Response</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0.095</w:t>
                  </w:r>
                  <w:r w:rsidR="00ED33FE">
                    <w:rPr>
                      <w:rFonts w:ascii="Arial" w:hAnsi="Arial" w:cs="Arial"/>
                      <w:sz w:val="20"/>
                    </w:rPr>
                    <w:t>35</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0.095</w:t>
                  </w:r>
                  <w:r w:rsidR="00ED33FE">
                    <w:rPr>
                      <w:rFonts w:ascii="Arial" w:hAnsi="Arial" w:cs="Arial"/>
                      <w:sz w:val="20"/>
                    </w:rPr>
                    <w:t>13</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0.095</w:t>
                  </w:r>
                  <w:r w:rsidR="00ED33FE">
                    <w:rPr>
                      <w:rFonts w:ascii="Arial" w:hAnsi="Arial" w:cs="Arial"/>
                      <w:sz w:val="20"/>
                    </w:rPr>
                    <w:t>02</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r w:rsidR="008C5D1F" w:rsidRPr="00197BE0" w:rsidTr="003A07A2">
              <w:trPr>
                <w:trHeight w:val="255"/>
              </w:trPr>
              <w:tc>
                <w:tcPr>
                  <w:tcW w:w="67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67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hours</w:t>
                  </w:r>
                </w:p>
              </w:tc>
              <w:tc>
                <w:tcPr>
                  <w:tcW w:w="77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6,8</w:t>
                  </w:r>
                  <w:r w:rsidR="00ED33FE">
                    <w:rPr>
                      <w:rFonts w:ascii="Arial" w:hAnsi="Arial" w:cs="Arial"/>
                      <w:sz w:val="20"/>
                    </w:rPr>
                    <w:t>14</w:t>
                  </w:r>
                </w:p>
              </w:tc>
              <w:tc>
                <w:tcPr>
                  <w:tcW w:w="112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8,</w:t>
                  </w:r>
                  <w:r w:rsidR="00ED33FE">
                    <w:rPr>
                      <w:rFonts w:ascii="Arial" w:hAnsi="Arial" w:cs="Arial"/>
                      <w:sz w:val="20"/>
                    </w:rPr>
                    <w:t>302</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10,4</w:t>
                  </w:r>
                  <w:r w:rsidR="00ED33FE">
                    <w:rPr>
                      <w:rFonts w:ascii="Arial" w:hAnsi="Arial" w:cs="Arial"/>
                      <w:sz w:val="20"/>
                    </w:rPr>
                    <w:t>45</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r>
          </w:tbl>
          <w:p w:rsidR="008C5D1F" w:rsidRPr="004228DB" w:rsidRDefault="008C5D1F" w:rsidP="003A07A2">
            <w:pPr>
              <w:rPr>
                <w:rFonts w:ascii="Arial" w:hAnsi="Arial" w:cs="Arial"/>
                <w:b/>
                <w:bCs/>
                <w:sz w:val="20"/>
              </w:rPr>
            </w:pPr>
          </w:p>
        </w:tc>
      </w:tr>
      <w:tr w:rsidR="008C5D1F" w:rsidRPr="004228DB" w:rsidTr="003A07A2">
        <w:trPr>
          <w:gridAfter w:val="1"/>
          <w:wAfter w:w="833" w:type="dxa"/>
          <w:trHeight w:val="255"/>
        </w:trPr>
        <w:tc>
          <w:tcPr>
            <w:tcW w:w="9818" w:type="dxa"/>
            <w:tcBorders>
              <w:top w:val="nil"/>
              <w:left w:val="nil"/>
              <w:bottom w:val="nil"/>
              <w:right w:val="nil"/>
            </w:tcBorders>
            <w:shd w:val="clear" w:color="auto" w:fill="auto"/>
            <w:noWrap/>
            <w:vAlign w:val="bottom"/>
            <w:hideMark/>
          </w:tcPr>
          <w:p w:rsidR="008C5D1F" w:rsidRPr="004228DB" w:rsidRDefault="008C5D1F" w:rsidP="003A07A2">
            <w:pPr>
              <w:rPr>
                <w:rFonts w:ascii="Arial" w:hAnsi="Arial" w:cs="Arial"/>
                <w:sz w:val="20"/>
              </w:rPr>
            </w:pPr>
          </w:p>
        </w:tc>
      </w:tr>
      <w:tr w:rsidR="008C5D1F" w:rsidRPr="004228DB" w:rsidTr="003A07A2">
        <w:trPr>
          <w:gridAfter w:val="1"/>
          <w:wAfter w:w="833" w:type="dxa"/>
          <w:trHeight w:val="255"/>
        </w:trPr>
        <w:tc>
          <w:tcPr>
            <w:tcW w:w="9818" w:type="dxa"/>
            <w:tcBorders>
              <w:top w:val="nil"/>
              <w:left w:val="nil"/>
              <w:bottom w:val="nil"/>
              <w:right w:val="nil"/>
            </w:tcBorders>
            <w:shd w:val="clear" w:color="auto" w:fill="auto"/>
            <w:noWrap/>
            <w:vAlign w:val="bottom"/>
            <w:hideMark/>
          </w:tcPr>
          <w:p w:rsidR="008C5D1F" w:rsidRPr="004228DB" w:rsidRDefault="008C5D1F" w:rsidP="003A07A2">
            <w:pPr>
              <w:rPr>
                <w:rFonts w:ascii="Arial" w:hAnsi="Arial" w:cs="Arial"/>
                <w:sz w:val="20"/>
              </w:rPr>
            </w:pPr>
          </w:p>
        </w:tc>
      </w:tr>
      <w:tr w:rsidR="008C5D1F" w:rsidRPr="004228DB" w:rsidTr="003A07A2">
        <w:trPr>
          <w:gridAfter w:val="1"/>
          <w:wAfter w:w="833" w:type="dxa"/>
          <w:trHeight w:val="255"/>
        </w:trPr>
        <w:tc>
          <w:tcPr>
            <w:tcW w:w="9818" w:type="dxa"/>
            <w:tcBorders>
              <w:top w:val="nil"/>
              <w:left w:val="nil"/>
              <w:bottom w:val="nil"/>
              <w:right w:val="nil"/>
            </w:tcBorders>
            <w:shd w:val="clear" w:color="auto" w:fill="auto"/>
            <w:noWrap/>
            <w:vAlign w:val="bottom"/>
            <w:hideMark/>
          </w:tcPr>
          <w:p w:rsidR="008C5D1F" w:rsidRPr="004228DB" w:rsidRDefault="008C5D1F" w:rsidP="003A07A2">
            <w:pPr>
              <w:rPr>
                <w:rFonts w:ascii="Arial" w:hAnsi="Arial" w:cs="Arial"/>
                <w:sz w:val="20"/>
              </w:rPr>
            </w:pPr>
          </w:p>
        </w:tc>
      </w:tr>
      <w:tr w:rsidR="008C5D1F" w:rsidRPr="004228DB" w:rsidTr="003A07A2">
        <w:trPr>
          <w:gridAfter w:val="1"/>
          <w:wAfter w:w="833" w:type="dxa"/>
          <w:trHeight w:val="255"/>
        </w:trPr>
        <w:tc>
          <w:tcPr>
            <w:tcW w:w="9818" w:type="dxa"/>
            <w:tcBorders>
              <w:top w:val="nil"/>
              <w:left w:val="nil"/>
              <w:bottom w:val="nil"/>
              <w:right w:val="nil"/>
            </w:tcBorders>
            <w:shd w:val="clear" w:color="auto" w:fill="auto"/>
            <w:noWrap/>
            <w:vAlign w:val="bottom"/>
            <w:hideMark/>
          </w:tcPr>
          <w:p w:rsidR="008C5D1F" w:rsidRPr="004228DB" w:rsidRDefault="008C5D1F" w:rsidP="003A07A2">
            <w:pPr>
              <w:rPr>
                <w:rFonts w:ascii="Arial" w:hAnsi="Arial" w:cs="Arial"/>
                <w:sz w:val="20"/>
              </w:rPr>
            </w:pPr>
          </w:p>
        </w:tc>
      </w:tr>
      <w:tr w:rsidR="008C5D1F" w:rsidRPr="004228DB" w:rsidTr="003A07A2">
        <w:trPr>
          <w:gridAfter w:val="1"/>
          <w:wAfter w:w="833" w:type="dxa"/>
          <w:trHeight w:val="255"/>
        </w:trPr>
        <w:tc>
          <w:tcPr>
            <w:tcW w:w="9818" w:type="dxa"/>
            <w:tcBorders>
              <w:top w:val="nil"/>
              <w:left w:val="nil"/>
              <w:bottom w:val="nil"/>
              <w:right w:val="nil"/>
            </w:tcBorders>
            <w:shd w:val="clear" w:color="auto" w:fill="auto"/>
            <w:noWrap/>
            <w:vAlign w:val="bottom"/>
            <w:hideMark/>
          </w:tcPr>
          <w:p w:rsidR="008C5D1F" w:rsidRDefault="008C5D1F" w:rsidP="003A07A2"/>
          <w:p w:rsidR="008C5D1F" w:rsidRDefault="008C5D1F" w:rsidP="003A07A2"/>
          <w:tbl>
            <w:tblPr>
              <w:tblW w:w="9602" w:type="dxa"/>
              <w:tblLook w:val="04A0"/>
            </w:tblPr>
            <w:tblGrid>
              <w:gridCol w:w="587"/>
              <w:gridCol w:w="655"/>
              <w:gridCol w:w="692"/>
              <w:gridCol w:w="1014"/>
              <w:gridCol w:w="1180"/>
              <w:gridCol w:w="1076"/>
              <w:gridCol w:w="1076"/>
              <w:gridCol w:w="1111"/>
              <w:gridCol w:w="1160"/>
              <w:gridCol w:w="1051"/>
            </w:tblGrid>
            <w:tr w:rsidR="008C5D1F" w:rsidRPr="00197BE0" w:rsidTr="003A07A2">
              <w:trPr>
                <w:trHeight w:val="255"/>
              </w:trPr>
              <w:tc>
                <w:tcPr>
                  <w:tcW w:w="1934"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b/>
                      <w:bCs/>
                      <w:sz w:val="20"/>
                    </w:rPr>
                  </w:pPr>
                  <w:r w:rsidRPr="00197BE0">
                    <w:rPr>
                      <w:rFonts w:ascii="Arial" w:hAnsi="Arial" w:cs="Arial"/>
                      <w:b/>
                      <w:bCs/>
                      <w:sz w:val="20"/>
                    </w:rPr>
                    <w:t>Total All Projects</w:t>
                  </w:r>
                </w:p>
              </w:tc>
              <w:tc>
                <w:tcPr>
                  <w:tcW w:w="101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b/>
                      <w:bCs/>
                      <w:sz w:val="20"/>
                    </w:rPr>
                  </w:pP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b/>
                      <w:bCs/>
                      <w:sz w:val="20"/>
                    </w:rPr>
                  </w:pPr>
                </w:p>
              </w:tc>
              <w:tc>
                <w:tcPr>
                  <w:tcW w:w="1076" w:type="dxa"/>
                  <w:tcBorders>
                    <w:top w:val="nil"/>
                    <w:left w:val="nil"/>
                    <w:bottom w:val="nil"/>
                    <w:right w:val="nil"/>
                  </w:tcBorders>
                  <w:shd w:val="clear" w:color="auto" w:fill="auto"/>
                  <w:vAlign w:val="bottom"/>
                  <w:hideMark/>
                </w:tcPr>
                <w:p w:rsidR="008C5D1F" w:rsidRPr="00197BE0" w:rsidRDefault="008C5D1F" w:rsidP="003A07A2">
                  <w:pPr>
                    <w:jc w:val="center"/>
                    <w:rPr>
                      <w:rFonts w:ascii="Arial" w:hAnsi="Arial" w:cs="Arial"/>
                      <w:b/>
                      <w:bCs/>
                      <w:sz w:val="20"/>
                    </w:rPr>
                  </w:pPr>
                  <w:r w:rsidRPr="00197BE0">
                    <w:rPr>
                      <w:rFonts w:ascii="Arial" w:hAnsi="Arial" w:cs="Arial"/>
                      <w:b/>
                      <w:bCs/>
                      <w:sz w:val="20"/>
                    </w:rPr>
                    <w:t>FY 2013</w:t>
                  </w:r>
                </w:p>
              </w:tc>
              <w:tc>
                <w:tcPr>
                  <w:tcW w:w="1076" w:type="dxa"/>
                  <w:tcBorders>
                    <w:top w:val="nil"/>
                    <w:left w:val="nil"/>
                    <w:bottom w:val="nil"/>
                    <w:right w:val="nil"/>
                  </w:tcBorders>
                  <w:shd w:val="clear" w:color="auto" w:fill="auto"/>
                  <w:vAlign w:val="bottom"/>
                  <w:hideMark/>
                </w:tcPr>
                <w:p w:rsidR="008C5D1F" w:rsidRPr="00197BE0" w:rsidRDefault="008C5D1F" w:rsidP="003A07A2">
                  <w:pPr>
                    <w:jc w:val="center"/>
                    <w:rPr>
                      <w:rFonts w:ascii="Arial" w:hAnsi="Arial" w:cs="Arial"/>
                      <w:b/>
                      <w:bCs/>
                      <w:sz w:val="20"/>
                    </w:rPr>
                  </w:pPr>
                  <w:r w:rsidRPr="00197BE0">
                    <w:rPr>
                      <w:rFonts w:ascii="Arial" w:hAnsi="Arial" w:cs="Arial"/>
                      <w:b/>
                      <w:bCs/>
                      <w:sz w:val="20"/>
                    </w:rPr>
                    <w:t>FY 2014</w:t>
                  </w:r>
                </w:p>
              </w:tc>
              <w:tc>
                <w:tcPr>
                  <w:tcW w:w="1111" w:type="dxa"/>
                  <w:tcBorders>
                    <w:top w:val="nil"/>
                    <w:left w:val="nil"/>
                    <w:bottom w:val="nil"/>
                    <w:right w:val="nil"/>
                  </w:tcBorders>
                  <w:shd w:val="clear" w:color="auto" w:fill="auto"/>
                  <w:vAlign w:val="bottom"/>
                  <w:hideMark/>
                </w:tcPr>
                <w:p w:rsidR="008C5D1F" w:rsidRPr="00197BE0" w:rsidRDefault="008C5D1F" w:rsidP="003A07A2">
                  <w:pPr>
                    <w:jc w:val="center"/>
                    <w:rPr>
                      <w:rFonts w:ascii="Arial" w:hAnsi="Arial" w:cs="Arial"/>
                      <w:b/>
                      <w:bCs/>
                      <w:sz w:val="20"/>
                    </w:rPr>
                  </w:pPr>
                  <w:r w:rsidRPr="00197BE0">
                    <w:rPr>
                      <w:rFonts w:ascii="Arial" w:hAnsi="Arial" w:cs="Arial"/>
                      <w:b/>
                      <w:bCs/>
                      <w:sz w:val="20"/>
                    </w:rPr>
                    <w:t>FY 2015</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b/>
                      <w:bCs/>
                      <w:sz w:val="20"/>
                    </w:rPr>
                  </w:pPr>
                  <w:r w:rsidRPr="00197BE0">
                    <w:rPr>
                      <w:rFonts w:ascii="Arial" w:hAnsi="Arial" w:cs="Arial"/>
                      <w:b/>
                      <w:bCs/>
                      <w:sz w:val="20"/>
                    </w:rPr>
                    <w:t>3 Yr. Avg.</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b/>
                      <w:bCs/>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347"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Pre-Screening</w:t>
                  </w:r>
                </w:p>
              </w:tc>
              <w:tc>
                <w:tcPr>
                  <w:tcW w:w="101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Number of respondents</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42,400</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42,400</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48,000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44,267</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Responses per respondent</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0.250</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0.250</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0.250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responses</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10,600</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10,600</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12,000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11,067</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Hours/Response</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0.033</w:t>
                  </w:r>
                  <w:r w:rsidR="00ED33FE">
                    <w:rPr>
                      <w:rFonts w:ascii="Arial" w:hAnsi="Arial" w:cs="Arial"/>
                      <w:sz w:val="20"/>
                    </w:rPr>
                    <w:t>33</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0.033</w:t>
                  </w:r>
                  <w:r w:rsidR="00ED33FE">
                    <w:rPr>
                      <w:rFonts w:ascii="Arial" w:hAnsi="Arial" w:cs="Arial"/>
                      <w:sz w:val="20"/>
                    </w:rPr>
                    <w:t>33</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0.033</w:t>
                  </w:r>
                  <w:r w:rsidR="00ED33FE">
                    <w:rPr>
                      <w:rFonts w:ascii="Arial" w:hAnsi="Arial" w:cs="Arial"/>
                      <w:sz w:val="20"/>
                    </w:rPr>
                    <w:t>33</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hours</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w:t>
                  </w:r>
                  <w:r w:rsidR="00ED33FE">
                    <w:rPr>
                      <w:rFonts w:ascii="Arial" w:hAnsi="Arial" w:cs="Arial"/>
                      <w:sz w:val="20"/>
                    </w:rPr>
                    <w:t>3</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w:t>
                  </w:r>
                  <w:r w:rsidR="00ED33FE">
                    <w:rPr>
                      <w:rFonts w:ascii="Arial" w:hAnsi="Arial" w:cs="Arial"/>
                      <w:sz w:val="20"/>
                    </w:rPr>
                    <w:t>3</w:t>
                  </w:r>
                </w:p>
              </w:tc>
              <w:tc>
                <w:tcPr>
                  <w:tcW w:w="1111" w:type="dxa"/>
                  <w:tcBorders>
                    <w:top w:val="nil"/>
                    <w:left w:val="nil"/>
                    <w:bottom w:val="nil"/>
                    <w:right w:val="nil"/>
                  </w:tcBorders>
                  <w:shd w:val="clear" w:color="auto" w:fill="auto"/>
                  <w:noWrap/>
                  <w:vAlign w:val="bottom"/>
                  <w:hideMark/>
                </w:tcPr>
                <w:p w:rsidR="008C5D1F" w:rsidRPr="00197BE0" w:rsidRDefault="00ED33FE" w:rsidP="003A07A2">
                  <w:pPr>
                    <w:jc w:val="right"/>
                    <w:rPr>
                      <w:rFonts w:ascii="Arial" w:hAnsi="Arial" w:cs="Arial"/>
                      <w:sz w:val="20"/>
                    </w:rPr>
                  </w:pPr>
                  <w:r>
                    <w:rPr>
                      <w:rFonts w:ascii="Arial" w:hAnsi="Arial" w:cs="Arial"/>
                      <w:sz w:val="20"/>
                    </w:rPr>
                    <w:t>400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36</w:t>
                  </w:r>
                  <w:r w:rsidR="00ED33FE">
                    <w:rPr>
                      <w:rFonts w:ascii="Arial" w:hAnsi="Arial" w:cs="Arial"/>
                      <w:sz w:val="20"/>
                    </w:rPr>
                    <w:t>9</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$7,</w:t>
                  </w:r>
                  <w:r w:rsidR="00ED33FE">
                    <w:rPr>
                      <w:rFonts w:ascii="Arial" w:hAnsi="Arial" w:cs="Arial"/>
                      <w:sz w:val="20"/>
                    </w:rPr>
                    <w:t>713</w:t>
                  </w: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92"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1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1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347"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Screening</w:t>
                  </w:r>
                </w:p>
              </w:tc>
              <w:tc>
                <w:tcPr>
                  <w:tcW w:w="101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Number of respondents</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35,192</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35,192</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39,840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36,741</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Responses per respondent</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1.000</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1.000</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responses</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35,192</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35,192</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39,840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36,741</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Hours/Response</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0.100</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0.100</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0.100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hours</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3,519</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3,519</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3,984</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3,674</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$76,826</w:t>
                  </w: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92"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1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1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347"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Initiation</w:t>
                  </w:r>
                </w:p>
              </w:tc>
              <w:tc>
                <w:tcPr>
                  <w:tcW w:w="101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Number of respondents</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8,249</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8,249</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9,338</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8,612</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Responses per respondent</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1.140</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1.140</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1.140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responses</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9,404</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9,404</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10,645</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9,818</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Hours/Response</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0.150</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0.150</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0.150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hours</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1,411</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1,411</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1,597</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1,473</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$30,793</w:t>
                  </w: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92"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1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1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347"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Long Pricing</w:t>
                  </w:r>
                </w:p>
              </w:tc>
              <w:tc>
                <w:tcPr>
                  <w:tcW w:w="101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Number of respondents</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26,935</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26,711</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26,487</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26,711</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Responses per respondent</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1.320</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1.176</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1.035</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responses</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35,541</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31,425</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27,416</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31,461</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Hours/Response</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0.11</w:t>
                  </w:r>
                  <w:r w:rsidR="00ED33FE">
                    <w:rPr>
                      <w:rFonts w:ascii="Arial" w:hAnsi="Arial" w:cs="Arial"/>
                      <w:sz w:val="20"/>
                    </w:rPr>
                    <w:t>66</w:t>
                  </w:r>
                  <w:r w:rsidRPr="00197BE0">
                    <w:rPr>
                      <w:rFonts w:ascii="Arial" w:hAnsi="Arial" w:cs="Arial"/>
                      <w:sz w:val="20"/>
                    </w:rPr>
                    <w:t>7</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0.11</w:t>
                  </w:r>
                  <w:r w:rsidR="00ED33FE">
                    <w:rPr>
                      <w:rFonts w:ascii="Arial" w:hAnsi="Arial" w:cs="Arial"/>
                      <w:sz w:val="20"/>
                    </w:rPr>
                    <w:t>66</w:t>
                  </w:r>
                  <w:r w:rsidRPr="00197BE0">
                    <w:rPr>
                      <w:rFonts w:ascii="Arial" w:hAnsi="Arial" w:cs="Arial"/>
                      <w:sz w:val="20"/>
                    </w:rPr>
                    <w:t>7</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0.11</w:t>
                  </w:r>
                  <w:r w:rsidR="00ED33FE">
                    <w:rPr>
                      <w:rFonts w:ascii="Arial" w:hAnsi="Arial" w:cs="Arial"/>
                      <w:sz w:val="20"/>
                    </w:rPr>
                    <w:t>66</w:t>
                  </w:r>
                  <w:r w:rsidRPr="00197BE0">
                    <w:rPr>
                      <w:rFonts w:ascii="Arial" w:hAnsi="Arial" w:cs="Arial"/>
                      <w:sz w:val="20"/>
                    </w:rPr>
                    <w:t>7</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hours</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4,1</w:t>
                  </w:r>
                  <w:r w:rsidR="00ED33FE">
                    <w:rPr>
                      <w:rFonts w:ascii="Arial" w:hAnsi="Arial" w:cs="Arial"/>
                      <w:sz w:val="20"/>
                    </w:rPr>
                    <w:t>46</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3,6</w:t>
                  </w:r>
                  <w:r w:rsidR="00ED33FE">
                    <w:rPr>
                      <w:rFonts w:ascii="Arial" w:hAnsi="Arial" w:cs="Arial"/>
                      <w:sz w:val="20"/>
                    </w:rPr>
                    <w:t>66</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w:t>
                  </w:r>
                  <w:r w:rsidR="00ED33FE">
                    <w:rPr>
                      <w:rFonts w:ascii="Arial" w:hAnsi="Arial" w:cs="Arial"/>
                      <w:sz w:val="20"/>
                    </w:rPr>
                    <w:t>199</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3,6</w:t>
                  </w:r>
                  <w:r w:rsidR="00ED33FE">
                    <w:rPr>
                      <w:rFonts w:ascii="Arial" w:hAnsi="Arial" w:cs="Arial"/>
                      <w:sz w:val="20"/>
                    </w:rPr>
                    <w:t>70</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$76,</w:t>
                  </w:r>
                  <w:r w:rsidR="00ED33FE">
                    <w:rPr>
                      <w:rFonts w:ascii="Arial" w:hAnsi="Arial" w:cs="Arial"/>
                      <w:sz w:val="20"/>
                    </w:rPr>
                    <w:t>748</w:t>
                  </w: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92"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1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1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347"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Short Pricing</w:t>
                  </w:r>
                </w:p>
              </w:tc>
              <w:tc>
                <w:tcPr>
                  <w:tcW w:w="101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Number of respondents</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56,376</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55,907</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55,444</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55,909</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Responses per respondent</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1.320</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1.176</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1.035</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responses</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74,390</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65,773</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57,390</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65,851</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Hours/Response</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0.083</w:t>
                  </w:r>
                  <w:r w:rsidR="00ED33FE">
                    <w:rPr>
                      <w:rFonts w:ascii="Arial" w:hAnsi="Arial" w:cs="Arial"/>
                      <w:sz w:val="20"/>
                    </w:rPr>
                    <w:t>33</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0.083</w:t>
                  </w:r>
                  <w:r w:rsidR="00ED33FE">
                    <w:rPr>
                      <w:rFonts w:ascii="Arial" w:hAnsi="Arial" w:cs="Arial"/>
                      <w:sz w:val="20"/>
                    </w:rPr>
                    <w:t>33</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0.083</w:t>
                  </w:r>
                  <w:r w:rsidR="00ED33FE">
                    <w:rPr>
                      <w:rFonts w:ascii="Arial" w:hAnsi="Arial" w:cs="Arial"/>
                      <w:sz w:val="20"/>
                    </w:rPr>
                    <w:t>33</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hours</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6,1</w:t>
                  </w:r>
                  <w:r w:rsidR="00ED33FE">
                    <w:rPr>
                      <w:rFonts w:ascii="Arial" w:hAnsi="Arial" w:cs="Arial"/>
                      <w:sz w:val="20"/>
                    </w:rPr>
                    <w:t>99</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5,4</w:t>
                  </w:r>
                  <w:r w:rsidR="00ED33FE">
                    <w:rPr>
                      <w:rFonts w:ascii="Arial" w:hAnsi="Arial" w:cs="Arial"/>
                      <w:sz w:val="20"/>
                    </w:rPr>
                    <w:t>81</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4,7</w:t>
                  </w:r>
                  <w:r w:rsidR="00ED33FE">
                    <w:rPr>
                      <w:rFonts w:ascii="Arial" w:hAnsi="Arial" w:cs="Arial"/>
                      <w:sz w:val="20"/>
                    </w:rPr>
                    <w:t>82</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5,4</w:t>
                  </w:r>
                  <w:r w:rsidR="00ED33FE">
                    <w:rPr>
                      <w:rFonts w:ascii="Arial" w:hAnsi="Arial" w:cs="Arial"/>
                      <w:sz w:val="20"/>
                    </w:rPr>
                    <w:t>88</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$114,</w:t>
                  </w:r>
                  <w:r w:rsidR="00ED33FE">
                    <w:rPr>
                      <w:rFonts w:ascii="Arial" w:hAnsi="Arial" w:cs="Arial"/>
                      <w:sz w:val="20"/>
                    </w:rPr>
                    <w:t>745</w:t>
                  </w: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92"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1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1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361"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b/>
                      <w:bCs/>
                      <w:sz w:val="20"/>
                    </w:rPr>
                  </w:pPr>
                  <w:r w:rsidRPr="00197BE0">
                    <w:rPr>
                      <w:rFonts w:ascii="Arial" w:hAnsi="Arial" w:cs="Arial"/>
                      <w:b/>
                      <w:bCs/>
                      <w:sz w:val="20"/>
                    </w:rPr>
                    <w:t>Total All Questions</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center"/>
                    <w:rPr>
                      <w:rFonts w:ascii="Arial" w:hAnsi="Arial" w:cs="Arial"/>
                      <w:b/>
                      <w:bCs/>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b/>
                      <w:bCs/>
                      <w:sz w:val="20"/>
                    </w:rPr>
                  </w:pPr>
                  <w:r w:rsidRPr="00197BE0">
                    <w:rPr>
                      <w:rFonts w:ascii="Arial" w:hAnsi="Arial" w:cs="Arial"/>
                      <w:b/>
                      <w:bCs/>
                      <w:sz w:val="20"/>
                    </w:rPr>
                    <w:t>3 Yr. Avg.</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Number of respondents</w:t>
                  </w:r>
                </w:p>
              </w:tc>
              <w:tc>
                <w:tcPr>
                  <w:tcW w:w="1076" w:type="dxa"/>
                  <w:tcBorders>
                    <w:top w:val="nil"/>
                    <w:left w:val="nil"/>
                    <w:bottom w:val="nil"/>
                    <w:right w:val="nil"/>
                  </w:tcBorders>
                  <w:shd w:val="clear" w:color="000000" w:fill="C0C0C0"/>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169,152</w:t>
                  </w:r>
                </w:p>
              </w:tc>
              <w:tc>
                <w:tcPr>
                  <w:tcW w:w="1076" w:type="dxa"/>
                  <w:tcBorders>
                    <w:top w:val="nil"/>
                    <w:left w:val="nil"/>
                    <w:bottom w:val="nil"/>
                    <w:right w:val="nil"/>
                  </w:tcBorders>
                  <w:shd w:val="clear" w:color="000000" w:fill="C0C0C0"/>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168,459</w:t>
                  </w:r>
                </w:p>
              </w:tc>
              <w:tc>
                <w:tcPr>
                  <w:tcW w:w="1111" w:type="dxa"/>
                  <w:tcBorders>
                    <w:top w:val="nil"/>
                    <w:left w:val="nil"/>
                    <w:bottom w:val="nil"/>
                    <w:right w:val="nil"/>
                  </w:tcBorders>
                  <w:shd w:val="clear" w:color="000000" w:fill="C0C0C0"/>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179,109</w:t>
                  </w:r>
                </w:p>
              </w:tc>
              <w:tc>
                <w:tcPr>
                  <w:tcW w:w="1160" w:type="dxa"/>
                  <w:tcBorders>
                    <w:top w:val="nil"/>
                    <w:left w:val="nil"/>
                    <w:bottom w:val="nil"/>
                    <w:right w:val="nil"/>
                  </w:tcBorders>
                  <w:shd w:val="clear" w:color="000000" w:fill="C0C0C0"/>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172,240</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2886" w:type="dxa"/>
                  <w:gridSpan w:val="3"/>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Responses per respondent</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0.976</w:t>
                  </w:r>
                  <w:r w:rsidR="00ED33FE">
                    <w:rPr>
                      <w:rFonts w:ascii="Arial" w:hAnsi="Arial" w:cs="Arial"/>
                      <w:sz w:val="20"/>
                    </w:rPr>
                    <w:t>20</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0.90</w:t>
                  </w:r>
                  <w:r w:rsidR="00ED33FE">
                    <w:rPr>
                      <w:rFonts w:ascii="Arial" w:hAnsi="Arial" w:cs="Arial"/>
                      <w:sz w:val="20"/>
                    </w:rPr>
                    <w:t>463</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0.822</w:t>
                  </w:r>
                  <w:r w:rsidR="00ED33FE">
                    <w:rPr>
                      <w:rFonts w:ascii="Arial" w:hAnsi="Arial" w:cs="Arial"/>
                      <w:sz w:val="20"/>
                    </w:rPr>
                    <w:t>35</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w:t>
                  </w:r>
                  <w:r w:rsidR="00ED33FE">
                    <w:rPr>
                      <w:rFonts w:ascii="Arial" w:hAnsi="Arial" w:cs="Arial"/>
                      <w:sz w:val="20"/>
                    </w:rPr>
                    <w:t>89</w:t>
                  </w:r>
                  <w:r w:rsidRPr="00197BE0">
                    <w:rPr>
                      <w:rFonts w:ascii="Arial" w:hAnsi="Arial" w:cs="Arial"/>
                      <w:sz w:val="20"/>
                    </w:rPr>
                    <w:t>9</w:t>
                  </w:r>
                  <w:r w:rsidR="00ED33FE">
                    <w:rPr>
                      <w:rFonts w:ascii="Arial" w:hAnsi="Arial" w:cs="Arial"/>
                      <w:sz w:val="20"/>
                    </w:rPr>
                    <w:t>54</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Total responses</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000000" w:fill="C0C0C0"/>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165,127</w:t>
                  </w:r>
                </w:p>
              </w:tc>
              <w:tc>
                <w:tcPr>
                  <w:tcW w:w="1076" w:type="dxa"/>
                  <w:tcBorders>
                    <w:top w:val="nil"/>
                    <w:left w:val="nil"/>
                    <w:bottom w:val="nil"/>
                    <w:right w:val="nil"/>
                  </w:tcBorders>
                  <w:shd w:val="clear" w:color="000000" w:fill="C0C0C0"/>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152,394</w:t>
                  </w:r>
                </w:p>
              </w:tc>
              <w:tc>
                <w:tcPr>
                  <w:tcW w:w="1111" w:type="dxa"/>
                  <w:tcBorders>
                    <w:top w:val="nil"/>
                    <w:left w:val="nil"/>
                    <w:bottom w:val="nil"/>
                    <w:right w:val="nil"/>
                  </w:tcBorders>
                  <w:shd w:val="clear" w:color="000000" w:fill="C0C0C0"/>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147,291</w:t>
                  </w:r>
                </w:p>
              </w:tc>
              <w:tc>
                <w:tcPr>
                  <w:tcW w:w="1160" w:type="dxa"/>
                  <w:tcBorders>
                    <w:top w:val="nil"/>
                    <w:left w:val="nil"/>
                    <w:bottom w:val="nil"/>
                    <w:right w:val="nil"/>
                  </w:tcBorders>
                  <w:shd w:val="clear" w:color="000000" w:fill="C0C0C0"/>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154,937</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 xml:space="preserve"> </w:t>
                  </w: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r w:rsidRPr="00197BE0">
                    <w:rPr>
                      <w:rFonts w:ascii="Arial" w:hAnsi="Arial" w:cs="Arial"/>
                      <w:sz w:val="20"/>
                    </w:rPr>
                    <w:t>Hours/Response</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0.09</w:t>
                  </w:r>
                  <w:r w:rsidR="00ED33FE">
                    <w:rPr>
                      <w:rFonts w:ascii="Arial" w:hAnsi="Arial" w:cs="Arial"/>
                      <w:sz w:val="20"/>
                    </w:rPr>
                    <w:t>46</w:t>
                  </w:r>
                  <w:r w:rsidRPr="00197BE0">
                    <w:rPr>
                      <w:rFonts w:ascii="Arial" w:hAnsi="Arial" w:cs="Arial"/>
                      <w:sz w:val="20"/>
                    </w:rPr>
                    <w:t>5</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0.09</w:t>
                  </w:r>
                  <w:r w:rsidR="00ED33FE">
                    <w:rPr>
                      <w:rFonts w:ascii="Arial" w:hAnsi="Arial" w:cs="Arial"/>
                      <w:sz w:val="20"/>
                    </w:rPr>
                    <w:t>469</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0.09</w:t>
                  </w:r>
                  <w:r w:rsidR="00ED33FE">
                    <w:rPr>
                      <w:rFonts w:ascii="Arial" w:hAnsi="Arial" w:cs="Arial"/>
                      <w:sz w:val="20"/>
                    </w:rPr>
                    <w:t>479</w:t>
                  </w: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0.09</w:t>
                  </w:r>
                  <w:r w:rsidR="00ED33FE">
                    <w:rPr>
                      <w:rFonts w:ascii="Arial" w:hAnsi="Arial" w:cs="Arial"/>
                      <w:sz w:val="20"/>
                    </w:rPr>
                    <w:t>471</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706" w:type="dxa"/>
                  <w:gridSpan w:val="2"/>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b/>
                      <w:bCs/>
                      <w:sz w:val="20"/>
                    </w:rPr>
                  </w:pPr>
                  <w:r w:rsidRPr="00197BE0">
                    <w:rPr>
                      <w:rFonts w:ascii="Arial" w:hAnsi="Arial" w:cs="Arial"/>
                      <w:b/>
                      <w:bCs/>
                      <w:sz w:val="20"/>
                    </w:rPr>
                    <w:t>Total hours</w:t>
                  </w: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000000" w:fill="C0C0C0"/>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15,6</w:t>
                  </w:r>
                  <w:r w:rsidR="00ED33FE">
                    <w:rPr>
                      <w:rFonts w:ascii="Arial" w:hAnsi="Arial" w:cs="Arial"/>
                      <w:sz w:val="20"/>
                    </w:rPr>
                    <w:t>29</w:t>
                  </w:r>
                </w:p>
              </w:tc>
              <w:tc>
                <w:tcPr>
                  <w:tcW w:w="1076" w:type="dxa"/>
                  <w:tcBorders>
                    <w:top w:val="nil"/>
                    <w:left w:val="nil"/>
                    <w:bottom w:val="nil"/>
                    <w:right w:val="nil"/>
                  </w:tcBorders>
                  <w:shd w:val="clear" w:color="000000" w:fill="C0C0C0"/>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14,4</w:t>
                  </w:r>
                  <w:r w:rsidR="00ED33FE">
                    <w:rPr>
                      <w:rFonts w:ascii="Arial" w:hAnsi="Arial" w:cs="Arial"/>
                      <w:sz w:val="20"/>
                    </w:rPr>
                    <w:t>30</w:t>
                  </w:r>
                </w:p>
              </w:tc>
              <w:tc>
                <w:tcPr>
                  <w:tcW w:w="1111" w:type="dxa"/>
                  <w:tcBorders>
                    <w:top w:val="nil"/>
                    <w:left w:val="nil"/>
                    <w:bottom w:val="nil"/>
                    <w:right w:val="nil"/>
                  </w:tcBorders>
                  <w:shd w:val="clear" w:color="000000" w:fill="C0C0C0"/>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13,9</w:t>
                  </w:r>
                  <w:r w:rsidR="00ED33FE">
                    <w:rPr>
                      <w:rFonts w:ascii="Arial" w:hAnsi="Arial" w:cs="Arial"/>
                      <w:sz w:val="20"/>
                    </w:rPr>
                    <w:t>62</w:t>
                  </w:r>
                </w:p>
              </w:tc>
              <w:tc>
                <w:tcPr>
                  <w:tcW w:w="1160" w:type="dxa"/>
                  <w:tcBorders>
                    <w:top w:val="nil"/>
                    <w:left w:val="nil"/>
                    <w:bottom w:val="nil"/>
                    <w:right w:val="nil"/>
                  </w:tcBorders>
                  <w:shd w:val="clear" w:color="000000" w:fill="C0C0C0"/>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14,6</w:t>
                  </w:r>
                  <w:r w:rsidR="00ED33FE">
                    <w:rPr>
                      <w:rFonts w:ascii="Arial" w:hAnsi="Arial" w:cs="Arial"/>
                      <w:sz w:val="20"/>
                    </w:rPr>
                    <w:t>74</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$306,</w:t>
                  </w:r>
                  <w:r w:rsidR="00ED33FE">
                    <w:rPr>
                      <w:rFonts w:ascii="Arial" w:hAnsi="Arial" w:cs="Arial"/>
                      <w:sz w:val="20"/>
                    </w:rPr>
                    <w:t>826</w:t>
                  </w: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92"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1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1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60"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r w:rsidR="008C5D1F" w:rsidRPr="00197BE0" w:rsidTr="003A07A2">
              <w:trPr>
                <w:trHeight w:val="255"/>
              </w:trPr>
              <w:tc>
                <w:tcPr>
                  <w:tcW w:w="587"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692"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14"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180"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$326.</w:t>
                  </w:r>
                  <w:r w:rsidR="00ED33FE">
                    <w:rPr>
                      <w:rFonts w:ascii="Arial" w:hAnsi="Arial" w:cs="Arial"/>
                      <w:sz w:val="20"/>
                    </w:rPr>
                    <w:t>8</w:t>
                  </w:r>
                </w:p>
              </w:tc>
              <w:tc>
                <w:tcPr>
                  <w:tcW w:w="1076"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$301.</w:t>
                  </w:r>
                  <w:r w:rsidR="00ED33FE">
                    <w:rPr>
                      <w:rFonts w:ascii="Arial" w:hAnsi="Arial" w:cs="Arial"/>
                      <w:sz w:val="20"/>
                    </w:rPr>
                    <w:t>7</w:t>
                  </w:r>
                </w:p>
              </w:tc>
              <w:tc>
                <w:tcPr>
                  <w:tcW w:w="1111" w:type="dxa"/>
                  <w:tcBorders>
                    <w:top w:val="nil"/>
                    <w:left w:val="nil"/>
                    <w:bottom w:val="nil"/>
                    <w:right w:val="nil"/>
                  </w:tcBorders>
                  <w:shd w:val="clear" w:color="auto" w:fill="auto"/>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$291.</w:t>
                  </w:r>
                  <w:r w:rsidR="00ED33FE">
                    <w:rPr>
                      <w:rFonts w:ascii="Arial" w:hAnsi="Arial" w:cs="Arial"/>
                      <w:sz w:val="20"/>
                    </w:rPr>
                    <w:t>9</w:t>
                  </w:r>
                </w:p>
              </w:tc>
              <w:tc>
                <w:tcPr>
                  <w:tcW w:w="1160" w:type="dxa"/>
                  <w:tcBorders>
                    <w:top w:val="nil"/>
                    <w:left w:val="nil"/>
                    <w:bottom w:val="nil"/>
                    <w:right w:val="nil"/>
                  </w:tcBorders>
                  <w:shd w:val="clear" w:color="000000" w:fill="C0C0C0"/>
                  <w:noWrap/>
                  <w:vAlign w:val="bottom"/>
                  <w:hideMark/>
                </w:tcPr>
                <w:p w:rsidR="008C5D1F" w:rsidRPr="00197BE0" w:rsidRDefault="008C5D1F" w:rsidP="003A07A2">
                  <w:pPr>
                    <w:jc w:val="right"/>
                    <w:rPr>
                      <w:rFonts w:ascii="Arial" w:hAnsi="Arial" w:cs="Arial"/>
                      <w:sz w:val="20"/>
                    </w:rPr>
                  </w:pPr>
                  <w:r w:rsidRPr="00197BE0">
                    <w:rPr>
                      <w:rFonts w:ascii="Arial" w:hAnsi="Arial" w:cs="Arial"/>
                      <w:sz w:val="20"/>
                    </w:rPr>
                    <w:t>$306.</w:t>
                  </w:r>
                  <w:r w:rsidR="00ED33FE">
                    <w:rPr>
                      <w:rFonts w:ascii="Arial" w:hAnsi="Arial" w:cs="Arial"/>
                      <w:sz w:val="20"/>
                    </w:rPr>
                    <w:t>8</w:t>
                  </w:r>
                </w:p>
              </w:tc>
              <w:tc>
                <w:tcPr>
                  <w:tcW w:w="1051" w:type="dxa"/>
                  <w:tcBorders>
                    <w:top w:val="nil"/>
                    <w:left w:val="nil"/>
                    <w:bottom w:val="nil"/>
                    <w:right w:val="nil"/>
                  </w:tcBorders>
                  <w:shd w:val="clear" w:color="auto" w:fill="auto"/>
                  <w:noWrap/>
                  <w:vAlign w:val="bottom"/>
                  <w:hideMark/>
                </w:tcPr>
                <w:p w:rsidR="008C5D1F" w:rsidRPr="00197BE0" w:rsidRDefault="008C5D1F" w:rsidP="003A07A2">
                  <w:pPr>
                    <w:rPr>
                      <w:rFonts w:ascii="Arial" w:hAnsi="Arial" w:cs="Arial"/>
                      <w:sz w:val="20"/>
                    </w:rPr>
                  </w:pPr>
                </w:p>
              </w:tc>
            </w:tr>
          </w:tbl>
          <w:p w:rsidR="008C5D1F" w:rsidRPr="004228DB" w:rsidRDefault="008C5D1F" w:rsidP="003A07A2">
            <w:pPr>
              <w:rPr>
                <w:rFonts w:ascii="Arial" w:hAnsi="Arial" w:cs="Arial"/>
                <w:sz w:val="20"/>
              </w:rPr>
            </w:pPr>
          </w:p>
        </w:tc>
      </w:tr>
      <w:tr w:rsidR="008C5D1F" w:rsidRPr="004228DB" w:rsidTr="003A07A2">
        <w:trPr>
          <w:gridAfter w:val="1"/>
          <w:wAfter w:w="833" w:type="dxa"/>
          <w:trHeight w:val="255"/>
        </w:trPr>
        <w:tc>
          <w:tcPr>
            <w:tcW w:w="9818" w:type="dxa"/>
            <w:tcBorders>
              <w:top w:val="nil"/>
              <w:left w:val="nil"/>
              <w:bottom w:val="nil"/>
              <w:right w:val="nil"/>
            </w:tcBorders>
            <w:shd w:val="clear" w:color="auto" w:fill="auto"/>
            <w:noWrap/>
            <w:vAlign w:val="bottom"/>
            <w:hideMark/>
          </w:tcPr>
          <w:p w:rsidR="008C5D1F" w:rsidRPr="004228DB" w:rsidRDefault="008C5D1F" w:rsidP="003A07A2">
            <w:pPr>
              <w:rPr>
                <w:rFonts w:ascii="Arial" w:hAnsi="Arial" w:cs="Arial"/>
                <w:sz w:val="20"/>
              </w:rPr>
            </w:pPr>
          </w:p>
        </w:tc>
      </w:tr>
    </w:tbl>
    <w:p w:rsidR="007023D4" w:rsidRDefault="007023D4" w:rsidP="007023D4"/>
    <w:p w:rsidR="007023D4" w:rsidRDefault="007023D4" w:rsidP="007023D4"/>
    <w:p w:rsidR="007023D4" w:rsidRDefault="007023D4" w:rsidP="007023D4"/>
    <w:p w:rsidR="007023D4" w:rsidRDefault="007023D4" w:rsidP="007023D4">
      <w:pPr>
        <w:tabs>
          <w:tab w:val="left" w:pos="450"/>
        </w:tabs>
        <w:rPr>
          <w:b/>
        </w:rPr>
      </w:pPr>
      <w:r>
        <w:rPr>
          <w:b/>
        </w:rPr>
        <w:t>13.</w:t>
      </w:r>
      <w:r>
        <w:rPr>
          <w:b/>
        </w:rPr>
        <w:tab/>
        <w:t xml:space="preserve">Estimate of Cost Burden. </w:t>
      </w:r>
    </w:p>
    <w:p w:rsidR="007023D4" w:rsidRDefault="007023D4" w:rsidP="007023D4"/>
    <w:p w:rsidR="007023D4" w:rsidRDefault="007023D4" w:rsidP="007023D4">
      <w:r>
        <w:t>The projected cost to respondents assumes a $20.91 hourly wage.*  The only cost to the respondent is the time it takes to complete the interview.</w:t>
      </w:r>
    </w:p>
    <w:p w:rsidR="007023D4" w:rsidRDefault="007023D4" w:rsidP="007023D4"/>
    <w:p w:rsidR="007023D4" w:rsidRDefault="007023D4" w:rsidP="007023D4"/>
    <w:p w:rsidR="007023D4" w:rsidRDefault="007023D4" w:rsidP="007023D4">
      <w:r>
        <w:t xml:space="preserve">Projected $ Estimated </w:t>
      </w:r>
    </w:p>
    <w:p w:rsidR="007023D4" w:rsidRDefault="007023D4" w:rsidP="007023D4">
      <w:r>
        <w:t>Costs (1,000's)</w:t>
      </w:r>
      <w:r>
        <w:tab/>
      </w:r>
      <w:r>
        <w:tab/>
      </w:r>
      <w:r>
        <w:tab/>
      </w:r>
      <w:r>
        <w:tab/>
        <w:t xml:space="preserve">       FY 2013</w:t>
      </w:r>
      <w:r>
        <w:tab/>
        <w:t xml:space="preserve">    FY 2014</w:t>
      </w:r>
      <w:r>
        <w:tab/>
        <w:t xml:space="preserve">    FY 2015</w:t>
      </w:r>
    </w:p>
    <w:p w:rsidR="007023D4" w:rsidRDefault="007023D4" w:rsidP="007023D4">
      <w:r>
        <w:t>Respondents</w:t>
      </w:r>
      <w:r>
        <w:tab/>
      </w:r>
      <w:r>
        <w:tab/>
      </w:r>
      <w:r>
        <w:tab/>
      </w:r>
      <w:r>
        <w:tab/>
        <w:t xml:space="preserve">       $   326.</w:t>
      </w:r>
      <w:r w:rsidR="003A07A2">
        <w:t>8</w:t>
      </w:r>
      <w:r>
        <w:t xml:space="preserve">       $   301.</w:t>
      </w:r>
      <w:r w:rsidR="003A07A2">
        <w:t>7</w:t>
      </w:r>
      <w:r>
        <w:t xml:space="preserve">         $   291.</w:t>
      </w:r>
      <w:r w:rsidR="003A07A2">
        <w:t>9</w:t>
      </w:r>
    </w:p>
    <w:p w:rsidR="007023D4" w:rsidRDefault="007023D4" w:rsidP="007023D4"/>
    <w:p w:rsidR="007023D4" w:rsidRPr="000374B4" w:rsidRDefault="007023D4" w:rsidP="007023D4">
      <w:pPr>
        <w:rPr>
          <w:sz w:val="16"/>
          <w:szCs w:val="16"/>
        </w:rPr>
      </w:pPr>
      <w:r w:rsidRPr="000374B4">
        <w:rPr>
          <w:sz w:val="16"/>
          <w:szCs w:val="16"/>
        </w:rPr>
        <w:t>*</w:t>
      </w:r>
      <w:r>
        <w:rPr>
          <w:sz w:val="16"/>
          <w:szCs w:val="16"/>
        </w:rPr>
        <w:t>BLS News Release, USDL-11-1718;</w:t>
      </w:r>
      <w:r w:rsidRPr="0015087F">
        <w:rPr>
          <w:i/>
          <w:sz w:val="16"/>
          <w:szCs w:val="16"/>
        </w:rPr>
        <w:t xml:space="preserve"> Employer Costs for Employee Compensation-September 2011</w:t>
      </w:r>
      <w:r>
        <w:rPr>
          <w:sz w:val="16"/>
          <w:szCs w:val="16"/>
        </w:rPr>
        <w:t>, released December 7, 2011.</w:t>
      </w:r>
    </w:p>
    <w:p w:rsidR="007023D4" w:rsidRDefault="007023D4" w:rsidP="007023D4"/>
    <w:p w:rsidR="007023D4" w:rsidRDefault="007023D4" w:rsidP="007023D4">
      <w:pPr>
        <w:rPr>
          <w:b/>
        </w:rPr>
      </w:pPr>
      <w:r>
        <w:rPr>
          <w:b/>
        </w:rPr>
        <w:t>14.</w:t>
      </w:r>
      <w:r>
        <w:rPr>
          <w:b/>
        </w:rPr>
        <w:tab/>
        <w:t>Cost to the Federal Government.</w:t>
      </w:r>
      <w:r w:rsidDel="002E46BB">
        <w:rPr>
          <w:b/>
        </w:rPr>
        <w:t xml:space="preserve"> </w:t>
      </w:r>
    </w:p>
    <w:p w:rsidR="007023D4" w:rsidRDefault="007023D4" w:rsidP="007023D4">
      <w:pPr>
        <w:rPr>
          <w:b/>
        </w:rPr>
      </w:pPr>
    </w:p>
    <w:p w:rsidR="007023D4" w:rsidRDefault="00A70E00" w:rsidP="007023D4">
      <w:pPr>
        <w:rPr>
          <w:szCs w:val="24"/>
        </w:rPr>
      </w:pPr>
      <w:r w:rsidRPr="00CA4E0B">
        <w:rPr>
          <w:szCs w:val="24"/>
        </w:rPr>
        <w:t>CPI total cost for</w:t>
      </w:r>
      <w:r w:rsidR="007023D4" w:rsidRPr="00CA4E0B">
        <w:rPr>
          <w:szCs w:val="24"/>
        </w:rPr>
        <w:t xml:space="preserve"> </w:t>
      </w:r>
      <w:r w:rsidRPr="00CA4E0B">
        <w:rPr>
          <w:szCs w:val="24"/>
        </w:rPr>
        <w:t>FY</w:t>
      </w:r>
      <w:r w:rsidR="007023D4" w:rsidRPr="00CA4E0B">
        <w:rPr>
          <w:szCs w:val="24"/>
        </w:rPr>
        <w:t xml:space="preserve"> 2012</w:t>
      </w:r>
      <w:r w:rsidRPr="00CA4E0B">
        <w:rPr>
          <w:szCs w:val="24"/>
        </w:rPr>
        <w:t xml:space="preserve"> is </w:t>
      </w:r>
      <w:r w:rsidR="00CA4E0B" w:rsidRPr="00CA4E0B">
        <w:rPr>
          <w:szCs w:val="24"/>
        </w:rPr>
        <w:t xml:space="preserve">approximately </w:t>
      </w:r>
      <w:r w:rsidR="00851122">
        <w:rPr>
          <w:szCs w:val="24"/>
        </w:rPr>
        <w:t>$85 million.  Housing is estimated at</w:t>
      </w:r>
      <w:r w:rsidR="00851122" w:rsidRPr="00851122">
        <w:rPr>
          <w:szCs w:val="24"/>
        </w:rPr>
        <w:t xml:space="preserve"> about</w:t>
      </w:r>
      <w:r w:rsidR="00851122">
        <w:rPr>
          <w:szCs w:val="24"/>
        </w:rPr>
        <w:t xml:space="preserve"> $21</w:t>
      </w:r>
      <w:r w:rsidR="00851122" w:rsidRPr="00851122">
        <w:rPr>
          <w:szCs w:val="24"/>
        </w:rPr>
        <w:t xml:space="preserve"> million</w:t>
      </w:r>
      <w:r w:rsidR="00851122">
        <w:rPr>
          <w:szCs w:val="24"/>
        </w:rPr>
        <w:t>, or 25% of the total cost for the collection, production and publication of Housing Survey data.</w:t>
      </w:r>
    </w:p>
    <w:p w:rsidR="007023D4" w:rsidRDefault="007023D4" w:rsidP="007023D4"/>
    <w:p w:rsidR="007023D4" w:rsidRDefault="007023D4" w:rsidP="007023D4">
      <w:pPr>
        <w:rPr>
          <w:b/>
        </w:rPr>
      </w:pPr>
      <w:r>
        <w:rPr>
          <w:b/>
        </w:rPr>
        <w:t>15.</w:t>
      </w:r>
      <w:r>
        <w:rPr>
          <w:b/>
        </w:rPr>
        <w:tab/>
        <w:t xml:space="preserve">Changes in Response Burden. </w:t>
      </w:r>
    </w:p>
    <w:p w:rsidR="007023D4" w:rsidRDefault="007023D4" w:rsidP="007023D4"/>
    <w:p w:rsidR="007023D4" w:rsidRPr="00577DE1" w:rsidRDefault="007023D4" w:rsidP="007023D4">
      <w:pPr>
        <w:rPr>
          <w:szCs w:val="24"/>
        </w:rPr>
      </w:pPr>
      <w:r w:rsidRPr="00577DE1">
        <w:rPr>
          <w:szCs w:val="24"/>
        </w:rPr>
        <w:t xml:space="preserve">The </w:t>
      </w:r>
      <w:r>
        <w:rPr>
          <w:szCs w:val="24"/>
        </w:rPr>
        <w:t>previous</w:t>
      </w:r>
      <w:r w:rsidRPr="00577DE1">
        <w:rPr>
          <w:szCs w:val="24"/>
        </w:rPr>
        <w:t xml:space="preserve"> Information Collection Budget (ICB) based on the average of FY20</w:t>
      </w:r>
      <w:r>
        <w:rPr>
          <w:szCs w:val="24"/>
        </w:rPr>
        <w:t>10</w:t>
      </w:r>
      <w:r w:rsidRPr="00577DE1">
        <w:rPr>
          <w:szCs w:val="24"/>
        </w:rPr>
        <w:t>, FY20</w:t>
      </w:r>
      <w:r>
        <w:rPr>
          <w:szCs w:val="24"/>
        </w:rPr>
        <w:t>11</w:t>
      </w:r>
      <w:r w:rsidRPr="00577DE1">
        <w:rPr>
          <w:szCs w:val="24"/>
        </w:rPr>
        <w:t xml:space="preserve"> and FY20</w:t>
      </w:r>
      <w:r>
        <w:rPr>
          <w:szCs w:val="24"/>
        </w:rPr>
        <w:t>12</w:t>
      </w:r>
      <w:r w:rsidRPr="00577DE1">
        <w:rPr>
          <w:szCs w:val="24"/>
        </w:rPr>
        <w:t xml:space="preserve"> reflect</w:t>
      </w:r>
      <w:r>
        <w:rPr>
          <w:szCs w:val="24"/>
        </w:rPr>
        <w:t>ed</w:t>
      </w:r>
      <w:r w:rsidRPr="00577DE1">
        <w:rPr>
          <w:szCs w:val="24"/>
        </w:rPr>
        <w:t xml:space="preserve"> </w:t>
      </w:r>
      <w:r>
        <w:rPr>
          <w:szCs w:val="24"/>
        </w:rPr>
        <w:t>12</w:t>
      </w:r>
      <w:r w:rsidRPr="00577DE1">
        <w:rPr>
          <w:szCs w:val="24"/>
        </w:rPr>
        <w:t>,</w:t>
      </w:r>
      <w:r>
        <w:rPr>
          <w:szCs w:val="24"/>
        </w:rPr>
        <w:t xml:space="preserve">394 </w:t>
      </w:r>
      <w:r w:rsidRPr="00577DE1">
        <w:rPr>
          <w:szCs w:val="24"/>
        </w:rPr>
        <w:t>burden hours</w:t>
      </w:r>
      <w:r>
        <w:rPr>
          <w:szCs w:val="24"/>
        </w:rPr>
        <w:t xml:space="preserve">.  </w:t>
      </w:r>
      <w:r w:rsidRPr="00577DE1">
        <w:rPr>
          <w:szCs w:val="24"/>
        </w:rPr>
        <w:t>The burden included in this request based on the average of FY20</w:t>
      </w:r>
      <w:r>
        <w:rPr>
          <w:szCs w:val="24"/>
        </w:rPr>
        <w:t>13</w:t>
      </w:r>
      <w:r w:rsidRPr="00577DE1">
        <w:rPr>
          <w:szCs w:val="24"/>
        </w:rPr>
        <w:t>, FY20</w:t>
      </w:r>
      <w:r>
        <w:rPr>
          <w:szCs w:val="24"/>
        </w:rPr>
        <w:t>14</w:t>
      </w:r>
      <w:r w:rsidRPr="00577DE1">
        <w:rPr>
          <w:szCs w:val="24"/>
        </w:rPr>
        <w:t xml:space="preserve"> and FY20</w:t>
      </w:r>
      <w:r>
        <w:rPr>
          <w:szCs w:val="24"/>
        </w:rPr>
        <w:t>15</w:t>
      </w:r>
      <w:r w:rsidRPr="00577DE1">
        <w:rPr>
          <w:szCs w:val="24"/>
        </w:rPr>
        <w:t xml:space="preserve"> reflects l</w:t>
      </w:r>
      <w:r>
        <w:rPr>
          <w:szCs w:val="24"/>
        </w:rPr>
        <w:t>4,</w:t>
      </w:r>
      <w:r w:rsidR="00CF3867">
        <w:rPr>
          <w:szCs w:val="24"/>
        </w:rPr>
        <w:t>674</w:t>
      </w:r>
      <w:r>
        <w:rPr>
          <w:szCs w:val="24"/>
        </w:rPr>
        <w:t xml:space="preserve"> b</w:t>
      </w:r>
      <w:r w:rsidRPr="00577DE1">
        <w:rPr>
          <w:szCs w:val="24"/>
        </w:rPr>
        <w:t>urden hours.  Following is an analysis of the differences:</w:t>
      </w:r>
      <w:r w:rsidRPr="0023627A">
        <w:rPr>
          <w:szCs w:val="24"/>
        </w:rPr>
        <w:t xml:space="preserve"> </w:t>
      </w:r>
    </w:p>
    <w:p w:rsidR="007023D4" w:rsidRDefault="007023D4" w:rsidP="007023D4"/>
    <w:p w:rsidR="007023D4" w:rsidRDefault="007023D4" w:rsidP="007023D4">
      <w:pPr>
        <w:numPr>
          <w:ilvl w:val="0"/>
          <w:numId w:val="2"/>
        </w:numPr>
      </w:pPr>
      <w:r>
        <w:t>The addition of burden hours for prescreening to replace the base sample with new segments in 87 existing PSU’s results in (-4</w:t>
      </w:r>
      <w:r w:rsidR="0050317B">
        <w:t>93</w:t>
      </w:r>
      <w:r>
        <w:t xml:space="preserve"> average annual hours (AAH)).</w:t>
      </w:r>
    </w:p>
    <w:p w:rsidR="007023D4" w:rsidRDefault="007023D4" w:rsidP="007023D4">
      <w:pPr>
        <w:ind w:left="1080"/>
      </w:pPr>
      <w:r w:rsidRPr="003269E3">
        <w:t>Prescreening res</w:t>
      </w:r>
      <w:r>
        <w:t xml:space="preserve">ponse hours from </w:t>
      </w:r>
      <w:r w:rsidRPr="003269E3">
        <w:t>our previous submittal of estimates for this activity were overestimated</w:t>
      </w:r>
      <w:r>
        <w:t>.</w:t>
      </w:r>
    </w:p>
    <w:p w:rsidR="007023D4" w:rsidRPr="001535DC" w:rsidRDefault="007023D4" w:rsidP="007023D4"/>
    <w:p w:rsidR="007023D4" w:rsidRDefault="007023D4" w:rsidP="007023D4">
      <w:pPr>
        <w:numPr>
          <w:ilvl w:val="0"/>
          <w:numId w:val="2"/>
        </w:numPr>
      </w:pPr>
      <w:r>
        <w:t xml:space="preserve">The addition of burden hours for screening to replace the base sample with new segments in 87 existing PSU’s results in (+31 AAH). </w:t>
      </w:r>
    </w:p>
    <w:p w:rsidR="007023D4" w:rsidRDefault="007023D4" w:rsidP="007023D4">
      <w:pPr>
        <w:ind w:left="720"/>
      </w:pPr>
    </w:p>
    <w:p w:rsidR="007023D4" w:rsidRDefault="007023D4" w:rsidP="007023D4">
      <w:pPr>
        <w:numPr>
          <w:ilvl w:val="0"/>
          <w:numId w:val="2"/>
        </w:numPr>
      </w:pPr>
      <w:r>
        <w:t xml:space="preserve">The addition of burden hours for initiation to replace the base sample with new segments in 87 existing PSU’s results in (+13 AAH). </w:t>
      </w:r>
    </w:p>
    <w:p w:rsidR="007023D4" w:rsidRDefault="007023D4" w:rsidP="007023D4">
      <w:pPr>
        <w:ind w:left="720"/>
      </w:pPr>
    </w:p>
    <w:p w:rsidR="007023D4" w:rsidRDefault="007023D4" w:rsidP="007023D4">
      <w:pPr>
        <w:numPr>
          <w:ilvl w:val="0"/>
          <w:numId w:val="2"/>
        </w:numPr>
      </w:pPr>
      <w:r>
        <w:t>The addition of burden hours for long pricing for replacement sample in 87 PSU’s results in (+1,2</w:t>
      </w:r>
      <w:r w:rsidR="005F0742">
        <w:t>8</w:t>
      </w:r>
      <w:r>
        <w:t>4 AAH).</w:t>
      </w:r>
    </w:p>
    <w:p w:rsidR="007023D4" w:rsidRDefault="007023D4" w:rsidP="007023D4">
      <w:pPr>
        <w:ind w:left="720"/>
      </w:pPr>
    </w:p>
    <w:p w:rsidR="007023D4" w:rsidRDefault="007023D4" w:rsidP="007023D4">
      <w:pPr>
        <w:numPr>
          <w:ilvl w:val="0"/>
          <w:numId w:val="2"/>
        </w:numPr>
      </w:pPr>
      <w:r>
        <w:t>The addition of burden hours for short pricing for replacement sample in 87 PSU’s results in (+1</w:t>
      </w:r>
      <w:r w:rsidR="005F7220">
        <w:t>,</w:t>
      </w:r>
      <w:r>
        <w:t>4</w:t>
      </w:r>
      <w:r w:rsidR="00BB0E0C">
        <w:t>45</w:t>
      </w:r>
      <w:r>
        <w:t xml:space="preserve"> AAH). </w:t>
      </w:r>
    </w:p>
    <w:p w:rsidR="007023D4" w:rsidRDefault="007023D4" w:rsidP="007023D4">
      <w:pPr>
        <w:rPr>
          <w:b/>
        </w:rPr>
      </w:pPr>
    </w:p>
    <w:p w:rsidR="007023D4" w:rsidRDefault="007023D4" w:rsidP="007023D4">
      <w:pPr>
        <w:rPr>
          <w:szCs w:val="24"/>
        </w:rPr>
      </w:pPr>
    </w:p>
    <w:p w:rsidR="007023D4" w:rsidRDefault="007023D4" w:rsidP="007023D4">
      <w:pPr>
        <w:rPr>
          <w:szCs w:val="24"/>
        </w:rPr>
      </w:pPr>
    </w:p>
    <w:p w:rsidR="007023D4" w:rsidRDefault="007023D4" w:rsidP="007023D4">
      <w:pPr>
        <w:rPr>
          <w:szCs w:val="24"/>
        </w:rPr>
      </w:pPr>
    </w:p>
    <w:p w:rsidR="007023D4" w:rsidRPr="00F700E8" w:rsidRDefault="007023D4" w:rsidP="007023D4">
      <w:pPr>
        <w:numPr>
          <w:ilvl w:val="0"/>
          <w:numId w:val="3"/>
        </w:numPr>
        <w:rPr>
          <w:b/>
        </w:rPr>
      </w:pPr>
      <w:r>
        <w:rPr>
          <w:b/>
        </w:rPr>
        <w:t>Plans for Publication.</w:t>
      </w:r>
    </w:p>
    <w:p w:rsidR="007023D4" w:rsidRPr="00F700E8" w:rsidRDefault="007023D4" w:rsidP="007023D4">
      <w:pPr>
        <w:rPr>
          <w:b/>
        </w:rPr>
      </w:pPr>
    </w:p>
    <w:p w:rsidR="007023D4" w:rsidRPr="00FC31B6" w:rsidRDefault="007023D4" w:rsidP="007023D4">
      <w:r w:rsidRPr="008E6BBB">
        <w:t>Data are collected fr</w:t>
      </w:r>
      <w:r w:rsidRPr="008407BC">
        <w:t>om</w:t>
      </w:r>
      <w:r>
        <w:t xml:space="preserve"> the first day to the last day of the reference month.  (For example, data for the January index are collected during January.)  The monthly CPI is first published in a news release between the 13th and 17th of the month following the month in which the data are collected.  (The index for January is published in mid-February.)  The release includes a narrative summary and analysis of major price changes, short tables showing seasonally adjusted and unadjusted percentage changes in major expenditure categories, and several detailed tables.  Summary tables are also published in the Monthly Labor Review the following month; shortly thereafter, a great deal of additional information appears in the monthly CPI Detailed Report.  The information also is found on the CPI public website at: </w:t>
      </w:r>
      <w:hyperlink r:id="rId5" w:history="1">
        <w:r w:rsidRPr="00780A5B">
          <w:rPr>
            <w:rStyle w:val="Hyperlink"/>
          </w:rPr>
          <w:t>http://www.bls.gov/cpi/publications.htm</w:t>
        </w:r>
      </w:hyperlink>
      <w:r>
        <w:t xml:space="preserve"> .</w:t>
      </w:r>
    </w:p>
    <w:p w:rsidR="007023D4" w:rsidRDefault="007023D4" w:rsidP="007023D4"/>
    <w:p w:rsidR="007023D4" w:rsidRDefault="007023D4" w:rsidP="007023D4">
      <w:pPr>
        <w:rPr>
          <w:b/>
        </w:rPr>
      </w:pPr>
      <w:r>
        <w:rPr>
          <w:b/>
        </w:rPr>
        <w:t>17.</w:t>
      </w:r>
      <w:r>
        <w:rPr>
          <w:b/>
        </w:rPr>
        <w:tab/>
        <w:t>Request Not to Display Expiration Date.</w:t>
      </w:r>
    </w:p>
    <w:p w:rsidR="007023D4" w:rsidRDefault="007023D4" w:rsidP="007023D4"/>
    <w:p w:rsidR="00CF3867" w:rsidRPr="00A50959" w:rsidRDefault="00CF3867" w:rsidP="00CF3867">
      <w:pPr>
        <w:spacing w:before="120"/>
        <w:rPr>
          <w:szCs w:val="24"/>
        </w:rPr>
      </w:pPr>
      <w:r w:rsidRPr="007F541C">
        <w:rPr>
          <w:szCs w:val="24"/>
        </w:rPr>
        <w:t>The Consumer Price Index Housing Program requests authorization to not display the expiration date for OMB approval on the survey materials, to save pri</w:t>
      </w:r>
      <w:r>
        <w:rPr>
          <w:szCs w:val="24"/>
        </w:rPr>
        <w:t>n</w:t>
      </w:r>
      <w:r w:rsidRPr="007F541C">
        <w:rPr>
          <w:szCs w:val="24"/>
        </w:rPr>
        <w:t>ting costs and personnel time.</w:t>
      </w:r>
    </w:p>
    <w:p w:rsidR="007023D4" w:rsidRDefault="007023D4" w:rsidP="007023D4"/>
    <w:p w:rsidR="007023D4" w:rsidRDefault="007023D4" w:rsidP="007023D4">
      <w:pPr>
        <w:rPr>
          <w:b/>
        </w:rPr>
      </w:pPr>
      <w:r>
        <w:rPr>
          <w:b/>
        </w:rPr>
        <w:t>18.</w:t>
      </w:r>
      <w:r>
        <w:rPr>
          <w:b/>
        </w:rPr>
        <w:tab/>
        <w:t>Exceptions to the Certification Statement.</w:t>
      </w:r>
    </w:p>
    <w:p w:rsidR="007023D4" w:rsidRDefault="007023D4" w:rsidP="007023D4"/>
    <w:p w:rsidR="007023D4" w:rsidRDefault="007023D4" w:rsidP="007023D4">
      <w:pPr>
        <w:rPr>
          <w:szCs w:val="24"/>
        </w:rPr>
      </w:pPr>
      <w:r>
        <w:t>There are no exceptions to the certification statement, “Certification for Paper Work Reduction Act Submissions.”</w:t>
      </w:r>
    </w:p>
    <w:p w:rsidR="007023D4" w:rsidRDefault="007023D4" w:rsidP="007023D4">
      <w:pPr>
        <w:rPr>
          <w:szCs w:val="24"/>
        </w:rPr>
      </w:pPr>
    </w:p>
    <w:p w:rsidR="008C5D1F" w:rsidRDefault="008C5D1F" w:rsidP="008C5D1F"/>
    <w:p w:rsidR="008C5D1F" w:rsidRDefault="008C5D1F">
      <w:pPr>
        <w:spacing w:after="200" w:line="276" w:lineRule="auto"/>
        <w:rPr>
          <w:szCs w:val="24"/>
        </w:rPr>
      </w:pPr>
    </w:p>
    <w:p w:rsidR="003A07A2" w:rsidRDefault="003A07A2" w:rsidP="008C5D1F"/>
    <w:sectPr w:rsidR="003A07A2" w:rsidSect="00653A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091"/>
    <w:multiLevelType w:val="hybridMultilevel"/>
    <w:tmpl w:val="4BD6D896"/>
    <w:lvl w:ilvl="0" w:tplc="5B066238">
      <w:start w:val="1"/>
      <w:numFmt w:val="lowerLetter"/>
      <w:lvlText w:val="(%1)"/>
      <w:lvlJc w:val="left"/>
      <w:pPr>
        <w:tabs>
          <w:tab w:val="num" w:pos="1080"/>
        </w:tabs>
        <w:ind w:left="1080" w:hanging="360"/>
      </w:pPr>
      <w:rPr>
        <w:rFonts w:hint="default"/>
      </w:rPr>
    </w:lvl>
    <w:lvl w:ilvl="1" w:tplc="93DE36F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660092C"/>
    <w:multiLevelType w:val="singleLevel"/>
    <w:tmpl w:val="FFB097BE"/>
    <w:lvl w:ilvl="0">
      <w:start w:val="16"/>
      <w:numFmt w:val="decimal"/>
      <w:lvlText w:val="%1."/>
      <w:lvlJc w:val="left"/>
      <w:pPr>
        <w:tabs>
          <w:tab w:val="num" w:pos="720"/>
        </w:tabs>
        <w:ind w:left="720" w:hanging="720"/>
      </w:pPr>
      <w:rPr>
        <w:rFonts w:hint="default"/>
      </w:rPr>
    </w:lvl>
  </w:abstractNum>
  <w:abstractNum w:abstractNumId="2">
    <w:nsid w:val="6BB268D9"/>
    <w:multiLevelType w:val="hybridMultilevel"/>
    <w:tmpl w:val="2FFC3A84"/>
    <w:lvl w:ilvl="0" w:tplc="5ED69C2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C5D1F"/>
    <w:rsid w:val="00020DAF"/>
    <w:rsid w:val="0018733E"/>
    <w:rsid w:val="001C451C"/>
    <w:rsid w:val="001C69AC"/>
    <w:rsid w:val="00325DAC"/>
    <w:rsid w:val="00344BA4"/>
    <w:rsid w:val="00344F7F"/>
    <w:rsid w:val="00395074"/>
    <w:rsid w:val="003A07A2"/>
    <w:rsid w:val="00432DEC"/>
    <w:rsid w:val="00474576"/>
    <w:rsid w:val="00491ECF"/>
    <w:rsid w:val="0050317B"/>
    <w:rsid w:val="00503B90"/>
    <w:rsid w:val="005F0742"/>
    <w:rsid w:val="005F7220"/>
    <w:rsid w:val="00630B35"/>
    <w:rsid w:val="00653A9E"/>
    <w:rsid w:val="00653B6F"/>
    <w:rsid w:val="007023D4"/>
    <w:rsid w:val="007C3964"/>
    <w:rsid w:val="00832D00"/>
    <w:rsid w:val="00851122"/>
    <w:rsid w:val="008C5D1F"/>
    <w:rsid w:val="009003E3"/>
    <w:rsid w:val="00A70E00"/>
    <w:rsid w:val="00B65CE2"/>
    <w:rsid w:val="00B80319"/>
    <w:rsid w:val="00BB0E0C"/>
    <w:rsid w:val="00C262E0"/>
    <w:rsid w:val="00C60E7B"/>
    <w:rsid w:val="00C95505"/>
    <w:rsid w:val="00CA4E0B"/>
    <w:rsid w:val="00CC1203"/>
    <w:rsid w:val="00CF3867"/>
    <w:rsid w:val="00CF3E63"/>
    <w:rsid w:val="00D11D3C"/>
    <w:rsid w:val="00D55598"/>
    <w:rsid w:val="00DA0C09"/>
    <w:rsid w:val="00DE4513"/>
    <w:rsid w:val="00E3577E"/>
    <w:rsid w:val="00E95E41"/>
    <w:rsid w:val="00ED33FE"/>
    <w:rsid w:val="00F84149"/>
    <w:rsid w:val="00FE6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D1F"/>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C5D1F"/>
    <w:pPr>
      <w:keepNext/>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5D1F"/>
    <w:rPr>
      <w:rFonts w:ascii="Times New Roman" w:eastAsia="Times New Roman" w:hAnsi="Times New Roman" w:cs="Times New Roman"/>
      <w:sz w:val="24"/>
      <w:szCs w:val="20"/>
    </w:rPr>
  </w:style>
  <w:style w:type="paragraph" w:styleId="Header">
    <w:name w:val="header"/>
    <w:basedOn w:val="Normal"/>
    <w:link w:val="HeaderChar"/>
    <w:rsid w:val="008C5D1F"/>
    <w:pPr>
      <w:tabs>
        <w:tab w:val="center" w:pos="4320"/>
        <w:tab w:val="right" w:pos="8640"/>
      </w:tabs>
    </w:pPr>
  </w:style>
  <w:style w:type="character" w:customStyle="1" w:styleId="HeaderChar">
    <w:name w:val="Header Char"/>
    <w:basedOn w:val="DefaultParagraphFont"/>
    <w:link w:val="Header"/>
    <w:rsid w:val="008C5D1F"/>
    <w:rPr>
      <w:rFonts w:ascii="Times New Roman" w:eastAsia="Times New Roman" w:hAnsi="Times New Roman" w:cs="Times New Roman"/>
      <w:sz w:val="24"/>
      <w:szCs w:val="20"/>
    </w:rPr>
  </w:style>
  <w:style w:type="paragraph" w:styleId="BodyText">
    <w:name w:val="Body Text"/>
    <w:basedOn w:val="Normal"/>
    <w:link w:val="BodyTextChar"/>
    <w:rsid w:val="008C5D1F"/>
  </w:style>
  <w:style w:type="character" w:customStyle="1" w:styleId="BodyTextChar">
    <w:name w:val="Body Text Char"/>
    <w:basedOn w:val="DefaultParagraphFont"/>
    <w:link w:val="BodyText"/>
    <w:rsid w:val="008C5D1F"/>
    <w:rPr>
      <w:rFonts w:ascii="Times New Roman" w:eastAsia="Times New Roman" w:hAnsi="Times New Roman" w:cs="Times New Roman"/>
      <w:sz w:val="24"/>
      <w:szCs w:val="20"/>
    </w:rPr>
  </w:style>
  <w:style w:type="paragraph" w:styleId="BodyTextIndent">
    <w:name w:val="Body Text Indent"/>
    <w:basedOn w:val="Normal"/>
    <w:link w:val="BodyTextIndentChar"/>
    <w:rsid w:val="008C5D1F"/>
    <w:pPr>
      <w:spacing w:after="120"/>
      <w:ind w:left="360"/>
    </w:pPr>
  </w:style>
  <w:style w:type="character" w:customStyle="1" w:styleId="BodyTextIndentChar">
    <w:name w:val="Body Text Indent Char"/>
    <w:basedOn w:val="DefaultParagraphFont"/>
    <w:link w:val="BodyTextIndent"/>
    <w:rsid w:val="008C5D1F"/>
    <w:rPr>
      <w:rFonts w:ascii="Times New Roman" w:eastAsia="Times New Roman" w:hAnsi="Times New Roman" w:cs="Times New Roman"/>
      <w:sz w:val="24"/>
      <w:szCs w:val="20"/>
    </w:rPr>
  </w:style>
  <w:style w:type="character" w:styleId="Hyperlink">
    <w:name w:val="Hyperlink"/>
    <w:basedOn w:val="DefaultParagraphFont"/>
    <w:uiPriority w:val="99"/>
    <w:rsid w:val="007023D4"/>
    <w:rPr>
      <w:color w:val="0000FF"/>
      <w:u w:val="single"/>
    </w:rPr>
  </w:style>
  <w:style w:type="paragraph" w:styleId="BalloonText">
    <w:name w:val="Balloon Text"/>
    <w:basedOn w:val="Normal"/>
    <w:link w:val="BalloonTextChar"/>
    <w:uiPriority w:val="99"/>
    <w:semiHidden/>
    <w:unhideWhenUsed/>
    <w:rsid w:val="00ED33FE"/>
    <w:rPr>
      <w:rFonts w:ascii="Tahoma" w:hAnsi="Tahoma" w:cs="Tahoma"/>
      <w:sz w:val="16"/>
      <w:szCs w:val="16"/>
    </w:rPr>
  </w:style>
  <w:style w:type="character" w:customStyle="1" w:styleId="BalloonTextChar">
    <w:name w:val="Balloon Text Char"/>
    <w:basedOn w:val="DefaultParagraphFont"/>
    <w:link w:val="BalloonText"/>
    <w:uiPriority w:val="99"/>
    <w:semiHidden/>
    <w:rsid w:val="00ED33F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F3867"/>
    <w:rPr>
      <w:sz w:val="16"/>
      <w:szCs w:val="16"/>
    </w:rPr>
  </w:style>
  <w:style w:type="paragraph" w:styleId="CommentText">
    <w:name w:val="annotation text"/>
    <w:basedOn w:val="Normal"/>
    <w:link w:val="CommentTextChar"/>
    <w:uiPriority w:val="99"/>
    <w:semiHidden/>
    <w:unhideWhenUsed/>
    <w:rsid w:val="00CF3867"/>
    <w:rPr>
      <w:sz w:val="20"/>
    </w:rPr>
  </w:style>
  <w:style w:type="character" w:customStyle="1" w:styleId="CommentTextChar">
    <w:name w:val="Comment Text Char"/>
    <w:basedOn w:val="DefaultParagraphFont"/>
    <w:link w:val="CommentText"/>
    <w:uiPriority w:val="99"/>
    <w:semiHidden/>
    <w:rsid w:val="00CF38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3867"/>
    <w:rPr>
      <w:b/>
      <w:bCs/>
    </w:rPr>
  </w:style>
  <w:style w:type="character" w:customStyle="1" w:styleId="CommentSubjectChar">
    <w:name w:val="Comment Subject Char"/>
    <w:basedOn w:val="CommentTextChar"/>
    <w:link w:val="CommentSubject"/>
    <w:uiPriority w:val="99"/>
    <w:semiHidden/>
    <w:rsid w:val="00CF3867"/>
    <w:rPr>
      <w:b/>
      <w:bCs/>
    </w:rPr>
  </w:style>
</w:styles>
</file>

<file path=word/webSettings.xml><?xml version="1.0" encoding="utf-8"?>
<w:webSettings xmlns:r="http://schemas.openxmlformats.org/officeDocument/2006/relationships" xmlns:w="http://schemas.openxmlformats.org/wordprocessingml/2006/main">
  <w:divs>
    <w:div w:id="205122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cpi/publication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3824</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CAMPBELL_L</dc:creator>
  <cp:keywords/>
  <dc:description/>
  <cp:lastModifiedBy>CAMPBELL_L</cp:lastModifiedBy>
  <cp:revision>2</cp:revision>
  <cp:lastPrinted>2012-08-15T14:08:00Z</cp:lastPrinted>
  <dcterms:created xsi:type="dcterms:W3CDTF">2012-11-29T22:05:00Z</dcterms:created>
  <dcterms:modified xsi:type="dcterms:W3CDTF">2012-11-29T22:05:00Z</dcterms:modified>
</cp:coreProperties>
</file>