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B26" w:rsidRPr="000E4756" w:rsidRDefault="005E2B26"/>
    <w:p w:rsidR="005E2B26" w:rsidRPr="000E4756" w:rsidRDefault="005E2B26">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sz w:val="24"/>
          <w:szCs w:val="24"/>
        </w:rPr>
      </w:pPr>
    </w:p>
    <w:p w:rsidR="00EC17F7" w:rsidRDefault="00EC17F7" w:rsidP="00EC17F7">
      <w:pPr>
        <w:jc w:val="center"/>
        <w:rPr>
          <w:b/>
          <w:sz w:val="24"/>
          <w:szCs w:val="24"/>
        </w:rPr>
      </w:pPr>
      <w:r>
        <w:rPr>
          <w:b/>
          <w:sz w:val="24"/>
          <w:szCs w:val="24"/>
        </w:rPr>
        <w:t>SUPPORTING STATEMENT B</w:t>
      </w:r>
    </w:p>
    <w:p w:rsidR="00895C36" w:rsidRDefault="00895C36" w:rsidP="00EC17F7">
      <w:pPr>
        <w:jc w:val="center"/>
        <w:rPr>
          <w:b/>
          <w:sz w:val="24"/>
          <w:szCs w:val="24"/>
        </w:rPr>
      </w:pPr>
      <w:r>
        <w:rPr>
          <w:b/>
          <w:sz w:val="24"/>
          <w:szCs w:val="24"/>
        </w:rPr>
        <w:t>FOR</w:t>
      </w:r>
    </w:p>
    <w:p w:rsidR="00681171" w:rsidRDefault="00EC17F7" w:rsidP="00EC17F7">
      <w:pPr>
        <w:widowControl w:val="0"/>
        <w:tabs>
          <w:tab w:val="left" w:pos="576"/>
          <w:tab w:val="left" w:pos="1440"/>
        </w:tabs>
        <w:jc w:val="center"/>
        <w:rPr>
          <w:b/>
          <w:sz w:val="24"/>
          <w:szCs w:val="24"/>
        </w:rPr>
      </w:pPr>
      <w:r>
        <w:rPr>
          <w:b/>
          <w:sz w:val="24"/>
          <w:szCs w:val="24"/>
        </w:rPr>
        <w:t>COAST GUARD LIVING MARINE RESOURCES (LMR)</w:t>
      </w:r>
    </w:p>
    <w:p w:rsidR="00EC17F7" w:rsidRPr="00EC17F7" w:rsidRDefault="00EC17F7" w:rsidP="00EC17F7">
      <w:pPr>
        <w:widowControl w:val="0"/>
        <w:tabs>
          <w:tab w:val="left" w:pos="576"/>
          <w:tab w:val="left" w:pos="1440"/>
        </w:tabs>
        <w:jc w:val="center"/>
        <w:rPr>
          <w:b/>
          <w:sz w:val="24"/>
          <w:szCs w:val="24"/>
        </w:rPr>
      </w:pPr>
      <w:r>
        <w:rPr>
          <w:b/>
          <w:sz w:val="24"/>
          <w:szCs w:val="24"/>
        </w:rPr>
        <w:t>ENFORCEMENT SURVEY</w:t>
      </w:r>
    </w:p>
    <w:p w:rsidR="00681171" w:rsidRPr="000E4756" w:rsidRDefault="00681171" w:rsidP="000E4756">
      <w:pPr>
        <w:widowControl w:val="0"/>
        <w:tabs>
          <w:tab w:val="left" w:pos="576"/>
          <w:tab w:val="left" w:pos="1440"/>
        </w:tabs>
        <w:rPr>
          <w:sz w:val="24"/>
          <w:szCs w:val="24"/>
        </w:rPr>
      </w:pPr>
    </w:p>
    <w:p w:rsidR="00681171" w:rsidRPr="000E4756" w:rsidRDefault="00080CC8" w:rsidP="000E4756">
      <w:pPr>
        <w:pStyle w:val="Heading1"/>
        <w:jc w:val="left"/>
        <w:rPr>
          <w:rFonts w:ascii="Times New Roman" w:hAnsi="Times New Roman"/>
          <w:szCs w:val="24"/>
          <w:u w:val="single"/>
        </w:rPr>
      </w:pPr>
      <w:bookmarkStart w:id="0" w:name="_Toc308005721"/>
      <w:r>
        <w:rPr>
          <w:rFonts w:ascii="Times New Roman" w:hAnsi="Times New Roman"/>
          <w:szCs w:val="24"/>
        </w:rPr>
        <w:t>B)</w:t>
      </w:r>
      <w:r w:rsidR="00213590" w:rsidRPr="000E4756">
        <w:rPr>
          <w:rFonts w:ascii="Times New Roman" w:hAnsi="Times New Roman"/>
          <w:szCs w:val="24"/>
        </w:rPr>
        <w:t xml:space="preserve">  </w:t>
      </w:r>
      <w:r w:rsidR="00213590" w:rsidRPr="000E4756">
        <w:rPr>
          <w:rFonts w:ascii="Times New Roman" w:hAnsi="Times New Roman"/>
          <w:szCs w:val="24"/>
          <w:u w:val="single"/>
        </w:rPr>
        <w:t>Statistical Methods</w:t>
      </w:r>
      <w:bookmarkEnd w:id="0"/>
    </w:p>
    <w:p w:rsidR="00052F13" w:rsidRPr="000E4756" w:rsidRDefault="00052F13" w:rsidP="000E4756">
      <w:pPr>
        <w:widowControl w:val="0"/>
        <w:tabs>
          <w:tab w:val="left" w:pos="576"/>
          <w:tab w:val="left" w:pos="1440"/>
        </w:tabs>
        <w:rPr>
          <w:sz w:val="24"/>
          <w:szCs w:val="24"/>
        </w:rPr>
      </w:pPr>
    </w:p>
    <w:p w:rsidR="00043BC1" w:rsidRDefault="005E2B26" w:rsidP="00043BC1">
      <w:pPr>
        <w:rPr>
          <w:sz w:val="24"/>
          <w:szCs w:val="24"/>
        </w:rPr>
      </w:pPr>
      <w:r w:rsidRPr="00043BC1">
        <w:rPr>
          <w:sz w:val="24"/>
          <w:szCs w:val="24"/>
        </w:rPr>
        <w:t xml:space="preserve">In the service of promoting law enforcement effectiveness and </w:t>
      </w:r>
      <w:r w:rsidR="00043BC1">
        <w:rPr>
          <w:sz w:val="24"/>
          <w:szCs w:val="24"/>
        </w:rPr>
        <w:t xml:space="preserve">informing policy decisions, the </w:t>
      </w:r>
      <w:r w:rsidRPr="00043BC1">
        <w:rPr>
          <w:sz w:val="24"/>
          <w:szCs w:val="24"/>
        </w:rPr>
        <w:t xml:space="preserve">United States Coast Guard (USCG) is undertaking a </w:t>
      </w:r>
      <w:r w:rsidR="009D1432">
        <w:rPr>
          <w:sz w:val="24"/>
          <w:szCs w:val="24"/>
        </w:rPr>
        <w:t>Survey</w:t>
      </w:r>
      <w:r w:rsidR="00043BC1">
        <w:rPr>
          <w:sz w:val="24"/>
          <w:szCs w:val="24"/>
        </w:rPr>
        <w:t xml:space="preserve"> on the Effectiveness of Coast </w:t>
      </w:r>
      <w:r w:rsidRPr="00043BC1">
        <w:rPr>
          <w:sz w:val="24"/>
          <w:szCs w:val="24"/>
        </w:rPr>
        <w:t>Guard Living Marine Resources (LMR) Enforcement</w:t>
      </w:r>
      <w:r w:rsidR="00043BC1">
        <w:rPr>
          <w:sz w:val="24"/>
          <w:szCs w:val="24"/>
        </w:rPr>
        <w:t>, or LMR</w:t>
      </w:r>
      <w:r w:rsidR="009D1432">
        <w:rPr>
          <w:sz w:val="24"/>
          <w:szCs w:val="24"/>
        </w:rPr>
        <w:t xml:space="preserve"> Enforcement</w:t>
      </w:r>
      <w:r w:rsidR="00043BC1">
        <w:rPr>
          <w:sz w:val="24"/>
          <w:szCs w:val="24"/>
        </w:rPr>
        <w:t xml:space="preserve"> </w:t>
      </w:r>
      <w:r w:rsidR="009D1432">
        <w:rPr>
          <w:sz w:val="24"/>
          <w:szCs w:val="24"/>
        </w:rPr>
        <w:t>Survey</w:t>
      </w:r>
      <w:r w:rsidR="00043BC1">
        <w:rPr>
          <w:sz w:val="24"/>
          <w:szCs w:val="24"/>
        </w:rPr>
        <w:t xml:space="preserve">. The LMR </w:t>
      </w:r>
      <w:r w:rsidR="00920FC2">
        <w:rPr>
          <w:sz w:val="24"/>
          <w:szCs w:val="24"/>
        </w:rPr>
        <w:t>Enforcement Survey</w:t>
      </w:r>
      <w:r w:rsidRPr="00043BC1">
        <w:rPr>
          <w:sz w:val="24"/>
          <w:szCs w:val="24"/>
        </w:rPr>
        <w:t xml:space="preserve"> concerns U.S. commercial, charter, and recreati</w:t>
      </w:r>
      <w:r w:rsidR="00043BC1">
        <w:rPr>
          <w:sz w:val="24"/>
          <w:szCs w:val="24"/>
        </w:rPr>
        <w:t xml:space="preserve">onal marine fishermen from each </w:t>
      </w:r>
      <w:r w:rsidRPr="00043BC1">
        <w:rPr>
          <w:sz w:val="24"/>
          <w:szCs w:val="24"/>
        </w:rPr>
        <w:t xml:space="preserve">coastal region </w:t>
      </w:r>
      <w:r w:rsidR="002208DE">
        <w:rPr>
          <w:sz w:val="24"/>
          <w:szCs w:val="24"/>
        </w:rPr>
        <w:t>impacted</w:t>
      </w:r>
      <w:r w:rsidRPr="00043BC1">
        <w:rPr>
          <w:sz w:val="24"/>
          <w:szCs w:val="24"/>
        </w:rPr>
        <w:t xml:space="preserve"> by various USCG LMR enforcement efforts.</w:t>
      </w:r>
    </w:p>
    <w:p w:rsidR="00043BC1" w:rsidRDefault="00043BC1" w:rsidP="00043BC1">
      <w:pPr>
        <w:rPr>
          <w:sz w:val="24"/>
          <w:szCs w:val="24"/>
        </w:rPr>
      </w:pPr>
    </w:p>
    <w:p w:rsidR="005E2B26" w:rsidRDefault="005E2B26" w:rsidP="00043BC1">
      <w:pPr>
        <w:rPr>
          <w:sz w:val="24"/>
          <w:szCs w:val="24"/>
        </w:rPr>
      </w:pPr>
      <w:r w:rsidRPr="00043BC1">
        <w:rPr>
          <w:sz w:val="24"/>
          <w:szCs w:val="24"/>
        </w:rPr>
        <w:t xml:space="preserve">The purpose of the LMR </w:t>
      </w:r>
      <w:r w:rsidR="00920FC2">
        <w:rPr>
          <w:sz w:val="24"/>
          <w:szCs w:val="24"/>
        </w:rPr>
        <w:t>Enforcement Survey</w:t>
      </w:r>
      <w:r w:rsidRPr="00043BC1">
        <w:rPr>
          <w:sz w:val="24"/>
          <w:szCs w:val="24"/>
        </w:rPr>
        <w:t xml:space="preserve"> is to collect information on public perceptions of the</w:t>
      </w:r>
      <w:r w:rsidR="00043BC1">
        <w:rPr>
          <w:sz w:val="24"/>
          <w:szCs w:val="24"/>
        </w:rPr>
        <w:t xml:space="preserve"> </w:t>
      </w:r>
      <w:r w:rsidRPr="00043BC1">
        <w:rPr>
          <w:sz w:val="24"/>
          <w:szCs w:val="24"/>
        </w:rPr>
        <w:t>effectiveness of Coast Guard enforcement of laws and regulations relating to fisheries, marine protected resources and other protected species. The information will be incorporated into a contracted study of the deterrent effect of the Coast Guard’s LMR enforcement program. Information collected will be analyzed to determine respondent perceptions of the effectiveness of a variety of USCG law enforcement efforts (including boardings, inspections, and observations by aircraft or surface vessels) in deterring illegal activities, prevalence of violation behavior, and other factors that may affect compliance behavior, including perceived probabilities of detection and punishment of violations (both formal/official and informal/social).  Data will be analyzed for differentiation of responses by several dimensions including major fishery components (e.g. commercial, charter, recreational), fishery type, geographic area, and other factors.  The results will help characterize critical dynamics of the deterrence value of various USCG LMR enforcement efforts, which will inform enforcement resource allocation decisions.</w:t>
      </w:r>
    </w:p>
    <w:p w:rsidR="005E2B26" w:rsidRPr="00043BC1" w:rsidRDefault="005E2B26" w:rsidP="00043BC1">
      <w:pPr>
        <w:rPr>
          <w:sz w:val="24"/>
          <w:szCs w:val="24"/>
        </w:rPr>
        <w:sectPr w:rsidR="005E2B26" w:rsidRPr="00043BC1" w:rsidSect="00C43161">
          <w:headerReference w:type="default" r:id="rId8"/>
          <w:footerReference w:type="default" r:id="rId9"/>
          <w:headerReference w:type="first" r:id="rId10"/>
          <w:footerReference w:type="first" r:id="rId11"/>
          <w:type w:val="continuous"/>
          <w:pgSz w:w="12240" w:h="15840" w:code="1"/>
          <w:pgMar w:top="1440" w:right="1440" w:bottom="1440" w:left="1440" w:header="720" w:footer="720" w:gutter="0"/>
          <w:pgNumType w:start="0"/>
          <w:cols w:space="720"/>
          <w:titlePg/>
          <w:docGrid w:linePitch="360"/>
        </w:sectPr>
      </w:pPr>
    </w:p>
    <w:p w:rsidR="005E2B26" w:rsidRDefault="005E2B26" w:rsidP="00043BC1">
      <w:pPr>
        <w:pStyle w:val="Heading2"/>
        <w:keepLines/>
        <w:widowControl/>
        <w:numPr>
          <w:ilvl w:val="0"/>
          <w:numId w:val="6"/>
        </w:numPr>
        <w:tabs>
          <w:tab w:val="clear" w:pos="576"/>
          <w:tab w:val="clear" w:pos="1440"/>
        </w:tabs>
        <w:spacing w:before="120"/>
        <w:rPr>
          <w:rFonts w:ascii="Times New Roman" w:hAnsi="Times New Roman"/>
        </w:rPr>
      </w:pPr>
      <w:bookmarkStart w:id="1" w:name="_Toc241407389"/>
      <w:bookmarkStart w:id="2" w:name="_Toc307927267"/>
      <w:bookmarkStart w:id="3" w:name="_Toc308005722"/>
      <w:r w:rsidRPr="000E4756">
        <w:rPr>
          <w:rFonts w:ascii="Times New Roman" w:hAnsi="Times New Roman"/>
        </w:rPr>
        <w:lastRenderedPageBreak/>
        <w:t>Respondent Universe and Sampling Methods</w:t>
      </w:r>
      <w:bookmarkEnd w:id="1"/>
      <w:bookmarkEnd w:id="2"/>
      <w:bookmarkEnd w:id="3"/>
    </w:p>
    <w:p w:rsidR="00043BC1" w:rsidRPr="00043BC1" w:rsidRDefault="00043BC1" w:rsidP="00043BC1">
      <w:pPr>
        <w:rPr>
          <w:sz w:val="24"/>
          <w:szCs w:val="24"/>
        </w:rPr>
      </w:pPr>
    </w:p>
    <w:p w:rsidR="005E2B26" w:rsidRDefault="005E2B26" w:rsidP="00043BC1">
      <w:pPr>
        <w:rPr>
          <w:sz w:val="24"/>
          <w:szCs w:val="24"/>
        </w:rPr>
      </w:pPr>
      <w:r w:rsidRPr="00043BC1">
        <w:rPr>
          <w:sz w:val="24"/>
          <w:szCs w:val="24"/>
        </w:rPr>
        <w:t xml:space="preserve">The universe for the LMR </w:t>
      </w:r>
      <w:r w:rsidR="00920FC2">
        <w:rPr>
          <w:sz w:val="24"/>
          <w:szCs w:val="24"/>
        </w:rPr>
        <w:t>Enforcement Survey</w:t>
      </w:r>
      <w:r w:rsidRPr="00043BC1">
        <w:rPr>
          <w:sz w:val="24"/>
          <w:szCs w:val="24"/>
        </w:rPr>
        <w:t xml:space="preserve"> is all U.S. marine fishing permit holders </w:t>
      </w:r>
      <w:r w:rsidR="000C211E">
        <w:rPr>
          <w:sz w:val="24"/>
          <w:szCs w:val="24"/>
        </w:rPr>
        <w:t xml:space="preserve">and registered saltwater recreational fishermen </w:t>
      </w:r>
      <w:r w:rsidRPr="00043BC1">
        <w:rPr>
          <w:sz w:val="24"/>
          <w:szCs w:val="24"/>
        </w:rPr>
        <w:t xml:space="preserve">from each coastal region.  We estimate there are </w:t>
      </w:r>
      <w:r w:rsidRPr="007B22FF">
        <w:rPr>
          <w:sz w:val="24"/>
          <w:szCs w:val="24"/>
        </w:rPr>
        <w:t>approximately 24,000 current</w:t>
      </w:r>
      <w:r w:rsidRPr="00043BC1">
        <w:rPr>
          <w:sz w:val="24"/>
          <w:szCs w:val="24"/>
        </w:rPr>
        <w:t xml:space="preserve"> permit holders.  </w:t>
      </w:r>
    </w:p>
    <w:p w:rsidR="000C211E" w:rsidRPr="00043BC1" w:rsidRDefault="000C211E" w:rsidP="00043BC1">
      <w:pPr>
        <w:rPr>
          <w:sz w:val="24"/>
          <w:szCs w:val="24"/>
        </w:rPr>
      </w:pPr>
    </w:p>
    <w:p w:rsidR="005E2B26" w:rsidRPr="00043BC1" w:rsidRDefault="005E2B26" w:rsidP="000E4756">
      <w:pPr>
        <w:rPr>
          <w:sz w:val="24"/>
          <w:szCs w:val="24"/>
        </w:rPr>
      </w:pPr>
      <w:r w:rsidRPr="00043BC1">
        <w:rPr>
          <w:sz w:val="24"/>
          <w:szCs w:val="24"/>
        </w:rPr>
        <w:t xml:space="preserve">The universe of </w:t>
      </w:r>
      <w:r w:rsidR="000C211E">
        <w:rPr>
          <w:sz w:val="24"/>
          <w:szCs w:val="24"/>
        </w:rPr>
        <w:t>the intended audience for the LMR Enforcement Survey</w:t>
      </w:r>
      <w:r w:rsidRPr="00043BC1">
        <w:rPr>
          <w:sz w:val="24"/>
          <w:szCs w:val="24"/>
        </w:rPr>
        <w:t xml:space="preserve"> includes:</w:t>
      </w:r>
    </w:p>
    <w:p w:rsidR="005E2B26" w:rsidRPr="00043BC1" w:rsidRDefault="005E2B26" w:rsidP="000E4756">
      <w:pPr>
        <w:pStyle w:val="ListParagraph"/>
        <w:numPr>
          <w:ilvl w:val="0"/>
          <w:numId w:val="5"/>
        </w:numPr>
        <w:spacing w:after="0"/>
        <w:rPr>
          <w:rFonts w:ascii="Times New Roman" w:hAnsi="Times New Roman"/>
          <w:sz w:val="24"/>
          <w:szCs w:val="24"/>
        </w:rPr>
      </w:pPr>
      <w:r w:rsidRPr="00043BC1">
        <w:rPr>
          <w:rFonts w:ascii="Times New Roman" w:hAnsi="Times New Roman"/>
          <w:sz w:val="24"/>
          <w:szCs w:val="24"/>
        </w:rPr>
        <w:t>Commercial fishing permit holders,</w:t>
      </w:r>
    </w:p>
    <w:p w:rsidR="005E2B26" w:rsidRPr="00043BC1" w:rsidRDefault="005E2B26" w:rsidP="000E4756">
      <w:pPr>
        <w:pStyle w:val="ListParagraph"/>
        <w:numPr>
          <w:ilvl w:val="0"/>
          <w:numId w:val="5"/>
        </w:numPr>
        <w:spacing w:after="0"/>
        <w:rPr>
          <w:rFonts w:ascii="Times New Roman" w:hAnsi="Times New Roman"/>
          <w:sz w:val="24"/>
          <w:szCs w:val="24"/>
        </w:rPr>
      </w:pPr>
      <w:r w:rsidRPr="00043BC1">
        <w:rPr>
          <w:rFonts w:ascii="Times New Roman" w:hAnsi="Times New Roman"/>
          <w:sz w:val="24"/>
          <w:szCs w:val="24"/>
        </w:rPr>
        <w:t>Charter fishing permit holders, and</w:t>
      </w:r>
    </w:p>
    <w:p w:rsidR="005E2B26" w:rsidRPr="00043BC1" w:rsidRDefault="000C211E" w:rsidP="000E4756">
      <w:pPr>
        <w:pStyle w:val="ListParagraph"/>
        <w:numPr>
          <w:ilvl w:val="0"/>
          <w:numId w:val="5"/>
        </w:numPr>
        <w:spacing w:after="0"/>
        <w:rPr>
          <w:rFonts w:ascii="Times New Roman" w:hAnsi="Times New Roman"/>
          <w:sz w:val="24"/>
          <w:szCs w:val="24"/>
        </w:rPr>
      </w:pPr>
      <w:r>
        <w:rPr>
          <w:rFonts w:ascii="Times New Roman" w:hAnsi="Times New Roman"/>
          <w:sz w:val="24"/>
          <w:szCs w:val="24"/>
        </w:rPr>
        <w:t>Recreational marine fishers</w:t>
      </w:r>
    </w:p>
    <w:p w:rsidR="00043BC1" w:rsidRDefault="00043BC1" w:rsidP="000E4756">
      <w:pPr>
        <w:rPr>
          <w:sz w:val="24"/>
          <w:szCs w:val="24"/>
        </w:rPr>
      </w:pPr>
    </w:p>
    <w:p w:rsidR="005E2B26" w:rsidRPr="00043BC1" w:rsidRDefault="005E2B26" w:rsidP="00043BC1">
      <w:pPr>
        <w:rPr>
          <w:sz w:val="24"/>
          <w:szCs w:val="24"/>
        </w:rPr>
      </w:pPr>
      <w:r w:rsidRPr="00043BC1">
        <w:rPr>
          <w:sz w:val="24"/>
          <w:szCs w:val="24"/>
        </w:rPr>
        <w:t>The universe does not include:</w:t>
      </w:r>
    </w:p>
    <w:p w:rsidR="005E2B26" w:rsidRPr="00043BC1" w:rsidRDefault="005E2B26" w:rsidP="00043BC1">
      <w:pPr>
        <w:pStyle w:val="ListParagraph"/>
        <w:numPr>
          <w:ilvl w:val="0"/>
          <w:numId w:val="5"/>
        </w:numPr>
        <w:spacing w:after="0"/>
        <w:rPr>
          <w:rFonts w:ascii="Times New Roman" w:hAnsi="Times New Roman"/>
          <w:sz w:val="24"/>
          <w:szCs w:val="24"/>
        </w:rPr>
      </w:pPr>
      <w:r w:rsidRPr="00043BC1">
        <w:rPr>
          <w:rFonts w:ascii="Times New Roman" w:hAnsi="Times New Roman"/>
          <w:sz w:val="24"/>
          <w:szCs w:val="24"/>
        </w:rPr>
        <w:t xml:space="preserve">Permit holders that fish in fresh water, </w:t>
      </w:r>
      <w:r w:rsidR="00F94DF1" w:rsidRPr="00043BC1">
        <w:rPr>
          <w:rFonts w:ascii="Times New Roman" w:hAnsi="Times New Roman"/>
          <w:sz w:val="24"/>
          <w:szCs w:val="24"/>
        </w:rPr>
        <w:t>and</w:t>
      </w:r>
    </w:p>
    <w:p w:rsidR="005E2B26" w:rsidRPr="00043BC1" w:rsidRDefault="005E2B26" w:rsidP="00043BC1">
      <w:pPr>
        <w:pStyle w:val="ListParagraph"/>
        <w:numPr>
          <w:ilvl w:val="0"/>
          <w:numId w:val="5"/>
        </w:numPr>
        <w:spacing w:after="0"/>
        <w:rPr>
          <w:rFonts w:ascii="Times New Roman" w:hAnsi="Times New Roman"/>
          <w:sz w:val="24"/>
          <w:szCs w:val="24"/>
        </w:rPr>
      </w:pPr>
      <w:r w:rsidRPr="00043BC1">
        <w:rPr>
          <w:rFonts w:ascii="Times New Roman" w:hAnsi="Times New Roman"/>
          <w:sz w:val="24"/>
          <w:szCs w:val="24"/>
        </w:rPr>
        <w:t>Permit holders operating non-U.S. flagged vessels</w:t>
      </w:r>
    </w:p>
    <w:p w:rsidR="005E2B26" w:rsidRPr="00043BC1" w:rsidRDefault="005E2B26" w:rsidP="000E4756">
      <w:pPr>
        <w:pStyle w:val="ListParagraph"/>
        <w:numPr>
          <w:ilvl w:val="0"/>
          <w:numId w:val="0"/>
        </w:numPr>
        <w:spacing w:after="0"/>
        <w:ind w:left="1080"/>
        <w:rPr>
          <w:rFonts w:ascii="Times New Roman" w:hAnsi="Times New Roman"/>
          <w:color w:val="FF0000"/>
          <w:sz w:val="24"/>
          <w:szCs w:val="24"/>
        </w:rPr>
      </w:pPr>
    </w:p>
    <w:p w:rsidR="005E2B26" w:rsidRPr="00F36B46" w:rsidRDefault="005E2B26" w:rsidP="000E4756">
      <w:pPr>
        <w:rPr>
          <w:sz w:val="24"/>
          <w:szCs w:val="24"/>
        </w:rPr>
      </w:pPr>
      <w:r w:rsidRPr="00043BC1">
        <w:rPr>
          <w:sz w:val="24"/>
          <w:szCs w:val="24"/>
        </w:rPr>
        <w:lastRenderedPageBreak/>
        <w:t xml:space="preserve">Marine fishing permit holders will be identified from publically available information found </w:t>
      </w:r>
      <w:r w:rsidR="000C211E">
        <w:rPr>
          <w:sz w:val="24"/>
          <w:szCs w:val="24"/>
        </w:rPr>
        <w:t xml:space="preserve">in </w:t>
      </w:r>
      <w:r w:rsidRPr="00043BC1">
        <w:rPr>
          <w:sz w:val="24"/>
          <w:szCs w:val="24"/>
        </w:rPr>
        <w:t>NOAA N</w:t>
      </w:r>
      <w:r w:rsidR="000878A9">
        <w:rPr>
          <w:sz w:val="24"/>
          <w:szCs w:val="24"/>
        </w:rPr>
        <w:t xml:space="preserve">ational Marine Fishery Service </w:t>
      </w:r>
      <w:r w:rsidRPr="00043BC1">
        <w:rPr>
          <w:sz w:val="24"/>
          <w:szCs w:val="24"/>
        </w:rPr>
        <w:t xml:space="preserve">registries. We estimate there are </w:t>
      </w:r>
      <w:r w:rsidRPr="007B22FF">
        <w:rPr>
          <w:sz w:val="24"/>
          <w:szCs w:val="24"/>
        </w:rPr>
        <w:t>approximately 24,000 current permit</w:t>
      </w:r>
      <w:r w:rsidRPr="00043BC1">
        <w:rPr>
          <w:sz w:val="24"/>
          <w:szCs w:val="24"/>
        </w:rPr>
        <w:t xml:space="preserve"> holders.  An additional reminder notice may also be sent to the approximately 6000 individuals for whom there is a record of a citation, warning or vessel boarding by law enforcement during the past three years, with the aim of increasing the response rate for individuals for whom there is some recent indication of possible non-compliance behavior.</w:t>
      </w:r>
    </w:p>
    <w:p w:rsidR="00043BC1" w:rsidRDefault="00043BC1" w:rsidP="000E4756">
      <w:pPr>
        <w:rPr>
          <w:sz w:val="24"/>
          <w:szCs w:val="24"/>
        </w:rPr>
      </w:pPr>
      <w:bookmarkStart w:id="4" w:name="_Toc307927271"/>
    </w:p>
    <w:bookmarkEnd w:id="4"/>
    <w:p w:rsidR="005E2B26" w:rsidRPr="00043BC1" w:rsidRDefault="005E2B26" w:rsidP="000E4756">
      <w:pPr>
        <w:rPr>
          <w:sz w:val="24"/>
          <w:szCs w:val="24"/>
        </w:rPr>
      </w:pPr>
      <w:r w:rsidRPr="00043BC1">
        <w:rPr>
          <w:sz w:val="24"/>
          <w:szCs w:val="24"/>
        </w:rPr>
        <w:t xml:space="preserve">Based on response rates reported in two recent mail </w:t>
      </w:r>
      <w:r w:rsidR="00920FC2">
        <w:rPr>
          <w:sz w:val="24"/>
          <w:szCs w:val="24"/>
        </w:rPr>
        <w:t>survey</w:t>
      </w:r>
      <w:r w:rsidRPr="00043BC1">
        <w:rPr>
          <w:sz w:val="24"/>
          <w:szCs w:val="24"/>
        </w:rPr>
        <w:t xml:space="preserve">s of fishing regulation compliance and perceptions of enforcement in several fisheries </w:t>
      </w:r>
      <w:r w:rsidR="00676B79" w:rsidRPr="00043BC1">
        <w:rPr>
          <w:sz w:val="24"/>
          <w:szCs w:val="24"/>
        </w:rPr>
        <w:fldChar w:fldCharType="begin"/>
      </w:r>
      <w:r w:rsidRPr="00043BC1">
        <w:rPr>
          <w:sz w:val="24"/>
          <w:szCs w:val="24"/>
        </w:rPr>
        <w:instrText xml:space="preserve"> ADDIN EN.CITE &lt;EndNote&gt;&lt;Cite&gt;&lt;Author&gt;Shaw&lt;/Author&gt;&lt;Year&gt;2005&lt;/Year&gt;&lt;RecNum&gt;1649&lt;/RecNum&gt;&lt;record&gt;&lt;rec-number&gt;1649&lt;/rec-number&gt;&lt;foreign-keys&gt;&lt;key app="EN" db-id="t5zd9etzlps5fzese0a5559pds9xa0www5pf"&gt;1649&lt;/key&gt;&lt;/foreign-keys&gt;&lt;ref-type name="Thesis"&gt;32&lt;/ref-type&gt;&lt;contributors&gt;&lt;authors&gt;&lt;author&gt;Shaw, Reena&lt;/author&gt;&lt;/authors&gt;&lt;/contributors&gt;&lt;titles&gt;&lt;title&gt;Enforcement and Compliance in the Northeast Groundfish Fishery: Perceptions of Procedural Justice in Fishery Management, the Effects of Regulatory Methods, and Prospects for Compliance&lt;/title&gt;&lt;secondary-title&gt;Environmental and Natural Resource Economics&lt;/secondary-title&gt;&lt;/titles&gt;&lt;volume&gt;PhD&lt;/volume&gt;&lt;dates&gt;&lt;year&gt;2005&lt;/year&gt;&lt;pub-dates&gt;&lt;date&gt;2005&lt;/date&gt;&lt;/pub-dates&gt;&lt;/dates&gt;&lt;publisher&gt;University of Rhode Island&lt;/publisher&gt;&lt;urls&gt;&lt;/urls&gt;&lt;/record&gt;&lt;/Cite&gt;&lt;Cite&gt;&lt;Author&gt;King&lt;/Author&gt;&lt;Year&gt;2009&lt;/Year&gt;&lt;RecNum&gt;1648&lt;/RecNum&gt;&lt;record&gt;&lt;rec-number&gt;1648&lt;/rec-number&gt;&lt;foreign-keys&gt;&lt;key app="EN" db-id="t5zd9etzlps5fzese0a5559pds9xa0www5pf"&gt;1648&lt;/key&gt;&lt;/foreign-keys&gt;&lt;ref-type name="Report"&gt;27&lt;/ref-type&gt;&lt;contributors&gt;&lt;authors&gt;&lt;author&gt;King, Dennis M.&lt;/author&gt;&lt;author&gt;Price, Elizabeth&lt;/author&gt;&lt;author&gt;Van Buren, Anichia&lt;/author&gt;&lt;author&gt;Shearin, Charlotte&lt;/author&gt;&lt;author&gt;Mengerink, Kathryn J.&lt;/author&gt;&lt;author&gt;Porter, Read D.&lt;/author&gt;&lt;author&gt;Sutinen, Jon G.&lt;/author&gt;&lt;author&gt;Rosenberg, Andrew&lt;/author&gt;&lt;author&gt;Swasey, Jill H.&lt;/author&gt;&lt;/authors&gt;&lt;/contributors&gt;&lt;titles&gt;&lt;title&gt;An Economic, Legal and Institutional Assessment of Enforcement and Compliance in Federally Managed U.S. Commercial Fisheries&lt;/title&gt;&lt;/titles&gt;&lt;dates&gt;&lt;year&gt;2009&lt;/year&gt;&lt;/dates&gt;&lt;publisher&gt;A Report supported by the Lenfest Ocean Program&lt;/publisher&gt;&lt;urls&gt;&lt;related-urls&gt;&lt;url&gt;http://dkingweb.cbl.umces.edu/Lenfest%20Underlying%20Report_%202009.pdf&lt;/url&gt;&lt;/related-urls&gt;&lt;/urls&gt;&lt;/record&gt;&lt;/Cite&gt;&lt;/EndNote&gt;</w:instrText>
      </w:r>
      <w:r w:rsidR="00676B79" w:rsidRPr="00043BC1">
        <w:rPr>
          <w:sz w:val="24"/>
          <w:szCs w:val="24"/>
        </w:rPr>
        <w:fldChar w:fldCharType="separate"/>
      </w:r>
      <w:r w:rsidRPr="00043BC1">
        <w:rPr>
          <w:sz w:val="24"/>
          <w:szCs w:val="24"/>
        </w:rPr>
        <w:t>(Shaw 2005; King et al. 2009)</w:t>
      </w:r>
      <w:r w:rsidR="00676B79" w:rsidRPr="00043BC1">
        <w:rPr>
          <w:sz w:val="24"/>
          <w:szCs w:val="24"/>
        </w:rPr>
        <w:fldChar w:fldCharType="end"/>
      </w:r>
      <w:r w:rsidRPr="00043BC1">
        <w:rPr>
          <w:sz w:val="24"/>
          <w:szCs w:val="24"/>
        </w:rPr>
        <w:t xml:space="preserve"> we anticipate a response rate of approximately 30 percent from the </w:t>
      </w:r>
      <w:r w:rsidR="00920FC2">
        <w:rPr>
          <w:sz w:val="24"/>
          <w:szCs w:val="24"/>
        </w:rPr>
        <w:t>survey</w:t>
      </w:r>
      <w:r w:rsidRPr="00043BC1">
        <w:rPr>
          <w:sz w:val="24"/>
          <w:szCs w:val="24"/>
        </w:rPr>
        <w:t xml:space="preserve"> after mailings of the letters of notification.  While King et al. </w:t>
      </w:r>
      <w:r w:rsidR="00676B79" w:rsidRPr="00043BC1">
        <w:rPr>
          <w:sz w:val="24"/>
          <w:szCs w:val="24"/>
        </w:rPr>
        <w:fldChar w:fldCharType="begin"/>
      </w:r>
      <w:r w:rsidRPr="00043BC1">
        <w:rPr>
          <w:sz w:val="24"/>
          <w:szCs w:val="24"/>
        </w:rPr>
        <w:instrText xml:space="preserve"> ADDIN EN.CITE &lt;EndNote&gt;&lt;Cite ExcludeAuth="1"&gt;&lt;Author&gt;King&lt;/Author&gt;&lt;Year&gt;2009&lt;/Year&gt;&lt;RecNum&gt;1648&lt;/RecNum&gt;&lt;record&gt;&lt;rec-number&gt;1648&lt;/rec-number&gt;&lt;foreign-keys&gt;&lt;key app="EN" db-id="t5zd9etzlps5fzese0a5559pds9xa0www5pf"&gt;1648&lt;/key&gt;&lt;/foreign-keys&gt;&lt;ref-type name="Report"&gt;27&lt;/ref-type&gt;&lt;contributors&gt;&lt;authors&gt;&lt;author&gt;King, Dennis M.&lt;/author&gt;&lt;author&gt;Price, Elizabeth&lt;/author&gt;&lt;author&gt;Van Buren, Anichia&lt;/author&gt;&lt;author&gt;Shearin, Charlotte&lt;/author&gt;&lt;author&gt;Mengerink, Kathryn J.&lt;/author&gt;&lt;author&gt;Porter, Read D.&lt;/author&gt;&lt;author&gt;Sutinen, Jon G.&lt;/author&gt;&lt;author&gt;Rosenberg, Andrew&lt;/author&gt;&lt;author&gt;Swasey, Jill H.&lt;/author&gt;&lt;/authors&gt;&lt;/contributors&gt;&lt;titles&gt;&lt;title&gt;An Economic, Legal and Institutional Assessment of Enforcement and Compliance in Federally Managed U.S. Commercial Fisheries&lt;/title&gt;&lt;/titles&gt;&lt;dates&gt;&lt;year&gt;2009&lt;/year&gt;&lt;/dates&gt;&lt;publisher&gt;A Report supported by the Lenfest Ocean Program&lt;/publisher&gt;&lt;urls&gt;&lt;related-urls&gt;&lt;url&gt;http://dkingweb.cbl.umces.edu/Lenfest%20Underlying%20Report_%202009.pdf&lt;/url&gt;&lt;/related-urls&gt;&lt;/urls&gt;&lt;/record&gt;&lt;/Cite&gt;&lt;/EndNote&gt;</w:instrText>
      </w:r>
      <w:r w:rsidR="00676B79" w:rsidRPr="00043BC1">
        <w:rPr>
          <w:sz w:val="24"/>
          <w:szCs w:val="24"/>
        </w:rPr>
        <w:fldChar w:fldCharType="separate"/>
      </w:r>
      <w:r w:rsidRPr="00043BC1">
        <w:rPr>
          <w:sz w:val="24"/>
          <w:szCs w:val="24"/>
        </w:rPr>
        <w:t>(2009)</w:t>
      </w:r>
      <w:r w:rsidR="00676B79" w:rsidRPr="00043BC1">
        <w:rPr>
          <w:sz w:val="24"/>
          <w:szCs w:val="24"/>
        </w:rPr>
        <w:fldChar w:fldCharType="end"/>
      </w:r>
      <w:r w:rsidRPr="00043BC1">
        <w:rPr>
          <w:sz w:val="24"/>
          <w:szCs w:val="24"/>
        </w:rPr>
        <w:t xml:space="preserve"> had response rates from 40% to 48%, depending on the fishery, Shaw </w:t>
      </w:r>
      <w:r w:rsidR="00676B79" w:rsidRPr="00043BC1">
        <w:rPr>
          <w:sz w:val="24"/>
          <w:szCs w:val="24"/>
        </w:rPr>
        <w:fldChar w:fldCharType="begin"/>
      </w:r>
      <w:r w:rsidRPr="00043BC1">
        <w:rPr>
          <w:sz w:val="24"/>
          <w:szCs w:val="24"/>
        </w:rPr>
        <w:instrText xml:space="preserve"> ADDIN EN.CITE &lt;EndNote&gt;&lt;Cite ExcludeAuth="1"&gt;&lt;Author&gt;Shaw&lt;/Author&gt;&lt;Year&gt;2005&lt;/Year&gt;&lt;RecNum&gt;1649&lt;/RecNum&gt;&lt;record&gt;&lt;rec-number&gt;1649&lt;/rec-number&gt;&lt;foreign-keys&gt;&lt;key app="EN" db-id="t5zd9etzlps5fzese0a5559pds9xa0www5pf"&gt;1649&lt;/key&gt;&lt;/foreign-keys&gt;&lt;ref-type name="Thesis"&gt;32&lt;/ref-type&gt;&lt;contributors&gt;&lt;authors&gt;&lt;author&gt;Shaw, Reena&lt;/author&gt;&lt;/authors&gt;&lt;/contributors&gt;&lt;titles&gt;&lt;title&gt;Enforcement and Compliance in the Northeast Groundfish Fishery: Perceptions of Procedural Justice in Fishery Management, the Effects of Regulatory Methods, and Prospects for Compliance&lt;/title&gt;&lt;secondary-title&gt;Environmental and Natural Resource Economics&lt;/secondary-title&gt;&lt;/titles&gt;&lt;volume&gt;PhD&lt;/volume&gt;&lt;dates&gt;&lt;year&gt;2005&lt;/year&gt;&lt;pub-dates&gt;&lt;date&gt;2005&lt;/date&gt;&lt;/pub-dates&gt;&lt;/dates&gt;&lt;publisher&gt;University of Rhode Island&lt;/publisher&gt;&lt;urls&gt;&lt;/urls&gt;&lt;/record&gt;&lt;/Cite&gt;&lt;/EndNote&gt;</w:instrText>
      </w:r>
      <w:r w:rsidR="00676B79" w:rsidRPr="00043BC1">
        <w:rPr>
          <w:sz w:val="24"/>
          <w:szCs w:val="24"/>
        </w:rPr>
        <w:fldChar w:fldCharType="separate"/>
      </w:r>
      <w:r w:rsidRPr="00043BC1">
        <w:rPr>
          <w:sz w:val="24"/>
          <w:szCs w:val="24"/>
        </w:rPr>
        <w:t>(2005)</w:t>
      </w:r>
      <w:r w:rsidR="00676B79" w:rsidRPr="00043BC1">
        <w:rPr>
          <w:sz w:val="24"/>
          <w:szCs w:val="24"/>
        </w:rPr>
        <w:fldChar w:fldCharType="end"/>
      </w:r>
      <w:r w:rsidRPr="00043BC1">
        <w:rPr>
          <w:sz w:val="24"/>
          <w:szCs w:val="24"/>
        </w:rPr>
        <w:t xml:space="preserve"> had a 27% response rate in the one fishery they targeted.  We do not plan to send as many reminder letters as King et al. and Shaw, due to budget limitations, so we expect to have somewhat lower response rates.</w:t>
      </w:r>
    </w:p>
    <w:p w:rsidR="005E2B26" w:rsidRDefault="005E2B26" w:rsidP="000E4756">
      <w:pPr>
        <w:pStyle w:val="Heading2"/>
        <w:keepLines/>
        <w:widowControl/>
        <w:numPr>
          <w:ilvl w:val="0"/>
          <w:numId w:val="6"/>
        </w:numPr>
        <w:tabs>
          <w:tab w:val="clear" w:pos="576"/>
          <w:tab w:val="clear" w:pos="1440"/>
        </w:tabs>
        <w:spacing w:before="120"/>
        <w:rPr>
          <w:rFonts w:ascii="Times New Roman" w:hAnsi="Times New Roman"/>
          <w:szCs w:val="24"/>
        </w:rPr>
      </w:pPr>
      <w:bookmarkStart w:id="5" w:name="_Toc241407390"/>
      <w:bookmarkStart w:id="6" w:name="_Toc307927272"/>
      <w:bookmarkStart w:id="7" w:name="_Toc308005723"/>
      <w:r w:rsidRPr="00043BC1">
        <w:rPr>
          <w:rFonts w:ascii="Times New Roman" w:hAnsi="Times New Roman"/>
          <w:szCs w:val="24"/>
        </w:rPr>
        <w:t>Procedures for the Collection of Information</w:t>
      </w:r>
      <w:bookmarkEnd w:id="5"/>
      <w:bookmarkEnd w:id="6"/>
      <w:bookmarkEnd w:id="7"/>
    </w:p>
    <w:p w:rsidR="00043BC1" w:rsidRPr="00043BC1" w:rsidRDefault="00043BC1" w:rsidP="00043BC1"/>
    <w:p w:rsidR="005E2B26" w:rsidRDefault="005E2B26" w:rsidP="000E4756">
      <w:pPr>
        <w:rPr>
          <w:sz w:val="24"/>
          <w:szCs w:val="24"/>
        </w:rPr>
      </w:pPr>
      <w:bookmarkStart w:id="8" w:name="_Toc241407391"/>
      <w:r w:rsidRPr="00043BC1">
        <w:rPr>
          <w:sz w:val="24"/>
          <w:szCs w:val="24"/>
        </w:rPr>
        <w:t xml:space="preserve">The </w:t>
      </w:r>
      <w:r w:rsidR="00920FC2">
        <w:rPr>
          <w:sz w:val="24"/>
          <w:szCs w:val="24"/>
        </w:rPr>
        <w:t>LMR Enforcement Survey</w:t>
      </w:r>
      <w:r w:rsidRPr="00043BC1">
        <w:rPr>
          <w:sz w:val="24"/>
          <w:szCs w:val="24"/>
        </w:rPr>
        <w:t xml:space="preserve"> will be posted online via the Federal Register. Respondents may complete the </w:t>
      </w:r>
      <w:r w:rsidR="00920FC2">
        <w:rPr>
          <w:sz w:val="24"/>
          <w:szCs w:val="24"/>
        </w:rPr>
        <w:t>survey</w:t>
      </w:r>
      <w:r w:rsidRPr="00043BC1">
        <w:rPr>
          <w:sz w:val="24"/>
          <w:szCs w:val="24"/>
        </w:rPr>
        <w:t xml:space="preserve"> using any Web browser.  The </w:t>
      </w:r>
      <w:r w:rsidR="00920FC2">
        <w:rPr>
          <w:sz w:val="24"/>
          <w:szCs w:val="24"/>
        </w:rPr>
        <w:t>LMR Enforcement Survey</w:t>
      </w:r>
      <w:r w:rsidRPr="00043BC1">
        <w:rPr>
          <w:sz w:val="24"/>
          <w:szCs w:val="24"/>
        </w:rPr>
        <w:t xml:space="preserve"> is intended to be administered once.  </w:t>
      </w:r>
    </w:p>
    <w:p w:rsidR="00043BC1" w:rsidRPr="00043BC1" w:rsidRDefault="00043BC1" w:rsidP="000E4756">
      <w:pPr>
        <w:rPr>
          <w:sz w:val="24"/>
          <w:szCs w:val="24"/>
        </w:rPr>
      </w:pPr>
    </w:p>
    <w:p w:rsidR="005E2B26" w:rsidRPr="00043BC1" w:rsidRDefault="005E2B26" w:rsidP="000E4756">
      <w:pPr>
        <w:rPr>
          <w:sz w:val="24"/>
          <w:szCs w:val="24"/>
        </w:rPr>
      </w:pPr>
      <w:r w:rsidRPr="00043BC1">
        <w:rPr>
          <w:sz w:val="24"/>
          <w:szCs w:val="24"/>
        </w:rPr>
        <w:t xml:space="preserve">As previously mentioned, the </w:t>
      </w:r>
      <w:r w:rsidR="00920FC2">
        <w:rPr>
          <w:sz w:val="24"/>
          <w:szCs w:val="24"/>
        </w:rPr>
        <w:t>LMR Enforcement Survey</w:t>
      </w:r>
      <w:r w:rsidRPr="00043BC1">
        <w:rPr>
          <w:sz w:val="24"/>
          <w:szCs w:val="24"/>
        </w:rPr>
        <w:t xml:space="preserve"> targets all current US marine fishing permit holders</w:t>
      </w:r>
      <w:r w:rsidR="000C211E">
        <w:rPr>
          <w:sz w:val="24"/>
          <w:szCs w:val="24"/>
        </w:rPr>
        <w:t xml:space="preserve"> and registered saltwater recreational fishermen</w:t>
      </w:r>
      <w:r w:rsidRPr="00043BC1">
        <w:rPr>
          <w:sz w:val="24"/>
          <w:szCs w:val="24"/>
        </w:rPr>
        <w:t xml:space="preserve">, without further sample selection nor stratification, with the aim of achieving the highest possible number of responses and statistical significance of results.  </w:t>
      </w:r>
    </w:p>
    <w:bookmarkEnd w:id="8"/>
    <w:p w:rsidR="000E4756" w:rsidRPr="00043BC1" w:rsidRDefault="000E4756" w:rsidP="000E4756">
      <w:pPr>
        <w:pStyle w:val="Heading5"/>
        <w:rPr>
          <w:rFonts w:ascii="Times New Roman" w:hAnsi="Times New Roman"/>
          <w:szCs w:val="24"/>
        </w:rPr>
      </w:pPr>
    </w:p>
    <w:p w:rsidR="000E4756" w:rsidRPr="009D2FDB" w:rsidRDefault="005E2B26" w:rsidP="00043BC1">
      <w:pPr>
        <w:pStyle w:val="ListParagraph"/>
        <w:numPr>
          <w:ilvl w:val="1"/>
          <w:numId w:val="6"/>
        </w:numPr>
        <w:rPr>
          <w:rFonts w:ascii="Times New Roman" w:hAnsi="Times New Roman"/>
          <w:i/>
          <w:sz w:val="24"/>
          <w:szCs w:val="24"/>
        </w:rPr>
      </w:pPr>
      <w:r w:rsidRPr="009D2FDB">
        <w:rPr>
          <w:rFonts w:ascii="Times New Roman" w:hAnsi="Times New Roman"/>
          <w:i/>
          <w:sz w:val="24"/>
          <w:szCs w:val="24"/>
        </w:rPr>
        <w:t>Design Considerations</w:t>
      </w:r>
    </w:p>
    <w:p w:rsidR="005E2B26" w:rsidRDefault="005E2B26" w:rsidP="000E4756">
      <w:pPr>
        <w:rPr>
          <w:sz w:val="24"/>
          <w:szCs w:val="24"/>
        </w:rPr>
      </w:pPr>
      <w:r w:rsidRPr="00043BC1">
        <w:rPr>
          <w:sz w:val="24"/>
          <w:szCs w:val="24"/>
        </w:rPr>
        <w:t xml:space="preserve">The </w:t>
      </w:r>
      <w:r w:rsidR="00920FC2">
        <w:rPr>
          <w:sz w:val="24"/>
          <w:szCs w:val="24"/>
        </w:rPr>
        <w:t>survey</w:t>
      </w:r>
      <w:r w:rsidRPr="00043BC1">
        <w:rPr>
          <w:sz w:val="24"/>
          <w:szCs w:val="24"/>
        </w:rPr>
        <w:t xml:space="preserve"> content has been designed to elicit reports of individual fisher</w:t>
      </w:r>
      <w:r w:rsidR="00666529">
        <w:rPr>
          <w:sz w:val="24"/>
          <w:szCs w:val="24"/>
        </w:rPr>
        <w:t xml:space="preserve"> </w:t>
      </w:r>
      <w:r w:rsidRPr="00043BC1">
        <w:rPr>
          <w:sz w:val="24"/>
          <w:szCs w:val="24"/>
        </w:rPr>
        <w:t xml:space="preserve">behavior from the perspective of compliant versus non-compliant activity. The </w:t>
      </w:r>
      <w:r w:rsidR="00920FC2">
        <w:rPr>
          <w:sz w:val="24"/>
          <w:szCs w:val="24"/>
        </w:rPr>
        <w:t>survey</w:t>
      </w:r>
      <w:r w:rsidRPr="00043BC1">
        <w:rPr>
          <w:sz w:val="24"/>
          <w:szCs w:val="24"/>
        </w:rPr>
        <w:t xml:space="preserve"> is highly subjective and relies on the respondent to </w:t>
      </w:r>
      <w:bookmarkStart w:id="9" w:name="_Toc241407396"/>
      <w:r w:rsidRPr="00043BC1">
        <w:rPr>
          <w:sz w:val="24"/>
          <w:szCs w:val="24"/>
        </w:rPr>
        <w:t>approximate and assess behavior and perceptions observed in their fishing community.</w:t>
      </w:r>
    </w:p>
    <w:p w:rsidR="005B5C7E" w:rsidRPr="00043BC1" w:rsidRDefault="005B5C7E" w:rsidP="000E4756">
      <w:pPr>
        <w:rPr>
          <w:sz w:val="24"/>
          <w:szCs w:val="24"/>
        </w:rPr>
      </w:pPr>
    </w:p>
    <w:p w:rsidR="005E2B26" w:rsidRDefault="005E2B26" w:rsidP="000E4756">
      <w:pPr>
        <w:rPr>
          <w:sz w:val="24"/>
          <w:szCs w:val="24"/>
        </w:rPr>
      </w:pPr>
      <w:r w:rsidRPr="00043BC1">
        <w:rPr>
          <w:sz w:val="24"/>
          <w:szCs w:val="24"/>
        </w:rPr>
        <w:t xml:space="preserve">Previous research has employed Conventional/Economic Models of Deterrence </w:t>
      </w:r>
      <w:r w:rsidR="00676B79" w:rsidRPr="00043BC1">
        <w:rPr>
          <w:sz w:val="24"/>
          <w:szCs w:val="24"/>
        </w:rPr>
        <w:fldChar w:fldCharType="begin"/>
      </w:r>
      <w:r w:rsidRPr="00043BC1">
        <w:rPr>
          <w:sz w:val="24"/>
          <w:szCs w:val="24"/>
        </w:rPr>
        <w:instrText xml:space="preserve"> ADDIN EN.CITE &lt;EndNote&gt;&lt;Cite&gt;&lt;Author&gt;King&lt;/Author&gt;&lt;Year&gt;2009&lt;/Year&gt;&lt;RecNum&gt;1648&lt;/RecNum&gt;&lt;record&gt;&lt;rec-number&gt;1648&lt;/rec-number&gt;&lt;foreign-keys&gt;&lt;key app="EN" db-id="t5zd9etzlps5fzese0a5559pds9xa0www5pf"&gt;1648&lt;/key&gt;&lt;/foreign-keys&gt;&lt;ref-type name="Report"&gt;27&lt;/ref-type&gt;&lt;contributors&gt;&lt;authors&gt;&lt;author&gt;King, Dennis M.&lt;/author&gt;&lt;author&gt;Price, Elizabeth&lt;/author&gt;&lt;author&gt;Van Buren, Anichia&lt;/author&gt;&lt;author&gt;Shearin, Charlotte&lt;/author&gt;&lt;author&gt;Mengerink, Kathryn J.&lt;/author&gt;&lt;author&gt;Porter, Read D.&lt;/author&gt;&lt;author&gt;Sutinen, Jon G.&lt;/author&gt;&lt;author&gt;Rosenberg, Andrew&lt;/author&gt;&lt;author&gt;Swasey, Jill H.&lt;/author&gt;&lt;/authors&gt;&lt;/contributors&gt;&lt;titles&gt;&lt;title&gt;An Economic, Legal and Institutional Assessment of Enforcement and Compliance in Federally Managed U.S. Commercial Fisheries&lt;/title&gt;&lt;/titles&gt;&lt;dates&gt;&lt;year&gt;2009&lt;/year&gt;&lt;/dates&gt;&lt;publisher&gt;A Report supported by the Lenfest Ocean Program&lt;/publisher&gt;&lt;urls&gt;&lt;related-urls&gt;&lt;url&gt;http://dkingweb.cbl.umces.edu/Lenfest%20Underlying%20Report_%202009.pdf&lt;/url&gt;&lt;/related-urls&gt;&lt;/urls&gt;&lt;/record&gt;&lt;/Cite&gt;&lt;/EndNote&gt;</w:instrText>
      </w:r>
      <w:r w:rsidR="00676B79" w:rsidRPr="00043BC1">
        <w:rPr>
          <w:sz w:val="24"/>
          <w:szCs w:val="24"/>
        </w:rPr>
        <w:fldChar w:fldCharType="separate"/>
      </w:r>
      <w:r w:rsidRPr="00043BC1">
        <w:rPr>
          <w:sz w:val="24"/>
          <w:szCs w:val="24"/>
        </w:rPr>
        <w:t>(King et al. 2009)</w:t>
      </w:r>
      <w:r w:rsidR="00676B79" w:rsidRPr="00043BC1">
        <w:rPr>
          <w:sz w:val="24"/>
          <w:szCs w:val="24"/>
        </w:rPr>
        <w:fldChar w:fldCharType="end"/>
      </w:r>
      <w:r w:rsidRPr="00043BC1">
        <w:rPr>
          <w:sz w:val="24"/>
          <w:szCs w:val="24"/>
        </w:rPr>
        <w:t xml:space="preserve"> or Traditional Deterrence Theory </w:t>
      </w:r>
      <w:r w:rsidR="00676B79" w:rsidRPr="00043BC1">
        <w:rPr>
          <w:sz w:val="24"/>
          <w:szCs w:val="24"/>
        </w:rPr>
        <w:fldChar w:fldCharType="begin"/>
      </w:r>
      <w:r w:rsidRPr="00043BC1">
        <w:rPr>
          <w:sz w:val="24"/>
          <w:szCs w:val="24"/>
        </w:rPr>
        <w:instrText xml:space="preserve"> ADDIN EN.CITE &lt;EndNote&gt;&lt;Cite&gt;&lt;Author&gt;Shaw&lt;/Author&gt;&lt;Year&gt;2005&lt;/Year&gt;&lt;RecNum&gt;1649&lt;/RecNum&gt;&lt;record&gt;&lt;rec-number&gt;1649&lt;/rec-number&gt;&lt;foreign-keys&gt;&lt;key app="EN" db-id="t5zd9etzlps5fzese0a5559pds9xa0www5pf"&gt;1649&lt;/key&gt;&lt;/foreign-keys&gt;&lt;ref-type name="Thesis"&gt;32&lt;/ref-type&gt;&lt;contributors&gt;&lt;authors&gt;&lt;author&gt;Shaw, Reena&lt;/author&gt;&lt;/authors&gt;&lt;/contributors&gt;&lt;titles&gt;&lt;title&gt;Enforcement and Compliance in the Northeast Groundfish Fishery: Perceptions of Procedural Justice in Fishery Management, the Effects of Regulatory Methods, and Prospects for Compliance&lt;/title&gt;&lt;secondary-title&gt;Environmental and Natural Resource Economics&lt;/secondary-title&gt;&lt;/titles&gt;&lt;volume&gt;PhD&lt;/volume&gt;&lt;dates&gt;&lt;year&gt;2005&lt;/year&gt;&lt;pub-dates&gt;&lt;date&gt;2005&lt;/date&gt;&lt;/pub-dates&gt;&lt;/dates&gt;&lt;publisher&gt;University of Rhode Island&lt;/publisher&gt;&lt;urls&gt;&lt;/urls&gt;&lt;/record&gt;&lt;/Cite&gt;&lt;/EndNote&gt;</w:instrText>
      </w:r>
      <w:r w:rsidR="00676B79" w:rsidRPr="00043BC1">
        <w:rPr>
          <w:sz w:val="24"/>
          <w:szCs w:val="24"/>
        </w:rPr>
        <w:fldChar w:fldCharType="separate"/>
      </w:r>
      <w:r w:rsidRPr="00043BC1">
        <w:rPr>
          <w:sz w:val="24"/>
          <w:szCs w:val="24"/>
        </w:rPr>
        <w:t>(Shaw 2005)</w:t>
      </w:r>
      <w:r w:rsidR="00676B79" w:rsidRPr="00043BC1">
        <w:rPr>
          <w:sz w:val="24"/>
          <w:szCs w:val="24"/>
        </w:rPr>
        <w:fldChar w:fldCharType="end"/>
      </w:r>
      <w:r w:rsidRPr="00043BC1">
        <w:rPr>
          <w:sz w:val="24"/>
          <w:szCs w:val="24"/>
        </w:rPr>
        <w:t xml:space="preserve"> to quantitatively assess the monetary risks and rewards to fishermen of illegal fishing.  For example, King and </w:t>
      </w:r>
      <w:proofErr w:type="spellStart"/>
      <w:r w:rsidRPr="00043BC1">
        <w:rPr>
          <w:sz w:val="24"/>
          <w:szCs w:val="24"/>
        </w:rPr>
        <w:t>Sutinen</w:t>
      </w:r>
      <w:proofErr w:type="spellEnd"/>
      <w:r w:rsidRPr="00043BC1">
        <w:rPr>
          <w:sz w:val="24"/>
          <w:szCs w:val="24"/>
        </w:rPr>
        <w:t xml:space="preserve"> </w:t>
      </w:r>
      <w:r w:rsidR="00676B79" w:rsidRPr="00043BC1">
        <w:rPr>
          <w:sz w:val="24"/>
          <w:szCs w:val="24"/>
        </w:rPr>
        <w:fldChar w:fldCharType="begin"/>
      </w:r>
      <w:r w:rsidRPr="00043BC1">
        <w:rPr>
          <w:sz w:val="24"/>
          <w:szCs w:val="24"/>
        </w:rPr>
        <w:instrText xml:space="preserve"> ADDIN EN.CITE &lt;EndNote&gt;&lt;Cite ExcludeAuth="1"&gt;&lt;Author&gt;King&lt;/Author&gt;&lt;Year&gt;2010&lt;/Year&gt;&lt;RecNum&gt;1786&lt;/RecNum&gt;&lt;record&gt;&lt;rec-number&gt;1786&lt;/rec-number&gt;&lt;foreign-keys&gt;&lt;key app="EN" db-id="t5zd9etzlps5fzese0a5559pds9xa0www5pf"&gt;1786&lt;/key&gt;&lt;/foreign-keys&gt;&lt;ref-type name="Journal Article"&gt;17&lt;/ref-type&gt;&lt;contributors&gt;&lt;authors&gt;&lt;author&gt;King, D.&lt;/author&gt;&lt;author&gt;Sutinen, J.&lt;/author&gt;&lt;/authors&gt;&lt;/contributors&gt;&lt;titles&gt;&lt;title&gt;Rational noncompliance and the liquidation of Northeast groundfish resources&lt;/title&gt;&lt;secondary-title&gt;Marine Policy&lt;/secondary-title&gt;&lt;/titles&gt;&lt;periodical&gt;&lt;full-title&gt;Marine Policy&lt;/full-title&gt;&lt;/periodical&gt;&lt;pages&gt;7-21&lt;/pages&gt;&lt;volume&gt;34&lt;/volume&gt;&lt;number&gt;1&lt;/number&gt;&lt;dates&gt;&lt;year&gt;2010&lt;/year&gt;&lt;/dates&gt;&lt;urls&gt;&lt;related-urls&gt;&lt;url&gt;http://lenfestocean.org/sites/default/files/final_2009_ne_groundfish_article_marine_policy.pdf&lt;/url&gt;&lt;/related-urls&gt;&lt;/urls&gt;&lt;/record&gt;&lt;/Cite&gt;&lt;/EndNote&gt;</w:instrText>
      </w:r>
      <w:r w:rsidR="00676B79" w:rsidRPr="00043BC1">
        <w:rPr>
          <w:sz w:val="24"/>
          <w:szCs w:val="24"/>
        </w:rPr>
        <w:fldChar w:fldCharType="separate"/>
      </w:r>
      <w:r w:rsidRPr="00043BC1">
        <w:rPr>
          <w:sz w:val="24"/>
          <w:szCs w:val="24"/>
        </w:rPr>
        <w:t>(2010)</w:t>
      </w:r>
      <w:r w:rsidR="00676B79" w:rsidRPr="00043BC1">
        <w:rPr>
          <w:sz w:val="24"/>
          <w:szCs w:val="24"/>
        </w:rPr>
        <w:fldChar w:fldCharType="end"/>
      </w:r>
      <w:r w:rsidRPr="00043BC1">
        <w:rPr>
          <w:sz w:val="24"/>
          <w:szCs w:val="24"/>
        </w:rPr>
        <w:t xml:space="preserve"> estimate that for fisher</w:t>
      </w:r>
      <w:r w:rsidR="00921B62">
        <w:rPr>
          <w:sz w:val="24"/>
          <w:szCs w:val="24"/>
        </w:rPr>
        <w:t xml:space="preserve">s in the North East </w:t>
      </w:r>
      <w:proofErr w:type="spellStart"/>
      <w:r w:rsidR="00921B62">
        <w:rPr>
          <w:sz w:val="24"/>
          <w:szCs w:val="24"/>
        </w:rPr>
        <w:t>Groundfish</w:t>
      </w:r>
      <w:proofErr w:type="spellEnd"/>
      <w:r w:rsidRPr="00043BC1">
        <w:rPr>
          <w:sz w:val="24"/>
          <w:szCs w:val="24"/>
        </w:rPr>
        <w:t xml:space="preserve"> Fishery (NEGF), the average expected monetary cost of a violation penalty is approximately one-fifth of the expected monetary gain, resulting in net economic incentives to violate regulations.  </w:t>
      </w:r>
    </w:p>
    <w:p w:rsidR="00043BC1" w:rsidRPr="00043BC1" w:rsidRDefault="00043BC1" w:rsidP="000E4756">
      <w:pPr>
        <w:rPr>
          <w:sz w:val="24"/>
          <w:szCs w:val="24"/>
        </w:rPr>
      </w:pPr>
    </w:p>
    <w:p w:rsidR="005E2B26" w:rsidRDefault="005E2B26" w:rsidP="000E4756">
      <w:pPr>
        <w:rPr>
          <w:sz w:val="24"/>
          <w:szCs w:val="24"/>
        </w:rPr>
      </w:pPr>
      <w:r w:rsidRPr="00043BC1">
        <w:rPr>
          <w:sz w:val="24"/>
          <w:szCs w:val="24"/>
        </w:rPr>
        <w:t xml:space="preserve">Evidence suggests that many (but not all) fishers comply with fishery regulations even when the balance of economic risks and rewards favor violation </w:t>
      </w:r>
      <w:r w:rsidR="00676B79" w:rsidRPr="00043BC1">
        <w:rPr>
          <w:sz w:val="24"/>
          <w:szCs w:val="24"/>
        </w:rPr>
        <w:fldChar w:fldCharType="begin"/>
      </w:r>
      <w:r w:rsidRPr="00043BC1">
        <w:rPr>
          <w:sz w:val="24"/>
          <w:szCs w:val="24"/>
        </w:rPr>
        <w:instrText xml:space="preserve"> ADDIN EN.CITE &lt;EndNote&gt;&lt;Cite&gt;&lt;Author&gt;King&lt;/Author&gt;&lt;Year&gt;2009&lt;/Year&gt;&lt;RecNum&gt;1648&lt;/RecNum&gt;&lt;record&gt;&lt;rec-number&gt;1648&lt;/rec-number&gt;&lt;foreign-keys&gt;&lt;key app="EN" db-id="t5zd9etzlps5fzese0a5559pds9xa0www5pf"&gt;1648&lt;/key&gt;&lt;/foreign-keys&gt;&lt;ref-type name="Report"&gt;27&lt;/ref-type&gt;&lt;contributors&gt;&lt;authors&gt;&lt;author&gt;King, Dennis M.&lt;/author&gt;&lt;author&gt;Price, Elizabeth&lt;/author&gt;&lt;author&gt;Van Buren, Anichia&lt;/author&gt;&lt;author&gt;Shearin, Charlotte&lt;/author&gt;&lt;author&gt;Mengerink, Kathryn J.&lt;/author&gt;&lt;author&gt;Porter, Read D.&lt;/author&gt;&lt;author&gt;Sutinen, Jon G.&lt;/author&gt;&lt;author&gt;Rosenberg, Andrew&lt;/author&gt;&lt;author&gt;Swasey, Jill H.&lt;/author&gt;&lt;/authors&gt;&lt;/contributors&gt;&lt;titles&gt;&lt;title&gt;An Economic, Legal and Institutional Assessment of Enforcement and Compliance in Federally Managed U.S. Commercial Fisheries&lt;/title&gt;&lt;/titles&gt;&lt;dates&gt;&lt;year&gt;2009&lt;/year&gt;&lt;/dates&gt;&lt;publisher&gt;A Report supported by the Lenfest Ocean Program&lt;/publisher&gt;&lt;urls&gt;&lt;related-urls&gt;&lt;url&gt;http://dkingweb.cbl.umces.edu/Lenfest%20Underlying%20Report_%202009.pdf&lt;/url&gt;&lt;/related-urls&gt;&lt;/urls&gt;&lt;/record&gt;&lt;/Cite&gt;&lt;/EndNote&gt;</w:instrText>
      </w:r>
      <w:r w:rsidR="00676B79" w:rsidRPr="00043BC1">
        <w:rPr>
          <w:sz w:val="24"/>
          <w:szCs w:val="24"/>
        </w:rPr>
        <w:fldChar w:fldCharType="separate"/>
      </w:r>
      <w:r w:rsidRPr="00043BC1">
        <w:rPr>
          <w:sz w:val="24"/>
          <w:szCs w:val="24"/>
        </w:rPr>
        <w:t>(King et al. 2009)</w:t>
      </w:r>
      <w:r w:rsidR="00676B79" w:rsidRPr="00043BC1">
        <w:rPr>
          <w:sz w:val="24"/>
          <w:szCs w:val="24"/>
        </w:rPr>
        <w:fldChar w:fldCharType="end"/>
      </w:r>
      <w:r w:rsidRPr="00043BC1">
        <w:rPr>
          <w:sz w:val="24"/>
          <w:szCs w:val="24"/>
        </w:rPr>
        <w:t>.  Such compliance behavior may be driven by fishers’ attitudes and values regarding the importance of sustainability of the fishery, perception of legitimacy of enforcement efforts</w:t>
      </w:r>
      <w:r w:rsidR="009C4B1C">
        <w:rPr>
          <w:sz w:val="24"/>
          <w:szCs w:val="24"/>
        </w:rPr>
        <w:t xml:space="preserve"> and management systems</w:t>
      </w:r>
      <w:r w:rsidRPr="00043BC1">
        <w:rPr>
          <w:sz w:val="24"/>
          <w:szCs w:val="24"/>
        </w:rPr>
        <w:t xml:space="preserve">, and other social or moral issues beyond mere short-term risk/reward considerations, as consistent with Non-economic Models of Compliance and Modern/Enhanced Compliance Theory </w:t>
      </w:r>
      <w:r w:rsidR="00676B79" w:rsidRPr="00043BC1">
        <w:rPr>
          <w:sz w:val="24"/>
          <w:szCs w:val="24"/>
        </w:rPr>
        <w:fldChar w:fldCharType="begin"/>
      </w:r>
      <w:r w:rsidRPr="00043BC1">
        <w:rPr>
          <w:sz w:val="24"/>
          <w:szCs w:val="24"/>
        </w:rPr>
        <w:instrText xml:space="preserve"> ADDIN EN.CITE &lt;EndNote&gt;&lt;Cite&gt;&lt;Author&gt;King&lt;/Author&gt;&lt;Year&gt;2009&lt;/Year&gt;&lt;RecNum&gt;1648&lt;/RecNum&gt;&lt;record&gt;&lt;rec-number&gt;1648&lt;/rec-number&gt;&lt;foreign-keys&gt;&lt;key app="EN" db-id="t5zd9etzlps5fzese0a5559pds9xa0www5pf"&gt;1648&lt;/key&gt;&lt;/foreign-keys&gt;&lt;ref-type name="Report"&gt;27&lt;/ref-type&gt;&lt;contributors&gt;&lt;authors&gt;&lt;author&gt;King, Dennis M.&lt;/author&gt;&lt;author&gt;Price, Elizabeth&lt;/author&gt;&lt;author&gt;Van Buren, Anichia&lt;/author&gt;&lt;author&gt;Shearin, Charlotte&lt;/author&gt;&lt;author&gt;Mengerink, Kathryn J.&lt;/author&gt;&lt;author&gt;Porter, Read D.&lt;/author&gt;&lt;author&gt;Sutinen, Jon G.&lt;/author&gt;&lt;author&gt;Rosenberg, Andrew&lt;/author&gt;&lt;author&gt;Swasey, Jill H.&lt;/author&gt;&lt;/authors&gt;&lt;/contributors&gt;&lt;titles&gt;&lt;title&gt;An Economic, Legal and Institutional Assessment of Enforcement and Compliance in Federally Managed U.S. Commercial Fisheries&lt;/title&gt;&lt;/titles&gt;&lt;dates&gt;&lt;year&gt;2009&lt;/year&gt;&lt;/dates&gt;&lt;publisher&gt;A Report supported by the Lenfest Ocean Program&lt;/publisher&gt;&lt;urls&gt;&lt;related-urls&gt;&lt;url&gt;http://dkingweb.cbl.umces.edu/Lenfest%20Underlying%20Report_%202009.pdf&lt;/url&gt;&lt;/related-urls&gt;&lt;/urls&gt;&lt;/record&gt;&lt;/Cite&gt;&lt;Cite&gt;&lt;Author&gt;Shaw&lt;/Author&gt;&lt;Year&gt;2005&lt;/Year&gt;&lt;RecNum&gt;1649&lt;/RecNum&gt;&lt;record&gt;&lt;rec-number&gt;1649&lt;/rec-number&gt;&lt;foreign-keys&gt;&lt;key app="EN" db-id="t5zd9etzlps5fzese0a5559pds9xa0www5pf"&gt;1649&lt;/key&gt;&lt;/foreign-keys&gt;&lt;ref-type name="Thesis"&gt;32&lt;/ref-type&gt;&lt;contributors&gt;&lt;authors&gt;&lt;author&gt;Shaw, Reena&lt;/author&gt;&lt;/authors&gt;&lt;/contributors&gt;&lt;titles&gt;&lt;title&gt;Enforcement and Compliance in the Northeast Groundfish Fishery: Perceptions of Procedural Justice in Fishery Management, the Effects of Regulatory Methods, and Prospects for Compliance&lt;/title&gt;&lt;secondary-title&gt;Environmental and Natural Resource Economics&lt;/secondary-title&gt;&lt;/titles&gt;&lt;volume&gt;PhD&lt;/volume&gt;&lt;dates&gt;&lt;year&gt;2005&lt;/year&gt;&lt;pub-dates&gt;&lt;date&gt;2005&lt;/date&gt;&lt;/pub-dates&gt;&lt;/dates&gt;&lt;publisher&gt;University of Rhode Island&lt;/publisher&gt;&lt;urls&gt;&lt;/urls&gt;&lt;/record&gt;&lt;/Cite&gt;&lt;/EndNote&gt;</w:instrText>
      </w:r>
      <w:r w:rsidR="00676B79" w:rsidRPr="00043BC1">
        <w:rPr>
          <w:sz w:val="24"/>
          <w:szCs w:val="24"/>
        </w:rPr>
        <w:fldChar w:fldCharType="separate"/>
      </w:r>
      <w:r w:rsidRPr="00043BC1">
        <w:rPr>
          <w:sz w:val="24"/>
          <w:szCs w:val="24"/>
        </w:rPr>
        <w:t>(Shaw 2005; King et al. 2009)</w:t>
      </w:r>
      <w:r w:rsidR="00676B79" w:rsidRPr="00043BC1">
        <w:rPr>
          <w:sz w:val="24"/>
          <w:szCs w:val="24"/>
        </w:rPr>
        <w:fldChar w:fldCharType="end"/>
      </w:r>
      <w:r w:rsidRPr="00043BC1">
        <w:rPr>
          <w:sz w:val="24"/>
          <w:szCs w:val="24"/>
        </w:rPr>
        <w:t xml:space="preserve">.  However, when increasing economic pressures reduce </w:t>
      </w:r>
      <w:r w:rsidRPr="00043BC1">
        <w:rPr>
          <w:sz w:val="24"/>
          <w:szCs w:val="24"/>
        </w:rPr>
        <w:lastRenderedPageBreak/>
        <w:t>the ability of a fishing operation to stay profitable with only legal fishing, or when fishers do not feel that enforcement efforts</w:t>
      </w:r>
      <w:r w:rsidR="009C4B1C">
        <w:rPr>
          <w:sz w:val="24"/>
          <w:szCs w:val="24"/>
        </w:rPr>
        <w:t xml:space="preserve"> or management systems</w:t>
      </w:r>
      <w:r w:rsidRPr="00043BC1">
        <w:rPr>
          <w:sz w:val="24"/>
          <w:szCs w:val="24"/>
        </w:rPr>
        <w:t xml:space="preserve"> are legitimate and do not have sufficient value in maintaining the sustainability of a fishery, then compliance rates can decline as fishers increase illegal fishing</w:t>
      </w:r>
      <w:r w:rsidR="00D935C1">
        <w:rPr>
          <w:sz w:val="24"/>
          <w:szCs w:val="24"/>
        </w:rPr>
        <w:t xml:space="preserve"> efforts</w:t>
      </w:r>
      <w:r w:rsidRPr="00043BC1">
        <w:rPr>
          <w:sz w:val="24"/>
          <w:szCs w:val="24"/>
        </w:rPr>
        <w:t xml:space="preserve"> to make at least some profit before the fish are all gone </w:t>
      </w:r>
      <w:r w:rsidR="00676B79" w:rsidRPr="00043BC1">
        <w:rPr>
          <w:sz w:val="24"/>
          <w:szCs w:val="24"/>
        </w:rPr>
        <w:fldChar w:fldCharType="begin"/>
      </w:r>
      <w:r w:rsidRPr="00043BC1">
        <w:rPr>
          <w:sz w:val="24"/>
          <w:szCs w:val="24"/>
        </w:rPr>
        <w:instrText xml:space="preserve"> ADDIN EN.CITE &lt;EndNote&gt;&lt;Cite&gt;&lt;Author&gt;King&lt;/Author&gt;&lt;Year&gt;2009&lt;/Year&gt;&lt;RecNum&gt;1648&lt;/RecNum&gt;&lt;record&gt;&lt;rec-number&gt;1648&lt;/rec-number&gt;&lt;foreign-keys&gt;&lt;key app="EN" db-id="t5zd9etzlps5fzese0a5559pds9xa0www5pf"&gt;1648&lt;/key&gt;&lt;/foreign-keys&gt;&lt;ref-type name="Report"&gt;27&lt;/ref-type&gt;&lt;contributors&gt;&lt;authors&gt;&lt;author&gt;King, Dennis M.&lt;/author&gt;&lt;author&gt;Price, Elizabeth&lt;/author&gt;&lt;author&gt;Van Buren, Anichia&lt;/author&gt;&lt;author&gt;Shearin, Charlotte&lt;/author&gt;&lt;author&gt;Mengerink, Kathryn J.&lt;/author&gt;&lt;author&gt;Porter, Read D.&lt;/author&gt;&lt;author&gt;Sutinen, Jon G.&lt;/author&gt;&lt;author&gt;Rosenberg, Andrew&lt;/author&gt;&lt;author&gt;Swasey, Jill H.&lt;/author&gt;&lt;/authors&gt;&lt;/contributors&gt;&lt;titles&gt;&lt;title&gt;An Economic, Legal and Institutional Assessment of Enforcement and Compliance in Federally Managed U.S. Commercial Fisheries&lt;/title&gt;&lt;/titles&gt;&lt;dates&gt;&lt;year&gt;2009&lt;/year&gt;&lt;/dates&gt;&lt;publisher&gt;A Report supported by the Lenfest Ocean Program&lt;/publisher&gt;&lt;urls&gt;&lt;related-urls&gt;&lt;url&gt;http://dkingweb.cbl.umces.edu/Lenfest%20Underlying%20Report_%202009.pdf&lt;/url&gt;&lt;/related-urls&gt;&lt;/urls&gt;&lt;/record&gt;&lt;/Cite&gt;&lt;/EndNote&gt;</w:instrText>
      </w:r>
      <w:r w:rsidR="00676B79" w:rsidRPr="00043BC1">
        <w:rPr>
          <w:sz w:val="24"/>
          <w:szCs w:val="24"/>
        </w:rPr>
        <w:fldChar w:fldCharType="separate"/>
      </w:r>
      <w:r w:rsidRPr="00043BC1">
        <w:rPr>
          <w:sz w:val="24"/>
          <w:szCs w:val="24"/>
        </w:rPr>
        <w:t>(King et al. 2009)</w:t>
      </w:r>
      <w:r w:rsidR="00676B79" w:rsidRPr="00043BC1">
        <w:rPr>
          <w:sz w:val="24"/>
          <w:szCs w:val="24"/>
        </w:rPr>
        <w:fldChar w:fldCharType="end"/>
      </w:r>
      <w:r w:rsidRPr="00043BC1">
        <w:rPr>
          <w:sz w:val="24"/>
          <w:szCs w:val="24"/>
        </w:rPr>
        <w:t xml:space="preserve">.  Therefore, maintaining the sustainability of fisheries depends in part on fishers’ compliance, which can depend in turn on fishers’ violation risk/reward perceptions as well as their attitudes and values.  </w:t>
      </w:r>
    </w:p>
    <w:p w:rsidR="00D935C1" w:rsidRPr="00043BC1" w:rsidRDefault="00D935C1" w:rsidP="000E4756">
      <w:pPr>
        <w:rPr>
          <w:sz w:val="24"/>
          <w:szCs w:val="24"/>
        </w:rPr>
      </w:pPr>
    </w:p>
    <w:p w:rsidR="005E2B26" w:rsidRDefault="005E2B26" w:rsidP="000E4756">
      <w:pPr>
        <w:rPr>
          <w:sz w:val="24"/>
          <w:szCs w:val="24"/>
        </w:rPr>
      </w:pPr>
      <w:r w:rsidRPr="00043BC1">
        <w:rPr>
          <w:sz w:val="24"/>
          <w:szCs w:val="24"/>
        </w:rPr>
        <w:t xml:space="preserve">This </w:t>
      </w:r>
      <w:r w:rsidR="00920FC2">
        <w:rPr>
          <w:sz w:val="24"/>
          <w:szCs w:val="24"/>
        </w:rPr>
        <w:t>survey</w:t>
      </w:r>
      <w:r w:rsidRPr="00043BC1">
        <w:rPr>
          <w:sz w:val="24"/>
          <w:szCs w:val="24"/>
        </w:rPr>
        <w:t xml:space="preserve"> is intended to help assess fishers’ regulation violation risk/reward perceptions as well as their attitudes and values regarding compliance.  The results of this </w:t>
      </w:r>
      <w:r w:rsidR="00920FC2">
        <w:rPr>
          <w:sz w:val="24"/>
          <w:szCs w:val="24"/>
        </w:rPr>
        <w:t>survey</w:t>
      </w:r>
      <w:r w:rsidRPr="00043BC1">
        <w:rPr>
          <w:sz w:val="24"/>
          <w:szCs w:val="24"/>
        </w:rPr>
        <w:t xml:space="preserve"> will be used to assess and analyze current perceived levels of compliance, risk/reward factors, social or moral compliance factors, the overall compliance effectiveness of various current USCG enforcement activities, and the likely compliance effectiveness of new technologies, for each US fishery.  The </w:t>
      </w:r>
      <w:r w:rsidR="00920FC2">
        <w:rPr>
          <w:sz w:val="24"/>
          <w:szCs w:val="24"/>
        </w:rPr>
        <w:t>survey</w:t>
      </w:r>
      <w:r w:rsidRPr="00043BC1">
        <w:rPr>
          <w:sz w:val="24"/>
          <w:szCs w:val="24"/>
        </w:rPr>
        <w:t xml:space="preserve"> seeks to gauge fishers’ perceptions of both social factors regarding compliance and violation risk/reward factors.  The </w:t>
      </w:r>
      <w:r w:rsidR="00920FC2">
        <w:rPr>
          <w:sz w:val="24"/>
          <w:szCs w:val="24"/>
        </w:rPr>
        <w:t>survey</w:t>
      </w:r>
      <w:r w:rsidRPr="00043BC1">
        <w:rPr>
          <w:sz w:val="24"/>
          <w:szCs w:val="24"/>
        </w:rPr>
        <w:t xml:space="preserve"> also involves quantitative estimates of fishers’ economic risks and reward of violation, using information from the </w:t>
      </w:r>
      <w:r w:rsidR="00920FC2">
        <w:rPr>
          <w:sz w:val="24"/>
          <w:szCs w:val="24"/>
        </w:rPr>
        <w:t>survey</w:t>
      </w:r>
      <w:r w:rsidRPr="00043BC1">
        <w:rPr>
          <w:sz w:val="24"/>
          <w:szCs w:val="24"/>
        </w:rPr>
        <w:t xml:space="preserve"> as well as from other sources.</w:t>
      </w:r>
    </w:p>
    <w:p w:rsidR="00043BC1" w:rsidRPr="00043BC1" w:rsidRDefault="00043BC1" w:rsidP="000E4756">
      <w:pPr>
        <w:rPr>
          <w:sz w:val="24"/>
          <w:szCs w:val="24"/>
        </w:rPr>
      </w:pPr>
    </w:p>
    <w:p w:rsidR="005E2B26" w:rsidRDefault="005E2B26" w:rsidP="000E4756">
      <w:pPr>
        <w:rPr>
          <w:sz w:val="24"/>
          <w:szCs w:val="24"/>
        </w:rPr>
      </w:pPr>
      <w:r w:rsidRPr="00043BC1">
        <w:rPr>
          <w:sz w:val="24"/>
          <w:szCs w:val="24"/>
        </w:rPr>
        <w:t xml:space="preserve">Following the framework of King and </w:t>
      </w:r>
      <w:proofErr w:type="spellStart"/>
      <w:r w:rsidRPr="00043BC1">
        <w:rPr>
          <w:sz w:val="24"/>
          <w:szCs w:val="24"/>
        </w:rPr>
        <w:t>Sutinen</w:t>
      </w:r>
      <w:proofErr w:type="spellEnd"/>
      <w:r w:rsidRPr="00043BC1">
        <w:rPr>
          <w:sz w:val="24"/>
          <w:szCs w:val="24"/>
        </w:rPr>
        <w:t xml:space="preserve"> </w:t>
      </w:r>
      <w:r w:rsidR="00676B79" w:rsidRPr="00043BC1">
        <w:rPr>
          <w:sz w:val="24"/>
          <w:szCs w:val="24"/>
        </w:rPr>
        <w:fldChar w:fldCharType="begin"/>
      </w:r>
      <w:r w:rsidRPr="00043BC1">
        <w:rPr>
          <w:sz w:val="24"/>
          <w:szCs w:val="24"/>
        </w:rPr>
        <w:instrText xml:space="preserve"> ADDIN EN.CITE &lt;EndNote&gt;&lt;Cite ExcludeAuth="1"&gt;&lt;Author&gt;King&lt;/Author&gt;&lt;Year&gt;2010&lt;/Year&gt;&lt;RecNum&gt;1786&lt;/RecNum&gt;&lt;record&gt;&lt;rec-number&gt;1786&lt;/rec-number&gt;&lt;foreign-keys&gt;&lt;key app="EN" db-id="t5zd9etzlps5fzese0a5559pds9xa0www5pf"&gt;1786&lt;/key&gt;&lt;/foreign-keys&gt;&lt;ref-type name="Journal Article"&gt;17&lt;/ref-type&gt;&lt;contributors&gt;&lt;authors&gt;&lt;author&gt;King, D.&lt;/author&gt;&lt;author&gt;Sutinen, J.&lt;/author&gt;&lt;/authors&gt;&lt;/contributors&gt;&lt;titles&gt;&lt;title&gt;Rational noncompliance and the liquidation of Northeast groundfish resources&lt;/title&gt;&lt;secondary-title&gt;Marine Policy&lt;/secondary-title&gt;&lt;/titles&gt;&lt;periodical&gt;&lt;full-title&gt;Marine Policy&lt;/full-title&gt;&lt;/periodical&gt;&lt;pages&gt;7-21&lt;/pages&gt;&lt;volume&gt;34&lt;/volume&gt;&lt;number&gt;1&lt;/number&gt;&lt;dates&gt;&lt;year&gt;2010&lt;/year&gt;&lt;/dates&gt;&lt;urls&gt;&lt;related-urls&gt;&lt;url&gt;http://lenfestocean.org/sites/default/files/final_2009_ne_groundfish_article_marine_policy.pdf&lt;/url&gt;&lt;/related-urls&gt;&lt;/urls&gt;&lt;/record&gt;&lt;/Cite&gt;&lt;/EndNote&gt;</w:instrText>
      </w:r>
      <w:r w:rsidR="00676B79" w:rsidRPr="00043BC1">
        <w:rPr>
          <w:sz w:val="24"/>
          <w:szCs w:val="24"/>
        </w:rPr>
        <w:fldChar w:fldCharType="separate"/>
      </w:r>
      <w:r w:rsidRPr="00043BC1">
        <w:rPr>
          <w:sz w:val="24"/>
          <w:szCs w:val="24"/>
        </w:rPr>
        <w:t>(2010)</w:t>
      </w:r>
      <w:r w:rsidR="00676B79" w:rsidRPr="00043BC1">
        <w:rPr>
          <w:sz w:val="24"/>
          <w:szCs w:val="24"/>
        </w:rPr>
        <w:fldChar w:fldCharType="end"/>
      </w:r>
      <w:r w:rsidRPr="00043BC1">
        <w:rPr>
          <w:sz w:val="24"/>
          <w:szCs w:val="24"/>
        </w:rPr>
        <w:t>, we  will assess fishers’ economic risks and rewards of fishing beyond legal limits primarily in terms of the fishers’ expected benefits (revenues) and costs (penalties) of non</w:t>
      </w:r>
      <w:r w:rsidR="002D4D08">
        <w:rPr>
          <w:sz w:val="24"/>
          <w:szCs w:val="24"/>
        </w:rPr>
        <w:t>-</w:t>
      </w:r>
      <w:r w:rsidRPr="00043BC1">
        <w:rPr>
          <w:sz w:val="24"/>
          <w:szCs w:val="24"/>
        </w:rPr>
        <w:t xml:space="preserve">compliance.  In this framework, if the expected benefits are greater than the costs of illegal fishing, the fisher has economic incentive to fish illegally.  Adapting King and </w:t>
      </w:r>
      <w:proofErr w:type="spellStart"/>
      <w:r w:rsidRPr="00043BC1">
        <w:rPr>
          <w:sz w:val="24"/>
          <w:szCs w:val="24"/>
        </w:rPr>
        <w:t>Sutinen</w:t>
      </w:r>
      <w:proofErr w:type="spellEnd"/>
      <w:r w:rsidRPr="00043BC1">
        <w:rPr>
          <w:sz w:val="24"/>
          <w:szCs w:val="24"/>
        </w:rPr>
        <w:t xml:space="preserve"> </w:t>
      </w:r>
      <w:r w:rsidR="00676B79" w:rsidRPr="00043BC1">
        <w:rPr>
          <w:sz w:val="24"/>
          <w:szCs w:val="24"/>
        </w:rPr>
        <w:fldChar w:fldCharType="begin"/>
      </w:r>
      <w:r w:rsidRPr="00043BC1">
        <w:rPr>
          <w:sz w:val="24"/>
          <w:szCs w:val="24"/>
        </w:rPr>
        <w:instrText xml:space="preserve"> ADDIN EN.CITE &lt;EndNote&gt;&lt;Cite ExcludeAuth="1"&gt;&lt;Author&gt;King&lt;/Author&gt;&lt;Year&gt;2010&lt;/Year&gt;&lt;RecNum&gt;1786&lt;/RecNum&gt;&lt;record&gt;&lt;rec-number&gt;1786&lt;/rec-number&gt;&lt;foreign-keys&gt;&lt;key app="EN" db-id="t5zd9etzlps5fzese0a5559pds9xa0www5pf"&gt;1786&lt;/key&gt;&lt;/foreign-keys&gt;&lt;ref-type name="Journal Article"&gt;17&lt;/ref-type&gt;&lt;contributors&gt;&lt;authors&gt;&lt;author&gt;King, D.&lt;/author&gt;&lt;author&gt;Sutinen, J.&lt;/author&gt;&lt;/authors&gt;&lt;/contributors&gt;&lt;titles&gt;&lt;title&gt;Rational noncompliance and the liquidation of Northeast groundfish resources&lt;/title&gt;&lt;secondary-title&gt;Marine Policy&lt;/secondary-title&gt;&lt;/titles&gt;&lt;periodical&gt;&lt;full-title&gt;Marine Policy&lt;/full-title&gt;&lt;/periodical&gt;&lt;pages&gt;7-21&lt;/pages&gt;&lt;volume&gt;34&lt;/volume&gt;&lt;number&gt;1&lt;/number&gt;&lt;dates&gt;&lt;year&gt;2010&lt;/year&gt;&lt;/dates&gt;&lt;urls&gt;&lt;related-urls&gt;&lt;url&gt;http://lenfestocean.org/sites/default/files/final_2009_ne_groundfish_article_marine_policy.pdf&lt;/url&gt;&lt;/related-urls&gt;&lt;/urls&gt;&lt;/record&gt;&lt;/Cite&gt;&lt;/EndNote&gt;</w:instrText>
      </w:r>
      <w:r w:rsidR="00676B79" w:rsidRPr="00043BC1">
        <w:rPr>
          <w:sz w:val="24"/>
          <w:szCs w:val="24"/>
        </w:rPr>
        <w:fldChar w:fldCharType="separate"/>
      </w:r>
      <w:r w:rsidRPr="00043BC1">
        <w:rPr>
          <w:sz w:val="24"/>
          <w:szCs w:val="24"/>
        </w:rPr>
        <w:t>(2010)</w:t>
      </w:r>
      <w:r w:rsidR="00676B79" w:rsidRPr="00043BC1">
        <w:rPr>
          <w:sz w:val="24"/>
          <w:szCs w:val="24"/>
        </w:rPr>
        <w:fldChar w:fldCharType="end"/>
      </w:r>
      <w:r w:rsidRPr="00043BC1">
        <w:rPr>
          <w:sz w:val="24"/>
          <w:szCs w:val="24"/>
        </w:rPr>
        <w:t xml:space="preserve"> slightly, we define the net benefits to the fisher per fishing trip as the expected benefits of noncompliance minus the expected costs of penalties, or </w:t>
      </w:r>
    </w:p>
    <w:p w:rsidR="00043BC1" w:rsidRPr="00043BC1" w:rsidRDefault="00043BC1" w:rsidP="000E4756">
      <w:pPr>
        <w:rPr>
          <w:sz w:val="24"/>
          <w:szCs w:val="24"/>
        </w:rPr>
      </w:pPr>
    </w:p>
    <w:p w:rsidR="007B22FF" w:rsidRDefault="007B22FF" w:rsidP="007B22FF">
      <w:pPr>
        <w:spacing w:after="120"/>
        <w:rPr>
          <w:sz w:val="24"/>
          <w:szCs w:val="24"/>
        </w:rPr>
      </w:pPr>
      <m:oMathPara>
        <m:oMath>
          <m:r>
            <w:rPr>
              <w:rFonts w:ascii="Cambria Math" w:hAnsi="Cambria Math"/>
              <w:sz w:val="24"/>
              <w:szCs w:val="24"/>
            </w:rPr>
            <m:t xml:space="preserve">NB= </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il</m:t>
                  </m:r>
                  <m:r>
                    <w:rPr>
                      <w:rFonts w:ascii="Cambria Math" w:eastAsiaTheme="minorEastAsia" w:hAnsi="Cambria Math"/>
                      <w:sz w:val="24"/>
                      <w:szCs w:val="24"/>
                    </w:rPr>
                    <m:t>legal</m:t>
                  </m:r>
                </m:sub>
              </m:sSub>
              <m:r>
                <w:rPr>
                  <w:rFonts w:ascii="Cambria Math" w:eastAsiaTheme="minorEastAsia" w:hAnsi="Cambria Math" w:cs="Calibri"/>
                  <w:sz w:val="24"/>
                  <w:szCs w:val="24"/>
                </w:rPr>
                <m:t>·</m:t>
              </m:r>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A</m:t>
                  </m:r>
                </m:e>
                <m:sub>
                  <m:r>
                    <w:rPr>
                      <w:rFonts w:ascii="Cambria Math" w:eastAsiaTheme="minorEastAsia" w:hAnsi="Cambria Math" w:cs="Calibri"/>
                      <w:sz w:val="24"/>
                      <w:szCs w:val="24"/>
                    </w:rPr>
                    <m:t>total</m:t>
                  </m:r>
                </m:sub>
              </m:sSub>
            </m:e>
          </m:d>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detection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penalty</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assessed</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settled</m:t>
                  </m:r>
                </m:sub>
              </m:sSub>
            </m:e>
          </m:d>
        </m:oMath>
      </m:oMathPara>
    </w:p>
    <w:p w:rsidR="007B22FF" w:rsidRDefault="007B22FF" w:rsidP="007B22FF">
      <w:pPr>
        <w:rPr>
          <w:sz w:val="24"/>
          <w:szCs w:val="24"/>
        </w:rPr>
      </w:pPr>
      <w:r>
        <w:rPr>
          <w:sz w:val="24"/>
          <w:szCs w:val="24"/>
        </w:rPr>
        <w:t>Where</w:t>
      </w:r>
    </w:p>
    <w:p w:rsidR="007B22FF" w:rsidRDefault="007B22FF" w:rsidP="007B22FF">
      <w:pPr>
        <w:rPr>
          <w:sz w:val="24"/>
          <w:szCs w:val="24"/>
        </w:rPr>
      </w:pPr>
      <w:r w:rsidRPr="001F386B">
        <w:rPr>
          <w:i/>
          <w:sz w:val="24"/>
          <w:szCs w:val="24"/>
        </w:rPr>
        <w:t>NB</w:t>
      </w:r>
      <w:r>
        <w:rPr>
          <w:sz w:val="24"/>
          <w:szCs w:val="24"/>
        </w:rPr>
        <w:t xml:space="preserve"> = Net benefits ($ per trip)</w:t>
      </w:r>
    </w:p>
    <w:p w:rsidR="007B22FF" w:rsidRPr="007A6BE3" w:rsidRDefault="007B22FF" w:rsidP="007B22FF">
      <w:pPr>
        <w:rPr>
          <w:sz w:val="24"/>
          <w:szCs w:val="24"/>
        </w:rPr>
      </w:pPr>
      <w:proofErr w:type="spellStart"/>
      <w:r w:rsidRPr="001F386B">
        <w:rPr>
          <w:i/>
          <w:sz w:val="24"/>
          <w:szCs w:val="24"/>
        </w:rPr>
        <w:t>F</w:t>
      </w:r>
      <w:r w:rsidRPr="001F386B">
        <w:rPr>
          <w:i/>
          <w:sz w:val="24"/>
          <w:szCs w:val="24"/>
          <w:vertAlign w:val="subscript"/>
        </w:rPr>
        <w:t>illegal</w:t>
      </w:r>
      <w:proofErr w:type="spellEnd"/>
      <w:r>
        <w:rPr>
          <w:sz w:val="24"/>
          <w:szCs w:val="24"/>
        </w:rPr>
        <w:t xml:space="preserve"> = Fraction of </w:t>
      </w:r>
      <w:r w:rsidRPr="007A6BE3">
        <w:rPr>
          <w:sz w:val="24"/>
          <w:szCs w:val="24"/>
        </w:rPr>
        <w:t xml:space="preserve">total harvest in the fishery </w:t>
      </w:r>
      <w:r>
        <w:rPr>
          <w:sz w:val="24"/>
          <w:szCs w:val="24"/>
        </w:rPr>
        <w:t xml:space="preserve">that is intentionally </w:t>
      </w:r>
      <w:r w:rsidRPr="007A6BE3">
        <w:rPr>
          <w:sz w:val="24"/>
          <w:szCs w:val="24"/>
        </w:rPr>
        <w:t>taken illegally</w:t>
      </w:r>
      <w:r>
        <w:rPr>
          <w:sz w:val="24"/>
          <w:szCs w:val="24"/>
        </w:rPr>
        <w:t xml:space="preserve"> </w:t>
      </w:r>
      <w:r w:rsidRPr="007A6BE3">
        <w:rPr>
          <w:sz w:val="24"/>
          <w:szCs w:val="24"/>
        </w:rPr>
        <w:t xml:space="preserve"> </w:t>
      </w:r>
    </w:p>
    <w:p w:rsidR="007B22FF" w:rsidRDefault="007B22FF" w:rsidP="007B22FF">
      <w:pPr>
        <w:rPr>
          <w:sz w:val="24"/>
          <w:szCs w:val="24"/>
        </w:rPr>
      </w:pPr>
      <w:proofErr w:type="spellStart"/>
      <w:r>
        <w:rPr>
          <w:i/>
          <w:sz w:val="24"/>
          <w:szCs w:val="24"/>
        </w:rPr>
        <w:t>A</w:t>
      </w:r>
      <w:r>
        <w:rPr>
          <w:i/>
          <w:sz w:val="24"/>
          <w:szCs w:val="24"/>
          <w:vertAlign w:val="subscript"/>
        </w:rPr>
        <w:t>total</w:t>
      </w:r>
      <w:proofErr w:type="spellEnd"/>
      <w:r>
        <w:rPr>
          <w:sz w:val="24"/>
          <w:szCs w:val="24"/>
        </w:rPr>
        <w:t xml:space="preserve"> = Total amount of revenue earned by both legal and illegal fishing activity</w:t>
      </w:r>
      <w:r w:rsidRPr="007A6BE3">
        <w:rPr>
          <w:sz w:val="24"/>
          <w:szCs w:val="24"/>
        </w:rPr>
        <w:t xml:space="preserve"> per trip</w:t>
      </w:r>
      <w:r>
        <w:rPr>
          <w:sz w:val="24"/>
          <w:szCs w:val="24"/>
        </w:rPr>
        <w:t xml:space="preserve"> ($ per trip)</w:t>
      </w:r>
    </w:p>
    <w:p w:rsidR="007B22FF" w:rsidRPr="007A6BE3" w:rsidRDefault="007B22FF" w:rsidP="007B22FF">
      <w:pPr>
        <w:rPr>
          <w:sz w:val="24"/>
          <w:szCs w:val="24"/>
        </w:rPr>
      </w:pPr>
      <w:proofErr w:type="spellStart"/>
      <w:r w:rsidRPr="001F386B">
        <w:rPr>
          <w:i/>
          <w:sz w:val="24"/>
          <w:szCs w:val="24"/>
        </w:rPr>
        <w:t>P</w:t>
      </w:r>
      <w:r w:rsidRPr="001F386B">
        <w:rPr>
          <w:i/>
          <w:sz w:val="24"/>
          <w:szCs w:val="24"/>
          <w:vertAlign w:val="subscript"/>
        </w:rPr>
        <w:t>detect</w:t>
      </w:r>
      <w:r>
        <w:rPr>
          <w:i/>
          <w:sz w:val="24"/>
          <w:szCs w:val="24"/>
          <w:vertAlign w:val="subscript"/>
        </w:rPr>
        <w:t>ion</w:t>
      </w:r>
      <w:proofErr w:type="spellEnd"/>
      <w:r>
        <w:rPr>
          <w:sz w:val="24"/>
          <w:szCs w:val="24"/>
        </w:rPr>
        <w:t xml:space="preserve"> = Probability of illegal fishing </w:t>
      </w:r>
      <w:r w:rsidRPr="007A6BE3">
        <w:rPr>
          <w:sz w:val="24"/>
          <w:szCs w:val="24"/>
        </w:rPr>
        <w:t>being detected</w:t>
      </w:r>
      <w:r>
        <w:rPr>
          <w:sz w:val="24"/>
          <w:szCs w:val="24"/>
        </w:rPr>
        <w:t xml:space="preserve"> either during or after the trip</w:t>
      </w:r>
    </w:p>
    <w:p w:rsidR="007B22FF" w:rsidRPr="007A6BE3" w:rsidRDefault="007B22FF" w:rsidP="007B22FF">
      <w:pPr>
        <w:rPr>
          <w:sz w:val="24"/>
          <w:szCs w:val="24"/>
        </w:rPr>
      </w:pPr>
      <w:proofErr w:type="spellStart"/>
      <w:r w:rsidRPr="001F386B">
        <w:rPr>
          <w:i/>
          <w:sz w:val="24"/>
          <w:szCs w:val="24"/>
        </w:rPr>
        <w:t>P</w:t>
      </w:r>
      <w:r w:rsidRPr="001F386B">
        <w:rPr>
          <w:i/>
          <w:sz w:val="24"/>
          <w:szCs w:val="24"/>
          <w:vertAlign w:val="subscript"/>
        </w:rPr>
        <w:t>penalty</w:t>
      </w:r>
      <w:proofErr w:type="spellEnd"/>
      <w:r>
        <w:rPr>
          <w:sz w:val="24"/>
          <w:szCs w:val="24"/>
        </w:rPr>
        <w:t xml:space="preserve"> = </w:t>
      </w:r>
      <w:r w:rsidRPr="007A6BE3">
        <w:rPr>
          <w:sz w:val="24"/>
          <w:szCs w:val="24"/>
        </w:rPr>
        <w:t>Probability of being prosecuted and having to face a penalty, if detected</w:t>
      </w:r>
    </w:p>
    <w:p w:rsidR="007B22FF" w:rsidRPr="007A6BE3" w:rsidRDefault="007B22FF" w:rsidP="007B22FF">
      <w:pPr>
        <w:rPr>
          <w:sz w:val="24"/>
          <w:szCs w:val="24"/>
        </w:rPr>
      </w:pPr>
      <w:proofErr w:type="spellStart"/>
      <w:proofErr w:type="gramStart"/>
      <w:r w:rsidRPr="001F386B">
        <w:rPr>
          <w:i/>
          <w:sz w:val="24"/>
          <w:szCs w:val="24"/>
        </w:rPr>
        <w:t>A</w:t>
      </w:r>
      <w:r w:rsidRPr="001F386B">
        <w:rPr>
          <w:i/>
          <w:sz w:val="24"/>
          <w:szCs w:val="24"/>
          <w:vertAlign w:val="subscript"/>
        </w:rPr>
        <w:t>assessed</w:t>
      </w:r>
      <w:proofErr w:type="spellEnd"/>
      <w:r w:rsidRPr="001F386B">
        <w:rPr>
          <w:i/>
          <w:sz w:val="24"/>
          <w:szCs w:val="24"/>
        </w:rPr>
        <w:t xml:space="preserve"> </w:t>
      </w:r>
      <w:r>
        <w:rPr>
          <w:sz w:val="24"/>
          <w:szCs w:val="24"/>
        </w:rPr>
        <w:t xml:space="preserve"> =</w:t>
      </w:r>
      <w:proofErr w:type="gramEnd"/>
      <w:r>
        <w:rPr>
          <w:sz w:val="24"/>
          <w:szCs w:val="24"/>
        </w:rPr>
        <w:t xml:space="preserve"> Amount of a</w:t>
      </w:r>
      <w:r w:rsidRPr="007A6BE3">
        <w:rPr>
          <w:sz w:val="24"/>
          <w:szCs w:val="24"/>
        </w:rPr>
        <w:t xml:space="preserve">verage “assessed penalty” for this violation </w:t>
      </w:r>
      <w:r>
        <w:rPr>
          <w:sz w:val="24"/>
          <w:szCs w:val="24"/>
        </w:rPr>
        <w:t>($ per penalty)</w:t>
      </w:r>
    </w:p>
    <w:p w:rsidR="007B22FF" w:rsidRDefault="007B22FF" w:rsidP="007B22FF">
      <w:pPr>
        <w:rPr>
          <w:sz w:val="24"/>
          <w:szCs w:val="24"/>
        </w:rPr>
      </w:pPr>
      <w:proofErr w:type="spellStart"/>
      <w:r w:rsidRPr="001F386B">
        <w:rPr>
          <w:i/>
          <w:sz w:val="24"/>
          <w:szCs w:val="24"/>
        </w:rPr>
        <w:t>F</w:t>
      </w:r>
      <w:r w:rsidRPr="001F386B">
        <w:rPr>
          <w:i/>
          <w:sz w:val="24"/>
          <w:szCs w:val="24"/>
          <w:vertAlign w:val="subscript"/>
        </w:rPr>
        <w:t>settled</w:t>
      </w:r>
      <w:proofErr w:type="spellEnd"/>
      <w:r>
        <w:rPr>
          <w:sz w:val="24"/>
          <w:szCs w:val="24"/>
        </w:rPr>
        <w:t xml:space="preserve"> = Fraction of </w:t>
      </w:r>
      <w:r w:rsidRPr="007A6BE3">
        <w:rPr>
          <w:sz w:val="24"/>
          <w:szCs w:val="24"/>
        </w:rPr>
        <w:t>the</w:t>
      </w:r>
      <w:r>
        <w:rPr>
          <w:sz w:val="24"/>
          <w:szCs w:val="24"/>
        </w:rPr>
        <w:t xml:space="preserve"> average “assessed penalty” that is actually paid in the a</w:t>
      </w:r>
      <w:r w:rsidRPr="007A6BE3">
        <w:rPr>
          <w:sz w:val="24"/>
          <w:szCs w:val="24"/>
        </w:rPr>
        <w:t>verage “fin</w:t>
      </w:r>
      <w:r>
        <w:rPr>
          <w:sz w:val="24"/>
          <w:szCs w:val="24"/>
        </w:rPr>
        <w:t>al settlement”</w:t>
      </w:r>
    </w:p>
    <w:p w:rsidR="005E2B26" w:rsidRPr="00043BC1" w:rsidRDefault="005E2B26" w:rsidP="000E4756">
      <w:pPr>
        <w:rPr>
          <w:sz w:val="24"/>
          <w:szCs w:val="24"/>
        </w:rPr>
      </w:pPr>
    </w:p>
    <w:p w:rsidR="005E2B26" w:rsidRPr="00043BC1" w:rsidRDefault="005E2B26" w:rsidP="000E4756">
      <w:pPr>
        <w:rPr>
          <w:rFonts w:eastAsiaTheme="minorEastAsia"/>
          <w:sz w:val="24"/>
          <w:szCs w:val="24"/>
        </w:rPr>
      </w:pPr>
      <w:r w:rsidRPr="00043BC1">
        <w:rPr>
          <w:sz w:val="24"/>
          <w:szCs w:val="24"/>
        </w:rPr>
        <w:t xml:space="preserve">As an example of the use of the equation, King and </w:t>
      </w:r>
      <w:proofErr w:type="spellStart"/>
      <w:r w:rsidRPr="00043BC1">
        <w:rPr>
          <w:sz w:val="24"/>
          <w:szCs w:val="24"/>
        </w:rPr>
        <w:t>Sutinen</w:t>
      </w:r>
      <w:proofErr w:type="spellEnd"/>
      <w:r w:rsidRPr="00043BC1">
        <w:rPr>
          <w:sz w:val="24"/>
          <w:szCs w:val="24"/>
        </w:rPr>
        <w:t xml:space="preserve">  use </w:t>
      </w:r>
      <w:r w:rsidR="00920FC2">
        <w:rPr>
          <w:sz w:val="24"/>
          <w:szCs w:val="24"/>
        </w:rPr>
        <w:t>survey</w:t>
      </w:r>
      <w:r w:rsidRPr="00043BC1">
        <w:rPr>
          <w:sz w:val="24"/>
          <w:szCs w:val="24"/>
        </w:rPr>
        <w:t xml:space="preserve"> results to provide the following estimates for the North East </w:t>
      </w:r>
      <w:proofErr w:type="spellStart"/>
      <w:r w:rsidRPr="00043BC1">
        <w:rPr>
          <w:sz w:val="24"/>
          <w:szCs w:val="24"/>
        </w:rPr>
        <w:t>Groundfishing</w:t>
      </w:r>
      <w:proofErr w:type="spellEnd"/>
      <w:r w:rsidRPr="00043BC1">
        <w:rPr>
          <w:sz w:val="24"/>
          <w:szCs w:val="24"/>
        </w:rPr>
        <w:t xml:space="preserve"> Fishery: </w:t>
      </w:r>
      <w:proofErr w:type="spellStart"/>
      <w:r w:rsidRPr="00043BC1">
        <w:rPr>
          <w:i/>
          <w:sz w:val="24"/>
          <w:szCs w:val="24"/>
        </w:rPr>
        <w:t>F</w:t>
      </w:r>
      <w:r w:rsidRPr="00043BC1">
        <w:rPr>
          <w:i/>
          <w:sz w:val="24"/>
          <w:szCs w:val="24"/>
          <w:vertAlign w:val="subscript"/>
        </w:rPr>
        <w:t>illegal</w:t>
      </w:r>
      <w:proofErr w:type="spellEnd"/>
      <w:r w:rsidRPr="00043BC1">
        <w:rPr>
          <w:sz w:val="24"/>
          <w:szCs w:val="24"/>
        </w:rPr>
        <w:t xml:space="preserve"> = 18.5%; </w:t>
      </w:r>
      <w:proofErr w:type="spellStart"/>
      <w:r w:rsidRPr="00043BC1">
        <w:rPr>
          <w:i/>
          <w:sz w:val="24"/>
          <w:szCs w:val="24"/>
        </w:rPr>
        <w:t>A</w:t>
      </w:r>
      <w:r w:rsidR="007B22FF">
        <w:rPr>
          <w:i/>
          <w:sz w:val="24"/>
          <w:szCs w:val="24"/>
          <w:vertAlign w:val="subscript"/>
        </w:rPr>
        <w:t>tota</w:t>
      </w:r>
      <w:r w:rsidRPr="00043BC1">
        <w:rPr>
          <w:i/>
          <w:sz w:val="24"/>
          <w:szCs w:val="24"/>
          <w:vertAlign w:val="subscript"/>
        </w:rPr>
        <w:t>l</w:t>
      </w:r>
      <w:proofErr w:type="spellEnd"/>
      <w:r w:rsidRPr="00043BC1">
        <w:rPr>
          <w:sz w:val="24"/>
          <w:szCs w:val="24"/>
        </w:rPr>
        <w:t xml:space="preserve"> = $30,000; </w:t>
      </w:r>
      <w:proofErr w:type="spellStart"/>
      <w:r w:rsidRPr="00043BC1">
        <w:rPr>
          <w:i/>
          <w:sz w:val="24"/>
          <w:szCs w:val="24"/>
        </w:rPr>
        <w:t>P</w:t>
      </w:r>
      <w:r w:rsidRPr="00043BC1">
        <w:rPr>
          <w:i/>
          <w:sz w:val="24"/>
          <w:szCs w:val="24"/>
          <w:vertAlign w:val="subscript"/>
        </w:rPr>
        <w:t>detection</w:t>
      </w:r>
      <w:proofErr w:type="spellEnd"/>
      <w:r w:rsidRPr="00043BC1">
        <w:rPr>
          <w:sz w:val="24"/>
          <w:szCs w:val="24"/>
        </w:rPr>
        <w:t xml:space="preserve"> = 32.5%; </w:t>
      </w:r>
      <w:proofErr w:type="spellStart"/>
      <w:r w:rsidRPr="00043BC1">
        <w:rPr>
          <w:i/>
          <w:sz w:val="24"/>
          <w:szCs w:val="24"/>
        </w:rPr>
        <w:t>P</w:t>
      </w:r>
      <w:r w:rsidRPr="00043BC1">
        <w:rPr>
          <w:i/>
          <w:sz w:val="24"/>
          <w:szCs w:val="24"/>
          <w:vertAlign w:val="subscript"/>
        </w:rPr>
        <w:t>penalty</w:t>
      </w:r>
      <w:proofErr w:type="spellEnd"/>
      <w:r w:rsidRPr="00043BC1">
        <w:rPr>
          <w:sz w:val="24"/>
          <w:szCs w:val="24"/>
        </w:rPr>
        <w:t xml:space="preserve"> = 33.1%; </w:t>
      </w:r>
      <w:proofErr w:type="spellStart"/>
      <w:r w:rsidRPr="00043BC1">
        <w:rPr>
          <w:i/>
          <w:sz w:val="24"/>
          <w:szCs w:val="24"/>
        </w:rPr>
        <w:t>A</w:t>
      </w:r>
      <w:r w:rsidRPr="00043BC1">
        <w:rPr>
          <w:i/>
          <w:sz w:val="24"/>
          <w:szCs w:val="24"/>
          <w:vertAlign w:val="subscript"/>
        </w:rPr>
        <w:t>assessed</w:t>
      </w:r>
      <w:proofErr w:type="spellEnd"/>
      <w:r w:rsidRPr="00043BC1">
        <w:rPr>
          <w:sz w:val="24"/>
          <w:szCs w:val="24"/>
        </w:rPr>
        <w:t xml:space="preserve"> = $20,455; and </w:t>
      </w:r>
      <w:proofErr w:type="spellStart"/>
      <w:r w:rsidRPr="00043BC1">
        <w:rPr>
          <w:i/>
          <w:sz w:val="24"/>
          <w:szCs w:val="24"/>
        </w:rPr>
        <w:t>F</w:t>
      </w:r>
      <w:r w:rsidRPr="00043BC1">
        <w:rPr>
          <w:i/>
          <w:sz w:val="24"/>
          <w:szCs w:val="24"/>
          <w:vertAlign w:val="subscript"/>
        </w:rPr>
        <w:t>settled</w:t>
      </w:r>
      <w:proofErr w:type="spellEnd"/>
      <w:r w:rsidRPr="00043BC1">
        <w:rPr>
          <w:sz w:val="24"/>
          <w:szCs w:val="24"/>
        </w:rPr>
        <w:t xml:space="preserve"> = 0.53.  Therefore the net benefits to the noncompliant fisher are equal </w:t>
      </w:r>
      <w:proofErr w:type="gramStart"/>
      <w:r w:rsidRPr="00043BC1">
        <w:rPr>
          <w:sz w:val="24"/>
          <w:szCs w:val="24"/>
        </w:rPr>
        <w:t xml:space="preserve">to </w:t>
      </w:r>
      <m:oMath>
        <w:proofErr w:type="gramEnd"/>
        <m:d>
          <m:dPr>
            <m:ctrlPr>
              <w:rPr>
                <w:rFonts w:ascii="Cambria Math" w:eastAsiaTheme="minorEastAsia" w:hAnsi="Cambria Math"/>
                <w:i/>
                <w:sz w:val="24"/>
                <w:szCs w:val="24"/>
              </w:rPr>
            </m:ctrlPr>
          </m:dPr>
          <m:e>
            <m:r>
              <m:rPr>
                <m:sty m:val="p"/>
              </m:rPr>
              <w:rPr>
                <w:rFonts w:ascii="Cambria Math"/>
                <w:sz w:val="24"/>
                <w:szCs w:val="24"/>
              </w:rPr>
              <m:t xml:space="preserve">0.185 </m:t>
            </m:r>
            <m:r>
              <w:rPr>
                <w:rFonts w:eastAsiaTheme="minorEastAsia"/>
                <w:sz w:val="24"/>
                <w:szCs w:val="24"/>
              </w:rPr>
              <m:t>·</m:t>
            </m:r>
            <m:r>
              <m:rPr>
                <m:sty m:val="p"/>
              </m:rPr>
              <w:rPr>
                <w:rFonts w:ascii="Cambria Math"/>
                <w:sz w:val="24"/>
                <w:szCs w:val="24"/>
              </w:rPr>
              <m:t>$30,000</m:t>
            </m:r>
          </m:e>
        </m:d>
        <m:r>
          <w:rPr>
            <w:rFonts w:eastAsiaTheme="minorEastAsia"/>
            <w:sz w:val="24"/>
            <w:szCs w:val="24"/>
          </w:rPr>
          <m:t>-</m:t>
        </m:r>
        <m:d>
          <m:dPr>
            <m:ctrlPr>
              <w:rPr>
                <w:rFonts w:ascii="Cambria Math" w:eastAsiaTheme="minorEastAsia" w:hAnsi="Cambria Math"/>
                <w:i/>
                <w:sz w:val="24"/>
                <w:szCs w:val="24"/>
              </w:rPr>
            </m:ctrlPr>
          </m:dPr>
          <m:e>
            <m:r>
              <m:rPr>
                <m:sty m:val="p"/>
              </m:rPr>
              <w:rPr>
                <w:rFonts w:ascii="Cambria Math"/>
                <w:sz w:val="24"/>
                <w:szCs w:val="24"/>
              </w:rPr>
              <m:t xml:space="preserve">0.325 </m:t>
            </m:r>
            <m:r>
              <w:rPr>
                <w:rFonts w:eastAsiaTheme="minorEastAsia"/>
                <w:sz w:val="24"/>
                <w:szCs w:val="24"/>
              </w:rPr>
              <m:t>∙</m:t>
            </m:r>
            <m:r>
              <w:rPr>
                <w:rFonts w:ascii="Cambria Math" w:eastAsiaTheme="minorEastAsia"/>
                <w:sz w:val="24"/>
                <w:szCs w:val="24"/>
              </w:rPr>
              <m:t>0.</m:t>
            </m:r>
            <m:r>
              <m:rPr>
                <m:sty m:val="p"/>
              </m:rPr>
              <w:rPr>
                <w:rFonts w:ascii="Cambria Math"/>
                <w:sz w:val="24"/>
                <w:szCs w:val="24"/>
              </w:rPr>
              <m:t>331</m:t>
            </m:r>
            <m:r>
              <w:rPr>
                <w:rFonts w:eastAsiaTheme="minorEastAsia"/>
                <w:sz w:val="24"/>
                <w:szCs w:val="24"/>
              </w:rPr>
              <m:t>∙</m:t>
            </m:r>
            <m:r>
              <m:rPr>
                <m:sty m:val="p"/>
              </m:rPr>
              <w:rPr>
                <w:rFonts w:ascii="Cambria Math"/>
                <w:sz w:val="24"/>
                <w:szCs w:val="24"/>
              </w:rPr>
              <m:t>$20,455</m:t>
            </m:r>
            <m:r>
              <w:rPr>
                <w:rFonts w:eastAsiaTheme="minorEastAsia"/>
                <w:sz w:val="24"/>
                <w:szCs w:val="24"/>
              </w:rPr>
              <m:t>∙</m:t>
            </m:r>
            <m:r>
              <m:rPr>
                <m:sty m:val="p"/>
              </m:rPr>
              <w:rPr>
                <w:rFonts w:ascii="Cambria Math"/>
                <w:sz w:val="24"/>
                <w:szCs w:val="24"/>
              </w:rPr>
              <m:t>0.53</m:t>
            </m:r>
          </m:e>
        </m:d>
      </m:oMath>
      <w:r w:rsidRPr="00043BC1">
        <w:rPr>
          <w:rFonts w:eastAsiaTheme="minorEastAsia"/>
          <w:sz w:val="24"/>
          <w:szCs w:val="24"/>
        </w:rPr>
        <w:t xml:space="preserve">, or </w:t>
      </w:r>
      <m:oMath>
        <m:d>
          <m:dPr>
            <m:ctrlPr>
              <w:rPr>
                <w:rFonts w:ascii="Cambria Math" w:eastAsiaTheme="minorEastAsia" w:hAnsi="Cambria Math"/>
                <w:i/>
                <w:sz w:val="24"/>
                <w:szCs w:val="24"/>
              </w:rPr>
            </m:ctrlPr>
          </m:dPr>
          <m:e>
            <m:r>
              <m:rPr>
                <m:sty m:val="p"/>
              </m:rPr>
              <w:rPr>
                <w:rFonts w:ascii="Cambria Math"/>
                <w:sz w:val="24"/>
                <w:szCs w:val="24"/>
              </w:rPr>
              <m:t>$5,550</m:t>
            </m:r>
          </m:e>
        </m:d>
        <m:r>
          <w:rPr>
            <w:rFonts w:eastAsiaTheme="minorEastAsia"/>
            <w:sz w:val="24"/>
            <w:szCs w:val="24"/>
          </w:rPr>
          <m:t>-</m:t>
        </m:r>
        <m:d>
          <m:dPr>
            <m:ctrlPr>
              <w:rPr>
                <w:rFonts w:ascii="Cambria Math" w:eastAsiaTheme="minorEastAsia" w:hAnsi="Cambria Math"/>
                <w:i/>
                <w:sz w:val="24"/>
                <w:szCs w:val="24"/>
              </w:rPr>
            </m:ctrlPr>
          </m:dPr>
          <m:e>
            <m:r>
              <m:rPr>
                <m:sty m:val="p"/>
              </m:rPr>
              <w:rPr>
                <w:rFonts w:ascii="Cambria Math"/>
                <w:sz w:val="24"/>
                <w:szCs w:val="24"/>
              </w:rPr>
              <m:t>$1,166</m:t>
            </m:r>
          </m:e>
        </m:d>
      </m:oMath>
      <w:r w:rsidRPr="00043BC1">
        <w:rPr>
          <w:rFonts w:eastAsiaTheme="minorEastAsia"/>
          <w:sz w:val="24"/>
          <w:szCs w:val="24"/>
        </w:rPr>
        <w:t>, which comes to $4,384 per trip for the estimated net benefits of noncompliance.  Because the expected benefits of $5,550 exceed the expected costs of $1,166, the fisher has a short-term economic incentive to fish beyond legal limits.</w:t>
      </w:r>
    </w:p>
    <w:p w:rsidR="005E2B26" w:rsidRPr="00043BC1" w:rsidRDefault="005E2B26" w:rsidP="000E4756">
      <w:pPr>
        <w:rPr>
          <w:rFonts w:eastAsiaTheme="minorEastAsia"/>
          <w:sz w:val="24"/>
          <w:szCs w:val="24"/>
        </w:rPr>
      </w:pPr>
    </w:p>
    <w:bookmarkEnd w:id="9"/>
    <w:p w:rsidR="00043BC1" w:rsidRPr="009D2FDB" w:rsidRDefault="005E2B26" w:rsidP="00043BC1">
      <w:pPr>
        <w:pStyle w:val="ListParagraph"/>
        <w:numPr>
          <w:ilvl w:val="1"/>
          <w:numId w:val="6"/>
        </w:numPr>
        <w:rPr>
          <w:rFonts w:ascii="Times New Roman" w:hAnsi="Times New Roman"/>
          <w:i/>
          <w:sz w:val="24"/>
          <w:szCs w:val="24"/>
        </w:rPr>
      </w:pPr>
      <w:r w:rsidRPr="009D2FDB">
        <w:rPr>
          <w:rFonts w:ascii="Times New Roman" w:hAnsi="Times New Roman"/>
          <w:i/>
          <w:sz w:val="24"/>
          <w:szCs w:val="24"/>
        </w:rPr>
        <w:lastRenderedPageBreak/>
        <w:t>Online Data Collection</w:t>
      </w:r>
    </w:p>
    <w:p w:rsidR="005E2B26" w:rsidRDefault="005E2B26" w:rsidP="000E4756">
      <w:pPr>
        <w:rPr>
          <w:sz w:val="24"/>
          <w:szCs w:val="24"/>
        </w:rPr>
      </w:pPr>
      <w:r w:rsidRPr="00043BC1">
        <w:rPr>
          <w:sz w:val="24"/>
          <w:szCs w:val="24"/>
        </w:rPr>
        <w:t>Sample Processing and Manage</w:t>
      </w:r>
      <w:r w:rsidR="002D4D08">
        <w:rPr>
          <w:sz w:val="24"/>
          <w:szCs w:val="24"/>
        </w:rPr>
        <w:t xml:space="preserve">ment: As mentioned previously, </w:t>
      </w:r>
      <w:r w:rsidR="00920FC2">
        <w:rPr>
          <w:sz w:val="24"/>
          <w:szCs w:val="24"/>
        </w:rPr>
        <w:t>LMR Enforcement Survey</w:t>
      </w:r>
      <w:r w:rsidRPr="00043BC1">
        <w:rPr>
          <w:sz w:val="24"/>
          <w:szCs w:val="24"/>
        </w:rPr>
        <w:t xml:space="preserve"> data collection will be accomplished via an online </w:t>
      </w:r>
      <w:r w:rsidR="00920FC2">
        <w:rPr>
          <w:sz w:val="24"/>
          <w:szCs w:val="24"/>
        </w:rPr>
        <w:t>survey</w:t>
      </w:r>
      <w:r w:rsidRPr="00043BC1">
        <w:rPr>
          <w:sz w:val="24"/>
          <w:szCs w:val="24"/>
        </w:rPr>
        <w:t xml:space="preserve">.  The US Coast Guard has access to the current marine fishing permit database.  To facilitate the pre-solicitation mailing, records obtained from the database will be provided in standardized format, and will contain at least the mailing address. To help preserve anonymity and confidentiality of responses, neither the online </w:t>
      </w:r>
      <w:r w:rsidR="00920FC2">
        <w:rPr>
          <w:sz w:val="24"/>
          <w:szCs w:val="24"/>
        </w:rPr>
        <w:t>LMR Enforcement Survey</w:t>
      </w:r>
      <w:r w:rsidRPr="00043BC1">
        <w:rPr>
          <w:sz w:val="24"/>
          <w:szCs w:val="24"/>
        </w:rPr>
        <w:t xml:space="preserve">, nor notification letters sent by mail, will contain unique identification numbers to track </w:t>
      </w:r>
      <w:r w:rsidR="00920FC2">
        <w:rPr>
          <w:sz w:val="24"/>
          <w:szCs w:val="24"/>
        </w:rPr>
        <w:t>survey</w:t>
      </w:r>
      <w:r w:rsidRPr="00043BC1">
        <w:rPr>
          <w:sz w:val="24"/>
          <w:szCs w:val="24"/>
        </w:rPr>
        <w:t xml:space="preserve"> responses.</w:t>
      </w:r>
    </w:p>
    <w:p w:rsidR="00043BC1" w:rsidRPr="00043BC1" w:rsidRDefault="00043BC1" w:rsidP="000E4756">
      <w:pPr>
        <w:rPr>
          <w:sz w:val="24"/>
          <w:szCs w:val="24"/>
        </w:rPr>
      </w:pPr>
    </w:p>
    <w:p w:rsidR="00043BC1" w:rsidRDefault="005E2B26" w:rsidP="000E4756">
      <w:pPr>
        <w:rPr>
          <w:sz w:val="24"/>
          <w:szCs w:val="24"/>
        </w:rPr>
      </w:pPr>
      <w:r w:rsidRPr="00043BC1">
        <w:rPr>
          <w:sz w:val="24"/>
          <w:szCs w:val="24"/>
        </w:rPr>
        <w:t xml:space="preserve">Document Preparation:  Due to the large volume of notifications to be sent, a professional mail printing and </w:t>
      </w:r>
      <w:r w:rsidR="000C7D5E">
        <w:rPr>
          <w:sz w:val="24"/>
          <w:szCs w:val="24"/>
        </w:rPr>
        <w:t xml:space="preserve">collation service </w:t>
      </w:r>
      <w:r w:rsidRPr="00043BC1">
        <w:rPr>
          <w:sz w:val="24"/>
          <w:szCs w:val="24"/>
        </w:rPr>
        <w:t xml:space="preserve">will be utilized. The pre-solicitation notification and instructions to access the online </w:t>
      </w:r>
      <w:r w:rsidR="00920FC2">
        <w:rPr>
          <w:sz w:val="24"/>
          <w:szCs w:val="24"/>
        </w:rPr>
        <w:t>survey</w:t>
      </w:r>
      <w:r w:rsidRPr="00043BC1">
        <w:rPr>
          <w:sz w:val="24"/>
          <w:szCs w:val="24"/>
        </w:rPr>
        <w:t xml:space="preserve"> will be formatted, printed, sorted and posted through this service.  </w:t>
      </w:r>
    </w:p>
    <w:p w:rsidR="000C7D5E" w:rsidRPr="00043BC1" w:rsidRDefault="000C7D5E" w:rsidP="000E4756">
      <w:pPr>
        <w:rPr>
          <w:sz w:val="24"/>
          <w:szCs w:val="24"/>
        </w:rPr>
      </w:pPr>
    </w:p>
    <w:p w:rsidR="005E2B26" w:rsidRDefault="005E2B26" w:rsidP="000E4756">
      <w:pPr>
        <w:rPr>
          <w:sz w:val="24"/>
          <w:szCs w:val="24"/>
        </w:rPr>
      </w:pPr>
      <w:r w:rsidRPr="00043BC1">
        <w:rPr>
          <w:sz w:val="24"/>
          <w:szCs w:val="24"/>
        </w:rPr>
        <w:t xml:space="preserve">Online </w:t>
      </w:r>
      <w:r w:rsidR="00920FC2">
        <w:rPr>
          <w:sz w:val="24"/>
          <w:szCs w:val="24"/>
        </w:rPr>
        <w:t>Survey</w:t>
      </w:r>
      <w:r w:rsidRPr="00043BC1">
        <w:rPr>
          <w:sz w:val="24"/>
          <w:szCs w:val="24"/>
        </w:rPr>
        <w:t xml:space="preserve"> Preparation: </w:t>
      </w:r>
      <w:r w:rsidR="000C7D5E">
        <w:rPr>
          <w:sz w:val="24"/>
          <w:szCs w:val="24"/>
        </w:rPr>
        <w:t xml:space="preserve"> USCG has an in-</w:t>
      </w:r>
      <w:r w:rsidRPr="00043BC1">
        <w:rPr>
          <w:sz w:val="24"/>
          <w:szCs w:val="24"/>
        </w:rPr>
        <w:t xml:space="preserve">house platform called </w:t>
      </w:r>
      <w:proofErr w:type="spellStart"/>
      <w:r w:rsidRPr="00920FC2">
        <w:rPr>
          <w:sz w:val="24"/>
          <w:szCs w:val="24"/>
        </w:rPr>
        <w:t>Vovici</w:t>
      </w:r>
      <w:proofErr w:type="spellEnd"/>
      <w:r w:rsidRPr="00920FC2">
        <w:rPr>
          <w:sz w:val="24"/>
          <w:szCs w:val="24"/>
        </w:rPr>
        <w:t xml:space="preserve"> that </w:t>
      </w:r>
      <w:r w:rsidR="00920FC2" w:rsidRPr="00920FC2">
        <w:rPr>
          <w:sz w:val="24"/>
          <w:szCs w:val="24"/>
        </w:rPr>
        <w:t>will</w:t>
      </w:r>
      <w:r w:rsidRPr="00920FC2">
        <w:rPr>
          <w:sz w:val="24"/>
          <w:szCs w:val="24"/>
        </w:rPr>
        <w:t xml:space="preserve"> be </w:t>
      </w:r>
      <w:r w:rsidR="00920FC2">
        <w:rPr>
          <w:sz w:val="24"/>
          <w:szCs w:val="24"/>
        </w:rPr>
        <w:t>used</w:t>
      </w:r>
      <w:r w:rsidRPr="00920FC2">
        <w:rPr>
          <w:sz w:val="24"/>
          <w:szCs w:val="24"/>
        </w:rPr>
        <w:t xml:space="preserve"> to</w:t>
      </w:r>
      <w:r w:rsidRPr="00043BC1">
        <w:rPr>
          <w:sz w:val="24"/>
          <w:szCs w:val="24"/>
        </w:rPr>
        <w:t xml:space="preserve"> host the survey. To access the online survey, the respondent will follow a link posted to the Federal Register.  Data reported by respondents will be subsequently posted to the Federal Register. Questions will be numbered and sections marked </w:t>
      </w:r>
      <w:r w:rsidR="000C7D5E">
        <w:rPr>
          <w:sz w:val="24"/>
          <w:szCs w:val="24"/>
        </w:rPr>
        <w:t>in such a way to</w:t>
      </w:r>
      <w:r w:rsidRPr="00043BC1">
        <w:rPr>
          <w:sz w:val="24"/>
          <w:szCs w:val="24"/>
        </w:rPr>
        <w:t xml:space="preserve"> provide an intuitive path for the respondent. </w:t>
      </w:r>
    </w:p>
    <w:p w:rsidR="00043BC1" w:rsidRPr="00043BC1" w:rsidRDefault="00043BC1" w:rsidP="000E4756">
      <w:pPr>
        <w:rPr>
          <w:sz w:val="24"/>
          <w:szCs w:val="24"/>
        </w:rPr>
      </w:pPr>
    </w:p>
    <w:p w:rsidR="005E2B26" w:rsidRDefault="005E2B26" w:rsidP="000E4756">
      <w:pPr>
        <w:rPr>
          <w:sz w:val="24"/>
          <w:szCs w:val="24"/>
        </w:rPr>
      </w:pPr>
      <w:r w:rsidRPr="00043BC1">
        <w:rPr>
          <w:sz w:val="24"/>
          <w:szCs w:val="24"/>
        </w:rPr>
        <w:t xml:space="preserve">Data Collection Protocol: The online </w:t>
      </w:r>
      <w:r w:rsidR="00920FC2">
        <w:rPr>
          <w:sz w:val="24"/>
          <w:szCs w:val="24"/>
        </w:rPr>
        <w:t>survey</w:t>
      </w:r>
      <w:r w:rsidRPr="00043BC1">
        <w:rPr>
          <w:sz w:val="24"/>
          <w:szCs w:val="24"/>
        </w:rPr>
        <w:t xml:space="preserve"> protocol will consist of an initial contact through physical mail notification (aforementioned), and the online </w:t>
      </w:r>
      <w:r w:rsidR="00920FC2">
        <w:rPr>
          <w:sz w:val="24"/>
          <w:szCs w:val="24"/>
        </w:rPr>
        <w:t>survey</w:t>
      </w:r>
      <w:r w:rsidRPr="00043BC1">
        <w:rPr>
          <w:sz w:val="24"/>
          <w:szCs w:val="24"/>
        </w:rPr>
        <w:t xml:space="preserve"> interface accessed through the Federal Register. Specific steps are outlined below:</w:t>
      </w:r>
    </w:p>
    <w:p w:rsidR="000C7D5E" w:rsidRPr="00043BC1" w:rsidRDefault="000C7D5E" w:rsidP="000E4756">
      <w:pPr>
        <w:rPr>
          <w:sz w:val="24"/>
          <w:szCs w:val="24"/>
        </w:rPr>
      </w:pPr>
    </w:p>
    <w:p w:rsidR="005E2B26" w:rsidRPr="00043BC1" w:rsidRDefault="005E2B26" w:rsidP="000E4756">
      <w:pPr>
        <w:rPr>
          <w:sz w:val="24"/>
          <w:szCs w:val="24"/>
        </w:rPr>
      </w:pPr>
      <w:r w:rsidRPr="00043BC1">
        <w:rPr>
          <w:sz w:val="24"/>
          <w:szCs w:val="24"/>
        </w:rPr>
        <w:t xml:space="preserve">All U.S. marine fishery permit holders, with contact information, will be mailed in an advance letter introducing the </w:t>
      </w:r>
      <w:r w:rsidR="00920FC2">
        <w:rPr>
          <w:sz w:val="24"/>
          <w:szCs w:val="24"/>
        </w:rPr>
        <w:t>survey</w:t>
      </w:r>
      <w:r w:rsidRPr="00043BC1">
        <w:rPr>
          <w:sz w:val="24"/>
          <w:szCs w:val="24"/>
        </w:rPr>
        <w:t xml:space="preserve">. This letter will identify the Coast Guard as the sponsor of the </w:t>
      </w:r>
      <w:r w:rsidR="00920FC2">
        <w:rPr>
          <w:sz w:val="24"/>
          <w:szCs w:val="24"/>
        </w:rPr>
        <w:t>survey</w:t>
      </w:r>
      <w:r w:rsidRPr="00043BC1">
        <w:rPr>
          <w:sz w:val="24"/>
          <w:szCs w:val="24"/>
        </w:rPr>
        <w:t xml:space="preserve">, explain how the data will be used, and encourage respondent cooperation. The letter will communicate the importance of the </w:t>
      </w:r>
      <w:r w:rsidR="00920FC2">
        <w:rPr>
          <w:sz w:val="24"/>
          <w:szCs w:val="24"/>
        </w:rPr>
        <w:t>survey</w:t>
      </w:r>
      <w:r w:rsidRPr="00043BC1">
        <w:rPr>
          <w:sz w:val="24"/>
          <w:szCs w:val="24"/>
        </w:rPr>
        <w:t xml:space="preserve"> for improving fishery enforcement efforts on behalf of the USCG and the benefits of </w:t>
      </w:r>
      <w:r w:rsidR="00920FC2">
        <w:rPr>
          <w:sz w:val="24"/>
          <w:szCs w:val="24"/>
        </w:rPr>
        <w:t>survey</w:t>
      </w:r>
      <w:r w:rsidRPr="00043BC1">
        <w:rPr>
          <w:sz w:val="24"/>
          <w:szCs w:val="24"/>
        </w:rPr>
        <w:t xml:space="preserve"> participation.  Potential respondents will be informed that their participation is voluntary. These letters will be:</w:t>
      </w:r>
    </w:p>
    <w:p w:rsidR="005E2B26" w:rsidRPr="00043BC1" w:rsidRDefault="005E2B26" w:rsidP="000E4756">
      <w:pPr>
        <w:pStyle w:val="ListParagraph"/>
        <w:numPr>
          <w:ilvl w:val="0"/>
          <w:numId w:val="4"/>
        </w:numPr>
        <w:spacing w:after="0"/>
        <w:rPr>
          <w:rFonts w:ascii="Times New Roman" w:hAnsi="Times New Roman"/>
          <w:sz w:val="24"/>
          <w:szCs w:val="24"/>
        </w:rPr>
      </w:pPr>
      <w:r w:rsidRPr="00043BC1">
        <w:rPr>
          <w:rFonts w:ascii="Times New Roman" w:hAnsi="Times New Roman"/>
          <w:sz w:val="24"/>
          <w:szCs w:val="24"/>
        </w:rPr>
        <w:t>Printed in black and white with the USCG logo;</w:t>
      </w:r>
    </w:p>
    <w:p w:rsidR="005E2B26" w:rsidRPr="00043BC1" w:rsidRDefault="005E2B26" w:rsidP="000E4756">
      <w:pPr>
        <w:pStyle w:val="ListParagraph"/>
        <w:numPr>
          <w:ilvl w:val="0"/>
          <w:numId w:val="4"/>
        </w:numPr>
        <w:spacing w:after="0"/>
        <w:rPr>
          <w:rFonts w:ascii="Times New Roman" w:hAnsi="Times New Roman"/>
          <w:sz w:val="24"/>
          <w:szCs w:val="24"/>
        </w:rPr>
      </w:pPr>
      <w:r w:rsidRPr="00043BC1">
        <w:rPr>
          <w:rFonts w:ascii="Times New Roman" w:hAnsi="Times New Roman"/>
          <w:sz w:val="24"/>
          <w:szCs w:val="24"/>
        </w:rPr>
        <w:t xml:space="preserve">Printed with contact information from the USCG Office </w:t>
      </w:r>
      <w:r w:rsidR="000C7D5E">
        <w:rPr>
          <w:rFonts w:ascii="Times New Roman" w:hAnsi="Times New Roman"/>
          <w:sz w:val="24"/>
          <w:szCs w:val="24"/>
        </w:rPr>
        <w:t xml:space="preserve">of Law </w:t>
      </w:r>
      <w:r w:rsidR="000C7D5E" w:rsidRPr="00043BC1">
        <w:rPr>
          <w:rFonts w:ascii="Times New Roman" w:hAnsi="Times New Roman"/>
          <w:sz w:val="24"/>
          <w:szCs w:val="24"/>
        </w:rPr>
        <w:t xml:space="preserve">Enforcement </w:t>
      </w:r>
      <w:r w:rsidRPr="00043BC1">
        <w:rPr>
          <w:rFonts w:ascii="Times New Roman" w:hAnsi="Times New Roman"/>
          <w:sz w:val="24"/>
          <w:szCs w:val="24"/>
        </w:rPr>
        <w:t xml:space="preserve">for respondents who have questions about the </w:t>
      </w:r>
      <w:r w:rsidR="00920FC2">
        <w:rPr>
          <w:rFonts w:ascii="Times New Roman" w:hAnsi="Times New Roman"/>
          <w:sz w:val="24"/>
          <w:szCs w:val="24"/>
        </w:rPr>
        <w:t>survey</w:t>
      </w:r>
      <w:r w:rsidRPr="00043BC1">
        <w:rPr>
          <w:rFonts w:ascii="Times New Roman" w:hAnsi="Times New Roman"/>
          <w:sz w:val="24"/>
          <w:szCs w:val="24"/>
        </w:rPr>
        <w:t>;</w:t>
      </w:r>
    </w:p>
    <w:p w:rsidR="005E2B26" w:rsidRPr="00043BC1" w:rsidRDefault="005E2B26" w:rsidP="000E4756">
      <w:pPr>
        <w:pStyle w:val="ListParagraph"/>
        <w:numPr>
          <w:ilvl w:val="0"/>
          <w:numId w:val="4"/>
        </w:numPr>
        <w:spacing w:after="0"/>
        <w:rPr>
          <w:rFonts w:ascii="Times New Roman" w:hAnsi="Times New Roman"/>
          <w:sz w:val="24"/>
          <w:szCs w:val="24"/>
        </w:rPr>
      </w:pPr>
      <w:r w:rsidRPr="00043BC1">
        <w:rPr>
          <w:rFonts w:ascii="Times New Roman" w:hAnsi="Times New Roman"/>
          <w:sz w:val="24"/>
          <w:szCs w:val="24"/>
        </w:rPr>
        <w:t xml:space="preserve">The letters will be mailed in a “flat” mailing at the bulk USPS rate; </w:t>
      </w:r>
    </w:p>
    <w:p w:rsidR="005E2B26" w:rsidRDefault="005E2B26" w:rsidP="000E4756">
      <w:pPr>
        <w:pStyle w:val="ListParagraph"/>
        <w:numPr>
          <w:ilvl w:val="0"/>
          <w:numId w:val="4"/>
        </w:numPr>
        <w:spacing w:after="0"/>
        <w:rPr>
          <w:rFonts w:ascii="Times New Roman" w:hAnsi="Times New Roman"/>
          <w:sz w:val="24"/>
          <w:szCs w:val="24"/>
        </w:rPr>
      </w:pPr>
      <w:r w:rsidRPr="00043BC1">
        <w:rPr>
          <w:rFonts w:ascii="Times New Roman" w:hAnsi="Times New Roman"/>
          <w:sz w:val="24"/>
          <w:szCs w:val="24"/>
        </w:rPr>
        <w:t xml:space="preserve">Within three days of the notification letter, the </w:t>
      </w:r>
      <w:r w:rsidR="00920FC2">
        <w:rPr>
          <w:rFonts w:ascii="Times New Roman" w:hAnsi="Times New Roman"/>
          <w:sz w:val="24"/>
          <w:szCs w:val="24"/>
        </w:rPr>
        <w:t>survey</w:t>
      </w:r>
      <w:r w:rsidRPr="00043BC1">
        <w:rPr>
          <w:rFonts w:ascii="Times New Roman" w:hAnsi="Times New Roman"/>
          <w:sz w:val="24"/>
          <w:szCs w:val="24"/>
        </w:rPr>
        <w:t xml:space="preserve"> will be available to access online.</w:t>
      </w:r>
    </w:p>
    <w:p w:rsidR="000C7D5E" w:rsidRPr="00043BC1" w:rsidRDefault="000C7D5E" w:rsidP="000C7D5E">
      <w:pPr>
        <w:pStyle w:val="ListParagraph"/>
        <w:numPr>
          <w:ilvl w:val="0"/>
          <w:numId w:val="0"/>
        </w:numPr>
        <w:spacing w:after="0"/>
        <w:ind w:left="720"/>
        <w:rPr>
          <w:rFonts w:ascii="Times New Roman" w:hAnsi="Times New Roman"/>
          <w:sz w:val="24"/>
          <w:szCs w:val="24"/>
        </w:rPr>
      </w:pPr>
    </w:p>
    <w:p w:rsidR="005E2B26" w:rsidRDefault="005E2B26" w:rsidP="000E4756">
      <w:pPr>
        <w:rPr>
          <w:sz w:val="24"/>
          <w:szCs w:val="24"/>
        </w:rPr>
      </w:pPr>
      <w:r w:rsidRPr="00043BC1">
        <w:rPr>
          <w:sz w:val="24"/>
          <w:szCs w:val="24"/>
        </w:rPr>
        <w:t>Within four weeks of the first pre-</w:t>
      </w:r>
      <w:r w:rsidRPr="007B22FF">
        <w:rPr>
          <w:sz w:val="24"/>
          <w:szCs w:val="24"/>
        </w:rPr>
        <w:t>solicitation mailing; budget permitting, an additional reminder postcard may also be sent to the approximately 6</w:t>
      </w:r>
      <w:r w:rsidR="007B22FF">
        <w:rPr>
          <w:sz w:val="24"/>
          <w:szCs w:val="24"/>
        </w:rPr>
        <w:t>,</w:t>
      </w:r>
      <w:r w:rsidRPr="007B22FF">
        <w:rPr>
          <w:sz w:val="24"/>
          <w:szCs w:val="24"/>
        </w:rPr>
        <w:t>000 individuals for whom there is a record of a citation, warning or vessel boarding by law enforcement during the</w:t>
      </w:r>
      <w:r w:rsidRPr="00043BC1">
        <w:rPr>
          <w:sz w:val="24"/>
          <w:szCs w:val="24"/>
        </w:rPr>
        <w:t xml:space="preserve"> past three years, with the aim of increasing the response rate for individuals for whom there is some recent indication of possible non-compliance behavior. </w:t>
      </w:r>
    </w:p>
    <w:p w:rsidR="00043BC1" w:rsidRPr="00043BC1" w:rsidRDefault="00043BC1" w:rsidP="000E4756">
      <w:pPr>
        <w:rPr>
          <w:sz w:val="24"/>
          <w:szCs w:val="24"/>
        </w:rPr>
      </w:pPr>
    </w:p>
    <w:p w:rsidR="005E2B26" w:rsidRDefault="005E2B26" w:rsidP="000E4756">
      <w:pPr>
        <w:rPr>
          <w:sz w:val="24"/>
          <w:szCs w:val="24"/>
        </w:rPr>
      </w:pPr>
      <w:r w:rsidRPr="00043BC1">
        <w:rPr>
          <w:sz w:val="24"/>
          <w:szCs w:val="24"/>
        </w:rPr>
        <w:t xml:space="preserve">Online </w:t>
      </w:r>
      <w:r w:rsidR="00920FC2">
        <w:rPr>
          <w:sz w:val="24"/>
          <w:szCs w:val="24"/>
        </w:rPr>
        <w:t>Survey</w:t>
      </w:r>
      <w:r w:rsidRPr="00043BC1">
        <w:rPr>
          <w:sz w:val="24"/>
          <w:szCs w:val="24"/>
        </w:rPr>
        <w:t xml:space="preserve"> Results Processing and Data Entry: Results collected online will be processed by ABS Group Consulting on a weekly basis from the opening and closing period of the </w:t>
      </w:r>
      <w:r w:rsidR="00920FC2">
        <w:rPr>
          <w:sz w:val="24"/>
          <w:szCs w:val="24"/>
        </w:rPr>
        <w:t>survey</w:t>
      </w:r>
      <w:r w:rsidRPr="00043BC1">
        <w:rPr>
          <w:sz w:val="24"/>
          <w:szCs w:val="24"/>
        </w:rPr>
        <w:t>.</w:t>
      </w:r>
    </w:p>
    <w:p w:rsidR="00043BC1" w:rsidRPr="00043BC1" w:rsidRDefault="00043BC1" w:rsidP="000E4756">
      <w:pPr>
        <w:rPr>
          <w:sz w:val="24"/>
          <w:szCs w:val="24"/>
        </w:rPr>
      </w:pPr>
    </w:p>
    <w:p w:rsidR="005E2B26" w:rsidRPr="00043BC1" w:rsidRDefault="005E2B26" w:rsidP="000E4756">
      <w:pPr>
        <w:rPr>
          <w:sz w:val="24"/>
          <w:szCs w:val="24"/>
        </w:rPr>
      </w:pPr>
      <w:bookmarkStart w:id="10" w:name="_Toc194585345"/>
      <w:bookmarkStart w:id="11" w:name="_Toc206855135"/>
      <w:bookmarkStart w:id="12" w:name="_Ref217049054"/>
      <w:bookmarkStart w:id="13" w:name="_Ref217049061"/>
      <w:bookmarkStart w:id="14" w:name="_Toc217189622"/>
      <w:bookmarkStart w:id="15" w:name="_Toc216766798"/>
      <w:r w:rsidRPr="00043BC1">
        <w:rPr>
          <w:sz w:val="24"/>
          <w:szCs w:val="24"/>
        </w:rPr>
        <w:lastRenderedPageBreak/>
        <w:t>Data Collection Tracking System</w:t>
      </w:r>
      <w:bookmarkEnd w:id="10"/>
      <w:bookmarkEnd w:id="11"/>
      <w:bookmarkEnd w:id="12"/>
      <w:bookmarkEnd w:id="13"/>
      <w:bookmarkEnd w:id="14"/>
      <w:r w:rsidRPr="00043BC1">
        <w:rPr>
          <w:sz w:val="24"/>
          <w:szCs w:val="24"/>
        </w:rPr>
        <w:t>:</w:t>
      </w:r>
      <w:bookmarkEnd w:id="15"/>
      <w:r w:rsidRPr="00043BC1">
        <w:rPr>
          <w:sz w:val="24"/>
          <w:szCs w:val="24"/>
        </w:rPr>
        <w:t xml:space="preserve"> ABS Group Consulting will create a Microsoft Access database to store </w:t>
      </w:r>
      <w:r w:rsidR="00920FC2">
        <w:rPr>
          <w:sz w:val="24"/>
          <w:szCs w:val="24"/>
        </w:rPr>
        <w:t>survey</w:t>
      </w:r>
      <w:r w:rsidRPr="00043BC1">
        <w:rPr>
          <w:sz w:val="24"/>
          <w:szCs w:val="24"/>
        </w:rPr>
        <w:t xml:space="preserve"> data.  </w:t>
      </w:r>
    </w:p>
    <w:p w:rsidR="005E2B26" w:rsidRPr="00043BC1" w:rsidRDefault="005E2B26" w:rsidP="000E4756">
      <w:pPr>
        <w:pStyle w:val="Heading4"/>
        <w:ind w:left="864" w:hanging="864"/>
        <w:rPr>
          <w:rFonts w:ascii="Times New Roman" w:hAnsi="Times New Roman"/>
          <w:szCs w:val="24"/>
        </w:rPr>
      </w:pPr>
    </w:p>
    <w:p w:rsidR="00043BC1" w:rsidRPr="009D2FDB" w:rsidRDefault="005E2B26" w:rsidP="00043BC1">
      <w:pPr>
        <w:pStyle w:val="ListParagraph"/>
        <w:numPr>
          <w:ilvl w:val="1"/>
          <w:numId w:val="6"/>
        </w:numPr>
        <w:rPr>
          <w:rFonts w:ascii="Times New Roman" w:hAnsi="Times New Roman"/>
          <w:i/>
          <w:sz w:val="24"/>
          <w:szCs w:val="24"/>
        </w:rPr>
      </w:pPr>
      <w:bookmarkStart w:id="16" w:name="_Toc241407398"/>
      <w:bookmarkStart w:id="17" w:name="_Toc307927273"/>
      <w:r w:rsidRPr="009D2FDB">
        <w:rPr>
          <w:rFonts w:ascii="Times New Roman" w:hAnsi="Times New Roman"/>
          <w:i/>
          <w:sz w:val="24"/>
          <w:szCs w:val="24"/>
        </w:rPr>
        <w:t>Quality Control</w:t>
      </w:r>
      <w:bookmarkEnd w:id="16"/>
      <w:bookmarkEnd w:id="17"/>
    </w:p>
    <w:p w:rsidR="005E2B26" w:rsidRDefault="009D2FDB" w:rsidP="000E4756">
      <w:pPr>
        <w:pStyle w:val="TableofFigures"/>
        <w:spacing w:line="240" w:lineRule="auto"/>
        <w:rPr>
          <w:rFonts w:ascii="Times New Roman" w:hAnsi="Times New Roman"/>
          <w:b/>
          <w:sz w:val="24"/>
          <w:szCs w:val="24"/>
        </w:rPr>
      </w:pPr>
      <w:bookmarkStart w:id="18" w:name="_Toc307927283"/>
      <w:bookmarkStart w:id="19" w:name="_Toc241407399"/>
      <w:r w:rsidRPr="009D2FDB">
        <w:rPr>
          <w:rFonts w:ascii="Times New Roman" w:hAnsi="Times New Roman"/>
          <w:b/>
          <w:sz w:val="24"/>
          <w:szCs w:val="24"/>
        </w:rPr>
        <w:t>Table B.1</w:t>
      </w:r>
      <w:r w:rsidR="005E2B26" w:rsidRPr="009D2FDB">
        <w:rPr>
          <w:rFonts w:ascii="Times New Roman" w:hAnsi="Times New Roman"/>
          <w:b/>
          <w:sz w:val="24"/>
          <w:szCs w:val="24"/>
        </w:rPr>
        <w:t>: Quality Control Procedures</w:t>
      </w:r>
      <w:bookmarkEnd w:id="18"/>
    </w:p>
    <w:p w:rsidR="009D2FDB" w:rsidRPr="009D2FDB" w:rsidRDefault="009D2FDB" w:rsidP="009D2FDB"/>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002"/>
      </w:tblGrid>
      <w:tr w:rsidR="005E2B26" w:rsidRPr="00043BC1" w:rsidTr="009D2FDB">
        <w:trPr>
          <w:cnfStyle w:val="100000000000"/>
          <w:tblHeader/>
        </w:trPr>
        <w:tc>
          <w:tcPr>
            <w:cnfStyle w:val="001000000000"/>
            <w:tcW w:w="2358" w:type="dxa"/>
          </w:tcPr>
          <w:p w:rsidR="005E2B26" w:rsidRPr="00043BC1" w:rsidRDefault="00920FC2" w:rsidP="000E4756">
            <w:pPr>
              <w:rPr>
                <w:rFonts w:ascii="Times New Roman" w:hAnsi="Times New Roman"/>
                <w:sz w:val="24"/>
                <w:szCs w:val="24"/>
              </w:rPr>
            </w:pPr>
            <w:r>
              <w:rPr>
                <w:rFonts w:ascii="Times New Roman" w:hAnsi="Times New Roman"/>
                <w:sz w:val="24"/>
                <w:szCs w:val="24"/>
              </w:rPr>
              <w:t>Survey</w:t>
            </w:r>
            <w:r w:rsidR="005E2B26" w:rsidRPr="00043BC1">
              <w:rPr>
                <w:rFonts w:ascii="Times New Roman" w:hAnsi="Times New Roman"/>
                <w:sz w:val="24"/>
                <w:szCs w:val="24"/>
              </w:rPr>
              <w:t xml:space="preserve"> Step</w:t>
            </w:r>
          </w:p>
        </w:tc>
        <w:tc>
          <w:tcPr>
            <w:tcW w:w="7002" w:type="dxa"/>
          </w:tcPr>
          <w:p w:rsidR="005E2B26" w:rsidRPr="00043BC1" w:rsidRDefault="005E2B26" w:rsidP="009D2FDB">
            <w:pPr>
              <w:jc w:val="center"/>
              <w:cnfStyle w:val="100000000000"/>
              <w:rPr>
                <w:rFonts w:ascii="Times New Roman" w:hAnsi="Times New Roman"/>
                <w:sz w:val="24"/>
                <w:szCs w:val="24"/>
              </w:rPr>
            </w:pPr>
            <w:r w:rsidRPr="00043BC1">
              <w:rPr>
                <w:rFonts w:ascii="Times New Roman" w:hAnsi="Times New Roman"/>
                <w:sz w:val="24"/>
                <w:szCs w:val="24"/>
              </w:rPr>
              <w:t>Quality Control Procedures</w:t>
            </w:r>
          </w:p>
        </w:tc>
      </w:tr>
      <w:tr w:rsidR="00341F2C" w:rsidRPr="00043BC1" w:rsidTr="00BF1365">
        <w:trPr>
          <w:cnfStyle w:val="000000100000"/>
        </w:trPr>
        <w:tc>
          <w:tcPr>
            <w:cnfStyle w:val="001000000000"/>
            <w:tcW w:w="2358" w:type="dxa"/>
          </w:tcPr>
          <w:p w:rsidR="00341F2C" w:rsidRPr="00043BC1" w:rsidRDefault="00341F2C" w:rsidP="00BF1365">
            <w:pPr>
              <w:rPr>
                <w:rFonts w:ascii="Times New Roman" w:hAnsi="Times New Roman"/>
                <w:sz w:val="24"/>
                <w:szCs w:val="24"/>
              </w:rPr>
            </w:pPr>
            <w:r w:rsidRPr="00043BC1">
              <w:rPr>
                <w:rFonts w:ascii="Times New Roman" w:hAnsi="Times New Roman"/>
                <w:sz w:val="24"/>
                <w:szCs w:val="24"/>
              </w:rPr>
              <w:t>Input of Mail Data</w:t>
            </w:r>
          </w:p>
        </w:tc>
        <w:tc>
          <w:tcPr>
            <w:tcW w:w="7002" w:type="dxa"/>
          </w:tcPr>
          <w:p w:rsidR="00341F2C" w:rsidRPr="00213FB5" w:rsidRDefault="00341F2C" w:rsidP="00BF1365">
            <w:pPr>
              <w:pStyle w:val="NRBSBulletLevel1"/>
              <w:spacing w:after="0"/>
              <w:cnfStyle w:val="000000100000"/>
              <w:rPr>
                <w:rFonts w:ascii="Times New Roman" w:hAnsi="Times New Roman"/>
                <w:sz w:val="24"/>
                <w:szCs w:val="24"/>
              </w:rPr>
            </w:pPr>
            <w:r w:rsidRPr="00341F2C">
              <w:rPr>
                <w:rFonts w:ascii="Times New Roman" w:hAnsi="Times New Roman"/>
                <w:sz w:val="24"/>
                <w:szCs w:val="24"/>
              </w:rPr>
              <w:t>Mailing addresses entered by data entry staff will be verified at 100 percent through the use of double data entry as well as custom range and logic checks incorporated into the data entry system.</w:t>
            </w:r>
            <w:r w:rsidRPr="00043BC1">
              <w:rPr>
                <w:rFonts w:ascii="Times New Roman" w:hAnsi="Times New Roman"/>
                <w:sz w:val="24"/>
                <w:szCs w:val="24"/>
              </w:rPr>
              <w:t xml:space="preserve"> </w:t>
            </w:r>
          </w:p>
        </w:tc>
      </w:tr>
      <w:tr w:rsidR="005E2B26" w:rsidRPr="00043BC1" w:rsidTr="009D2FDB">
        <w:tc>
          <w:tcPr>
            <w:cnfStyle w:val="001000000000"/>
            <w:tcW w:w="2358" w:type="dxa"/>
          </w:tcPr>
          <w:p w:rsidR="005E2B26" w:rsidRPr="00043BC1" w:rsidRDefault="005E2B26" w:rsidP="000E4756">
            <w:pPr>
              <w:rPr>
                <w:rFonts w:ascii="Times New Roman" w:hAnsi="Times New Roman"/>
                <w:sz w:val="24"/>
                <w:szCs w:val="24"/>
              </w:rPr>
            </w:pPr>
            <w:r w:rsidRPr="00043BC1">
              <w:rPr>
                <w:rFonts w:ascii="Times New Roman" w:hAnsi="Times New Roman"/>
                <w:sz w:val="24"/>
                <w:szCs w:val="24"/>
              </w:rPr>
              <w:t xml:space="preserve">Printing of Mail </w:t>
            </w:r>
            <w:r w:rsidR="00920FC2">
              <w:rPr>
                <w:rFonts w:ascii="Times New Roman" w:hAnsi="Times New Roman"/>
                <w:sz w:val="24"/>
                <w:szCs w:val="24"/>
              </w:rPr>
              <w:t>Survey</w:t>
            </w:r>
            <w:r w:rsidRPr="00043BC1">
              <w:rPr>
                <w:rFonts w:ascii="Times New Roman" w:hAnsi="Times New Roman"/>
                <w:sz w:val="24"/>
                <w:szCs w:val="24"/>
              </w:rPr>
              <w:t>s</w:t>
            </w:r>
          </w:p>
        </w:tc>
        <w:tc>
          <w:tcPr>
            <w:tcW w:w="7002" w:type="dxa"/>
          </w:tcPr>
          <w:p w:rsidR="005E2B26" w:rsidRPr="00043BC1" w:rsidRDefault="005E2B26" w:rsidP="000E4756">
            <w:pPr>
              <w:pStyle w:val="NRBSBulletLevel1"/>
              <w:spacing w:after="0"/>
              <w:cnfStyle w:val="000000000000"/>
              <w:rPr>
                <w:rFonts w:ascii="Times New Roman" w:hAnsi="Times New Roman"/>
                <w:sz w:val="24"/>
                <w:szCs w:val="24"/>
              </w:rPr>
            </w:pPr>
            <w:r w:rsidRPr="00043BC1">
              <w:rPr>
                <w:rFonts w:ascii="Times New Roman" w:hAnsi="Times New Roman"/>
                <w:sz w:val="24"/>
                <w:szCs w:val="24"/>
              </w:rPr>
              <w:t>Printing will be completed by a professional printing service that will print large volumes very quickly, at good quality and at low cost. Accuracy of insertion (i.e., address information on all mailed pieces) will be checked by hand for at least 10 percent of the total outgoing pieces</w:t>
            </w:r>
          </w:p>
        </w:tc>
      </w:tr>
      <w:tr w:rsidR="005E2B26" w:rsidRPr="00043BC1" w:rsidTr="009D2FDB">
        <w:trPr>
          <w:cnfStyle w:val="000000100000"/>
        </w:trPr>
        <w:tc>
          <w:tcPr>
            <w:cnfStyle w:val="001000000000"/>
            <w:tcW w:w="2358" w:type="dxa"/>
            <w:tcBorders>
              <w:top w:val="none" w:sz="0" w:space="0" w:color="auto"/>
              <w:left w:val="none" w:sz="0" w:space="0" w:color="auto"/>
              <w:bottom w:val="none" w:sz="0" w:space="0" w:color="auto"/>
            </w:tcBorders>
          </w:tcPr>
          <w:p w:rsidR="005E2B26" w:rsidRPr="00043BC1" w:rsidRDefault="005E2B26" w:rsidP="000E4756">
            <w:pPr>
              <w:rPr>
                <w:rFonts w:ascii="Times New Roman" w:hAnsi="Times New Roman"/>
                <w:sz w:val="24"/>
                <w:szCs w:val="24"/>
              </w:rPr>
            </w:pPr>
            <w:r w:rsidRPr="00043BC1">
              <w:rPr>
                <w:rFonts w:ascii="Times New Roman" w:hAnsi="Times New Roman"/>
                <w:sz w:val="24"/>
                <w:szCs w:val="24"/>
              </w:rPr>
              <w:t xml:space="preserve">Programming Web </w:t>
            </w:r>
            <w:r w:rsidR="00920FC2">
              <w:rPr>
                <w:rFonts w:ascii="Times New Roman" w:hAnsi="Times New Roman"/>
                <w:sz w:val="24"/>
                <w:szCs w:val="24"/>
              </w:rPr>
              <w:t>Survey</w:t>
            </w:r>
          </w:p>
        </w:tc>
        <w:tc>
          <w:tcPr>
            <w:tcW w:w="7002" w:type="dxa"/>
            <w:tcBorders>
              <w:top w:val="none" w:sz="0" w:space="0" w:color="auto"/>
              <w:bottom w:val="none" w:sz="0" w:space="0" w:color="auto"/>
              <w:right w:val="none" w:sz="0" w:space="0" w:color="auto"/>
            </w:tcBorders>
          </w:tcPr>
          <w:p w:rsidR="00213FB5" w:rsidRDefault="005E2B26" w:rsidP="00213FB5">
            <w:pPr>
              <w:pStyle w:val="NRBSBulletLevel1"/>
              <w:spacing w:after="0"/>
              <w:cnfStyle w:val="000000100000"/>
              <w:rPr>
                <w:rFonts w:ascii="Times New Roman" w:hAnsi="Times New Roman"/>
                <w:sz w:val="24"/>
                <w:szCs w:val="24"/>
              </w:rPr>
            </w:pPr>
            <w:r w:rsidRPr="00043BC1">
              <w:rPr>
                <w:rFonts w:ascii="Times New Roman" w:hAnsi="Times New Roman"/>
                <w:color w:val="000000"/>
                <w:sz w:val="24"/>
                <w:szCs w:val="24"/>
              </w:rPr>
              <w:t>Visual review of every question (100%)</w:t>
            </w:r>
          </w:p>
          <w:p w:rsidR="005E2B26" w:rsidRPr="00213FB5" w:rsidRDefault="00213FB5" w:rsidP="00341F2C">
            <w:pPr>
              <w:pStyle w:val="NRBSBulletLevel1"/>
              <w:spacing w:after="0"/>
              <w:cnfStyle w:val="000000100000"/>
              <w:rPr>
                <w:rFonts w:ascii="Times New Roman" w:hAnsi="Times New Roman"/>
                <w:sz w:val="24"/>
                <w:szCs w:val="24"/>
              </w:rPr>
            </w:pPr>
            <w:r w:rsidRPr="00341F2C">
              <w:rPr>
                <w:rFonts w:ascii="Times New Roman" w:hAnsi="Times New Roman"/>
                <w:sz w:val="24"/>
                <w:szCs w:val="24"/>
              </w:rPr>
              <w:t xml:space="preserve">Data from </w:t>
            </w:r>
            <w:r w:rsidR="00341F2C" w:rsidRPr="00341F2C">
              <w:rPr>
                <w:rFonts w:ascii="Times New Roman" w:hAnsi="Times New Roman"/>
                <w:sz w:val="24"/>
                <w:szCs w:val="24"/>
              </w:rPr>
              <w:t>submitted</w:t>
            </w:r>
            <w:r w:rsidRPr="00341F2C">
              <w:rPr>
                <w:rFonts w:ascii="Times New Roman" w:hAnsi="Times New Roman"/>
                <w:sz w:val="24"/>
                <w:szCs w:val="24"/>
              </w:rPr>
              <w:t xml:space="preserve"> surveys will be </w:t>
            </w:r>
            <w:r w:rsidR="00341F2C" w:rsidRPr="00341F2C">
              <w:rPr>
                <w:rFonts w:ascii="Times New Roman" w:hAnsi="Times New Roman"/>
                <w:sz w:val="24"/>
                <w:szCs w:val="24"/>
              </w:rPr>
              <w:t>processed</w:t>
            </w:r>
            <w:r w:rsidRPr="00341F2C">
              <w:rPr>
                <w:rFonts w:ascii="Times New Roman" w:hAnsi="Times New Roman"/>
                <w:sz w:val="24"/>
                <w:szCs w:val="24"/>
              </w:rPr>
              <w:t xml:space="preserve"> within five business days.</w:t>
            </w:r>
          </w:p>
        </w:tc>
      </w:tr>
    </w:tbl>
    <w:p w:rsidR="005E2B26" w:rsidRPr="00043BC1" w:rsidRDefault="005E2B26" w:rsidP="000E4756">
      <w:pPr>
        <w:rPr>
          <w:sz w:val="24"/>
          <w:szCs w:val="24"/>
        </w:rPr>
      </w:pPr>
    </w:p>
    <w:p w:rsidR="005E2B26" w:rsidRPr="00043BC1" w:rsidRDefault="005E2B26" w:rsidP="000E4756">
      <w:pPr>
        <w:pStyle w:val="Heading2"/>
        <w:keepLines/>
        <w:widowControl/>
        <w:numPr>
          <w:ilvl w:val="0"/>
          <w:numId w:val="6"/>
        </w:numPr>
        <w:tabs>
          <w:tab w:val="clear" w:pos="576"/>
          <w:tab w:val="clear" w:pos="1440"/>
        </w:tabs>
        <w:spacing w:before="120"/>
        <w:rPr>
          <w:rFonts w:ascii="Times New Roman" w:hAnsi="Times New Roman"/>
          <w:szCs w:val="24"/>
        </w:rPr>
      </w:pPr>
      <w:bookmarkStart w:id="20" w:name="_Toc307927274"/>
      <w:bookmarkStart w:id="21" w:name="_Toc308005724"/>
      <w:r w:rsidRPr="00043BC1">
        <w:rPr>
          <w:rFonts w:ascii="Times New Roman" w:hAnsi="Times New Roman"/>
          <w:szCs w:val="24"/>
        </w:rPr>
        <w:t>Methods to Maximize Response Rates and Deal with Non-response</w:t>
      </w:r>
      <w:bookmarkEnd w:id="19"/>
      <w:bookmarkEnd w:id="20"/>
      <w:bookmarkEnd w:id="21"/>
    </w:p>
    <w:p w:rsidR="009D2FDB" w:rsidRDefault="009D2FDB" w:rsidP="000E4756">
      <w:pPr>
        <w:rPr>
          <w:sz w:val="24"/>
          <w:szCs w:val="24"/>
        </w:rPr>
      </w:pPr>
    </w:p>
    <w:p w:rsidR="005E2B26" w:rsidRPr="00043BC1" w:rsidRDefault="005E2B26" w:rsidP="000E4756">
      <w:pPr>
        <w:rPr>
          <w:sz w:val="24"/>
          <w:szCs w:val="24"/>
        </w:rPr>
      </w:pPr>
      <w:bookmarkStart w:id="22" w:name="_Toc241407401"/>
      <w:r w:rsidRPr="00043BC1">
        <w:rPr>
          <w:sz w:val="24"/>
          <w:szCs w:val="24"/>
        </w:rPr>
        <w:t xml:space="preserve">To maximize response rates, we will have designed </w:t>
      </w:r>
      <w:r w:rsidR="00920FC2">
        <w:rPr>
          <w:sz w:val="24"/>
          <w:szCs w:val="24"/>
        </w:rPr>
        <w:t>survey</w:t>
      </w:r>
      <w:r w:rsidRPr="00043BC1">
        <w:rPr>
          <w:sz w:val="24"/>
          <w:szCs w:val="24"/>
        </w:rPr>
        <w:t xml:space="preserve"> systems for online data collection that seek to obtain every possible response without the need for respondents to retain mailed paper </w:t>
      </w:r>
      <w:r w:rsidR="00920FC2">
        <w:rPr>
          <w:sz w:val="24"/>
          <w:szCs w:val="24"/>
        </w:rPr>
        <w:t>survey</w:t>
      </w:r>
      <w:r w:rsidRPr="00043BC1">
        <w:rPr>
          <w:sz w:val="24"/>
          <w:szCs w:val="24"/>
        </w:rPr>
        <w:t xml:space="preserve"> forms until they find a convenient time to respond.  </w:t>
      </w:r>
      <w:r w:rsidR="00EB7D5E">
        <w:rPr>
          <w:sz w:val="24"/>
          <w:szCs w:val="24"/>
        </w:rPr>
        <w:t xml:space="preserve">The </w:t>
      </w:r>
      <w:r w:rsidRPr="00043BC1">
        <w:rPr>
          <w:sz w:val="24"/>
          <w:szCs w:val="24"/>
        </w:rPr>
        <w:t xml:space="preserve">initial </w:t>
      </w:r>
      <w:r w:rsidR="006A496C">
        <w:rPr>
          <w:sz w:val="24"/>
          <w:szCs w:val="24"/>
        </w:rPr>
        <w:t xml:space="preserve">and follow-up </w:t>
      </w:r>
      <w:r w:rsidRPr="00043BC1">
        <w:rPr>
          <w:sz w:val="24"/>
          <w:szCs w:val="24"/>
        </w:rPr>
        <w:t xml:space="preserve">letter of notification of online posting of the </w:t>
      </w:r>
      <w:r w:rsidR="00920FC2">
        <w:rPr>
          <w:sz w:val="24"/>
          <w:szCs w:val="24"/>
        </w:rPr>
        <w:t>survey</w:t>
      </w:r>
      <w:r w:rsidRPr="00043BC1">
        <w:rPr>
          <w:sz w:val="24"/>
          <w:szCs w:val="24"/>
        </w:rPr>
        <w:t xml:space="preserve"> </w:t>
      </w:r>
      <w:r w:rsidR="00EB7D5E">
        <w:rPr>
          <w:sz w:val="24"/>
          <w:szCs w:val="24"/>
        </w:rPr>
        <w:t>is one means that will be used to increase the response rate.  In addition</w:t>
      </w:r>
      <w:r w:rsidRPr="00043BC1">
        <w:rPr>
          <w:sz w:val="24"/>
          <w:szCs w:val="24"/>
        </w:rPr>
        <w:t xml:space="preserve">, as a means to promote timely </w:t>
      </w:r>
      <w:r w:rsidR="00920FC2">
        <w:rPr>
          <w:sz w:val="24"/>
          <w:szCs w:val="24"/>
        </w:rPr>
        <w:t>survey</w:t>
      </w:r>
      <w:r w:rsidR="006A496C">
        <w:rPr>
          <w:sz w:val="24"/>
          <w:szCs w:val="24"/>
        </w:rPr>
        <w:t xml:space="preserve"> response, we will </w:t>
      </w:r>
      <w:r w:rsidRPr="00043BC1">
        <w:rPr>
          <w:sz w:val="24"/>
          <w:szCs w:val="24"/>
        </w:rPr>
        <w:t xml:space="preserve">state in the pre-solicitation letters we will mail to potential respondents that upon completing the online </w:t>
      </w:r>
      <w:r w:rsidR="00920FC2">
        <w:rPr>
          <w:sz w:val="24"/>
          <w:szCs w:val="24"/>
        </w:rPr>
        <w:t>survey</w:t>
      </w:r>
      <w:r w:rsidRPr="00043BC1">
        <w:rPr>
          <w:sz w:val="24"/>
          <w:szCs w:val="24"/>
        </w:rPr>
        <w:t xml:space="preserve">, respondents will be given the opportunity to enter </w:t>
      </w:r>
      <w:r w:rsidR="00EB7D5E">
        <w:rPr>
          <w:sz w:val="24"/>
          <w:szCs w:val="24"/>
        </w:rPr>
        <w:t>a raffle for a series of prizes as described in A.9.</w:t>
      </w:r>
      <w:bookmarkEnd w:id="22"/>
      <w:r w:rsidR="00EB7D5E">
        <w:rPr>
          <w:sz w:val="24"/>
          <w:szCs w:val="24"/>
        </w:rPr>
        <w:t xml:space="preserve">  </w:t>
      </w:r>
      <w:r w:rsidRPr="00043BC1">
        <w:rPr>
          <w:sz w:val="24"/>
          <w:szCs w:val="24"/>
        </w:rPr>
        <w:t xml:space="preserve">To statistically account for non-response, </w:t>
      </w:r>
      <w:r w:rsidR="00EB7D5E">
        <w:rPr>
          <w:sz w:val="24"/>
          <w:szCs w:val="24"/>
        </w:rPr>
        <w:t>ABS Consulting</w:t>
      </w:r>
      <w:r w:rsidRPr="00043BC1">
        <w:rPr>
          <w:sz w:val="24"/>
          <w:szCs w:val="24"/>
        </w:rPr>
        <w:t xml:space="preserve"> will adjust the final data obtained regarding the population of permitted fishermen and the population of participants in the </w:t>
      </w:r>
      <w:r w:rsidR="00920FC2">
        <w:rPr>
          <w:sz w:val="24"/>
          <w:szCs w:val="24"/>
        </w:rPr>
        <w:t>survey</w:t>
      </w:r>
      <w:r w:rsidRPr="00043BC1">
        <w:rPr>
          <w:sz w:val="24"/>
          <w:szCs w:val="24"/>
        </w:rPr>
        <w:t xml:space="preserve"> based on the standards outlined in the OMB guidelines for statistical surveys. </w:t>
      </w:r>
    </w:p>
    <w:p w:rsidR="005E2B26" w:rsidRDefault="005E2B26" w:rsidP="000E4756">
      <w:pPr>
        <w:pStyle w:val="Heading2"/>
        <w:keepLines/>
        <w:widowControl/>
        <w:numPr>
          <w:ilvl w:val="0"/>
          <w:numId w:val="6"/>
        </w:numPr>
        <w:tabs>
          <w:tab w:val="clear" w:pos="576"/>
          <w:tab w:val="clear" w:pos="1440"/>
        </w:tabs>
        <w:spacing w:before="120"/>
        <w:rPr>
          <w:rFonts w:ascii="Times New Roman" w:hAnsi="Times New Roman"/>
          <w:szCs w:val="24"/>
        </w:rPr>
      </w:pPr>
      <w:bookmarkStart w:id="23" w:name="_Toc241407402"/>
      <w:bookmarkStart w:id="24" w:name="_Toc307927277"/>
      <w:bookmarkStart w:id="25" w:name="_Toc308005725"/>
      <w:r w:rsidRPr="00043BC1">
        <w:rPr>
          <w:rFonts w:ascii="Times New Roman" w:hAnsi="Times New Roman"/>
          <w:szCs w:val="24"/>
        </w:rPr>
        <w:t>Tests of Procedures or Methods to be Undertaken</w:t>
      </w:r>
      <w:bookmarkEnd w:id="23"/>
      <w:bookmarkEnd w:id="24"/>
      <w:bookmarkEnd w:id="25"/>
    </w:p>
    <w:p w:rsidR="00884942" w:rsidRPr="00884942" w:rsidRDefault="00884942" w:rsidP="00884942"/>
    <w:p w:rsidR="005E2B26" w:rsidRPr="00043BC1" w:rsidRDefault="005E2B26" w:rsidP="000E4756">
      <w:pPr>
        <w:rPr>
          <w:sz w:val="24"/>
          <w:szCs w:val="24"/>
        </w:rPr>
      </w:pPr>
      <w:r w:rsidRPr="00043BC1">
        <w:rPr>
          <w:sz w:val="24"/>
          <w:szCs w:val="24"/>
        </w:rPr>
        <w:t xml:space="preserve">In the process of designing the </w:t>
      </w:r>
      <w:r w:rsidR="00920FC2">
        <w:rPr>
          <w:sz w:val="24"/>
          <w:szCs w:val="24"/>
        </w:rPr>
        <w:t>survey</w:t>
      </w:r>
      <w:r w:rsidRPr="00043BC1">
        <w:rPr>
          <w:sz w:val="24"/>
          <w:szCs w:val="24"/>
        </w:rPr>
        <w:t xml:space="preserve">, we have performed reviews of </w:t>
      </w:r>
      <w:r w:rsidR="00920FC2">
        <w:rPr>
          <w:sz w:val="24"/>
          <w:szCs w:val="24"/>
        </w:rPr>
        <w:t>survey</w:t>
      </w:r>
      <w:r w:rsidRPr="00043BC1">
        <w:rPr>
          <w:sz w:val="24"/>
          <w:szCs w:val="24"/>
        </w:rPr>
        <w:t xml:space="preserve"> items with subject matter experts at the USCG, NOAA and at ABS Group Consulting, to gauge and improve understandability and completion time of the </w:t>
      </w:r>
      <w:r w:rsidR="00920FC2">
        <w:rPr>
          <w:sz w:val="24"/>
          <w:szCs w:val="24"/>
        </w:rPr>
        <w:t>survey</w:t>
      </w:r>
      <w:r w:rsidRPr="00043BC1">
        <w:rPr>
          <w:sz w:val="24"/>
          <w:szCs w:val="24"/>
        </w:rPr>
        <w:t xml:space="preserve">.  We do not plan further testing </w:t>
      </w:r>
      <w:proofErr w:type="gramStart"/>
      <w:r w:rsidRPr="00043BC1">
        <w:rPr>
          <w:sz w:val="24"/>
          <w:szCs w:val="24"/>
        </w:rPr>
        <w:t>nor</w:t>
      </w:r>
      <w:proofErr w:type="gramEnd"/>
      <w:r w:rsidRPr="00043BC1">
        <w:rPr>
          <w:sz w:val="24"/>
          <w:szCs w:val="24"/>
        </w:rPr>
        <w:t xml:space="preserve"> experimentation regarding </w:t>
      </w:r>
      <w:r w:rsidR="00920FC2">
        <w:rPr>
          <w:sz w:val="24"/>
          <w:szCs w:val="24"/>
        </w:rPr>
        <w:t>survey</w:t>
      </w:r>
      <w:r w:rsidRPr="00043BC1">
        <w:rPr>
          <w:sz w:val="24"/>
          <w:szCs w:val="24"/>
        </w:rPr>
        <w:t xml:space="preserve"> items nor data collection methods.  </w:t>
      </w:r>
    </w:p>
    <w:p w:rsidR="00884942" w:rsidRPr="00884942" w:rsidRDefault="005E2B26" w:rsidP="00884942">
      <w:pPr>
        <w:pStyle w:val="Heading2"/>
        <w:keepLines/>
        <w:widowControl/>
        <w:numPr>
          <w:ilvl w:val="0"/>
          <w:numId w:val="6"/>
        </w:numPr>
        <w:tabs>
          <w:tab w:val="clear" w:pos="576"/>
          <w:tab w:val="clear" w:pos="1440"/>
        </w:tabs>
        <w:spacing w:before="120"/>
        <w:rPr>
          <w:rFonts w:ascii="Times New Roman" w:hAnsi="Times New Roman"/>
          <w:szCs w:val="24"/>
        </w:rPr>
      </w:pPr>
      <w:bookmarkStart w:id="26" w:name="_Toc241407403"/>
      <w:bookmarkStart w:id="27" w:name="_Toc307927278"/>
      <w:bookmarkStart w:id="28" w:name="_Toc308005726"/>
      <w:r w:rsidRPr="00043BC1">
        <w:rPr>
          <w:rFonts w:ascii="Times New Roman" w:hAnsi="Times New Roman"/>
          <w:szCs w:val="24"/>
        </w:rPr>
        <w:t>Individuals Consulted on Statistical Aspects and Individuals Collecting or Analyzing the Data</w:t>
      </w:r>
      <w:bookmarkEnd w:id="26"/>
      <w:bookmarkEnd w:id="27"/>
      <w:bookmarkEnd w:id="28"/>
    </w:p>
    <w:p w:rsidR="000F6D75" w:rsidRDefault="000F6D75" w:rsidP="000E4756">
      <w:pPr>
        <w:pStyle w:val="NoSpacing"/>
        <w:rPr>
          <w:rFonts w:ascii="Times New Roman" w:hAnsi="Times New Roman" w:cs="Times New Roman"/>
          <w:sz w:val="24"/>
          <w:szCs w:val="24"/>
        </w:rPr>
      </w:pPr>
    </w:p>
    <w:p w:rsidR="00992BE0" w:rsidRDefault="005E2B26" w:rsidP="000E4756">
      <w:pPr>
        <w:pStyle w:val="NoSpacing"/>
        <w:rPr>
          <w:rFonts w:ascii="Times New Roman" w:hAnsi="Times New Roman" w:cs="Times New Roman"/>
          <w:sz w:val="24"/>
          <w:szCs w:val="24"/>
        </w:rPr>
      </w:pPr>
      <w:r w:rsidRPr="00043BC1">
        <w:rPr>
          <w:rFonts w:ascii="Times New Roman" w:hAnsi="Times New Roman" w:cs="Times New Roman"/>
          <w:sz w:val="24"/>
          <w:szCs w:val="24"/>
        </w:rPr>
        <w:t>The contractor responsible for the data collection</w:t>
      </w:r>
      <w:r w:rsidR="00AB047B">
        <w:rPr>
          <w:rFonts w:ascii="Times New Roman" w:hAnsi="Times New Roman" w:cs="Times New Roman"/>
          <w:sz w:val="24"/>
          <w:szCs w:val="24"/>
        </w:rPr>
        <w:t xml:space="preserve"> and analysis</w:t>
      </w:r>
      <w:r w:rsidRPr="00043BC1">
        <w:rPr>
          <w:rFonts w:ascii="Times New Roman" w:hAnsi="Times New Roman" w:cs="Times New Roman"/>
          <w:sz w:val="24"/>
          <w:szCs w:val="24"/>
        </w:rPr>
        <w:t xml:space="preserve"> </w:t>
      </w:r>
      <w:r w:rsidR="000F6D75">
        <w:rPr>
          <w:rFonts w:ascii="Times New Roman" w:hAnsi="Times New Roman" w:cs="Times New Roman"/>
          <w:sz w:val="24"/>
          <w:szCs w:val="24"/>
        </w:rPr>
        <w:t xml:space="preserve">(including statistical analysis) </w:t>
      </w:r>
      <w:r w:rsidRPr="00043BC1">
        <w:rPr>
          <w:rFonts w:ascii="Times New Roman" w:hAnsi="Times New Roman" w:cs="Times New Roman"/>
          <w:sz w:val="24"/>
          <w:szCs w:val="24"/>
        </w:rPr>
        <w:t>is ABS Group Consulting located at 1525 Wilson Boulevard, Suite 625, Arlington, Virginia 22209.</w:t>
      </w:r>
      <w:r w:rsidR="00057EBB">
        <w:rPr>
          <w:rFonts w:ascii="Times New Roman" w:hAnsi="Times New Roman" w:cs="Times New Roman"/>
          <w:sz w:val="24"/>
          <w:szCs w:val="24"/>
        </w:rPr>
        <w:t xml:space="preserve"> Ms. Sue Kim of ABS Group Consulting is the project lead for this contract.</w:t>
      </w:r>
    </w:p>
    <w:p w:rsidR="00992BE0" w:rsidRDefault="00992BE0" w:rsidP="000E4756">
      <w:pPr>
        <w:pStyle w:val="NoSpacing"/>
        <w:rPr>
          <w:rFonts w:ascii="Times New Roman" w:hAnsi="Times New Roman" w:cs="Times New Roman"/>
          <w:sz w:val="24"/>
          <w:szCs w:val="24"/>
        </w:rPr>
      </w:pPr>
    </w:p>
    <w:p w:rsidR="00992BE0" w:rsidRPr="00043BC1" w:rsidRDefault="00992BE0" w:rsidP="000E4756">
      <w:pPr>
        <w:pStyle w:val="NoSpacing"/>
        <w:rPr>
          <w:rFonts w:ascii="Times New Roman" w:hAnsi="Times New Roman" w:cs="Times New Roman"/>
          <w:sz w:val="24"/>
          <w:szCs w:val="24"/>
        </w:rPr>
      </w:pPr>
      <w:r>
        <w:rPr>
          <w:rFonts w:ascii="Times New Roman" w:hAnsi="Times New Roman" w:cs="Times New Roman"/>
          <w:sz w:val="24"/>
          <w:szCs w:val="24"/>
        </w:rPr>
        <w:t>The office responsible for initiating and overseeing the LMR Enforcement Survey is the U.S. Coast Gu</w:t>
      </w:r>
      <w:r w:rsidR="000B2629">
        <w:rPr>
          <w:rFonts w:ascii="Times New Roman" w:hAnsi="Times New Roman" w:cs="Times New Roman"/>
          <w:sz w:val="24"/>
          <w:szCs w:val="24"/>
        </w:rPr>
        <w:t xml:space="preserve">ard Office of Law Enforcement, </w:t>
      </w:r>
      <w:r>
        <w:rPr>
          <w:rFonts w:ascii="Times New Roman" w:hAnsi="Times New Roman" w:cs="Times New Roman"/>
          <w:sz w:val="24"/>
          <w:szCs w:val="24"/>
        </w:rPr>
        <w:t>2100 2</w:t>
      </w:r>
      <w:r w:rsidRPr="00992BE0">
        <w:rPr>
          <w:rFonts w:ascii="Times New Roman" w:hAnsi="Times New Roman" w:cs="Times New Roman"/>
          <w:sz w:val="24"/>
          <w:szCs w:val="24"/>
          <w:vertAlign w:val="superscript"/>
        </w:rPr>
        <w:t>nd</w:t>
      </w:r>
      <w:r>
        <w:rPr>
          <w:rFonts w:ascii="Times New Roman" w:hAnsi="Times New Roman" w:cs="Times New Roman"/>
          <w:sz w:val="24"/>
          <w:szCs w:val="24"/>
        </w:rPr>
        <w:t xml:space="preserve"> St SW, Washington, DC 20001</w:t>
      </w:r>
      <w:r w:rsidR="000B2629">
        <w:rPr>
          <w:rFonts w:ascii="Times New Roman" w:hAnsi="Times New Roman" w:cs="Times New Roman"/>
          <w:sz w:val="24"/>
          <w:szCs w:val="24"/>
        </w:rPr>
        <w:t>. LT Meaghan Brosnan is the office point of contact for this issue.</w:t>
      </w:r>
    </w:p>
    <w:p w:rsidR="00992BE0" w:rsidRDefault="00992BE0">
      <w:pPr>
        <w:rPr>
          <w:b/>
          <w:sz w:val="24"/>
          <w:u w:val="single"/>
        </w:rPr>
      </w:pPr>
      <w:bookmarkStart w:id="29" w:name="_Toc307927282"/>
      <w:bookmarkStart w:id="30" w:name="_Toc308005727"/>
      <w:r>
        <w:rPr>
          <w:u w:val="single"/>
        </w:rPr>
        <w:br w:type="page"/>
      </w:r>
    </w:p>
    <w:p w:rsidR="005E2B26" w:rsidRPr="00080CC8" w:rsidRDefault="005E2B26" w:rsidP="000E4756">
      <w:pPr>
        <w:pStyle w:val="Heading1"/>
        <w:ind w:left="432" w:hanging="432"/>
        <w:jc w:val="left"/>
        <w:rPr>
          <w:rFonts w:ascii="Times New Roman" w:hAnsi="Times New Roman"/>
          <w:u w:val="single"/>
        </w:rPr>
      </w:pPr>
      <w:r w:rsidRPr="00080CC8">
        <w:rPr>
          <w:rFonts w:ascii="Times New Roman" w:hAnsi="Times New Roman"/>
          <w:u w:val="single"/>
        </w:rPr>
        <w:lastRenderedPageBreak/>
        <w:t>References</w:t>
      </w:r>
      <w:bookmarkEnd w:id="29"/>
      <w:bookmarkEnd w:id="30"/>
    </w:p>
    <w:p w:rsidR="00080CC8" w:rsidRPr="00080CC8" w:rsidRDefault="00080CC8" w:rsidP="00080CC8"/>
    <w:p w:rsidR="005E2B26" w:rsidRDefault="00676B79" w:rsidP="000E4756">
      <w:pPr>
        <w:ind w:left="720" w:hanging="720"/>
        <w:rPr>
          <w:sz w:val="24"/>
        </w:rPr>
      </w:pPr>
      <w:r w:rsidRPr="000E4756">
        <w:fldChar w:fldCharType="begin"/>
      </w:r>
      <w:r w:rsidR="005E2B26" w:rsidRPr="000E4756">
        <w:instrText xml:space="preserve"> ADDIN EN.REFLIST </w:instrText>
      </w:r>
      <w:r w:rsidRPr="000E4756">
        <w:fldChar w:fldCharType="separate"/>
      </w:r>
      <w:r w:rsidR="005E2B26" w:rsidRPr="000E4756">
        <w:rPr>
          <w:sz w:val="24"/>
        </w:rPr>
        <w:t>King, D. M., E. Price, A. Van Buren, C. Shearin, K. J. Mengerink, R. D. Porter, J. G. Sutinen, A. Rosenberg and J. H. Swasey (2009). An Economic, Legal and Institutional Assessment of Enforcement and Compliance in Federally Managed U.S. Commercial Fisheries, A Report supported by the Lenfest Ocean Program.</w:t>
      </w:r>
    </w:p>
    <w:p w:rsidR="00884942" w:rsidRPr="000E4756" w:rsidRDefault="00884942" w:rsidP="000E4756">
      <w:pPr>
        <w:ind w:left="720" w:hanging="720"/>
        <w:rPr>
          <w:sz w:val="24"/>
        </w:rPr>
      </w:pPr>
    </w:p>
    <w:p w:rsidR="007B22FF" w:rsidRDefault="007B22FF" w:rsidP="007B22FF">
      <w:pPr>
        <w:pStyle w:val="FootnoteText"/>
        <w:ind w:left="720" w:hanging="720"/>
        <w:rPr>
          <w:sz w:val="24"/>
          <w:szCs w:val="24"/>
        </w:rPr>
      </w:pPr>
      <w:r w:rsidRPr="007B22FF">
        <w:rPr>
          <w:sz w:val="24"/>
          <w:szCs w:val="24"/>
        </w:rPr>
        <w:t>King, D.</w:t>
      </w:r>
      <w:r>
        <w:rPr>
          <w:sz w:val="24"/>
          <w:szCs w:val="24"/>
        </w:rPr>
        <w:t xml:space="preserve"> M. </w:t>
      </w:r>
      <w:r w:rsidRPr="007B22FF">
        <w:rPr>
          <w:sz w:val="24"/>
          <w:szCs w:val="24"/>
        </w:rPr>
        <w:t xml:space="preserve"> and J. Sutinen (2010). "Rational noncompliance and the liquidation of No</w:t>
      </w:r>
      <w:r>
        <w:rPr>
          <w:sz w:val="24"/>
          <w:szCs w:val="24"/>
        </w:rPr>
        <w:t xml:space="preserve">rtheast </w:t>
      </w:r>
      <w:r w:rsidRPr="007B22FF">
        <w:rPr>
          <w:sz w:val="24"/>
          <w:szCs w:val="24"/>
        </w:rPr>
        <w:t>groundfish resources." Marine Policy 34(1): 7-21.</w:t>
      </w:r>
    </w:p>
    <w:p w:rsidR="007B22FF" w:rsidRPr="007B22FF" w:rsidRDefault="007B22FF" w:rsidP="007B22FF">
      <w:pPr>
        <w:pStyle w:val="FootnoteText"/>
        <w:ind w:left="720" w:hanging="720"/>
        <w:rPr>
          <w:sz w:val="24"/>
          <w:szCs w:val="24"/>
        </w:rPr>
      </w:pPr>
    </w:p>
    <w:p w:rsidR="007B22FF" w:rsidRPr="007B22FF" w:rsidRDefault="007B22FF" w:rsidP="007B22FF">
      <w:pPr>
        <w:pStyle w:val="FootnoteText"/>
        <w:ind w:left="720" w:hanging="720"/>
        <w:rPr>
          <w:sz w:val="24"/>
          <w:szCs w:val="24"/>
        </w:rPr>
      </w:pPr>
      <w:r w:rsidRPr="007B22FF">
        <w:rPr>
          <w:sz w:val="24"/>
          <w:szCs w:val="24"/>
        </w:rPr>
        <w:t>Kuperan, K. and J. Sutinen (1998). "Blue Water Crime: Deterrence, Legitimacy, and Compliance in Fisheries." Law &amp; Society Review 32(2).</w:t>
      </w:r>
    </w:p>
    <w:p w:rsidR="007B22FF" w:rsidRDefault="007B22FF" w:rsidP="007B22FF">
      <w:pPr>
        <w:pStyle w:val="FootnoteText"/>
      </w:pPr>
    </w:p>
    <w:p w:rsidR="005E2B26" w:rsidRPr="000E4756" w:rsidRDefault="005E2B26" w:rsidP="000E4756">
      <w:pPr>
        <w:ind w:left="720" w:hanging="720"/>
        <w:rPr>
          <w:sz w:val="24"/>
        </w:rPr>
      </w:pPr>
      <w:r w:rsidRPr="000E4756">
        <w:rPr>
          <w:sz w:val="24"/>
        </w:rPr>
        <w:t>Shaw, R. (2005). Enforcement and Compliance in the Northeast Groundfish Fishery: Perceptions of Procedural Justice in Fishery Management, the Effects of Regulatory Methods, and Prospects for Compliance. Environmental and Natural Resource Economics, University of Rhode Island. PhD.</w:t>
      </w:r>
    </w:p>
    <w:p w:rsidR="005E2B26" w:rsidRPr="000E4756" w:rsidRDefault="005E2B26" w:rsidP="000E4756">
      <w:pPr>
        <w:rPr>
          <w:sz w:val="24"/>
        </w:rPr>
      </w:pPr>
    </w:p>
    <w:p w:rsidR="005E2B26" w:rsidRPr="000E4756" w:rsidRDefault="00676B79" w:rsidP="000E4756">
      <w:pPr>
        <w:ind w:left="720" w:hanging="720"/>
      </w:pPr>
      <w:r w:rsidRPr="000E4756">
        <w:fldChar w:fldCharType="end"/>
      </w:r>
      <w:r w:rsidR="007B22FF">
        <w:t xml:space="preserve"> </w:t>
      </w:r>
    </w:p>
    <w:p w:rsidR="00AD546F" w:rsidRDefault="00502A42" w:rsidP="007B22FF">
      <w:pPr>
        <w:pStyle w:val="Heading1"/>
        <w:jc w:val="left"/>
        <w:rPr>
          <w:rFonts w:ascii="Times New Roman" w:hAnsi="Times New Roman"/>
          <w:szCs w:val="24"/>
        </w:rPr>
      </w:pPr>
      <w:r w:rsidRPr="000E4756">
        <w:rPr>
          <w:rFonts w:ascii="Times New Roman" w:hAnsi="Times New Roman"/>
          <w:szCs w:val="24"/>
        </w:rPr>
        <w:br w:type="page"/>
      </w:r>
      <w:bookmarkStart w:id="31" w:name="_Toc308005728"/>
      <w:r w:rsidR="00AD546F" w:rsidRPr="004A7C8C">
        <w:rPr>
          <w:rFonts w:ascii="Times New Roman" w:hAnsi="Times New Roman"/>
          <w:szCs w:val="24"/>
        </w:rPr>
        <w:lastRenderedPageBreak/>
        <w:t>Appendix A</w:t>
      </w:r>
      <w:r w:rsidR="000E4756" w:rsidRPr="004A7C8C">
        <w:rPr>
          <w:rFonts w:ascii="Times New Roman" w:hAnsi="Times New Roman"/>
          <w:szCs w:val="24"/>
        </w:rPr>
        <w:t xml:space="preserve"> – LMR Deterrence Study</w:t>
      </w:r>
      <w:bookmarkEnd w:id="31"/>
      <w:r w:rsidR="000E4756" w:rsidRPr="004A7C8C">
        <w:rPr>
          <w:rFonts w:ascii="Times New Roman" w:hAnsi="Times New Roman"/>
          <w:szCs w:val="24"/>
        </w:rPr>
        <w:t xml:space="preserve"> </w:t>
      </w:r>
    </w:p>
    <w:p w:rsidR="00705936" w:rsidRPr="00705936" w:rsidRDefault="00705936" w:rsidP="00705936"/>
    <w:p w:rsidR="00705936" w:rsidRDefault="00705936" w:rsidP="00705936">
      <w:pPr>
        <w:rPr>
          <w:noProof/>
        </w:rPr>
      </w:pPr>
      <w:r>
        <w:rPr>
          <w:noProof/>
        </w:rPr>
        <w:drawing>
          <wp:inline distT="0" distB="0" distL="0" distR="0">
            <wp:extent cx="5943600" cy="71401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0764" r="56076"/>
                    <a:stretch>
                      <a:fillRect/>
                    </a:stretch>
                  </pic:blipFill>
                  <pic:spPr bwMode="auto">
                    <a:xfrm>
                      <a:off x="0" y="0"/>
                      <a:ext cx="5943600" cy="7140163"/>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4928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1459" r="56250"/>
                    <a:stretch>
                      <a:fillRect/>
                    </a:stretch>
                  </pic:blipFill>
                  <pic:spPr bwMode="auto">
                    <a:xfrm>
                      <a:off x="0" y="0"/>
                      <a:ext cx="5943600" cy="7349288"/>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4928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10938" r="56937"/>
                    <a:stretch>
                      <a:fillRect/>
                    </a:stretch>
                  </pic:blipFill>
                  <pic:spPr bwMode="auto">
                    <a:xfrm>
                      <a:off x="0" y="0"/>
                      <a:ext cx="5943600" cy="7349288"/>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4928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1156" r="56425"/>
                    <a:stretch>
                      <a:fillRect/>
                    </a:stretch>
                  </pic:blipFill>
                  <pic:spPr bwMode="auto">
                    <a:xfrm>
                      <a:off x="0" y="0"/>
                      <a:ext cx="5943600" cy="7349288"/>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4928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11632" r="56250"/>
                    <a:stretch>
                      <a:fillRect/>
                    </a:stretch>
                  </pic:blipFill>
                  <pic:spPr bwMode="auto">
                    <a:xfrm>
                      <a:off x="0" y="0"/>
                      <a:ext cx="5943600" cy="7349288"/>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1285" r="56250"/>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23725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1107" r="56076"/>
                    <a:stretch>
                      <a:fillRect/>
                    </a:stretch>
                  </pic:blipFill>
                  <pic:spPr bwMode="auto">
                    <a:xfrm>
                      <a:off x="0" y="0"/>
                      <a:ext cx="5943600" cy="7237257"/>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2746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l="11452" r="56076"/>
                    <a:stretch>
                      <a:fillRect/>
                    </a:stretch>
                  </pic:blipFill>
                  <pic:spPr bwMode="auto">
                    <a:xfrm>
                      <a:off x="0" y="0"/>
                      <a:ext cx="5943600" cy="7274600"/>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705936" w:rsidRDefault="00705936" w:rsidP="00705936">
      <w:r>
        <w:rPr>
          <w:noProof/>
        </w:rPr>
        <w:lastRenderedPageBreak/>
        <w:drawing>
          <wp:inline distT="0" distB="0" distL="0" distR="0">
            <wp:extent cx="5943600" cy="7311944"/>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l="11389" r="56076"/>
                    <a:stretch>
                      <a:fillRect/>
                    </a:stretch>
                  </pic:blipFill>
                  <pic:spPr bwMode="auto">
                    <a:xfrm>
                      <a:off x="0" y="0"/>
                      <a:ext cx="5943600" cy="7311944"/>
                    </a:xfrm>
                    <a:prstGeom prst="rect">
                      <a:avLst/>
                    </a:prstGeom>
                    <a:noFill/>
                    <a:ln w="9525">
                      <a:noFill/>
                      <a:miter lim="800000"/>
                      <a:headEnd/>
                      <a:tailEnd/>
                    </a:ln>
                  </pic:spPr>
                </pic:pic>
              </a:graphicData>
            </a:graphic>
          </wp:inline>
        </w:drawing>
      </w:r>
    </w:p>
    <w:p w:rsidR="000E4756" w:rsidRDefault="000E4756" w:rsidP="000E4756">
      <w:pPr>
        <w:widowControl w:val="0"/>
        <w:tabs>
          <w:tab w:val="left" w:pos="576"/>
          <w:tab w:val="left" w:pos="1440"/>
        </w:tabs>
        <w:rPr>
          <w:sz w:val="24"/>
          <w:szCs w:val="24"/>
        </w:rPr>
      </w:pPr>
    </w:p>
    <w:p w:rsidR="004558DA" w:rsidRDefault="004558DA">
      <w:pPr>
        <w:rPr>
          <w:sz w:val="24"/>
          <w:szCs w:val="24"/>
        </w:rPr>
      </w:pPr>
      <w:bookmarkStart w:id="32" w:name="_Toc308005729"/>
      <w:r>
        <w:rPr>
          <w:b/>
          <w:szCs w:val="24"/>
        </w:rPr>
        <w:br w:type="page"/>
      </w:r>
    </w:p>
    <w:p w:rsidR="000E4756" w:rsidRPr="004558DA" w:rsidRDefault="000E4756" w:rsidP="000E4756">
      <w:pPr>
        <w:pStyle w:val="Heading1"/>
        <w:jc w:val="left"/>
        <w:rPr>
          <w:rFonts w:ascii="Times New Roman" w:hAnsi="Times New Roman"/>
          <w:szCs w:val="24"/>
        </w:rPr>
      </w:pPr>
      <w:r w:rsidRPr="004558DA">
        <w:rPr>
          <w:rFonts w:ascii="Times New Roman" w:hAnsi="Times New Roman"/>
          <w:szCs w:val="24"/>
        </w:rPr>
        <w:lastRenderedPageBreak/>
        <w:t xml:space="preserve">Appendix B – </w:t>
      </w:r>
      <w:r w:rsidR="004558DA">
        <w:rPr>
          <w:rFonts w:ascii="Times New Roman" w:hAnsi="Times New Roman"/>
          <w:szCs w:val="24"/>
        </w:rPr>
        <w:t xml:space="preserve">Select </w:t>
      </w:r>
      <w:r w:rsidRPr="004558DA">
        <w:rPr>
          <w:rFonts w:ascii="Times New Roman" w:hAnsi="Times New Roman"/>
          <w:szCs w:val="24"/>
        </w:rPr>
        <w:t>Applicable Regulations</w:t>
      </w:r>
      <w:bookmarkEnd w:id="32"/>
      <w:r w:rsidR="004558DA">
        <w:rPr>
          <w:rFonts w:ascii="Times New Roman" w:hAnsi="Times New Roman"/>
          <w:szCs w:val="24"/>
        </w:rPr>
        <w:t xml:space="preserve"> with Text</w:t>
      </w:r>
    </w:p>
    <w:p w:rsidR="00080CC8" w:rsidRPr="00080CC8" w:rsidRDefault="00080CC8" w:rsidP="000E4756">
      <w:pPr>
        <w:widowControl w:val="0"/>
        <w:tabs>
          <w:tab w:val="left" w:pos="576"/>
          <w:tab w:val="left" w:pos="1440"/>
        </w:tabs>
        <w:rPr>
          <w:sz w:val="24"/>
          <w:szCs w:val="24"/>
        </w:rPr>
      </w:pPr>
    </w:p>
    <w:p w:rsidR="00080CC8" w:rsidRPr="000E6A75" w:rsidRDefault="00080CC8" w:rsidP="000E4756">
      <w:pPr>
        <w:widowControl w:val="0"/>
        <w:tabs>
          <w:tab w:val="left" w:pos="576"/>
          <w:tab w:val="left" w:pos="1440"/>
        </w:tabs>
        <w:rPr>
          <w:sz w:val="24"/>
          <w:szCs w:val="24"/>
          <w:u w:val="single"/>
        </w:rPr>
      </w:pPr>
      <w:r w:rsidRPr="000E6A75">
        <w:rPr>
          <w:sz w:val="24"/>
          <w:szCs w:val="24"/>
          <w:u w:val="single"/>
        </w:rPr>
        <w:t xml:space="preserve">Homeland Security Act of 2002 (P.L. 107-296) </w:t>
      </w:r>
    </w:p>
    <w:p w:rsidR="00641A08" w:rsidRPr="000E6A75" w:rsidRDefault="00641A08" w:rsidP="00641A08">
      <w:pPr>
        <w:autoSpaceDE w:val="0"/>
        <w:autoSpaceDN w:val="0"/>
        <w:adjustRightInd w:val="0"/>
        <w:rPr>
          <w:b/>
          <w:bCs/>
          <w:sz w:val="24"/>
          <w:szCs w:val="24"/>
        </w:rPr>
      </w:pPr>
      <w:proofErr w:type="gramStart"/>
      <w:r w:rsidRPr="000E6A75">
        <w:rPr>
          <w:b/>
          <w:bCs/>
          <w:sz w:val="24"/>
          <w:szCs w:val="24"/>
        </w:rPr>
        <w:t>SEC. 888.</w:t>
      </w:r>
      <w:proofErr w:type="gramEnd"/>
      <w:r w:rsidRPr="000E6A75">
        <w:rPr>
          <w:b/>
          <w:bCs/>
          <w:sz w:val="24"/>
          <w:szCs w:val="24"/>
        </w:rPr>
        <w:t xml:space="preserve"> </w:t>
      </w:r>
      <w:proofErr w:type="gramStart"/>
      <w:r w:rsidRPr="000E6A75">
        <w:rPr>
          <w:b/>
          <w:bCs/>
          <w:sz w:val="24"/>
          <w:szCs w:val="24"/>
        </w:rPr>
        <w:t>PRESERVING COAST GUARD MISSION PERFORMANCE.</w:t>
      </w:r>
      <w:proofErr w:type="gramEnd"/>
    </w:p>
    <w:p w:rsidR="00641A08" w:rsidRPr="000E6A75" w:rsidRDefault="00641A08" w:rsidP="00641A08">
      <w:pPr>
        <w:autoSpaceDE w:val="0"/>
        <w:autoSpaceDN w:val="0"/>
        <w:adjustRightInd w:val="0"/>
        <w:rPr>
          <w:sz w:val="24"/>
          <w:szCs w:val="24"/>
        </w:rPr>
      </w:pPr>
      <w:r w:rsidRPr="000E6A75">
        <w:rPr>
          <w:sz w:val="24"/>
          <w:szCs w:val="24"/>
        </w:rPr>
        <w:t>(a) DEFINITIONS.—</w:t>
      </w:r>
      <w:proofErr w:type="gramStart"/>
      <w:r w:rsidRPr="000E6A75">
        <w:rPr>
          <w:sz w:val="24"/>
          <w:szCs w:val="24"/>
        </w:rPr>
        <w:t>In</w:t>
      </w:r>
      <w:proofErr w:type="gramEnd"/>
      <w:r w:rsidRPr="000E6A75">
        <w:rPr>
          <w:sz w:val="24"/>
          <w:szCs w:val="24"/>
        </w:rPr>
        <w:t xml:space="preserve"> this section:</w:t>
      </w:r>
    </w:p>
    <w:p w:rsidR="00641A08" w:rsidRPr="000E6A75" w:rsidRDefault="00641A08" w:rsidP="000E6A75">
      <w:pPr>
        <w:autoSpaceDE w:val="0"/>
        <w:autoSpaceDN w:val="0"/>
        <w:adjustRightInd w:val="0"/>
        <w:ind w:left="720"/>
        <w:rPr>
          <w:sz w:val="24"/>
          <w:szCs w:val="24"/>
        </w:rPr>
      </w:pPr>
      <w:r w:rsidRPr="000E6A75">
        <w:rPr>
          <w:sz w:val="24"/>
          <w:szCs w:val="24"/>
        </w:rPr>
        <w:t>(1) NON-HOMELAND SECURITY MISSIONS.—</w:t>
      </w:r>
      <w:proofErr w:type="gramStart"/>
      <w:r w:rsidRPr="000E6A75">
        <w:rPr>
          <w:sz w:val="24"/>
          <w:szCs w:val="24"/>
        </w:rPr>
        <w:t>The</w:t>
      </w:r>
      <w:proofErr w:type="gramEnd"/>
      <w:r w:rsidRPr="000E6A75">
        <w:rPr>
          <w:sz w:val="24"/>
          <w:szCs w:val="24"/>
        </w:rPr>
        <w:t xml:space="preserve"> term ‘‘non</w:t>
      </w:r>
      <w:r w:rsidR="000E6A75" w:rsidRPr="000E6A75">
        <w:rPr>
          <w:sz w:val="24"/>
          <w:szCs w:val="24"/>
        </w:rPr>
        <w:t>-</w:t>
      </w:r>
      <w:r w:rsidRPr="000E6A75">
        <w:rPr>
          <w:sz w:val="24"/>
          <w:szCs w:val="24"/>
        </w:rPr>
        <w:t>homeland</w:t>
      </w:r>
      <w:r w:rsidR="000E6A75" w:rsidRPr="000E6A75">
        <w:rPr>
          <w:sz w:val="24"/>
          <w:szCs w:val="24"/>
        </w:rPr>
        <w:t xml:space="preserve"> </w:t>
      </w:r>
      <w:r w:rsidRPr="000E6A75">
        <w:rPr>
          <w:sz w:val="24"/>
          <w:szCs w:val="24"/>
        </w:rPr>
        <w:t>security missions’’ means the following missions of</w:t>
      </w:r>
      <w:r w:rsidR="000E6A75" w:rsidRPr="000E6A75">
        <w:rPr>
          <w:sz w:val="24"/>
          <w:szCs w:val="24"/>
        </w:rPr>
        <w:t xml:space="preserve"> </w:t>
      </w:r>
      <w:r w:rsidRPr="000E6A75">
        <w:rPr>
          <w:sz w:val="24"/>
          <w:szCs w:val="24"/>
        </w:rPr>
        <w:t>the Coast Guard:</w:t>
      </w:r>
    </w:p>
    <w:p w:rsidR="00641A08" w:rsidRPr="000E6A75" w:rsidRDefault="00641A08" w:rsidP="000E6A75">
      <w:pPr>
        <w:autoSpaceDE w:val="0"/>
        <w:autoSpaceDN w:val="0"/>
        <w:adjustRightInd w:val="0"/>
        <w:ind w:left="1440"/>
        <w:rPr>
          <w:sz w:val="24"/>
          <w:szCs w:val="24"/>
        </w:rPr>
      </w:pPr>
      <w:r w:rsidRPr="000E6A75">
        <w:rPr>
          <w:sz w:val="24"/>
          <w:szCs w:val="24"/>
        </w:rPr>
        <w:t>(A) Marine safety.</w:t>
      </w:r>
    </w:p>
    <w:p w:rsidR="00641A08" w:rsidRPr="000E6A75" w:rsidRDefault="00641A08" w:rsidP="000E6A75">
      <w:pPr>
        <w:autoSpaceDE w:val="0"/>
        <w:autoSpaceDN w:val="0"/>
        <w:adjustRightInd w:val="0"/>
        <w:ind w:left="1440"/>
        <w:rPr>
          <w:sz w:val="24"/>
          <w:szCs w:val="24"/>
        </w:rPr>
      </w:pPr>
      <w:r w:rsidRPr="000E6A75">
        <w:rPr>
          <w:sz w:val="24"/>
          <w:szCs w:val="24"/>
        </w:rPr>
        <w:t>(B) Search and rescue.</w:t>
      </w:r>
    </w:p>
    <w:p w:rsidR="00641A08" w:rsidRPr="000E6A75" w:rsidRDefault="00641A08" w:rsidP="000E6A75">
      <w:pPr>
        <w:autoSpaceDE w:val="0"/>
        <w:autoSpaceDN w:val="0"/>
        <w:adjustRightInd w:val="0"/>
        <w:ind w:left="1440"/>
        <w:rPr>
          <w:sz w:val="24"/>
          <w:szCs w:val="24"/>
        </w:rPr>
      </w:pPr>
      <w:r w:rsidRPr="000E6A75">
        <w:rPr>
          <w:sz w:val="24"/>
          <w:szCs w:val="24"/>
        </w:rPr>
        <w:t>(C) Aids to navigation.</w:t>
      </w:r>
    </w:p>
    <w:p w:rsidR="00641A08" w:rsidRPr="000E6A75" w:rsidRDefault="00641A08" w:rsidP="000E6A75">
      <w:pPr>
        <w:autoSpaceDE w:val="0"/>
        <w:autoSpaceDN w:val="0"/>
        <w:adjustRightInd w:val="0"/>
        <w:ind w:left="1440"/>
        <w:rPr>
          <w:sz w:val="24"/>
          <w:szCs w:val="24"/>
        </w:rPr>
      </w:pPr>
      <w:r w:rsidRPr="000E6A75">
        <w:rPr>
          <w:sz w:val="24"/>
          <w:szCs w:val="24"/>
        </w:rPr>
        <w:t>(D) Living marine resources (fisheries law enforcement).</w:t>
      </w:r>
    </w:p>
    <w:p w:rsidR="00641A08" w:rsidRPr="000E6A75" w:rsidRDefault="00641A08" w:rsidP="000E6A75">
      <w:pPr>
        <w:autoSpaceDE w:val="0"/>
        <w:autoSpaceDN w:val="0"/>
        <w:adjustRightInd w:val="0"/>
        <w:ind w:left="1440"/>
        <w:rPr>
          <w:sz w:val="24"/>
          <w:szCs w:val="24"/>
        </w:rPr>
      </w:pPr>
      <w:r w:rsidRPr="000E6A75">
        <w:rPr>
          <w:sz w:val="24"/>
          <w:szCs w:val="24"/>
        </w:rPr>
        <w:t>(E) Marine environmental protection.</w:t>
      </w:r>
    </w:p>
    <w:p w:rsidR="00641A08" w:rsidRPr="000E6A75" w:rsidRDefault="00641A08" w:rsidP="000E6A75">
      <w:pPr>
        <w:autoSpaceDE w:val="0"/>
        <w:autoSpaceDN w:val="0"/>
        <w:adjustRightInd w:val="0"/>
        <w:ind w:left="1440"/>
        <w:rPr>
          <w:sz w:val="24"/>
          <w:szCs w:val="24"/>
        </w:rPr>
      </w:pPr>
      <w:r w:rsidRPr="000E6A75">
        <w:rPr>
          <w:sz w:val="24"/>
          <w:szCs w:val="24"/>
        </w:rPr>
        <w:t>(F) Ice operations.</w:t>
      </w:r>
    </w:p>
    <w:p w:rsidR="00641A08" w:rsidRPr="000E6A75" w:rsidRDefault="00641A08" w:rsidP="000E6A75">
      <w:pPr>
        <w:autoSpaceDE w:val="0"/>
        <w:autoSpaceDN w:val="0"/>
        <w:adjustRightInd w:val="0"/>
        <w:ind w:left="720"/>
        <w:rPr>
          <w:sz w:val="24"/>
          <w:szCs w:val="24"/>
        </w:rPr>
      </w:pPr>
      <w:r w:rsidRPr="000E6A75">
        <w:rPr>
          <w:sz w:val="24"/>
          <w:szCs w:val="24"/>
        </w:rPr>
        <w:t>(2) HOMELAND SECURITY MISSIONS</w:t>
      </w:r>
      <w:r w:rsidR="000E6A75" w:rsidRPr="000E6A75">
        <w:rPr>
          <w:sz w:val="24"/>
          <w:szCs w:val="24"/>
        </w:rPr>
        <w:t>.—</w:t>
      </w:r>
      <w:proofErr w:type="gramStart"/>
      <w:r w:rsidR="000E6A75" w:rsidRPr="000E6A75">
        <w:rPr>
          <w:sz w:val="24"/>
          <w:szCs w:val="24"/>
        </w:rPr>
        <w:t>The</w:t>
      </w:r>
      <w:proofErr w:type="gramEnd"/>
      <w:r w:rsidR="000E6A75" w:rsidRPr="000E6A75">
        <w:rPr>
          <w:sz w:val="24"/>
          <w:szCs w:val="24"/>
        </w:rPr>
        <w:t xml:space="preserve"> term ‘‘homeland </w:t>
      </w:r>
      <w:r w:rsidRPr="000E6A75">
        <w:rPr>
          <w:sz w:val="24"/>
          <w:szCs w:val="24"/>
        </w:rPr>
        <w:t xml:space="preserve">security missions’’ means the </w:t>
      </w:r>
      <w:r w:rsidR="000E6A75" w:rsidRPr="000E6A75">
        <w:rPr>
          <w:sz w:val="24"/>
          <w:szCs w:val="24"/>
        </w:rPr>
        <w:t xml:space="preserve">following missions of the Coast </w:t>
      </w:r>
      <w:r w:rsidRPr="000E6A75">
        <w:rPr>
          <w:sz w:val="24"/>
          <w:szCs w:val="24"/>
        </w:rPr>
        <w:t>Guard:</w:t>
      </w:r>
    </w:p>
    <w:p w:rsidR="00641A08" w:rsidRPr="000E6A75" w:rsidRDefault="00641A08" w:rsidP="000E6A75">
      <w:pPr>
        <w:autoSpaceDE w:val="0"/>
        <w:autoSpaceDN w:val="0"/>
        <w:adjustRightInd w:val="0"/>
        <w:ind w:left="1440"/>
        <w:rPr>
          <w:sz w:val="24"/>
          <w:szCs w:val="24"/>
        </w:rPr>
      </w:pPr>
      <w:r w:rsidRPr="000E6A75">
        <w:rPr>
          <w:sz w:val="24"/>
          <w:szCs w:val="24"/>
        </w:rPr>
        <w:t>(A) Ports, waterways and coastal security.</w:t>
      </w:r>
    </w:p>
    <w:p w:rsidR="00641A08" w:rsidRPr="000E6A75" w:rsidRDefault="00641A08" w:rsidP="000E6A75">
      <w:pPr>
        <w:autoSpaceDE w:val="0"/>
        <w:autoSpaceDN w:val="0"/>
        <w:adjustRightInd w:val="0"/>
        <w:ind w:left="1440"/>
        <w:rPr>
          <w:sz w:val="24"/>
          <w:szCs w:val="24"/>
        </w:rPr>
      </w:pPr>
      <w:r w:rsidRPr="000E6A75">
        <w:rPr>
          <w:sz w:val="24"/>
          <w:szCs w:val="24"/>
        </w:rPr>
        <w:t>(B) Drug interdiction.</w:t>
      </w:r>
    </w:p>
    <w:p w:rsidR="00641A08" w:rsidRPr="000E6A75" w:rsidRDefault="00641A08" w:rsidP="000E6A75">
      <w:pPr>
        <w:autoSpaceDE w:val="0"/>
        <w:autoSpaceDN w:val="0"/>
        <w:adjustRightInd w:val="0"/>
        <w:ind w:left="1440"/>
        <w:rPr>
          <w:sz w:val="24"/>
          <w:szCs w:val="24"/>
        </w:rPr>
      </w:pPr>
      <w:r w:rsidRPr="000E6A75">
        <w:rPr>
          <w:sz w:val="24"/>
          <w:szCs w:val="24"/>
        </w:rPr>
        <w:t>(C) Migrant interdiction.</w:t>
      </w:r>
    </w:p>
    <w:p w:rsidR="00641A08" w:rsidRPr="000E6A75" w:rsidRDefault="00641A08" w:rsidP="000E6A75">
      <w:pPr>
        <w:autoSpaceDE w:val="0"/>
        <w:autoSpaceDN w:val="0"/>
        <w:adjustRightInd w:val="0"/>
        <w:ind w:left="1440"/>
        <w:rPr>
          <w:sz w:val="24"/>
          <w:szCs w:val="24"/>
        </w:rPr>
      </w:pPr>
      <w:r w:rsidRPr="000E6A75">
        <w:rPr>
          <w:sz w:val="24"/>
          <w:szCs w:val="24"/>
        </w:rPr>
        <w:t>(D) Defense readiness.</w:t>
      </w:r>
    </w:p>
    <w:p w:rsidR="004558DA" w:rsidRPr="000E6A75" w:rsidRDefault="00641A08" w:rsidP="000E6A75">
      <w:pPr>
        <w:widowControl w:val="0"/>
        <w:tabs>
          <w:tab w:val="left" w:pos="576"/>
          <w:tab w:val="left" w:pos="1440"/>
        </w:tabs>
        <w:ind w:left="1440"/>
        <w:rPr>
          <w:sz w:val="24"/>
          <w:szCs w:val="24"/>
        </w:rPr>
      </w:pPr>
      <w:r w:rsidRPr="000E6A75">
        <w:rPr>
          <w:sz w:val="24"/>
          <w:szCs w:val="24"/>
        </w:rPr>
        <w:t>(E) Other law enforcement.</w:t>
      </w:r>
    </w:p>
    <w:p w:rsidR="00641A08" w:rsidRPr="000E6A75" w:rsidRDefault="00641A08" w:rsidP="00641A08">
      <w:pPr>
        <w:widowControl w:val="0"/>
        <w:tabs>
          <w:tab w:val="left" w:pos="576"/>
          <w:tab w:val="left" w:pos="1440"/>
        </w:tabs>
        <w:rPr>
          <w:sz w:val="24"/>
          <w:szCs w:val="24"/>
        </w:rPr>
      </w:pPr>
    </w:p>
    <w:p w:rsidR="00080CC8" w:rsidRPr="000E6A75" w:rsidRDefault="00080CC8" w:rsidP="000E4756">
      <w:pPr>
        <w:widowControl w:val="0"/>
        <w:tabs>
          <w:tab w:val="left" w:pos="576"/>
          <w:tab w:val="left" w:pos="1440"/>
        </w:tabs>
        <w:rPr>
          <w:sz w:val="24"/>
          <w:szCs w:val="24"/>
          <w:u w:val="single"/>
        </w:rPr>
      </w:pPr>
      <w:r w:rsidRPr="000E6A75">
        <w:rPr>
          <w:sz w:val="24"/>
          <w:szCs w:val="24"/>
          <w:u w:val="single"/>
        </w:rPr>
        <w:t xml:space="preserve">Magnuson-Stevens Fishery Conservation and Management Act (P.L. 94-265) </w:t>
      </w:r>
    </w:p>
    <w:p w:rsidR="00641A08" w:rsidRPr="000E6A75" w:rsidRDefault="00641A08" w:rsidP="00641A08">
      <w:pPr>
        <w:autoSpaceDE w:val="0"/>
        <w:autoSpaceDN w:val="0"/>
        <w:adjustRightInd w:val="0"/>
        <w:rPr>
          <w:b/>
          <w:bCs/>
          <w:sz w:val="24"/>
          <w:szCs w:val="24"/>
        </w:rPr>
      </w:pPr>
      <w:proofErr w:type="gramStart"/>
      <w:r w:rsidRPr="000E6A75">
        <w:rPr>
          <w:b/>
          <w:bCs/>
          <w:sz w:val="24"/>
          <w:szCs w:val="24"/>
        </w:rPr>
        <w:t>SEC. 311.</w:t>
      </w:r>
      <w:proofErr w:type="gramEnd"/>
      <w:r w:rsidRPr="000E6A75">
        <w:rPr>
          <w:b/>
          <w:bCs/>
          <w:sz w:val="24"/>
          <w:szCs w:val="24"/>
        </w:rPr>
        <w:t xml:space="preserve"> ENFORCEMENT 16 U.S.C. 1861</w:t>
      </w:r>
    </w:p>
    <w:p w:rsidR="004558DA" w:rsidRPr="000E6A75" w:rsidRDefault="000E6A75" w:rsidP="000E6A75">
      <w:pPr>
        <w:autoSpaceDE w:val="0"/>
        <w:autoSpaceDN w:val="0"/>
        <w:adjustRightInd w:val="0"/>
        <w:rPr>
          <w:sz w:val="24"/>
          <w:szCs w:val="24"/>
        </w:rPr>
      </w:pPr>
      <w:r w:rsidRPr="000E6A75">
        <w:rPr>
          <w:sz w:val="24"/>
          <w:szCs w:val="24"/>
        </w:rPr>
        <w:t xml:space="preserve"> </w:t>
      </w:r>
      <w:r w:rsidR="00641A08" w:rsidRPr="000E6A75">
        <w:rPr>
          <w:sz w:val="24"/>
          <w:szCs w:val="24"/>
        </w:rPr>
        <w:t>(a) RESPONSIBILITY.—</w:t>
      </w:r>
      <w:proofErr w:type="gramStart"/>
      <w:r w:rsidR="00641A08" w:rsidRPr="000E6A75">
        <w:rPr>
          <w:sz w:val="24"/>
          <w:szCs w:val="24"/>
        </w:rPr>
        <w:t>The</w:t>
      </w:r>
      <w:proofErr w:type="gramEnd"/>
      <w:r w:rsidR="00641A08" w:rsidRPr="000E6A75">
        <w:rPr>
          <w:sz w:val="24"/>
          <w:szCs w:val="24"/>
        </w:rPr>
        <w:t xml:space="preserve"> provisions of this Act shall b</w:t>
      </w:r>
      <w:r w:rsidRPr="000E6A75">
        <w:rPr>
          <w:sz w:val="24"/>
          <w:szCs w:val="24"/>
        </w:rPr>
        <w:t xml:space="preserve">e enforced by the Secretary and </w:t>
      </w:r>
      <w:r w:rsidR="00641A08" w:rsidRPr="000E6A75">
        <w:rPr>
          <w:sz w:val="24"/>
          <w:szCs w:val="24"/>
        </w:rPr>
        <w:t>the Secretary of the department in which the Coast Guard is o</w:t>
      </w:r>
      <w:r w:rsidRPr="000E6A75">
        <w:rPr>
          <w:sz w:val="24"/>
          <w:szCs w:val="24"/>
        </w:rPr>
        <w:t xml:space="preserve">perating. Such Secretaries may, </w:t>
      </w:r>
      <w:r w:rsidR="00641A08" w:rsidRPr="000E6A75">
        <w:rPr>
          <w:sz w:val="24"/>
          <w:szCs w:val="24"/>
        </w:rPr>
        <w:t>by agreement, on a reimbursable basis or otherwise, utilize the</w:t>
      </w:r>
      <w:r w:rsidRPr="000E6A75">
        <w:rPr>
          <w:sz w:val="24"/>
          <w:szCs w:val="24"/>
        </w:rPr>
        <w:t xml:space="preserve"> personnel, services, equipment </w:t>
      </w:r>
      <w:r w:rsidR="00641A08" w:rsidRPr="000E6A75">
        <w:rPr>
          <w:sz w:val="24"/>
          <w:szCs w:val="24"/>
        </w:rPr>
        <w:t>(including aircraft and vessels), and facilities of any othe</w:t>
      </w:r>
      <w:r w:rsidRPr="000E6A75">
        <w:rPr>
          <w:sz w:val="24"/>
          <w:szCs w:val="24"/>
        </w:rPr>
        <w:t xml:space="preserve">r Federal agency, including all </w:t>
      </w:r>
      <w:r w:rsidR="00641A08" w:rsidRPr="000E6A75">
        <w:rPr>
          <w:sz w:val="24"/>
          <w:szCs w:val="24"/>
        </w:rPr>
        <w:t>elements of the Department of Defense, and of any State agency, in the performa</w:t>
      </w:r>
      <w:r w:rsidRPr="000E6A75">
        <w:rPr>
          <w:sz w:val="24"/>
          <w:szCs w:val="24"/>
        </w:rPr>
        <w:t xml:space="preserve">nce of such </w:t>
      </w:r>
      <w:r w:rsidR="00641A08" w:rsidRPr="000E6A75">
        <w:rPr>
          <w:sz w:val="24"/>
          <w:szCs w:val="24"/>
        </w:rPr>
        <w:t>duties.</w:t>
      </w:r>
    </w:p>
    <w:p w:rsidR="000E6A75" w:rsidRPr="000E6A75" w:rsidRDefault="000E6A75" w:rsidP="00641A08">
      <w:pPr>
        <w:widowControl w:val="0"/>
        <w:tabs>
          <w:tab w:val="left" w:pos="576"/>
          <w:tab w:val="left" w:pos="1440"/>
        </w:tabs>
        <w:rPr>
          <w:sz w:val="24"/>
          <w:szCs w:val="24"/>
        </w:rPr>
      </w:pPr>
    </w:p>
    <w:p w:rsidR="00080CC8" w:rsidRPr="000E6A75" w:rsidRDefault="00080CC8" w:rsidP="000E4756">
      <w:pPr>
        <w:widowControl w:val="0"/>
        <w:tabs>
          <w:tab w:val="left" w:pos="576"/>
          <w:tab w:val="left" w:pos="1440"/>
        </w:tabs>
        <w:rPr>
          <w:sz w:val="24"/>
          <w:szCs w:val="24"/>
          <w:u w:val="single"/>
        </w:rPr>
      </w:pPr>
      <w:r w:rsidRPr="000E6A75">
        <w:rPr>
          <w:sz w:val="24"/>
          <w:szCs w:val="24"/>
          <w:u w:val="single"/>
        </w:rPr>
        <w:t>Government Performance and Results Act (P.L. 103-62)</w:t>
      </w:r>
    </w:p>
    <w:p w:rsidR="000E6A75" w:rsidRPr="000E6A75" w:rsidRDefault="000E6A75" w:rsidP="000E6A75">
      <w:pPr>
        <w:autoSpaceDE w:val="0"/>
        <w:autoSpaceDN w:val="0"/>
        <w:adjustRightInd w:val="0"/>
        <w:rPr>
          <w:b/>
          <w:bCs/>
          <w:sz w:val="24"/>
          <w:szCs w:val="24"/>
        </w:rPr>
      </w:pPr>
      <w:proofErr w:type="gramStart"/>
      <w:r w:rsidRPr="000E6A75">
        <w:rPr>
          <w:b/>
          <w:bCs/>
          <w:sz w:val="24"/>
          <w:szCs w:val="24"/>
        </w:rPr>
        <w:t>Sec 1115.</w:t>
      </w:r>
      <w:proofErr w:type="gramEnd"/>
      <w:r w:rsidRPr="000E6A75">
        <w:rPr>
          <w:b/>
          <w:bCs/>
          <w:sz w:val="24"/>
          <w:szCs w:val="24"/>
        </w:rPr>
        <w:t xml:space="preserve"> Performance plans</w:t>
      </w:r>
    </w:p>
    <w:p w:rsidR="000E6A75" w:rsidRPr="000E6A75" w:rsidRDefault="000E6A75" w:rsidP="000E6A75">
      <w:pPr>
        <w:autoSpaceDE w:val="0"/>
        <w:autoSpaceDN w:val="0"/>
        <w:adjustRightInd w:val="0"/>
        <w:rPr>
          <w:sz w:val="24"/>
          <w:szCs w:val="24"/>
        </w:rPr>
      </w:pPr>
      <w:r w:rsidRPr="000E6A75">
        <w:rPr>
          <w:sz w:val="24"/>
          <w:szCs w:val="24"/>
        </w:rPr>
        <w:t>(a) In carrying out the provisions of section 1105(a</w:t>
      </w:r>
      <w:proofErr w:type="gramStart"/>
      <w:r w:rsidRPr="000E6A75">
        <w:rPr>
          <w:sz w:val="24"/>
          <w:szCs w:val="24"/>
        </w:rPr>
        <w:t>)(</w:t>
      </w:r>
      <w:proofErr w:type="gramEnd"/>
      <w:r w:rsidRPr="000E6A75">
        <w:rPr>
          <w:sz w:val="24"/>
          <w:szCs w:val="24"/>
        </w:rPr>
        <w:t>29), the</w:t>
      </w:r>
      <w:r>
        <w:rPr>
          <w:sz w:val="24"/>
          <w:szCs w:val="24"/>
        </w:rPr>
        <w:t xml:space="preserve"> </w:t>
      </w:r>
      <w:r w:rsidRPr="000E6A75">
        <w:rPr>
          <w:sz w:val="24"/>
          <w:szCs w:val="24"/>
        </w:rPr>
        <w:t>Director of the Office of Mana</w:t>
      </w:r>
      <w:r>
        <w:rPr>
          <w:sz w:val="24"/>
          <w:szCs w:val="24"/>
        </w:rPr>
        <w:t xml:space="preserve">gement and Budget shall require </w:t>
      </w:r>
      <w:r w:rsidRPr="000E6A75">
        <w:rPr>
          <w:sz w:val="24"/>
          <w:szCs w:val="24"/>
        </w:rPr>
        <w:t>each agency to prepare an annual</w:t>
      </w:r>
      <w:r>
        <w:rPr>
          <w:sz w:val="24"/>
          <w:szCs w:val="24"/>
        </w:rPr>
        <w:t xml:space="preserve"> performance plan covering each </w:t>
      </w:r>
      <w:r w:rsidRPr="000E6A75">
        <w:rPr>
          <w:sz w:val="24"/>
          <w:szCs w:val="24"/>
        </w:rPr>
        <w:t xml:space="preserve">program activity set forth in </w:t>
      </w:r>
      <w:r>
        <w:rPr>
          <w:sz w:val="24"/>
          <w:szCs w:val="24"/>
        </w:rPr>
        <w:t xml:space="preserve">the budget of such agency. Such </w:t>
      </w:r>
      <w:r w:rsidRPr="000E6A75">
        <w:rPr>
          <w:sz w:val="24"/>
          <w:szCs w:val="24"/>
        </w:rPr>
        <w:t>plan shall-</w:t>
      </w:r>
    </w:p>
    <w:p w:rsidR="000E6A75" w:rsidRPr="000E6A75" w:rsidRDefault="000E6A75" w:rsidP="000E6A75">
      <w:pPr>
        <w:autoSpaceDE w:val="0"/>
        <w:autoSpaceDN w:val="0"/>
        <w:adjustRightInd w:val="0"/>
        <w:ind w:left="720"/>
        <w:rPr>
          <w:sz w:val="24"/>
          <w:szCs w:val="24"/>
        </w:rPr>
      </w:pPr>
      <w:r w:rsidRPr="000E6A75">
        <w:rPr>
          <w:sz w:val="24"/>
          <w:szCs w:val="24"/>
        </w:rPr>
        <w:t xml:space="preserve">(1) </w:t>
      </w:r>
      <w:proofErr w:type="gramStart"/>
      <w:r w:rsidRPr="000E6A75">
        <w:rPr>
          <w:sz w:val="24"/>
          <w:szCs w:val="24"/>
        </w:rPr>
        <w:t>establish</w:t>
      </w:r>
      <w:proofErr w:type="gramEnd"/>
      <w:r w:rsidRPr="000E6A75">
        <w:rPr>
          <w:sz w:val="24"/>
          <w:szCs w:val="24"/>
        </w:rPr>
        <w:t xml:space="preserve"> performance goals to define the level of</w:t>
      </w:r>
      <w:r>
        <w:rPr>
          <w:sz w:val="24"/>
          <w:szCs w:val="24"/>
        </w:rPr>
        <w:t xml:space="preserve"> </w:t>
      </w:r>
      <w:r w:rsidRPr="000E6A75">
        <w:rPr>
          <w:sz w:val="24"/>
          <w:szCs w:val="24"/>
        </w:rPr>
        <w:t>performance to be achieved by a program activity;</w:t>
      </w:r>
    </w:p>
    <w:p w:rsidR="000E6A75" w:rsidRPr="000E6A75" w:rsidRDefault="000E6A75" w:rsidP="000E6A75">
      <w:pPr>
        <w:autoSpaceDE w:val="0"/>
        <w:autoSpaceDN w:val="0"/>
        <w:adjustRightInd w:val="0"/>
        <w:ind w:left="720"/>
        <w:rPr>
          <w:sz w:val="24"/>
          <w:szCs w:val="24"/>
        </w:rPr>
      </w:pPr>
      <w:r w:rsidRPr="000E6A75">
        <w:rPr>
          <w:sz w:val="24"/>
          <w:szCs w:val="24"/>
        </w:rPr>
        <w:t xml:space="preserve">(2) </w:t>
      </w:r>
      <w:proofErr w:type="gramStart"/>
      <w:r w:rsidRPr="000E6A75">
        <w:rPr>
          <w:sz w:val="24"/>
          <w:szCs w:val="24"/>
        </w:rPr>
        <w:t>express</w:t>
      </w:r>
      <w:proofErr w:type="gramEnd"/>
      <w:r w:rsidRPr="000E6A75">
        <w:rPr>
          <w:sz w:val="24"/>
          <w:szCs w:val="24"/>
        </w:rPr>
        <w:t xml:space="preserve"> such goals in </w:t>
      </w:r>
      <w:r>
        <w:rPr>
          <w:sz w:val="24"/>
          <w:szCs w:val="24"/>
        </w:rPr>
        <w:t xml:space="preserve">an objective, quantifiable, and </w:t>
      </w:r>
      <w:r w:rsidRPr="000E6A75">
        <w:rPr>
          <w:sz w:val="24"/>
          <w:szCs w:val="24"/>
        </w:rPr>
        <w:t>measurable form unless aut</w:t>
      </w:r>
      <w:r>
        <w:rPr>
          <w:sz w:val="24"/>
          <w:szCs w:val="24"/>
        </w:rPr>
        <w:t xml:space="preserve">horized to be in an alternative </w:t>
      </w:r>
      <w:r w:rsidRPr="000E6A75">
        <w:rPr>
          <w:sz w:val="24"/>
          <w:szCs w:val="24"/>
        </w:rPr>
        <w:t>form under subsection (b);</w:t>
      </w:r>
    </w:p>
    <w:p w:rsidR="000E6A75" w:rsidRPr="000E6A75" w:rsidRDefault="000E6A75" w:rsidP="000E6A75">
      <w:pPr>
        <w:autoSpaceDE w:val="0"/>
        <w:autoSpaceDN w:val="0"/>
        <w:adjustRightInd w:val="0"/>
        <w:ind w:left="720"/>
        <w:rPr>
          <w:sz w:val="24"/>
          <w:szCs w:val="24"/>
        </w:rPr>
      </w:pPr>
      <w:r w:rsidRPr="000E6A75">
        <w:rPr>
          <w:bCs/>
          <w:sz w:val="24"/>
          <w:szCs w:val="24"/>
        </w:rPr>
        <w:t>(3)</w:t>
      </w:r>
      <w:r w:rsidRPr="000E6A75">
        <w:rPr>
          <w:b/>
          <w:bCs/>
          <w:sz w:val="24"/>
          <w:szCs w:val="24"/>
        </w:rPr>
        <w:t xml:space="preserve"> </w:t>
      </w:r>
      <w:proofErr w:type="gramStart"/>
      <w:r w:rsidRPr="000E6A75">
        <w:rPr>
          <w:sz w:val="24"/>
          <w:szCs w:val="24"/>
        </w:rPr>
        <w:t>briefly</w:t>
      </w:r>
      <w:proofErr w:type="gramEnd"/>
      <w:r w:rsidRPr="000E6A75">
        <w:rPr>
          <w:sz w:val="24"/>
          <w:szCs w:val="24"/>
        </w:rPr>
        <w:t xml:space="preserve"> describe the operational processes, skills and</w:t>
      </w:r>
      <w:r>
        <w:rPr>
          <w:sz w:val="24"/>
          <w:szCs w:val="24"/>
        </w:rPr>
        <w:t xml:space="preserve"> </w:t>
      </w:r>
      <w:r w:rsidRPr="000E6A75">
        <w:rPr>
          <w:sz w:val="24"/>
          <w:szCs w:val="24"/>
        </w:rPr>
        <w:t>technology, and the human,</w:t>
      </w:r>
      <w:r>
        <w:rPr>
          <w:sz w:val="24"/>
          <w:szCs w:val="24"/>
        </w:rPr>
        <w:t xml:space="preserve"> capital, information, or other </w:t>
      </w:r>
      <w:r w:rsidRPr="000E6A75">
        <w:rPr>
          <w:sz w:val="24"/>
          <w:szCs w:val="24"/>
        </w:rPr>
        <w:t>re</w:t>
      </w:r>
      <w:r>
        <w:rPr>
          <w:sz w:val="24"/>
          <w:szCs w:val="24"/>
        </w:rPr>
        <w:t>sources req</w:t>
      </w:r>
      <w:r w:rsidRPr="000E6A75">
        <w:rPr>
          <w:sz w:val="24"/>
          <w:szCs w:val="24"/>
        </w:rPr>
        <w:t>uired to meet the performance goals;</w:t>
      </w:r>
    </w:p>
    <w:p w:rsidR="000E6A75" w:rsidRPr="000E6A75" w:rsidRDefault="000E6A75" w:rsidP="000E6A75">
      <w:pPr>
        <w:autoSpaceDE w:val="0"/>
        <w:autoSpaceDN w:val="0"/>
        <w:adjustRightInd w:val="0"/>
        <w:ind w:left="720"/>
        <w:rPr>
          <w:sz w:val="24"/>
          <w:szCs w:val="24"/>
        </w:rPr>
      </w:pPr>
      <w:r w:rsidRPr="000E6A75">
        <w:rPr>
          <w:bCs/>
          <w:sz w:val="24"/>
          <w:szCs w:val="24"/>
        </w:rPr>
        <w:t>(4)</w:t>
      </w:r>
      <w:r w:rsidRPr="000E6A75">
        <w:rPr>
          <w:b/>
          <w:bCs/>
          <w:sz w:val="24"/>
          <w:szCs w:val="24"/>
        </w:rPr>
        <w:t xml:space="preserve"> </w:t>
      </w:r>
      <w:proofErr w:type="gramStart"/>
      <w:r w:rsidRPr="000E6A75">
        <w:rPr>
          <w:sz w:val="24"/>
          <w:szCs w:val="24"/>
        </w:rPr>
        <w:t>establish</w:t>
      </w:r>
      <w:proofErr w:type="gramEnd"/>
      <w:r w:rsidRPr="000E6A75">
        <w:rPr>
          <w:sz w:val="24"/>
          <w:szCs w:val="24"/>
        </w:rPr>
        <w:t xml:space="preserve"> performance indicators to be used in measuring</w:t>
      </w:r>
      <w:r>
        <w:rPr>
          <w:sz w:val="24"/>
          <w:szCs w:val="24"/>
        </w:rPr>
        <w:t xml:space="preserve"> </w:t>
      </w:r>
      <w:r w:rsidRPr="000E6A75">
        <w:rPr>
          <w:sz w:val="24"/>
          <w:szCs w:val="24"/>
        </w:rPr>
        <w:t>or assessing the relevant output</w:t>
      </w:r>
      <w:r>
        <w:rPr>
          <w:sz w:val="24"/>
          <w:szCs w:val="24"/>
        </w:rPr>
        <w:t xml:space="preserve">s, service levels, and outcomes </w:t>
      </w:r>
      <w:r w:rsidRPr="000E6A75">
        <w:rPr>
          <w:sz w:val="24"/>
          <w:szCs w:val="24"/>
        </w:rPr>
        <w:t>of each program activity;</w:t>
      </w:r>
    </w:p>
    <w:p w:rsidR="000E6A75" w:rsidRPr="000E6A75" w:rsidRDefault="000E6A75" w:rsidP="000E6A75">
      <w:pPr>
        <w:autoSpaceDE w:val="0"/>
        <w:autoSpaceDN w:val="0"/>
        <w:adjustRightInd w:val="0"/>
        <w:ind w:left="720"/>
        <w:rPr>
          <w:sz w:val="24"/>
          <w:szCs w:val="24"/>
        </w:rPr>
      </w:pPr>
      <w:r w:rsidRPr="000E6A75">
        <w:rPr>
          <w:bCs/>
          <w:iCs/>
          <w:sz w:val="24"/>
          <w:szCs w:val="24"/>
        </w:rPr>
        <w:t>(5)</w:t>
      </w:r>
      <w:r w:rsidRPr="000E6A75">
        <w:rPr>
          <w:b/>
          <w:bCs/>
          <w:i/>
          <w:iCs/>
          <w:sz w:val="24"/>
          <w:szCs w:val="24"/>
        </w:rPr>
        <w:t xml:space="preserve"> </w:t>
      </w:r>
      <w:proofErr w:type="gramStart"/>
      <w:r w:rsidRPr="000E6A75">
        <w:rPr>
          <w:sz w:val="24"/>
          <w:szCs w:val="24"/>
        </w:rPr>
        <w:t>provide</w:t>
      </w:r>
      <w:proofErr w:type="gramEnd"/>
      <w:r w:rsidRPr="000E6A75">
        <w:rPr>
          <w:sz w:val="24"/>
          <w:szCs w:val="24"/>
        </w:rPr>
        <w:t xml:space="preserve"> a basis for comparing actual program results</w:t>
      </w:r>
      <w:r>
        <w:rPr>
          <w:sz w:val="24"/>
          <w:szCs w:val="24"/>
        </w:rPr>
        <w:t xml:space="preserve"> </w:t>
      </w:r>
      <w:r w:rsidRPr="000E6A75">
        <w:rPr>
          <w:sz w:val="24"/>
          <w:szCs w:val="24"/>
        </w:rPr>
        <w:t>with the established performance goals; and</w:t>
      </w:r>
    </w:p>
    <w:p w:rsidR="000E6A75" w:rsidRPr="000E6A75" w:rsidRDefault="000E6A75" w:rsidP="000E6A75">
      <w:pPr>
        <w:autoSpaceDE w:val="0"/>
        <w:autoSpaceDN w:val="0"/>
        <w:adjustRightInd w:val="0"/>
        <w:ind w:left="720"/>
        <w:rPr>
          <w:sz w:val="24"/>
          <w:szCs w:val="24"/>
        </w:rPr>
      </w:pPr>
      <w:r w:rsidRPr="000E6A75">
        <w:rPr>
          <w:bCs/>
          <w:sz w:val="24"/>
          <w:szCs w:val="24"/>
        </w:rPr>
        <w:t>(6</w:t>
      </w:r>
      <w:r w:rsidRPr="000E6A75">
        <w:rPr>
          <w:b/>
          <w:bCs/>
          <w:sz w:val="24"/>
          <w:szCs w:val="24"/>
        </w:rPr>
        <w:t xml:space="preserve">) </w:t>
      </w:r>
      <w:proofErr w:type="gramStart"/>
      <w:r w:rsidRPr="000E6A75">
        <w:rPr>
          <w:sz w:val="24"/>
          <w:szCs w:val="24"/>
        </w:rPr>
        <w:t>describe</w:t>
      </w:r>
      <w:proofErr w:type="gramEnd"/>
      <w:r w:rsidRPr="000E6A75">
        <w:rPr>
          <w:sz w:val="24"/>
          <w:szCs w:val="24"/>
        </w:rPr>
        <w:t xml:space="preserve"> the means to be used to verify and validate</w:t>
      </w:r>
      <w:r>
        <w:rPr>
          <w:sz w:val="24"/>
          <w:szCs w:val="24"/>
        </w:rPr>
        <w:t xml:space="preserve"> </w:t>
      </w:r>
      <w:r w:rsidRPr="000E6A75">
        <w:rPr>
          <w:sz w:val="24"/>
          <w:szCs w:val="24"/>
        </w:rPr>
        <w:t>measured values.</w:t>
      </w:r>
    </w:p>
    <w:sectPr w:rsidR="000E6A75" w:rsidRPr="000E6A75" w:rsidSect="00C43161">
      <w:headerReference w:type="even" r:id="rId29"/>
      <w:headerReference w:type="default" r:id="rId30"/>
      <w:footerReference w:type="even" r:id="rId31"/>
      <w:footerReference w:type="default" r:id="rId32"/>
      <w:type w:val="continuous"/>
      <w:pgSz w:w="12240" w:h="15840" w:code="1"/>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5EB" w:rsidRDefault="005225EB">
      <w:r>
        <w:separator/>
      </w:r>
    </w:p>
  </w:endnote>
  <w:endnote w:type="continuationSeparator" w:id="0">
    <w:p w:rsidR="005225EB" w:rsidRDefault="005225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640774"/>
      <w:docPartObj>
        <w:docPartGallery w:val="Page Numbers (Bottom of Page)"/>
        <w:docPartUnique/>
      </w:docPartObj>
    </w:sdtPr>
    <w:sdtContent>
      <w:p w:rsidR="005225EB" w:rsidRDefault="00676B79">
        <w:pPr>
          <w:pStyle w:val="Footer"/>
          <w:jc w:val="center"/>
        </w:pPr>
        <w:fldSimple w:instr=" PAGE   \* MERGEFORMAT ">
          <w:r w:rsidR="00EC17F7">
            <w:rPr>
              <w:noProof/>
            </w:rPr>
            <w:t>1</w:t>
          </w:r>
        </w:fldSimple>
      </w:p>
    </w:sdtContent>
  </w:sdt>
  <w:p w:rsidR="005225EB" w:rsidRDefault="005225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5EB" w:rsidRDefault="005225EB" w:rsidP="00C43161">
    <w:pPr>
      <w:pStyle w:val="Footer"/>
    </w:pPr>
  </w:p>
  <w:p w:rsidR="005225EB" w:rsidRDefault="005225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5EB" w:rsidRDefault="00676B79">
    <w:pPr>
      <w:pStyle w:val="Footer"/>
      <w:framePr w:wrap="auto" w:vAnchor="text" w:hAnchor="margin" w:xAlign="center" w:y="1"/>
      <w:rPr>
        <w:rStyle w:val="PageNumber"/>
      </w:rPr>
    </w:pPr>
    <w:r>
      <w:rPr>
        <w:rStyle w:val="PageNumber"/>
      </w:rPr>
      <w:fldChar w:fldCharType="begin"/>
    </w:r>
    <w:r w:rsidR="005225EB">
      <w:rPr>
        <w:rStyle w:val="PageNumber"/>
      </w:rPr>
      <w:instrText xml:space="preserve">PAGE  </w:instrText>
    </w:r>
    <w:r>
      <w:rPr>
        <w:rStyle w:val="PageNumber"/>
      </w:rPr>
      <w:fldChar w:fldCharType="separate"/>
    </w:r>
    <w:r w:rsidR="005225EB">
      <w:rPr>
        <w:rStyle w:val="PageNumber"/>
        <w:noProof/>
      </w:rPr>
      <w:t>4</w:t>
    </w:r>
    <w:r>
      <w:rPr>
        <w:rStyle w:val="PageNumber"/>
      </w:rPr>
      <w:fldChar w:fldCharType="end"/>
    </w:r>
  </w:p>
  <w:p w:rsidR="005225EB" w:rsidRDefault="005225E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640768"/>
      <w:docPartObj>
        <w:docPartGallery w:val="Page Numbers (Bottom of Page)"/>
        <w:docPartUnique/>
      </w:docPartObj>
    </w:sdtPr>
    <w:sdtContent>
      <w:p w:rsidR="005225EB" w:rsidRDefault="00676B79">
        <w:pPr>
          <w:pStyle w:val="Footer"/>
          <w:jc w:val="center"/>
        </w:pPr>
        <w:fldSimple w:instr=" PAGE   \* MERGEFORMAT ">
          <w:r w:rsidR="00895C36">
            <w:rPr>
              <w:noProof/>
            </w:rPr>
            <w:t>5</w:t>
          </w:r>
        </w:fldSimple>
      </w:p>
    </w:sdtContent>
  </w:sdt>
  <w:p w:rsidR="005225EB" w:rsidRPr="0058290E" w:rsidRDefault="005225EB" w:rsidP="00C4316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5EB" w:rsidRDefault="005225EB">
      <w:r>
        <w:separator/>
      </w:r>
    </w:p>
  </w:footnote>
  <w:footnote w:type="continuationSeparator" w:id="0">
    <w:p w:rsidR="005225EB" w:rsidRDefault="005225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F7" w:rsidRDefault="00EC17F7">
    <w:pPr>
      <w:pStyle w:val="Header"/>
    </w:pPr>
    <w:r>
      <w:t>1625-NEW</w:t>
    </w:r>
  </w:p>
  <w:p w:rsidR="00EC17F7" w:rsidRDefault="00EC17F7">
    <w:pPr>
      <w:pStyle w:val="Header"/>
    </w:pPr>
  </w:p>
  <w:p w:rsidR="00EC17F7" w:rsidRDefault="00EC17F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F7" w:rsidRDefault="00EC17F7">
    <w:pPr>
      <w:pStyle w:val="Header"/>
    </w:pPr>
    <w:r>
      <w:t>1625-NEW</w:t>
    </w:r>
  </w:p>
  <w:p w:rsidR="00EC17F7" w:rsidRDefault="00EC17F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5EB" w:rsidRDefault="005225EB">
    <w:pPr>
      <w:pStyle w:val="Header"/>
    </w:pPr>
    <w:r>
      <w:t>OMB 2115-0025</w:t>
    </w:r>
    <w:r>
      <w:tab/>
    </w:r>
    <w:r>
      <w:tab/>
    </w:r>
    <w:fldSimple w:instr=" DATE \@ &quot;MM/dd/yy&quot; ">
      <w:r w:rsidR="00EC17F7">
        <w:rPr>
          <w:noProof/>
        </w:rPr>
        <w:t>02/01/12</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5EB" w:rsidRPr="0004797A" w:rsidRDefault="00EC17F7">
    <w:pPr>
      <w:pStyle w:val="Header"/>
    </w:pPr>
    <w:r>
      <w:t>1625-NEW</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F5FBF"/>
    <w:multiLevelType w:val="multilevel"/>
    <w:tmpl w:val="03C03D3C"/>
    <w:lvl w:ilvl="0">
      <w:start w:val="1"/>
      <w:numFmt w:val="decimal"/>
      <w:lvlText w:val="%1)"/>
      <w:lvlJc w:val="left"/>
      <w:pPr>
        <w:ind w:left="360" w:hanging="360"/>
      </w:pPr>
      <w:rPr>
        <w:rFonts w:hint="default"/>
      </w:rPr>
    </w:lvl>
    <w:lvl w:ilvl="1">
      <w:start w:val="1"/>
      <w:numFmt w:val="decimal"/>
      <w:isLgl/>
      <w:lvlText w:val="%1.%2"/>
      <w:lvlJc w:val="left"/>
      <w:pPr>
        <w:ind w:left="76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2880" w:hanging="1440"/>
      </w:pPr>
      <w:rPr>
        <w:rFonts w:hint="default"/>
      </w:rPr>
    </w:lvl>
  </w:abstractNum>
  <w:abstractNum w:abstractNumId="1">
    <w:nsid w:val="28145073"/>
    <w:multiLevelType w:val="hybridMultilevel"/>
    <w:tmpl w:val="0E12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3239C"/>
    <w:multiLevelType w:val="hybridMultilevel"/>
    <w:tmpl w:val="A00A2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C53BEC"/>
    <w:multiLevelType w:val="hybridMultilevel"/>
    <w:tmpl w:val="05A4B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2C4508"/>
    <w:multiLevelType w:val="multilevel"/>
    <w:tmpl w:val="22325884"/>
    <w:lvl w:ilvl="0">
      <w:start w:val="5"/>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626B5D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684156AC"/>
    <w:multiLevelType w:val="hybridMultilevel"/>
    <w:tmpl w:val="77522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99B3437"/>
    <w:multiLevelType w:val="hybridMultilevel"/>
    <w:tmpl w:val="C87E29E2"/>
    <w:lvl w:ilvl="0" w:tplc="2644458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6F0D119E"/>
    <w:multiLevelType w:val="hybridMultilevel"/>
    <w:tmpl w:val="29A0540E"/>
    <w:lvl w:ilvl="0" w:tplc="04090001">
      <w:start w:val="1"/>
      <w:numFmt w:val="bullet"/>
      <w:pStyle w:val="NRBSBulletLevel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3F716E2"/>
    <w:multiLevelType w:val="hybridMultilevel"/>
    <w:tmpl w:val="2A60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7"/>
  </w:num>
  <w:num w:numId="5">
    <w:abstractNumId w:val="3"/>
  </w:num>
  <w:num w:numId="6">
    <w:abstractNumId w:val="0"/>
  </w:num>
  <w:num w:numId="7">
    <w:abstractNumId w:val="4"/>
  </w:num>
  <w:num w:numId="8">
    <w:abstractNumId w:val="2"/>
  </w:num>
  <w:num w:numId="9">
    <w:abstractNumId w:val="9"/>
  </w:num>
  <w:num w:numId="10">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SystemFonts/>
  <w:proofState w:spelling="clean" w:grammar="clean"/>
  <w:stylePaneFormatFilter w:val="3F01"/>
  <w:defaultTabStop w:val="720"/>
  <w:doNotHyphenateCaps/>
  <w:drawingGridHorizontalSpacing w:val="10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rsids>
    <w:rsidRoot w:val="00681171"/>
    <w:rsid w:val="00043BC1"/>
    <w:rsid w:val="00046C2A"/>
    <w:rsid w:val="0004797A"/>
    <w:rsid w:val="00052F13"/>
    <w:rsid w:val="00057EBB"/>
    <w:rsid w:val="000636F7"/>
    <w:rsid w:val="00067A8A"/>
    <w:rsid w:val="00076510"/>
    <w:rsid w:val="00080CC8"/>
    <w:rsid w:val="00084328"/>
    <w:rsid w:val="000878A9"/>
    <w:rsid w:val="00087E38"/>
    <w:rsid w:val="000B0A16"/>
    <w:rsid w:val="000B2629"/>
    <w:rsid w:val="000B3E4F"/>
    <w:rsid w:val="000C211E"/>
    <w:rsid w:val="000C26F0"/>
    <w:rsid w:val="000C2971"/>
    <w:rsid w:val="000C347D"/>
    <w:rsid w:val="000C61D2"/>
    <w:rsid w:val="000C7D5E"/>
    <w:rsid w:val="000D1FC3"/>
    <w:rsid w:val="000D370D"/>
    <w:rsid w:val="000E4756"/>
    <w:rsid w:val="000E4939"/>
    <w:rsid w:val="000E6A75"/>
    <w:rsid w:val="000F6D75"/>
    <w:rsid w:val="001028CA"/>
    <w:rsid w:val="001362DB"/>
    <w:rsid w:val="00137952"/>
    <w:rsid w:val="00142953"/>
    <w:rsid w:val="00151437"/>
    <w:rsid w:val="001648F2"/>
    <w:rsid w:val="001713B6"/>
    <w:rsid w:val="001B42AE"/>
    <w:rsid w:val="001C0738"/>
    <w:rsid w:val="001C541D"/>
    <w:rsid w:val="001D065F"/>
    <w:rsid w:val="001E5427"/>
    <w:rsid w:val="00213590"/>
    <w:rsid w:val="00213FB5"/>
    <w:rsid w:val="002208DE"/>
    <w:rsid w:val="0023628C"/>
    <w:rsid w:val="00243A04"/>
    <w:rsid w:val="00247281"/>
    <w:rsid w:val="00283E53"/>
    <w:rsid w:val="00290AE9"/>
    <w:rsid w:val="00291868"/>
    <w:rsid w:val="002D4D08"/>
    <w:rsid w:val="002D5927"/>
    <w:rsid w:val="002E01D7"/>
    <w:rsid w:val="002E4E60"/>
    <w:rsid w:val="003335BF"/>
    <w:rsid w:val="00341F2C"/>
    <w:rsid w:val="00347EBA"/>
    <w:rsid w:val="00351F59"/>
    <w:rsid w:val="003563C5"/>
    <w:rsid w:val="00376670"/>
    <w:rsid w:val="0039113F"/>
    <w:rsid w:val="00396F8F"/>
    <w:rsid w:val="00397EB1"/>
    <w:rsid w:val="003C366D"/>
    <w:rsid w:val="003E60CC"/>
    <w:rsid w:val="00416A4C"/>
    <w:rsid w:val="00444356"/>
    <w:rsid w:val="004558DA"/>
    <w:rsid w:val="00463A56"/>
    <w:rsid w:val="004927A5"/>
    <w:rsid w:val="004A7C8C"/>
    <w:rsid w:val="004B7507"/>
    <w:rsid w:val="004C707E"/>
    <w:rsid w:val="00502A42"/>
    <w:rsid w:val="00506D81"/>
    <w:rsid w:val="005110AC"/>
    <w:rsid w:val="005114E4"/>
    <w:rsid w:val="00514036"/>
    <w:rsid w:val="005225EB"/>
    <w:rsid w:val="00544B53"/>
    <w:rsid w:val="00544F29"/>
    <w:rsid w:val="0056257F"/>
    <w:rsid w:val="00566224"/>
    <w:rsid w:val="00571E47"/>
    <w:rsid w:val="00575D0B"/>
    <w:rsid w:val="0058290E"/>
    <w:rsid w:val="005901FB"/>
    <w:rsid w:val="005B2B54"/>
    <w:rsid w:val="005B5C7E"/>
    <w:rsid w:val="005C1F42"/>
    <w:rsid w:val="005D1A6E"/>
    <w:rsid w:val="005E2AEE"/>
    <w:rsid w:val="005E2B26"/>
    <w:rsid w:val="005E2B89"/>
    <w:rsid w:val="00606322"/>
    <w:rsid w:val="00623A68"/>
    <w:rsid w:val="00626976"/>
    <w:rsid w:val="00626A23"/>
    <w:rsid w:val="006345A0"/>
    <w:rsid w:val="00637E67"/>
    <w:rsid w:val="00641A08"/>
    <w:rsid w:val="00651499"/>
    <w:rsid w:val="00665051"/>
    <w:rsid w:val="00666529"/>
    <w:rsid w:val="00676B79"/>
    <w:rsid w:val="00681171"/>
    <w:rsid w:val="0068388E"/>
    <w:rsid w:val="00691DF3"/>
    <w:rsid w:val="006A496C"/>
    <w:rsid w:val="006C6F98"/>
    <w:rsid w:val="006D46ED"/>
    <w:rsid w:val="006D6C3A"/>
    <w:rsid w:val="006F3DEB"/>
    <w:rsid w:val="006F4F58"/>
    <w:rsid w:val="00705936"/>
    <w:rsid w:val="00722AD4"/>
    <w:rsid w:val="00724115"/>
    <w:rsid w:val="007626F0"/>
    <w:rsid w:val="007969B1"/>
    <w:rsid w:val="007A0814"/>
    <w:rsid w:val="007A2A3A"/>
    <w:rsid w:val="007B22FF"/>
    <w:rsid w:val="007C1ED6"/>
    <w:rsid w:val="007C49DD"/>
    <w:rsid w:val="007D2295"/>
    <w:rsid w:val="007E15C7"/>
    <w:rsid w:val="00801418"/>
    <w:rsid w:val="008509CC"/>
    <w:rsid w:val="008724AE"/>
    <w:rsid w:val="008809E4"/>
    <w:rsid w:val="00883BF4"/>
    <w:rsid w:val="00884942"/>
    <w:rsid w:val="008874CA"/>
    <w:rsid w:val="00895C36"/>
    <w:rsid w:val="00895FA2"/>
    <w:rsid w:val="008B15DF"/>
    <w:rsid w:val="008B5334"/>
    <w:rsid w:val="008C5F26"/>
    <w:rsid w:val="008D00DB"/>
    <w:rsid w:val="008E3878"/>
    <w:rsid w:val="00920FC2"/>
    <w:rsid w:val="00921B62"/>
    <w:rsid w:val="0092451B"/>
    <w:rsid w:val="00956449"/>
    <w:rsid w:val="00977E58"/>
    <w:rsid w:val="0098421E"/>
    <w:rsid w:val="00986F0A"/>
    <w:rsid w:val="00992BE0"/>
    <w:rsid w:val="009A2C55"/>
    <w:rsid w:val="009A68E3"/>
    <w:rsid w:val="009C4B1C"/>
    <w:rsid w:val="009D1432"/>
    <w:rsid w:val="009D2FDB"/>
    <w:rsid w:val="009E6C53"/>
    <w:rsid w:val="00A04B8A"/>
    <w:rsid w:val="00A140B6"/>
    <w:rsid w:val="00A3098E"/>
    <w:rsid w:val="00A66EC9"/>
    <w:rsid w:val="00A70D16"/>
    <w:rsid w:val="00A71377"/>
    <w:rsid w:val="00AA7D67"/>
    <w:rsid w:val="00AB047B"/>
    <w:rsid w:val="00AC2E14"/>
    <w:rsid w:val="00AC3A7A"/>
    <w:rsid w:val="00AD546F"/>
    <w:rsid w:val="00AF48F0"/>
    <w:rsid w:val="00B009E4"/>
    <w:rsid w:val="00B123B2"/>
    <w:rsid w:val="00B17C0C"/>
    <w:rsid w:val="00B317E9"/>
    <w:rsid w:val="00B35531"/>
    <w:rsid w:val="00B54893"/>
    <w:rsid w:val="00B75A9C"/>
    <w:rsid w:val="00B7616F"/>
    <w:rsid w:val="00B866EB"/>
    <w:rsid w:val="00B878C3"/>
    <w:rsid w:val="00BA2202"/>
    <w:rsid w:val="00BB679B"/>
    <w:rsid w:val="00BB6981"/>
    <w:rsid w:val="00BC2213"/>
    <w:rsid w:val="00BC3037"/>
    <w:rsid w:val="00BD1F8C"/>
    <w:rsid w:val="00BD5BB7"/>
    <w:rsid w:val="00BD5E02"/>
    <w:rsid w:val="00BD7A3F"/>
    <w:rsid w:val="00BF1365"/>
    <w:rsid w:val="00C10A53"/>
    <w:rsid w:val="00C12211"/>
    <w:rsid w:val="00C41232"/>
    <w:rsid w:val="00C43161"/>
    <w:rsid w:val="00C578EC"/>
    <w:rsid w:val="00C736E3"/>
    <w:rsid w:val="00C90D73"/>
    <w:rsid w:val="00CC47E5"/>
    <w:rsid w:val="00CC7B2E"/>
    <w:rsid w:val="00CD336E"/>
    <w:rsid w:val="00CE7BFB"/>
    <w:rsid w:val="00CF483D"/>
    <w:rsid w:val="00D06B27"/>
    <w:rsid w:val="00D108AA"/>
    <w:rsid w:val="00D138B8"/>
    <w:rsid w:val="00D17EA5"/>
    <w:rsid w:val="00D84945"/>
    <w:rsid w:val="00D91325"/>
    <w:rsid w:val="00D935C1"/>
    <w:rsid w:val="00DB5CE1"/>
    <w:rsid w:val="00DD15CE"/>
    <w:rsid w:val="00DE6415"/>
    <w:rsid w:val="00DF2E0B"/>
    <w:rsid w:val="00E00B49"/>
    <w:rsid w:val="00E02AF4"/>
    <w:rsid w:val="00E06FE0"/>
    <w:rsid w:val="00E12019"/>
    <w:rsid w:val="00E16A5E"/>
    <w:rsid w:val="00E30EDC"/>
    <w:rsid w:val="00E4029B"/>
    <w:rsid w:val="00E46AB6"/>
    <w:rsid w:val="00E540DB"/>
    <w:rsid w:val="00E7316F"/>
    <w:rsid w:val="00E85165"/>
    <w:rsid w:val="00E86B16"/>
    <w:rsid w:val="00EA57C5"/>
    <w:rsid w:val="00EA7E14"/>
    <w:rsid w:val="00EB1FE3"/>
    <w:rsid w:val="00EB7D5E"/>
    <w:rsid w:val="00EC17F7"/>
    <w:rsid w:val="00ED3D2E"/>
    <w:rsid w:val="00ED7878"/>
    <w:rsid w:val="00EE5DBC"/>
    <w:rsid w:val="00EF248C"/>
    <w:rsid w:val="00EF2CB6"/>
    <w:rsid w:val="00EF4D57"/>
    <w:rsid w:val="00F12658"/>
    <w:rsid w:val="00F13A4B"/>
    <w:rsid w:val="00F13BA2"/>
    <w:rsid w:val="00F14F17"/>
    <w:rsid w:val="00F27615"/>
    <w:rsid w:val="00F31D5A"/>
    <w:rsid w:val="00F36B46"/>
    <w:rsid w:val="00F44957"/>
    <w:rsid w:val="00F60833"/>
    <w:rsid w:val="00F76702"/>
    <w:rsid w:val="00F92DF3"/>
    <w:rsid w:val="00F94DF1"/>
    <w:rsid w:val="00FA4540"/>
    <w:rsid w:val="00FB4703"/>
    <w:rsid w:val="00FD3C11"/>
    <w:rsid w:val="00FD40CF"/>
    <w:rsid w:val="00FF1C73"/>
    <w:rsid w:val="00FF72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45A0"/>
  </w:style>
  <w:style w:type="paragraph" w:styleId="Heading1">
    <w:name w:val="heading 1"/>
    <w:basedOn w:val="Normal"/>
    <w:next w:val="Normal"/>
    <w:qFormat/>
    <w:rsid w:val="006345A0"/>
    <w:pPr>
      <w:keepNext/>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jc w:val="center"/>
      <w:outlineLvl w:val="0"/>
    </w:pPr>
    <w:rPr>
      <w:rFonts w:ascii="Courier" w:hAnsi="Courier"/>
      <w:b/>
      <w:sz w:val="24"/>
    </w:rPr>
  </w:style>
  <w:style w:type="paragraph" w:styleId="Heading2">
    <w:name w:val="heading 2"/>
    <w:basedOn w:val="Normal"/>
    <w:next w:val="Normal"/>
    <w:qFormat/>
    <w:rsid w:val="006345A0"/>
    <w:pPr>
      <w:keepNext/>
      <w:widowControl w:val="0"/>
      <w:tabs>
        <w:tab w:val="left" w:pos="576"/>
        <w:tab w:val="left" w:pos="1440"/>
      </w:tabs>
      <w:outlineLvl w:val="1"/>
    </w:pPr>
    <w:rPr>
      <w:rFonts w:ascii="Courier New" w:hAnsi="Courier New"/>
      <w:sz w:val="24"/>
      <w:u w:val="single"/>
    </w:rPr>
  </w:style>
  <w:style w:type="paragraph" w:styleId="Heading3">
    <w:name w:val="heading 3"/>
    <w:basedOn w:val="Normal"/>
    <w:next w:val="Normal"/>
    <w:qFormat/>
    <w:rsid w:val="006345A0"/>
    <w:pPr>
      <w:keepNext/>
      <w:widowControl w:val="0"/>
      <w:tabs>
        <w:tab w:val="left" w:pos="576"/>
        <w:tab w:val="left" w:pos="1440"/>
      </w:tabs>
      <w:outlineLvl w:val="2"/>
    </w:pPr>
    <w:rPr>
      <w:rFonts w:ascii="Courier New" w:hAnsi="Courier New"/>
      <w:sz w:val="24"/>
    </w:rPr>
  </w:style>
  <w:style w:type="paragraph" w:styleId="Heading4">
    <w:name w:val="heading 4"/>
    <w:basedOn w:val="Normal"/>
    <w:next w:val="Normal"/>
    <w:qFormat/>
    <w:rsid w:val="006345A0"/>
    <w:pPr>
      <w:keepNext/>
      <w:widowControl w:val="0"/>
      <w:tabs>
        <w:tab w:val="left" w:pos="1440"/>
      </w:tabs>
      <w:ind w:firstLine="540"/>
      <w:outlineLvl w:val="3"/>
    </w:pPr>
    <w:rPr>
      <w:rFonts w:ascii="Courier New" w:hAnsi="Courier New"/>
      <w:sz w:val="24"/>
    </w:rPr>
  </w:style>
  <w:style w:type="paragraph" w:styleId="Heading5">
    <w:name w:val="heading 5"/>
    <w:basedOn w:val="Normal"/>
    <w:next w:val="Normal"/>
    <w:qFormat/>
    <w:rsid w:val="006345A0"/>
    <w:pPr>
      <w:keepNext/>
      <w:widowControl w:val="0"/>
      <w:tabs>
        <w:tab w:val="left" w:pos="576"/>
        <w:tab w:val="left" w:pos="1440"/>
      </w:tabs>
      <w:ind w:left="540"/>
      <w:outlineLvl w:val="4"/>
    </w:pPr>
    <w:rPr>
      <w:rFonts w:ascii="Courier New" w:hAnsi="Courier New"/>
      <w:sz w:val="24"/>
    </w:rPr>
  </w:style>
  <w:style w:type="paragraph" w:styleId="Heading6">
    <w:name w:val="heading 6"/>
    <w:basedOn w:val="Normal"/>
    <w:next w:val="Normal"/>
    <w:qFormat/>
    <w:rsid w:val="006345A0"/>
    <w:pPr>
      <w:keepNext/>
      <w:widowControl w:val="0"/>
      <w:tabs>
        <w:tab w:val="left" w:pos="576"/>
        <w:tab w:val="left" w:pos="1440"/>
      </w:tabs>
      <w:jc w:val="center"/>
      <w:outlineLvl w:val="5"/>
    </w:pPr>
    <w:rPr>
      <w:rFonts w:ascii="Courier New" w:hAnsi="Courier New"/>
      <w:sz w:val="24"/>
    </w:rPr>
  </w:style>
  <w:style w:type="paragraph" w:styleId="Heading7">
    <w:name w:val="heading 7"/>
    <w:basedOn w:val="Normal"/>
    <w:next w:val="Normal"/>
    <w:qFormat/>
    <w:rsid w:val="006345A0"/>
    <w:pPr>
      <w:keepNext/>
      <w:outlineLvl w:val="6"/>
    </w:pPr>
    <w:rPr>
      <w:rFonts w:ascii="Arial" w:hAnsi="Arial"/>
      <w:b/>
      <w:snapToGrid w:val="0"/>
      <w:color w:val="000000"/>
    </w:rPr>
  </w:style>
  <w:style w:type="paragraph" w:styleId="Heading8">
    <w:name w:val="heading 8"/>
    <w:basedOn w:val="Normal"/>
    <w:next w:val="Normal"/>
    <w:qFormat/>
    <w:rsid w:val="006345A0"/>
    <w:pPr>
      <w:keepNext/>
      <w:widowControl w:val="0"/>
      <w:tabs>
        <w:tab w:val="left" w:pos="1008"/>
        <w:tab w:val="center" w:pos="4752"/>
        <w:tab w:val="left" w:pos="5040"/>
      </w:tabs>
      <w:jc w:val="center"/>
      <w:outlineLvl w:val="7"/>
    </w:pPr>
    <w:rPr>
      <w:rFonts w:ascii="Courier New" w:hAnsi="Courier New"/>
      <w:b/>
      <w:sz w:val="22"/>
    </w:rPr>
  </w:style>
  <w:style w:type="paragraph" w:styleId="Heading9">
    <w:name w:val="heading 9"/>
    <w:basedOn w:val="Normal"/>
    <w:next w:val="Normal"/>
    <w:qFormat/>
    <w:rsid w:val="006345A0"/>
    <w:pPr>
      <w:keepNext/>
      <w:widowControl w:val="0"/>
      <w:tabs>
        <w:tab w:val="left" w:pos="-540"/>
        <w:tab w:val="left" w:pos="1440"/>
      </w:tabs>
      <w:outlineLvl w:val="8"/>
    </w:pPr>
    <w:rPr>
      <w:rFonts w:ascii="Courier New" w:hAnsi="Courier New"/>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345A0"/>
    <w:pPr>
      <w:tabs>
        <w:tab w:val="center" w:pos="4320"/>
        <w:tab w:val="right" w:pos="8640"/>
      </w:tabs>
    </w:pPr>
  </w:style>
  <w:style w:type="character" w:styleId="PageNumber">
    <w:name w:val="page number"/>
    <w:basedOn w:val="DefaultParagraphFont"/>
    <w:rsid w:val="006345A0"/>
  </w:style>
  <w:style w:type="paragraph" w:styleId="BodyText">
    <w:name w:val="Body Text"/>
    <w:basedOn w:val="Normal"/>
    <w:rsid w:val="006345A0"/>
    <w:pPr>
      <w:widowControl w:val="0"/>
      <w:tabs>
        <w:tab w:val="left" w:pos="576"/>
        <w:tab w:val="left" w:pos="1440"/>
      </w:tabs>
    </w:pPr>
    <w:rPr>
      <w:rFonts w:ascii="Courier" w:hAnsi="Courier"/>
      <w:sz w:val="24"/>
    </w:rPr>
  </w:style>
  <w:style w:type="paragraph" w:styleId="BodyTextIndent">
    <w:name w:val="Body Text Indent"/>
    <w:basedOn w:val="Normal"/>
    <w:rsid w:val="006345A0"/>
    <w:pPr>
      <w:widowControl w:val="0"/>
      <w:tabs>
        <w:tab w:val="left" w:pos="576"/>
        <w:tab w:val="left" w:pos="1020"/>
        <w:tab w:val="left" w:pos="1440"/>
      </w:tabs>
      <w:ind w:left="576"/>
    </w:pPr>
    <w:rPr>
      <w:rFonts w:ascii="Courier New" w:hAnsi="Courier New"/>
      <w:sz w:val="24"/>
    </w:rPr>
  </w:style>
  <w:style w:type="paragraph" w:styleId="Header">
    <w:name w:val="header"/>
    <w:basedOn w:val="Normal"/>
    <w:link w:val="HeaderChar"/>
    <w:uiPriority w:val="99"/>
    <w:rsid w:val="006345A0"/>
    <w:pPr>
      <w:tabs>
        <w:tab w:val="center" w:pos="4320"/>
        <w:tab w:val="right" w:pos="8640"/>
      </w:tabs>
    </w:pPr>
  </w:style>
  <w:style w:type="paragraph" w:styleId="Title">
    <w:name w:val="Title"/>
    <w:basedOn w:val="Normal"/>
    <w:qFormat/>
    <w:rsid w:val="006345A0"/>
    <w:pPr>
      <w:widowControl w:val="0"/>
      <w:tabs>
        <w:tab w:val="left" w:pos="1008"/>
        <w:tab w:val="center" w:pos="4752"/>
        <w:tab w:val="left" w:pos="5040"/>
      </w:tabs>
      <w:jc w:val="center"/>
    </w:pPr>
    <w:rPr>
      <w:rFonts w:ascii="Courier New" w:hAnsi="Courier New"/>
      <w:b/>
      <w:sz w:val="22"/>
    </w:rPr>
  </w:style>
  <w:style w:type="paragraph" w:styleId="BodyText2">
    <w:name w:val="Body Text 2"/>
    <w:basedOn w:val="Normal"/>
    <w:rsid w:val="006345A0"/>
    <w:pPr>
      <w:widowControl w:val="0"/>
      <w:tabs>
        <w:tab w:val="left" w:pos="-270"/>
        <w:tab w:val="left" w:pos="1440"/>
      </w:tabs>
    </w:pPr>
    <w:rPr>
      <w:rFonts w:ascii="Courier New" w:hAnsi="Courier New"/>
      <w:sz w:val="22"/>
    </w:rPr>
  </w:style>
  <w:style w:type="paragraph" w:styleId="BalloonText">
    <w:name w:val="Balloon Text"/>
    <w:basedOn w:val="Normal"/>
    <w:semiHidden/>
    <w:rsid w:val="00D84945"/>
    <w:rPr>
      <w:rFonts w:ascii="Tahoma" w:hAnsi="Tahoma" w:cs="Tahoma"/>
      <w:sz w:val="16"/>
      <w:szCs w:val="16"/>
    </w:rPr>
  </w:style>
  <w:style w:type="character" w:styleId="CommentReference">
    <w:name w:val="annotation reference"/>
    <w:basedOn w:val="DefaultParagraphFont"/>
    <w:rsid w:val="00EB1FE3"/>
    <w:rPr>
      <w:sz w:val="16"/>
      <w:szCs w:val="16"/>
    </w:rPr>
  </w:style>
  <w:style w:type="paragraph" w:styleId="CommentText">
    <w:name w:val="annotation text"/>
    <w:basedOn w:val="Normal"/>
    <w:link w:val="CommentTextChar"/>
    <w:rsid w:val="00EB1FE3"/>
  </w:style>
  <w:style w:type="character" w:customStyle="1" w:styleId="CommentTextChar">
    <w:name w:val="Comment Text Char"/>
    <w:basedOn w:val="DefaultParagraphFont"/>
    <w:link w:val="CommentText"/>
    <w:rsid w:val="00EB1FE3"/>
  </w:style>
  <w:style w:type="paragraph" w:styleId="CommentSubject">
    <w:name w:val="annotation subject"/>
    <w:basedOn w:val="CommentText"/>
    <w:next w:val="CommentText"/>
    <w:link w:val="CommentSubjectChar"/>
    <w:rsid w:val="00EB1FE3"/>
    <w:rPr>
      <w:b/>
      <w:bCs/>
    </w:rPr>
  </w:style>
  <w:style w:type="character" w:customStyle="1" w:styleId="CommentSubjectChar">
    <w:name w:val="Comment Subject Char"/>
    <w:basedOn w:val="CommentTextChar"/>
    <w:link w:val="CommentSubject"/>
    <w:rsid w:val="00EB1FE3"/>
    <w:rPr>
      <w:b/>
      <w:bCs/>
    </w:rPr>
  </w:style>
  <w:style w:type="table" w:styleId="TableGrid">
    <w:name w:val="Table Grid"/>
    <w:basedOn w:val="TableNormal"/>
    <w:rsid w:val="00347E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02A42"/>
    <w:rPr>
      <w:color w:val="0000FF"/>
      <w:u w:val="single"/>
    </w:rPr>
  </w:style>
  <w:style w:type="paragraph" w:styleId="FootnoteText">
    <w:name w:val="footnote text"/>
    <w:basedOn w:val="Normal"/>
    <w:link w:val="FootnoteTextChar"/>
    <w:rsid w:val="00BB679B"/>
  </w:style>
  <w:style w:type="character" w:customStyle="1" w:styleId="FootnoteTextChar">
    <w:name w:val="Footnote Text Char"/>
    <w:basedOn w:val="DefaultParagraphFont"/>
    <w:link w:val="FootnoteText"/>
    <w:rsid w:val="00BB679B"/>
  </w:style>
  <w:style w:type="character" w:styleId="FootnoteReference">
    <w:name w:val="footnote reference"/>
    <w:basedOn w:val="DefaultParagraphFont"/>
    <w:rsid w:val="00BB679B"/>
    <w:rPr>
      <w:vertAlign w:val="superscript"/>
    </w:rPr>
  </w:style>
  <w:style w:type="paragraph" w:customStyle="1" w:styleId="CharCharCharCharCharCharCharCharCharCharCharChar1CharCharChar1Char">
    <w:name w:val="Char Char Char Char Char Char Char Char Char Char Char Char1 Char Char Char1 Char"/>
    <w:basedOn w:val="Normal"/>
    <w:autoRedefine/>
    <w:semiHidden/>
    <w:rsid w:val="00566224"/>
    <w:pPr>
      <w:widowControl w:val="0"/>
      <w:spacing w:before="80" w:after="80"/>
      <w:ind w:left="4320"/>
      <w:jc w:val="both"/>
    </w:pPr>
    <w:rPr>
      <w:rFonts w:cs="Arial"/>
      <w:bCs/>
      <w:sz w:val="24"/>
      <w:szCs w:val="24"/>
    </w:rPr>
  </w:style>
  <w:style w:type="paragraph" w:customStyle="1" w:styleId="Default">
    <w:name w:val="Default"/>
    <w:rsid w:val="00CC47E5"/>
    <w:pPr>
      <w:autoSpaceDE w:val="0"/>
      <w:autoSpaceDN w:val="0"/>
      <w:adjustRightInd w:val="0"/>
    </w:pPr>
    <w:rPr>
      <w:rFonts w:ascii="Arial" w:hAnsi="Arial" w:cs="Arial"/>
      <w:color w:val="000000"/>
      <w:sz w:val="24"/>
      <w:szCs w:val="24"/>
    </w:rPr>
  </w:style>
  <w:style w:type="paragraph" w:styleId="ListParagraph">
    <w:name w:val="List Paragraph"/>
    <w:basedOn w:val="NRBSBulletLevel1"/>
    <w:uiPriority w:val="34"/>
    <w:qFormat/>
    <w:rsid w:val="005E2B26"/>
  </w:style>
  <w:style w:type="table" w:customStyle="1" w:styleId="LightList-Accent11">
    <w:name w:val="Light List - Accent 11"/>
    <w:basedOn w:val="TableNormal"/>
    <w:uiPriority w:val="61"/>
    <w:rsid w:val="005E2B26"/>
    <w:rPr>
      <w:rFonts w:ascii="Calibri" w:eastAsia="Calibri" w:hAnsi="Calibr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RBSBulletLevel1">
    <w:name w:val="NRBS Bullet Level 1"/>
    <w:basedOn w:val="Normal"/>
    <w:qFormat/>
    <w:rsid w:val="005E2B26"/>
    <w:pPr>
      <w:numPr>
        <w:numId w:val="3"/>
      </w:numPr>
      <w:spacing w:before="120" w:after="120"/>
      <w:contextualSpacing/>
    </w:pPr>
    <w:rPr>
      <w:rFonts w:ascii="Calibri" w:eastAsia="Calibri" w:hAnsi="Calibri"/>
      <w:sz w:val="22"/>
      <w:szCs w:val="22"/>
    </w:rPr>
  </w:style>
  <w:style w:type="paragraph" w:styleId="NoSpacing">
    <w:name w:val="No Spacing"/>
    <w:uiPriority w:val="1"/>
    <w:qFormat/>
    <w:rsid w:val="005E2B26"/>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5E2B26"/>
    <w:pPr>
      <w:spacing w:line="276" w:lineRule="auto"/>
      <w:contextualSpacing/>
    </w:pPr>
    <w:rPr>
      <w:rFonts w:ascii="Calibri" w:eastAsia="Calibri" w:hAnsi="Calibri"/>
      <w:sz w:val="22"/>
      <w:szCs w:val="22"/>
    </w:rPr>
  </w:style>
  <w:style w:type="paragraph" w:styleId="TOCHeading">
    <w:name w:val="TOC Heading"/>
    <w:basedOn w:val="Heading1"/>
    <w:next w:val="Normal"/>
    <w:uiPriority w:val="39"/>
    <w:semiHidden/>
    <w:unhideWhenUsed/>
    <w:qFormat/>
    <w:rsid w:val="005E2B26"/>
    <w:pPr>
      <w:keepLines/>
      <w:widowControl/>
      <w:tabs>
        <w:tab w:val="clear" w:pos="1008"/>
        <w:tab w:val="clear" w:pos="2160"/>
        <w:tab w:val="clear" w:pos="3312"/>
        <w:tab w:val="clear" w:pos="4464"/>
        <w:tab w:val="clear" w:pos="5616"/>
        <w:tab w:val="clear" w:pos="6768"/>
        <w:tab w:val="clear" w:pos="7920"/>
        <w:tab w:val="clear" w:pos="9072"/>
        <w:tab w:val="clear" w:pos="10224"/>
        <w:tab w:val="clear" w:pos="11376"/>
        <w:tab w:val="clear" w:pos="12528"/>
        <w:tab w:val="clear" w:pos="13680"/>
        <w:tab w:val="clear" w:pos="14832"/>
        <w:tab w:val="clear" w:pos="15984"/>
        <w:tab w:val="clear" w:pos="17136"/>
        <w:tab w:val="clear" w:pos="18288"/>
        <w:tab w:val="clear" w:pos="19440"/>
        <w:tab w:val="clear" w:pos="20592"/>
      </w:tab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rsid w:val="005E2B26"/>
    <w:pPr>
      <w:spacing w:after="100"/>
    </w:pPr>
  </w:style>
  <w:style w:type="paragraph" w:styleId="TOC2">
    <w:name w:val="toc 2"/>
    <w:basedOn w:val="Normal"/>
    <w:next w:val="Normal"/>
    <w:autoRedefine/>
    <w:uiPriority w:val="39"/>
    <w:rsid w:val="005E2B26"/>
    <w:pPr>
      <w:spacing w:after="100"/>
      <w:ind w:left="200"/>
    </w:pPr>
  </w:style>
  <w:style w:type="paragraph" w:styleId="TOC3">
    <w:name w:val="toc 3"/>
    <w:basedOn w:val="Normal"/>
    <w:next w:val="Normal"/>
    <w:autoRedefine/>
    <w:uiPriority w:val="39"/>
    <w:rsid w:val="005E2B26"/>
    <w:pPr>
      <w:spacing w:after="100"/>
      <w:ind w:left="400"/>
    </w:pPr>
  </w:style>
  <w:style w:type="character" w:customStyle="1" w:styleId="FooterChar">
    <w:name w:val="Footer Char"/>
    <w:basedOn w:val="DefaultParagraphFont"/>
    <w:link w:val="Footer"/>
    <w:uiPriority w:val="99"/>
    <w:rsid w:val="00E85165"/>
  </w:style>
  <w:style w:type="character" w:customStyle="1" w:styleId="HeaderChar">
    <w:name w:val="Header Char"/>
    <w:basedOn w:val="DefaultParagraphFont"/>
    <w:link w:val="Header"/>
    <w:uiPriority w:val="99"/>
    <w:rsid w:val="00EC17F7"/>
  </w:style>
</w:styles>
</file>

<file path=word/webSettings.xml><?xml version="1.0" encoding="utf-8"?>
<w:webSettings xmlns:r="http://schemas.openxmlformats.org/officeDocument/2006/relationships" xmlns:w="http://schemas.openxmlformats.org/wordprocessingml/2006/main">
  <w:divs>
    <w:div w:id="268508409">
      <w:bodyDiv w:val="1"/>
      <w:marLeft w:val="0"/>
      <w:marRight w:val="0"/>
      <w:marTop w:val="0"/>
      <w:marBottom w:val="0"/>
      <w:divBdr>
        <w:top w:val="none" w:sz="0" w:space="0" w:color="auto"/>
        <w:left w:val="none" w:sz="0" w:space="0" w:color="auto"/>
        <w:bottom w:val="none" w:sz="0" w:space="0" w:color="auto"/>
        <w:right w:val="none" w:sz="0" w:space="0" w:color="auto"/>
      </w:divBdr>
    </w:div>
    <w:div w:id="406656508">
      <w:bodyDiv w:val="1"/>
      <w:marLeft w:val="0"/>
      <w:marRight w:val="0"/>
      <w:marTop w:val="0"/>
      <w:marBottom w:val="0"/>
      <w:divBdr>
        <w:top w:val="none" w:sz="0" w:space="0" w:color="auto"/>
        <w:left w:val="none" w:sz="0" w:space="0" w:color="auto"/>
        <w:bottom w:val="none" w:sz="0" w:space="0" w:color="auto"/>
        <w:right w:val="none" w:sz="0" w:space="0" w:color="auto"/>
      </w:divBdr>
    </w:div>
    <w:div w:id="554901623">
      <w:bodyDiv w:val="1"/>
      <w:marLeft w:val="0"/>
      <w:marRight w:val="0"/>
      <w:marTop w:val="0"/>
      <w:marBottom w:val="0"/>
      <w:divBdr>
        <w:top w:val="none" w:sz="0" w:space="0" w:color="auto"/>
        <w:left w:val="none" w:sz="0" w:space="0" w:color="auto"/>
        <w:bottom w:val="none" w:sz="0" w:space="0" w:color="auto"/>
        <w:right w:val="none" w:sz="0" w:space="0" w:color="auto"/>
      </w:divBdr>
    </w:div>
    <w:div w:id="970742153">
      <w:bodyDiv w:val="1"/>
      <w:marLeft w:val="0"/>
      <w:marRight w:val="0"/>
      <w:marTop w:val="0"/>
      <w:marBottom w:val="0"/>
      <w:divBdr>
        <w:top w:val="none" w:sz="0" w:space="0" w:color="auto"/>
        <w:left w:val="none" w:sz="0" w:space="0" w:color="auto"/>
        <w:bottom w:val="none" w:sz="0" w:space="0" w:color="auto"/>
        <w:right w:val="none" w:sz="0" w:space="0" w:color="auto"/>
      </w:divBdr>
    </w:div>
    <w:div w:id="1495803774">
      <w:bodyDiv w:val="1"/>
      <w:marLeft w:val="0"/>
      <w:marRight w:val="0"/>
      <w:marTop w:val="0"/>
      <w:marBottom w:val="0"/>
      <w:divBdr>
        <w:top w:val="none" w:sz="0" w:space="0" w:color="auto"/>
        <w:left w:val="none" w:sz="0" w:space="0" w:color="auto"/>
        <w:bottom w:val="none" w:sz="0" w:space="0" w:color="auto"/>
        <w:right w:val="none" w:sz="0" w:space="0" w:color="auto"/>
      </w:divBdr>
    </w:div>
    <w:div w:id="1498379300">
      <w:bodyDiv w:val="1"/>
      <w:marLeft w:val="0"/>
      <w:marRight w:val="0"/>
      <w:marTop w:val="0"/>
      <w:marBottom w:val="0"/>
      <w:divBdr>
        <w:top w:val="none" w:sz="0" w:space="0" w:color="auto"/>
        <w:left w:val="none" w:sz="0" w:space="0" w:color="auto"/>
        <w:bottom w:val="none" w:sz="0" w:space="0" w:color="auto"/>
        <w:right w:val="none" w:sz="0" w:space="0" w:color="auto"/>
      </w:divBdr>
    </w:div>
    <w:div w:id="1607882450">
      <w:bodyDiv w:val="1"/>
      <w:marLeft w:val="0"/>
      <w:marRight w:val="0"/>
      <w:marTop w:val="0"/>
      <w:marBottom w:val="0"/>
      <w:divBdr>
        <w:top w:val="none" w:sz="0" w:space="0" w:color="auto"/>
        <w:left w:val="none" w:sz="0" w:space="0" w:color="auto"/>
        <w:bottom w:val="none" w:sz="0" w:space="0" w:color="auto"/>
        <w:right w:val="none" w:sz="0" w:space="0" w:color="auto"/>
      </w:divBdr>
    </w:div>
    <w:div w:id="18628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4.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C48E8"/>
    <w:rsid w:val="006C4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0E37880CFE47C7B628C65B2E672502">
    <w:name w:val="160E37880CFE47C7B628C65B2E672502"/>
    <w:rsid w:val="006C48E8"/>
  </w:style>
  <w:style w:type="paragraph" w:customStyle="1" w:styleId="DBB9176898FA44F997DBF4F013DF8CC2">
    <w:name w:val="DBB9176898FA44F997DBF4F013DF8CC2"/>
    <w:rsid w:val="006C48E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79C6A-3285-4008-BEE9-B9333403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2710</Words>
  <Characters>27486</Characters>
  <Application>Microsoft Office Word</Application>
  <DocSecurity>0</DocSecurity>
  <Lines>229</Lines>
  <Paragraphs>60</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Supporting Statement</vt:lpstr>
      <vt:lpstr>A)  Justification</vt:lpstr>
      <vt:lpstr>    1)  Circumstances Making the Collection of Information Necessary</vt:lpstr>
      <vt:lpstr>    2)  Purpose of Use of the Information Collection</vt:lpstr>
      <vt:lpstr>    3)  Use of Improved Information Technology and Burden Reduction</vt:lpstr>
      <vt:lpstr>    4)  Efforts to identify Duplication and use of Similar Information </vt:lpstr>
      <vt:lpstr>    5)  Impact on Small Business or Other Small Entities</vt:lpstr>
      <vt:lpstr>    6)  Consequences of Collecting the Information less Frequently</vt:lpstr>
      <vt:lpstr>    7)  Special Circumstances Relating to the Guidelines of 5 CFR 1320.5</vt:lpstr>
      <vt:lpstr>    8)  Consultation</vt:lpstr>
      <vt:lpstr>    9)  Explanation of Any Payment or Gift to Respondents</vt:lpstr>
      <vt:lpstr>    10)  Assurances of Confidentiality Provided to Respondents</vt:lpstr>
      <vt:lpstr>    11)  Justification for Sensitive Questions</vt:lpstr>
      <vt:lpstr>    12)  Estimates of Annualized Burden Hours and Cost</vt:lpstr>
      <vt:lpstr>    13)  Estimates of Other Total Annual Cost Burden to Respondents and Record Keepe</vt:lpstr>
      <vt:lpstr>    14)  Annualized Cost to the Federal Government</vt:lpstr>
      <vt:lpstr>    15)  Explanation for Program Changes or Adjustments</vt:lpstr>
      <vt:lpstr>    16)  Plans for Tabulation and Publication and Project Time Schedule</vt:lpstr>
      <vt:lpstr>    17)  Reason(s) Display of OMB Expiration Date is Inappropriate</vt:lpstr>
      <vt:lpstr>    18)  Exception to Certification for Paperwork Reduction Act Submissions</vt:lpstr>
      <vt:lpstr>B)  Statistical Methods</vt:lpstr>
      <vt:lpstr>    Respondent Universe and Sampling Methods</vt:lpstr>
      <vt:lpstr>    Procedures for the Collection of Information</vt:lpstr>
      <vt:lpstr>    Methods to Maximize Response Rates and Deal with Non-response</vt:lpstr>
      <vt:lpstr>    Tests of Procedures or Methods to be Undertaken</vt:lpstr>
      <vt:lpstr>    Individuals Consulted on Statistical Aspects and Individuals Collecting or Analy</vt:lpstr>
      <vt:lpstr>References</vt:lpstr>
      <vt:lpstr>Appendix A – LMR Deterrence Study </vt:lpstr>
      <vt:lpstr>Appendix B – Select Applicable Regulations with Text</vt:lpstr>
    </vt:vector>
  </TitlesOfParts>
  <Company>United States Coast Guard</Company>
  <LinksUpToDate>false</LinksUpToDate>
  <CharactersWithSpaces>30136</CharactersWithSpaces>
  <SharedDoc>false</SharedDoc>
  <HLinks>
    <vt:vector size="6" baseType="variant">
      <vt:variant>
        <vt:i4>8257644</vt:i4>
      </vt:variant>
      <vt:variant>
        <vt:i4>0</vt:i4>
      </vt:variant>
      <vt:variant>
        <vt:i4>0</vt:i4>
      </vt:variant>
      <vt:variant>
        <vt:i4>5</vt:i4>
      </vt:variant>
      <vt:variant>
        <vt:lpwstr>http://www.gpo.gov/fdsys/pkg/CFR-2010-title33-vol2/pdf/CFR-2010-title33-vol2-sec151-25.pdf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creator>A. B. Soule</dc:creator>
  <cp:lastModifiedBy>KATyler</cp:lastModifiedBy>
  <cp:revision>2</cp:revision>
  <cp:lastPrinted>2012-01-09T17:15:00Z</cp:lastPrinted>
  <dcterms:created xsi:type="dcterms:W3CDTF">2012-02-01T19:59:00Z</dcterms:created>
  <dcterms:modified xsi:type="dcterms:W3CDTF">2012-02-01T19:59:00Z</dcterms:modified>
</cp:coreProperties>
</file>