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42" w:rsidRDefault="00F45542" w:rsidP="00F455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Pr>
          <w:rFonts w:ascii="Helvetica" w:hAnsi="Helvetica"/>
          <w:b/>
          <w:sz w:val="28"/>
        </w:rPr>
        <w:t>Supporting Statement for Paperwork Reduction Act Submissions</w:t>
      </w:r>
    </w:p>
    <w:p w:rsidR="00F45542" w:rsidRDefault="00F45542" w:rsidP="00F4554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F45542" w:rsidRDefault="00F45542" w:rsidP="00F45542">
      <w:pPr>
        <w:pStyle w:val="Heading1"/>
      </w:pPr>
      <w:r>
        <w:t>Mortgagee’s Certificat</w:t>
      </w:r>
      <w:r w:rsidR="0093729B">
        <w:t>ion of Fe</w:t>
      </w:r>
      <w:r>
        <w:t>e</w:t>
      </w:r>
      <w:r w:rsidR="0093729B">
        <w:t>s and Escrow and Security Bond Against Defects</w:t>
      </w:r>
    </w:p>
    <w:p w:rsidR="00F45542" w:rsidRDefault="00F45542" w:rsidP="00F4554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2502-0468</w:t>
      </w:r>
    </w:p>
    <w:p w:rsidR="00F45542" w:rsidRDefault="0093729B" w:rsidP="00F4554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Cs/>
          <w:sz w:val="24"/>
        </w:rPr>
      </w:pPr>
      <w:r>
        <w:rPr>
          <w:rFonts w:ascii="Helvetica" w:hAnsi="Helvetica"/>
          <w:bCs/>
          <w:sz w:val="24"/>
        </w:rPr>
        <w:t>(Form HUD-2434 and HUD-3259)</w:t>
      </w:r>
    </w:p>
    <w:p w:rsidR="00F45542" w:rsidRDefault="00F45542" w:rsidP="00F4554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F45542" w:rsidRDefault="00F45542" w:rsidP="00F4554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rPr>
      </w:pPr>
      <w:r>
        <w:rPr>
          <w:rFonts w:ascii="Helvetica" w:hAnsi="Helvetica"/>
          <w:b/>
        </w:rPr>
        <w:t xml:space="preserve">A. </w:t>
      </w:r>
      <w:r>
        <w:rPr>
          <w:rFonts w:ascii="Helvetica" w:hAnsi="Helvetica"/>
          <w:b/>
        </w:rPr>
        <w:tab/>
        <w:t>Justi</w:t>
      </w:r>
      <w:r>
        <w:rPr>
          <w:rFonts w:ascii="Helvetica" w:hAnsi="Helvetica"/>
          <w:b/>
          <w:color w:val="000000"/>
        </w:rPr>
        <w:t>fication</w:t>
      </w:r>
    </w:p>
    <w:p w:rsidR="00F45542" w:rsidRDefault="00F45542" w:rsidP="00F45542">
      <w:pPr>
        <w:rPr>
          <w:sz w:val="24"/>
        </w:rPr>
      </w:pPr>
    </w:p>
    <w:p w:rsidR="00F45542" w:rsidRDefault="00F45542" w:rsidP="00F45542">
      <w:pPr>
        <w:pStyle w:val="BodyTextIndent"/>
        <w:rPr>
          <w:sz w:val="22"/>
        </w:rPr>
      </w:pPr>
      <w:r>
        <w:rPr>
          <w:sz w:val="22"/>
        </w:rPr>
        <w:t>1.</w:t>
      </w:r>
      <w:r>
        <w:rPr>
          <w:sz w:val="22"/>
        </w:rPr>
        <w:tab/>
        <w:t>Section 207(b)(2)1 of the National Housing Act, 12 U.S.C. 1701 et seq.), applicable portions of which are attached for references, gives the Secretary the discretion to restrict charges to the mortgagor.  Regulations published in 24 CFR 200.41 through 24 CFR 200.63 details the maximum fees and charges that may be collected by the mortgagee.  The regulation states that, (a) mortgagee fees and charges included in the mortgage must be for actual required services provided to the mortgagor by the mortgagee, and shall not exceed common market rates for such services as determined by the Commissioner; and (b) mortgagee charges for prepayment of the mortgage and late mortgage payments shall not exceed that determined appropriate by the Commissioner.</w:t>
      </w:r>
    </w:p>
    <w:p w:rsidR="00F45542" w:rsidRDefault="00F45542" w:rsidP="00F45542">
      <w:pPr>
        <w:rPr>
          <w:sz w:val="22"/>
        </w:rPr>
      </w:pPr>
    </w:p>
    <w:p w:rsidR="00F45542" w:rsidRDefault="00F45542" w:rsidP="00F45542">
      <w:pPr>
        <w:pStyle w:val="BodyText"/>
        <w:ind w:left="360" w:hanging="360"/>
        <w:rPr>
          <w:sz w:val="22"/>
        </w:rPr>
      </w:pPr>
      <w:r>
        <w:rPr>
          <w:sz w:val="22"/>
        </w:rPr>
        <w:t>2.</w:t>
      </w:r>
      <w:r>
        <w:rPr>
          <w:sz w:val="22"/>
        </w:rPr>
        <w:tab/>
        <w:t>The information collected on form HUD-2434, Mortgagee’s Certificate, is required for all mortgages in cases involving insurance of advances to satisfy legislative requirements.  Mortgagees must identify finance fees being collected and escrow requirements.  The mortgagee certifies to the Commissioner that it will conform with terms and conditions established by the Commissioner for the mortgagee’s control of project funds, and other incidental requirements established by the Commissioner.  The information is also used in processing applications, project inspections, cash requirements, etc.  HUD, in reviewing this form, determines the reasonableness of the fees and ensures that the required escrows are being established.  The information is provided by sponsors and general contractors and submitted by HUD-approved mortgagees.</w:t>
      </w:r>
    </w:p>
    <w:p w:rsidR="00F45542" w:rsidRDefault="00F45542" w:rsidP="00F45542">
      <w:pPr>
        <w:pStyle w:val="BodyText"/>
        <w:ind w:left="360" w:hanging="360"/>
        <w:rPr>
          <w:sz w:val="22"/>
        </w:rPr>
      </w:pPr>
    </w:p>
    <w:p w:rsidR="00F45542" w:rsidRDefault="00F45542" w:rsidP="00F45542">
      <w:pPr>
        <w:pStyle w:val="BodyText"/>
        <w:ind w:left="360" w:hanging="360"/>
        <w:rPr>
          <w:sz w:val="22"/>
        </w:rPr>
      </w:pPr>
      <w:r>
        <w:rPr>
          <w:sz w:val="22"/>
        </w:rPr>
        <w:t xml:space="preserve">      Form HUD-3259, Surety Bond Against Defects, is required on all newly constructed projects.  It insures the mortgagor that the real property was constructed in accordance with the plans and specifications.</w:t>
      </w:r>
    </w:p>
    <w:p w:rsidR="00F45542" w:rsidRDefault="00F45542" w:rsidP="00F45542">
      <w:pPr>
        <w:pStyle w:val="BodyText"/>
        <w:ind w:left="360" w:hanging="360"/>
        <w:rPr>
          <w:sz w:val="22"/>
        </w:rPr>
      </w:pPr>
    </w:p>
    <w:p w:rsidR="00F45542" w:rsidRDefault="00F45542" w:rsidP="00F45542">
      <w:pPr>
        <w:pStyle w:val="BodyText"/>
        <w:ind w:left="360" w:hanging="360"/>
        <w:rPr>
          <w:sz w:val="22"/>
        </w:rPr>
      </w:pPr>
      <w:r>
        <w:rPr>
          <w:sz w:val="22"/>
        </w:rPr>
        <w:t xml:space="preserve">      The documents, HUD-2432 and HUD-3259 are typically signed and handed to the HUD attorney at loan closing. </w:t>
      </w:r>
    </w:p>
    <w:p w:rsidR="00F45542" w:rsidRDefault="00F45542" w:rsidP="00F45542">
      <w:pPr>
        <w:pStyle w:val="BodyText"/>
        <w:ind w:left="360" w:hanging="360"/>
        <w:rPr>
          <w:sz w:val="22"/>
        </w:rPr>
      </w:pPr>
    </w:p>
    <w:p w:rsidR="00F45542" w:rsidRPr="00C438C1" w:rsidRDefault="00F45542" w:rsidP="00F45542">
      <w:pPr>
        <w:pStyle w:val="ListParagraph"/>
        <w:numPr>
          <w:ilvl w:val="0"/>
          <w:numId w:val="1"/>
        </w:numPr>
        <w:rPr>
          <w:sz w:val="24"/>
          <w:szCs w:val="24"/>
        </w:rPr>
      </w:pPr>
      <w:r w:rsidRPr="00C438C1">
        <w:rPr>
          <w:sz w:val="24"/>
          <w:szCs w:val="24"/>
        </w:rPr>
        <w:t>Reengineering efforts are being made to replace the DAP system, which would improve the functionality and replacement of technology, and the online implementation</w:t>
      </w:r>
      <w:r>
        <w:rPr>
          <w:sz w:val="24"/>
          <w:szCs w:val="24"/>
        </w:rPr>
        <w:t xml:space="preserve"> </w:t>
      </w:r>
      <w:r w:rsidRPr="00C438C1">
        <w:rPr>
          <w:sz w:val="24"/>
          <w:szCs w:val="24"/>
        </w:rPr>
        <w:t xml:space="preserve">of automated underwriting processing from the beginning to end of completion, including the e-signature.  The target date of 9/30/2013 was given for implementation.  The information was based on the 2009 FHA Multifamily IT Strategy Plan, modernization of IT.  This information was submitted to Congress.  Procurements are involved so the projected date is 9/2013 for implementation assuming all goes well with procurements.” </w:t>
      </w:r>
    </w:p>
    <w:p w:rsidR="00F45542" w:rsidRDefault="00F45542" w:rsidP="00F45542">
      <w:pPr>
        <w:pStyle w:val="BodyTextIndent"/>
        <w:rPr>
          <w:sz w:val="22"/>
        </w:rPr>
      </w:pPr>
    </w:p>
    <w:p w:rsidR="00F45542" w:rsidRDefault="00F45542" w:rsidP="00F45542">
      <w:pPr>
        <w:pStyle w:val="BodyTextIndent"/>
        <w:numPr>
          <w:ilvl w:val="0"/>
          <w:numId w:val="1"/>
        </w:numPr>
        <w:rPr>
          <w:sz w:val="22"/>
        </w:rPr>
      </w:pPr>
      <w:r>
        <w:rPr>
          <w:sz w:val="22"/>
        </w:rPr>
        <w:t>A review of multifamily housing processes confirms that no other collection provides this particular information.  No similar information that is available could be used or modified to satisfy this requirement.</w:t>
      </w:r>
    </w:p>
    <w:p w:rsidR="00F45542" w:rsidRDefault="00F45542" w:rsidP="00F45542">
      <w:pPr>
        <w:rPr>
          <w:sz w:val="22"/>
        </w:rPr>
      </w:pPr>
    </w:p>
    <w:p w:rsidR="00F45542" w:rsidRDefault="00F45542" w:rsidP="00F45542">
      <w:pPr>
        <w:pStyle w:val="BodyTextIndent"/>
        <w:rPr>
          <w:sz w:val="22"/>
        </w:rPr>
      </w:pPr>
      <w:r>
        <w:rPr>
          <w:sz w:val="22"/>
        </w:rPr>
        <w:t>5.</w:t>
      </w:r>
      <w:r>
        <w:rPr>
          <w:sz w:val="22"/>
        </w:rPr>
        <w:tab/>
        <w:t>The collection of this information will not have a significant impact on small business or other small entities.  By requiring the submission of this form only once, the Department minimizes the burden on small mortgagees.</w:t>
      </w:r>
    </w:p>
    <w:p w:rsidR="00F45542" w:rsidRDefault="00F45542" w:rsidP="00F45542">
      <w:pPr>
        <w:rPr>
          <w:sz w:val="22"/>
        </w:rPr>
      </w:pPr>
    </w:p>
    <w:p w:rsidR="00F45542" w:rsidRDefault="00F45542" w:rsidP="00F45542">
      <w:pPr>
        <w:pStyle w:val="BodyTextIndent"/>
        <w:tabs>
          <w:tab w:val="left" w:pos="360"/>
        </w:tabs>
        <w:rPr>
          <w:sz w:val="22"/>
        </w:rPr>
      </w:pPr>
      <w:r>
        <w:rPr>
          <w:sz w:val="22"/>
        </w:rPr>
        <w:t>6.</w:t>
      </w:r>
      <w:r>
        <w:rPr>
          <w:sz w:val="22"/>
        </w:rPr>
        <w:tab/>
        <w:t>The collection of the information occurs once for each multifamily project.  The Department would not meet the intent of the law and Federal regulations if collection were eliminated.</w:t>
      </w:r>
    </w:p>
    <w:p w:rsidR="00F45542" w:rsidRDefault="00F45542" w:rsidP="00F45542">
      <w:pPr>
        <w:rPr>
          <w:sz w:val="22"/>
        </w:rPr>
      </w:pPr>
    </w:p>
    <w:p w:rsidR="00147DBD" w:rsidRDefault="00F45542" w:rsidP="00147DBD">
      <w:pPr>
        <w:pStyle w:val="BodyTextIndent"/>
        <w:rPr>
          <w:sz w:val="22"/>
        </w:rPr>
      </w:pPr>
      <w:r>
        <w:rPr>
          <w:sz w:val="22"/>
        </w:rPr>
        <w:t>7.</w:t>
      </w:r>
      <w:r>
        <w:rPr>
          <w:sz w:val="22"/>
        </w:rPr>
        <w:tab/>
        <w:t>There are no special circumstances involved in the collection of this information.</w:t>
      </w:r>
    </w:p>
    <w:p w:rsidR="00147DBD" w:rsidRDefault="00147DBD" w:rsidP="00147DBD">
      <w:pPr>
        <w:pStyle w:val="BodyTextIndent"/>
        <w:rPr>
          <w:sz w:val="22"/>
        </w:rPr>
      </w:pPr>
    </w:p>
    <w:p w:rsidR="00F45542" w:rsidRDefault="00F45542" w:rsidP="00147DBD">
      <w:pPr>
        <w:pStyle w:val="BodyTextIndent"/>
        <w:numPr>
          <w:ilvl w:val="0"/>
          <w:numId w:val="4"/>
        </w:numPr>
        <w:ind w:left="360"/>
        <w:rPr>
          <w:sz w:val="22"/>
        </w:rPr>
      </w:pPr>
      <w:r>
        <w:rPr>
          <w:sz w:val="22"/>
        </w:rPr>
        <w:t>In accordance with 5CFR 1320.8(d), this information collection soliciting public comments was announced in the Federal Register on May 11, 2012, Volume 77, No. 92, page 27790.</w:t>
      </w:r>
      <w:r w:rsidR="00A92EB2">
        <w:rPr>
          <w:sz w:val="22"/>
        </w:rPr>
        <w:t xml:space="preserve">  No comments received. </w:t>
      </w:r>
    </w:p>
    <w:p w:rsidR="00F45542" w:rsidRDefault="00F45542" w:rsidP="00F45542">
      <w:pPr>
        <w:rPr>
          <w:sz w:val="22"/>
        </w:rPr>
      </w:pPr>
    </w:p>
    <w:p w:rsidR="00F45542" w:rsidRDefault="00F45542" w:rsidP="00147DBD">
      <w:pPr>
        <w:pStyle w:val="BodyTextIndent"/>
        <w:ind w:firstLine="0"/>
        <w:rPr>
          <w:sz w:val="22"/>
        </w:rPr>
      </w:pPr>
      <w:r>
        <w:rPr>
          <w:sz w:val="22"/>
        </w:rPr>
        <w:t>Consultation was provided by mortgage credit staff in local Multifamily Hubs/Program Center to assess the proposed information collection is necessary, accuracy of the agency’s estimation of public burden, improvements or enhancements to current collection, and offers to minimize public burden, i.e. electronic submissions.  The contacts are as follows:</w:t>
      </w:r>
    </w:p>
    <w:p w:rsidR="00F45542" w:rsidRDefault="00F45542" w:rsidP="00F45542">
      <w:pPr>
        <w:pStyle w:val="BodyTextIndent"/>
        <w:rPr>
          <w:sz w:val="22"/>
        </w:rPr>
      </w:pPr>
      <w:r>
        <w:rPr>
          <w:sz w:val="22"/>
        </w:rPr>
        <w:tab/>
        <w:t xml:space="preserve">                </w:t>
      </w:r>
    </w:p>
    <w:p w:rsidR="00F45542" w:rsidRDefault="00F45542" w:rsidP="00F45542">
      <w:pPr>
        <w:pStyle w:val="BodyTextIndent"/>
        <w:rPr>
          <w:sz w:val="22"/>
        </w:rPr>
      </w:pPr>
      <w:r>
        <w:rPr>
          <w:sz w:val="22"/>
        </w:rPr>
        <w:t xml:space="preserve">                       Melba Halley, Housing Program Manager</w:t>
      </w:r>
    </w:p>
    <w:p w:rsidR="00F45542" w:rsidRDefault="00F45542" w:rsidP="00F45542">
      <w:pPr>
        <w:pStyle w:val="BodyTextIndent"/>
        <w:rPr>
          <w:sz w:val="22"/>
        </w:rPr>
      </w:pPr>
      <w:r>
        <w:rPr>
          <w:sz w:val="22"/>
        </w:rPr>
        <w:tab/>
      </w:r>
      <w:r>
        <w:rPr>
          <w:sz w:val="22"/>
        </w:rPr>
        <w:tab/>
        <w:t xml:space="preserve">          US Department of HUD</w:t>
      </w:r>
    </w:p>
    <w:p w:rsidR="00F45542" w:rsidRDefault="00F45542" w:rsidP="00F45542">
      <w:pPr>
        <w:pStyle w:val="BodyTextIndent"/>
        <w:rPr>
          <w:sz w:val="22"/>
        </w:rPr>
      </w:pPr>
      <w:r>
        <w:rPr>
          <w:sz w:val="22"/>
        </w:rPr>
        <w:t xml:space="preserve">                        600 E. Broad Street 3</w:t>
      </w:r>
      <w:r w:rsidRPr="00EE0C4E">
        <w:rPr>
          <w:sz w:val="22"/>
          <w:vertAlign w:val="superscript"/>
        </w:rPr>
        <w:t>rd</w:t>
      </w:r>
      <w:r>
        <w:rPr>
          <w:sz w:val="22"/>
        </w:rPr>
        <w:t xml:space="preserve"> Floor</w:t>
      </w:r>
    </w:p>
    <w:p w:rsidR="00F45542" w:rsidRDefault="00F45542" w:rsidP="00F45542">
      <w:pPr>
        <w:pStyle w:val="BodyTextIndent"/>
        <w:rPr>
          <w:sz w:val="22"/>
        </w:rPr>
      </w:pPr>
      <w:r>
        <w:rPr>
          <w:sz w:val="22"/>
        </w:rPr>
        <w:tab/>
      </w:r>
      <w:r>
        <w:rPr>
          <w:sz w:val="22"/>
        </w:rPr>
        <w:tab/>
        <w:t xml:space="preserve">           Richmond, Virginia </w:t>
      </w:r>
      <w:r>
        <w:rPr>
          <w:sz w:val="22"/>
        </w:rPr>
        <w:tab/>
        <w:t xml:space="preserve"> </w:t>
      </w:r>
      <w:r>
        <w:rPr>
          <w:sz w:val="22"/>
        </w:rPr>
        <w:tab/>
      </w:r>
    </w:p>
    <w:p w:rsidR="00F45542" w:rsidRDefault="00F45542" w:rsidP="00F45542">
      <w:pPr>
        <w:pStyle w:val="BodyTextIndent"/>
        <w:rPr>
          <w:sz w:val="22"/>
        </w:rPr>
      </w:pPr>
    </w:p>
    <w:p w:rsidR="00F45542" w:rsidRDefault="00F45542" w:rsidP="00F45542">
      <w:pPr>
        <w:pStyle w:val="BodyTextIndent"/>
        <w:rPr>
          <w:sz w:val="22"/>
        </w:rPr>
      </w:pPr>
      <w:r>
        <w:rPr>
          <w:sz w:val="22"/>
        </w:rPr>
        <w:tab/>
      </w:r>
      <w:r>
        <w:rPr>
          <w:sz w:val="22"/>
        </w:rPr>
        <w:tab/>
        <w:t xml:space="preserve">           Wendy Carter, Housing Program Manager</w:t>
      </w:r>
    </w:p>
    <w:p w:rsidR="00F45542" w:rsidRDefault="00F45542" w:rsidP="00F45542">
      <w:pPr>
        <w:pStyle w:val="BodyTextIndent"/>
        <w:rPr>
          <w:sz w:val="22"/>
        </w:rPr>
      </w:pPr>
      <w:r>
        <w:rPr>
          <w:sz w:val="22"/>
        </w:rPr>
        <w:tab/>
        <w:t xml:space="preserve">                  US Department of HUD</w:t>
      </w:r>
    </w:p>
    <w:p w:rsidR="00F45542" w:rsidRDefault="00F45542" w:rsidP="00F45542">
      <w:pPr>
        <w:pStyle w:val="BodyTextIndent"/>
        <w:rPr>
          <w:sz w:val="22"/>
        </w:rPr>
      </w:pPr>
      <w:r>
        <w:rPr>
          <w:sz w:val="22"/>
        </w:rPr>
        <w:tab/>
      </w:r>
      <w:r>
        <w:rPr>
          <w:sz w:val="22"/>
        </w:rPr>
        <w:tab/>
        <w:t xml:space="preserve">            451 7</w:t>
      </w:r>
      <w:r w:rsidRPr="00EE0C4E">
        <w:rPr>
          <w:sz w:val="22"/>
          <w:vertAlign w:val="superscript"/>
        </w:rPr>
        <w:t>th</w:t>
      </w:r>
      <w:r>
        <w:rPr>
          <w:sz w:val="22"/>
        </w:rPr>
        <w:t xml:space="preserve"> Street, SW 6</w:t>
      </w:r>
      <w:r w:rsidRPr="00EE0C4E">
        <w:rPr>
          <w:sz w:val="22"/>
          <w:vertAlign w:val="superscript"/>
        </w:rPr>
        <w:t>th</w:t>
      </w:r>
      <w:r>
        <w:rPr>
          <w:sz w:val="22"/>
        </w:rPr>
        <w:t xml:space="preserve"> Floor</w:t>
      </w:r>
    </w:p>
    <w:p w:rsidR="00F45542" w:rsidRDefault="00F45542" w:rsidP="00F45542">
      <w:pPr>
        <w:pStyle w:val="BodyTextIndent"/>
        <w:rPr>
          <w:sz w:val="22"/>
        </w:rPr>
      </w:pPr>
      <w:r>
        <w:rPr>
          <w:sz w:val="22"/>
        </w:rPr>
        <w:t xml:space="preserve"> </w:t>
      </w:r>
      <w:r>
        <w:rPr>
          <w:sz w:val="22"/>
        </w:rPr>
        <w:tab/>
        <w:t xml:space="preserve">                  Washington, D.C.</w:t>
      </w:r>
    </w:p>
    <w:p w:rsidR="00F45542" w:rsidRDefault="00F45542" w:rsidP="00F45542">
      <w:pPr>
        <w:pStyle w:val="BodyTextIndent"/>
        <w:rPr>
          <w:sz w:val="22"/>
        </w:rPr>
      </w:pPr>
    </w:p>
    <w:p w:rsidR="00F45542" w:rsidRDefault="00F45542" w:rsidP="00F45542">
      <w:pPr>
        <w:pStyle w:val="BodyTextIndent"/>
        <w:rPr>
          <w:sz w:val="22"/>
        </w:rPr>
      </w:pPr>
      <w:r>
        <w:rPr>
          <w:sz w:val="22"/>
        </w:rPr>
        <w:tab/>
      </w:r>
      <w:r>
        <w:rPr>
          <w:sz w:val="22"/>
        </w:rPr>
        <w:tab/>
        <w:t xml:space="preserve">            Dottie Troxler, Operations Officer</w:t>
      </w:r>
    </w:p>
    <w:p w:rsidR="00F45542" w:rsidRDefault="00F45542" w:rsidP="00F45542">
      <w:pPr>
        <w:pStyle w:val="BodyTextIndent"/>
        <w:rPr>
          <w:sz w:val="22"/>
        </w:rPr>
      </w:pPr>
      <w:r>
        <w:rPr>
          <w:sz w:val="22"/>
        </w:rPr>
        <w:tab/>
      </w:r>
      <w:r>
        <w:rPr>
          <w:sz w:val="22"/>
        </w:rPr>
        <w:tab/>
        <w:t xml:space="preserve">             Asheville Building </w:t>
      </w:r>
    </w:p>
    <w:p w:rsidR="00F45542" w:rsidRDefault="00F45542" w:rsidP="00F45542">
      <w:pPr>
        <w:pStyle w:val="BodyTextIndent"/>
        <w:rPr>
          <w:sz w:val="22"/>
        </w:rPr>
      </w:pPr>
      <w:r>
        <w:rPr>
          <w:sz w:val="22"/>
        </w:rPr>
        <w:tab/>
      </w:r>
      <w:r>
        <w:rPr>
          <w:sz w:val="22"/>
        </w:rPr>
        <w:tab/>
        <w:t xml:space="preserve">             1500 </w:t>
      </w:r>
      <w:proofErr w:type="spellStart"/>
      <w:r>
        <w:rPr>
          <w:sz w:val="22"/>
        </w:rPr>
        <w:t>Pinecroft</w:t>
      </w:r>
      <w:proofErr w:type="spellEnd"/>
      <w:r>
        <w:rPr>
          <w:sz w:val="22"/>
        </w:rPr>
        <w:t xml:space="preserve"> Road, Suite 401</w:t>
      </w:r>
    </w:p>
    <w:p w:rsidR="00F45542" w:rsidRDefault="00F45542" w:rsidP="00F45542">
      <w:pPr>
        <w:pStyle w:val="BodyTextIndent"/>
        <w:rPr>
          <w:sz w:val="22"/>
        </w:rPr>
      </w:pPr>
      <w:r>
        <w:rPr>
          <w:sz w:val="22"/>
        </w:rPr>
        <w:tab/>
        <w:t xml:space="preserve">                   Greensboro, North Carolina </w:t>
      </w:r>
      <w:r>
        <w:rPr>
          <w:sz w:val="22"/>
        </w:rPr>
        <w:tab/>
      </w:r>
    </w:p>
    <w:p w:rsidR="00F45542" w:rsidRDefault="00F45542" w:rsidP="00F45542">
      <w:pPr>
        <w:pStyle w:val="BodyTextIndent"/>
        <w:rPr>
          <w:sz w:val="22"/>
        </w:rPr>
      </w:pPr>
    </w:p>
    <w:p w:rsidR="00F45542" w:rsidRDefault="00F45542" w:rsidP="00F45542">
      <w:pPr>
        <w:pStyle w:val="BodyTextIndent"/>
        <w:rPr>
          <w:sz w:val="22"/>
        </w:rPr>
      </w:pPr>
    </w:p>
    <w:p w:rsidR="00F45542" w:rsidRDefault="00F45542" w:rsidP="00F45542">
      <w:pPr>
        <w:pStyle w:val="BodyTextIndent"/>
        <w:rPr>
          <w:sz w:val="22"/>
        </w:rPr>
      </w:pPr>
      <w:r>
        <w:rPr>
          <w:sz w:val="22"/>
        </w:rPr>
        <w:t>9.</w:t>
      </w:r>
      <w:r>
        <w:rPr>
          <w:sz w:val="22"/>
        </w:rPr>
        <w:tab/>
        <w:t>The collection of this information does not provide any payments or gifts to respondents.</w:t>
      </w:r>
    </w:p>
    <w:p w:rsidR="00F45542" w:rsidRDefault="00F45542" w:rsidP="00F45542">
      <w:pPr>
        <w:tabs>
          <w:tab w:val="left" w:pos="360"/>
        </w:tabs>
        <w:rPr>
          <w:sz w:val="22"/>
        </w:rPr>
      </w:pPr>
    </w:p>
    <w:p w:rsidR="00F45542" w:rsidRDefault="00F45542" w:rsidP="00F45542">
      <w:pPr>
        <w:pStyle w:val="BodyTextIndent"/>
        <w:tabs>
          <w:tab w:val="left" w:pos="360"/>
        </w:tabs>
        <w:rPr>
          <w:sz w:val="22"/>
        </w:rPr>
      </w:pPr>
      <w:r>
        <w:rPr>
          <w:sz w:val="22"/>
        </w:rPr>
        <w:t>10.</w:t>
      </w:r>
      <w:r>
        <w:rPr>
          <w:sz w:val="22"/>
        </w:rPr>
        <w:tab/>
        <w:t xml:space="preserve">No information about individuals is obtained from the use of this form </w:t>
      </w:r>
    </w:p>
    <w:p w:rsidR="00F45542" w:rsidRDefault="00F45542" w:rsidP="00F45542">
      <w:pPr>
        <w:rPr>
          <w:sz w:val="22"/>
        </w:rPr>
      </w:pPr>
    </w:p>
    <w:p w:rsidR="00F45542" w:rsidRDefault="00F45542" w:rsidP="00F45542">
      <w:pPr>
        <w:pStyle w:val="BodyTextIndent"/>
        <w:rPr>
          <w:sz w:val="22"/>
        </w:rPr>
      </w:pPr>
      <w:r>
        <w:rPr>
          <w:sz w:val="22"/>
        </w:rPr>
        <w:t>11.</w:t>
      </w:r>
      <w:r>
        <w:rPr>
          <w:sz w:val="22"/>
        </w:rPr>
        <w:tab/>
        <w:t>This form does not request information that could be considered of a sensitive nature.</w:t>
      </w:r>
    </w:p>
    <w:p w:rsidR="00F45542" w:rsidRDefault="00F45542" w:rsidP="00F45542">
      <w:pPr>
        <w:pStyle w:val="BodyTextIndent"/>
        <w:rPr>
          <w:sz w:val="22"/>
        </w:rPr>
      </w:pPr>
    </w:p>
    <w:p w:rsidR="00F45542" w:rsidRDefault="00F45542" w:rsidP="00F45542">
      <w:pPr>
        <w:pStyle w:val="BodyTextIndent"/>
        <w:spacing w:after="120"/>
        <w:rPr>
          <w:sz w:val="22"/>
        </w:rPr>
      </w:pPr>
      <w:r>
        <w:rPr>
          <w:sz w:val="22"/>
        </w:rPr>
        <w:t>12.</w:t>
      </w:r>
      <w:r>
        <w:rPr>
          <w:sz w:val="22"/>
        </w:rPr>
        <w:tab/>
        <w:t>Estimated burden and cost involved in completing and reviewing form HUD-2434 and HUD-3259.  This form is to be submitted prior to initial closing for all cases involving insurance of advances.  Form HUD-3259 is necessary to ensure that improvements of insured property are made as required.  The information on these forms is required in order to obtain benefits.</w:t>
      </w:r>
    </w:p>
    <w:tbl>
      <w:tblPr>
        <w:tblW w:w="105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1318"/>
        <w:gridCol w:w="1360"/>
        <w:gridCol w:w="1357"/>
        <w:gridCol w:w="1336"/>
        <w:gridCol w:w="1291"/>
        <w:gridCol w:w="1336"/>
        <w:gridCol w:w="1191"/>
      </w:tblGrid>
      <w:tr w:rsidR="00F45542" w:rsidTr="00813CF7">
        <w:trPr>
          <w:trHeight w:val="869"/>
        </w:trPr>
        <w:tc>
          <w:tcPr>
            <w:tcW w:w="1332"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Information Collection</w:t>
            </w:r>
          </w:p>
        </w:tc>
        <w:tc>
          <w:tcPr>
            <w:tcW w:w="1318"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Number of Respondents</w:t>
            </w:r>
          </w:p>
        </w:tc>
        <w:tc>
          <w:tcPr>
            <w:tcW w:w="1360"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Frequency of Response</w:t>
            </w:r>
          </w:p>
        </w:tc>
        <w:tc>
          <w:tcPr>
            <w:tcW w:w="1357"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Responses Per Annum</w:t>
            </w:r>
          </w:p>
        </w:tc>
        <w:tc>
          <w:tcPr>
            <w:tcW w:w="1336" w:type="dxa"/>
            <w:vAlign w:val="center"/>
          </w:tcPr>
          <w:p w:rsidR="00F45542" w:rsidRDefault="00F45542" w:rsidP="0041318D">
            <w:pPr>
              <w:spacing w:before="40" w:after="40"/>
              <w:ind w:left="-148" w:right="-64"/>
              <w:jc w:val="center"/>
              <w:rPr>
                <w:rFonts w:ascii="Arial" w:hAnsi="Arial" w:cs="Arial"/>
                <w:color w:val="000000"/>
                <w:sz w:val="18"/>
              </w:rPr>
            </w:pPr>
            <w:r>
              <w:rPr>
                <w:rFonts w:ascii="Arial" w:hAnsi="Arial" w:cs="Arial"/>
                <w:color w:val="000000"/>
                <w:sz w:val="18"/>
              </w:rPr>
              <w:t>Burden Hr Per Response</w:t>
            </w:r>
          </w:p>
        </w:tc>
        <w:tc>
          <w:tcPr>
            <w:tcW w:w="1291" w:type="dxa"/>
            <w:vAlign w:val="center"/>
          </w:tcPr>
          <w:p w:rsidR="00F45542" w:rsidRDefault="00F45542" w:rsidP="0041318D">
            <w:pPr>
              <w:spacing w:before="40" w:after="40"/>
              <w:ind w:left="-152" w:right="-104"/>
              <w:jc w:val="center"/>
              <w:rPr>
                <w:rFonts w:ascii="Arial" w:hAnsi="Arial" w:cs="Arial"/>
                <w:color w:val="000000"/>
                <w:sz w:val="18"/>
              </w:rPr>
            </w:pPr>
            <w:r>
              <w:rPr>
                <w:rFonts w:ascii="Arial" w:hAnsi="Arial" w:cs="Arial"/>
                <w:color w:val="000000"/>
                <w:sz w:val="18"/>
              </w:rPr>
              <w:t>Annual Burden Hours</w:t>
            </w:r>
          </w:p>
        </w:tc>
        <w:tc>
          <w:tcPr>
            <w:tcW w:w="1336" w:type="dxa"/>
            <w:vAlign w:val="center"/>
          </w:tcPr>
          <w:p w:rsidR="00F45542" w:rsidRDefault="00F45542" w:rsidP="0041318D">
            <w:pPr>
              <w:spacing w:before="40" w:after="40"/>
              <w:jc w:val="center"/>
              <w:rPr>
                <w:rFonts w:ascii="Arial" w:hAnsi="Arial" w:cs="Arial"/>
                <w:color w:val="000000"/>
                <w:sz w:val="18"/>
              </w:rPr>
            </w:pPr>
            <w:proofErr w:type="spellStart"/>
            <w:r>
              <w:rPr>
                <w:rFonts w:ascii="Arial" w:hAnsi="Arial" w:cs="Arial"/>
                <w:color w:val="000000"/>
                <w:sz w:val="18"/>
              </w:rPr>
              <w:t>Hrly</w:t>
            </w:r>
            <w:proofErr w:type="spellEnd"/>
            <w:r>
              <w:rPr>
                <w:rFonts w:ascii="Arial" w:hAnsi="Arial" w:cs="Arial"/>
                <w:color w:val="000000"/>
                <w:sz w:val="18"/>
              </w:rPr>
              <w:t xml:space="preserve"> Cost Per Response</w:t>
            </w:r>
          </w:p>
        </w:tc>
        <w:tc>
          <w:tcPr>
            <w:tcW w:w="1191"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Annual Cost</w:t>
            </w:r>
          </w:p>
        </w:tc>
      </w:tr>
      <w:tr w:rsidR="00F45542" w:rsidTr="00813CF7">
        <w:trPr>
          <w:trHeight w:val="499"/>
        </w:trPr>
        <w:tc>
          <w:tcPr>
            <w:tcW w:w="1332" w:type="dxa"/>
            <w:vAlign w:val="center"/>
          </w:tcPr>
          <w:p w:rsidR="00F45542" w:rsidRDefault="00F45542" w:rsidP="0041318D">
            <w:pPr>
              <w:spacing w:before="40" w:after="40"/>
              <w:rPr>
                <w:rFonts w:ascii="Arial" w:hAnsi="Arial" w:cs="Arial"/>
                <w:color w:val="000000"/>
                <w:sz w:val="18"/>
              </w:rPr>
            </w:pPr>
            <w:r>
              <w:rPr>
                <w:rFonts w:ascii="Arial" w:hAnsi="Arial" w:cs="Arial"/>
                <w:color w:val="000000"/>
                <w:sz w:val="18"/>
              </w:rPr>
              <w:t>HUD-2434</w:t>
            </w:r>
          </w:p>
        </w:tc>
        <w:tc>
          <w:tcPr>
            <w:tcW w:w="1318"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1000*</w:t>
            </w:r>
          </w:p>
        </w:tc>
        <w:tc>
          <w:tcPr>
            <w:tcW w:w="1360"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1</w:t>
            </w:r>
          </w:p>
        </w:tc>
        <w:tc>
          <w:tcPr>
            <w:tcW w:w="1357"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1,000</w:t>
            </w:r>
          </w:p>
        </w:tc>
        <w:tc>
          <w:tcPr>
            <w:tcW w:w="1336"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0.75</w:t>
            </w:r>
          </w:p>
        </w:tc>
        <w:tc>
          <w:tcPr>
            <w:tcW w:w="1291"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750</w:t>
            </w:r>
          </w:p>
        </w:tc>
        <w:tc>
          <w:tcPr>
            <w:tcW w:w="1336" w:type="dxa"/>
            <w:vAlign w:val="center"/>
          </w:tcPr>
          <w:p w:rsidR="00F45542" w:rsidRDefault="00F45542" w:rsidP="0041318D">
            <w:pPr>
              <w:spacing w:before="40" w:after="40"/>
              <w:jc w:val="right"/>
              <w:rPr>
                <w:rFonts w:ascii="Arial" w:hAnsi="Arial" w:cs="Arial"/>
                <w:color w:val="000000"/>
                <w:sz w:val="18"/>
              </w:rPr>
            </w:pPr>
            <w:r>
              <w:rPr>
                <w:rFonts w:ascii="Arial" w:hAnsi="Arial" w:cs="Arial"/>
                <w:color w:val="000000"/>
                <w:sz w:val="18"/>
              </w:rPr>
              <w:t>$28.00</w:t>
            </w:r>
          </w:p>
        </w:tc>
        <w:tc>
          <w:tcPr>
            <w:tcW w:w="1191" w:type="dxa"/>
            <w:vAlign w:val="center"/>
          </w:tcPr>
          <w:p w:rsidR="00F45542" w:rsidRDefault="00F45542" w:rsidP="0041318D">
            <w:pPr>
              <w:spacing w:before="40" w:after="40"/>
              <w:jc w:val="right"/>
              <w:rPr>
                <w:rFonts w:ascii="Arial" w:hAnsi="Arial" w:cs="Arial"/>
                <w:color w:val="000000"/>
                <w:sz w:val="18"/>
              </w:rPr>
            </w:pPr>
            <w:r>
              <w:rPr>
                <w:rFonts w:ascii="Arial" w:hAnsi="Arial" w:cs="Arial"/>
                <w:color w:val="000000"/>
                <w:sz w:val="18"/>
              </w:rPr>
              <w:t>$21,000</w:t>
            </w:r>
          </w:p>
        </w:tc>
      </w:tr>
      <w:tr w:rsidR="00F45542" w:rsidTr="00813CF7">
        <w:trPr>
          <w:trHeight w:val="499"/>
        </w:trPr>
        <w:tc>
          <w:tcPr>
            <w:tcW w:w="1332" w:type="dxa"/>
            <w:vAlign w:val="center"/>
          </w:tcPr>
          <w:p w:rsidR="00F45542" w:rsidRDefault="00F45542" w:rsidP="0041318D">
            <w:pPr>
              <w:spacing w:before="40" w:after="40"/>
              <w:rPr>
                <w:rFonts w:ascii="Arial" w:hAnsi="Arial" w:cs="Arial"/>
                <w:color w:val="000000"/>
                <w:sz w:val="18"/>
              </w:rPr>
            </w:pPr>
            <w:r>
              <w:rPr>
                <w:rFonts w:ascii="Arial" w:hAnsi="Arial" w:cs="Arial"/>
                <w:color w:val="000000"/>
                <w:sz w:val="18"/>
              </w:rPr>
              <w:t>HUD-3259</w:t>
            </w:r>
          </w:p>
        </w:tc>
        <w:tc>
          <w:tcPr>
            <w:tcW w:w="1318" w:type="dxa"/>
            <w:vAlign w:val="center"/>
          </w:tcPr>
          <w:p w:rsidR="00F45542" w:rsidRDefault="00F45542" w:rsidP="0041318D">
            <w:pPr>
              <w:spacing w:before="40" w:after="40"/>
              <w:rPr>
                <w:rFonts w:ascii="Arial" w:hAnsi="Arial" w:cs="Arial"/>
                <w:color w:val="000000"/>
                <w:sz w:val="18"/>
              </w:rPr>
            </w:pPr>
            <w:r>
              <w:rPr>
                <w:rFonts w:ascii="Arial" w:hAnsi="Arial" w:cs="Arial"/>
                <w:color w:val="000000"/>
                <w:sz w:val="18"/>
              </w:rPr>
              <w:t xml:space="preserve">     1,000</w:t>
            </w:r>
          </w:p>
        </w:tc>
        <w:tc>
          <w:tcPr>
            <w:tcW w:w="1360"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1</w:t>
            </w:r>
          </w:p>
        </w:tc>
        <w:tc>
          <w:tcPr>
            <w:tcW w:w="1357"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1,000</w:t>
            </w:r>
          </w:p>
        </w:tc>
        <w:tc>
          <w:tcPr>
            <w:tcW w:w="1336"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0.30</w:t>
            </w:r>
          </w:p>
        </w:tc>
        <w:tc>
          <w:tcPr>
            <w:tcW w:w="1291"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300</w:t>
            </w:r>
          </w:p>
        </w:tc>
        <w:tc>
          <w:tcPr>
            <w:tcW w:w="1336" w:type="dxa"/>
            <w:vAlign w:val="center"/>
          </w:tcPr>
          <w:p w:rsidR="00F45542" w:rsidRDefault="00F45542" w:rsidP="0041318D">
            <w:pPr>
              <w:spacing w:before="40" w:after="40"/>
              <w:jc w:val="right"/>
              <w:rPr>
                <w:rFonts w:ascii="Arial" w:hAnsi="Arial" w:cs="Arial"/>
                <w:color w:val="000000"/>
                <w:sz w:val="18"/>
              </w:rPr>
            </w:pPr>
            <w:r>
              <w:rPr>
                <w:rFonts w:ascii="Arial" w:hAnsi="Arial" w:cs="Arial"/>
                <w:color w:val="000000"/>
                <w:sz w:val="18"/>
              </w:rPr>
              <w:t>$28.00</w:t>
            </w:r>
          </w:p>
        </w:tc>
        <w:tc>
          <w:tcPr>
            <w:tcW w:w="1191" w:type="dxa"/>
            <w:vAlign w:val="center"/>
          </w:tcPr>
          <w:p w:rsidR="00F45542" w:rsidRDefault="00F45542" w:rsidP="0041318D">
            <w:pPr>
              <w:spacing w:before="40" w:after="40"/>
              <w:jc w:val="right"/>
              <w:rPr>
                <w:rFonts w:ascii="Arial" w:hAnsi="Arial" w:cs="Arial"/>
                <w:color w:val="000000"/>
                <w:sz w:val="18"/>
              </w:rPr>
            </w:pPr>
            <w:r>
              <w:rPr>
                <w:rFonts w:ascii="Arial" w:hAnsi="Arial" w:cs="Arial"/>
                <w:color w:val="000000"/>
                <w:sz w:val="18"/>
              </w:rPr>
              <w:t>$8,400</w:t>
            </w:r>
          </w:p>
        </w:tc>
      </w:tr>
      <w:tr w:rsidR="00F45542" w:rsidTr="00813CF7">
        <w:trPr>
          <w:trHeight w:val="499"/>
        </w:trPr>
        <w:tc>
          <w:tcPr>
            <w:tcW w:w="1332" w:type="dxa"/>
            <w:vAlign w:val="center"/>
          </w:tcPr>
          <w:p w:rsidR="00F45542" w:rsidRDefault="00F45542" w:rsidP="0041318D">
            <w:pPr>
              <w:spacing w:before="40" w:after="40"/>
              <w:rPr>
                <w:rFonts w:ascii="Arial" w:hAnsi="Arial" w:cs="Arial"/>
                <w:color w:val="000000"/>
                <w:sz w:val="18"/>
              </w:rPr>
            </w:pPr>
            <w:r>
              <w:rPr>
                <w:rFonts w:ascii="Arial" w:hAnsi="Arial" w:cs="Arial"/>
                <w:color w:val="000000"/>
                <w:sz w:val="18"/>
              </w:rPr>
              <w:t>Totals</w:t>
            </w:r>
          </w:p>
        </w:tc>
        <w:tc>
          <w:tcPr>
            <w:tcW w:w="1318" w:type="dxa"/>
            <w:vAlign w:val="center"/>
          </w:tcPr>
          <w:p w:rsidR="00F45542" w:rsidRDefault="00F45542" w:rsidP="0041318D">
            <w:pPr>
              <w:spacing w:before="40" w:after="40"/>
              <w:rPr>
                <w:rFonts w:ascii="Arial" w:hAnsi="Arial" w:cs="Arial"/>
                <w:color w:val="000000"/>
                <w:sz w:val="18"/>
              </w:rPr>
            </w:pPr>
            <w:r>
              <w:rPr>
                <w:rFonts w:ascii="Arial" w:hAnsi="Arial" w:cs="Arial"/>
                <w:color w:val="000000"/>
                <w:sz w:val="18"/>
              </w:rPr>
              <w:t xml:space="preserve">    </w:t>
            </w:r>
          </w:p>
        </w:tc>
        <w:tc>
          <w:tcPr>
            <w:tcW w:w="1360"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1</w:t>
            </w:r>
          </w:p>
        </w:tc>
        <w:tc>
          <w:tcPr>
            <w:tcW w:w="1357"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2,000</w:t>
            </w:r>
          </w:p>
        </w:tc>
        <w:tc>
          <w:tcPr>
            <w:tcW w:w="1336" w:type="dxa"/>
            <w:vAlign w:val="center"/>
          </w:tcPr>
          <w:p w:rsidR="00F45542" w:rsidRDefault="00F45542" w:rsidP="0041318D">
            <w:pPr>
              <w:spacing w:before="40" w:after="40"/>
              <w:jc w:val="center"/>
              <w:rPr>
                <w:rFonts w:ascii="Arial" w:hAnsi="Arial" w:cs="Arial"/>
                <w:color w:val="000000"/>
                <w:sz w:val="18"/>
              </w:rPr>
            </w:pPr>
          </w:p>
        </w:tc>
        <w:tc>
          <w:tcPr>
            <w:tcW w:w="1291" w:type="dxa"/>
            <w:vAlign w:val="center"/>
          </w:tcPr>
          <w:p w:rsidR="00F45542" w:rsidRDefault="00F45542" w:rsidP="0041318D">
            <w:pPr>
              <w:spacing w:before="40" w:after="40"/>
              <w:rPr>
                <w:rFonts w:ascii="Arial" w:hAnsi="Arial" w:cs="Arial"/>
                <w:color w:val="000000"/>
                <w:sz w:val="18"/>
              </w:rPr>
            </w:pPr>
            <w:r>
              <w:rPr>
                <w:rFonts w:ascii="Arial" w:hAnsi="Arial" w:cs="Arial"/>
                <w:color w:val="000000"/>
                <w:sz w:val="18"/>
              </w:rPr>
              <w:t xml:space="preserve">    1,050</w:t>
            </w:r>
          </w:p>
        </w:tc>
        <w:tc>
          <w:tcPr>
            <w:tcW w:w="1336" w:type="dxa"/>
            <w:vAlign w:val="center"/>
          </w:tcPr>
          <w:p w:rsidR="00F45542" w:rsidRDefault="00F45542" w:rsidP="0041318D">
            <w:pPr>
              <w:spacing w:before="40" w:after="40"/>
              <w:jc w:val="right"/>
              <w:rPr>
                <w:rFonts w:ascii="Arial" w:hAnsi="Arial" w:cs="Arial"/>
                <w:color w:val="000000"/>
                <w:sz w:val="18"/>
              </w:rPr>
            </w:pPr>
          </w:p>
        </w:tc>
        <w:tc>
          <w:tcPr>
            <w:tcW w:w="1191" w:type="dxa"/>
            <w:vAlign w:val="center"/>
          </w:tcPr>
          <w:p w:rsidR="00F45542" w:rsidRDefault="00F45542" w:rsidP="0041318D">
            <w:pPr>
              <w:spacing w:before="40" w:after="40"/>
              <w:jc w:val="right"/>
              <w:rPr>
                <w:rFonts w:ascii="Arial" w:hAnsi="Arial" w:cs="Arial"/>
                <w:color w:val="000000"/>
                <w:sz w:val="18"/>
              </w:rPr>
            </w:pPr>
            <w:r>
              <w:rPr>
                <w:rFonts w:ascii="Arial" w:hAnsi="Arial" w:cs="Arial"/>
                <w:color w:val="000000"/>
                <w:sz w:val="18"/>
              </w:rPr>
              <w:t>$29,400</w:t>
            </w:r>
          </w:p>
        </w:tc>
      </w:tr>
    </w:tbl>
    <w:p w:rsidR="00F45542" w:rsidRDefault="00F45542" w:rsidP="00F45542">
      <w:pPr>
        <w:pStyle w:val="BodyTextIndent2"/>
        <w:spacing w:before="120"/>
        <w:ind w:left="480" w:hanging="120"/>
        <w:rPr>
          <w:sz w:val="22"/>
        </w:rPr>
      </w:pPr>
      <w:r>
        <w:rPr>
          <w:sz w:val="22"/>
        </w:rPr>
        <w:lastRenderedPageBreak/>
        <w:t>* This information is based upon data requested on insured projects from MAP/TAP and inter-office discussions with Field Office staff.  The Field Office staff also determined the estimated review time involved for the form HUD-2434 and HUD-3259.</w:t>
      </w:r>
    </w:p>
    <w:p w:rsidR="00F45542" w:rsidRDefault="00F45542" w:rsidP="00F45542">
      <w:pPr>
        <w:rPr>
          <w:sz w:val="22"/>
        </w:rPr>
      </w:pPr>
    </w:p>
    <w:p w:rsidR="00F45542" w:rsidRDefault="00F45542" w:rsidP="00F45542">
      <w:pPr>
        <w:pStyle w:val="BodyTextIndent"/>
        <w:rPr>
          <w:sz w:val="22"/>
        </w:rPr>
      </w:pPr>
      <w:r>
        <w:rPr>
          <w:sz w:val="22"/>
        </w:rPr>
        <w:t>13.</w:t>
      </w:r>
      <w:r>
        <w:rPr>
          <w:sz w:val="22"/>
        </w:rPr>
        <w:tab/>
        <w:t>There are no additional costs to the respondents.</w:t>
      </w:r>
      <w:r w:rsidR="0093729B">
        <w:rPr>
          <w:sz w:val="22"/>
        </w:rPr>
        <w:t xml:space="preserve">  The collection will have nominal printing and copying costs.</w:t>
      </w:r>
    </w:p>
    <w:p w:rsidR="00F45542" w:rsidRDefault="00F45542" w:rsidP="00F45542">
      <w:pPr>
        <w:rPr>
          <w:sz w:val="22"/>
        </w:rPr>
      </w:pPr>
    </w:p>
    <w:p w:rsidR="00F45542" w:rsidRDefault="00F45542" w:rsidP="00F45542">
      <w:pPr>
        <w:pStyle w:val="BodyTextIndent"/>
        <w:spacing w:after="120"/>
      </w:pPr>
      <w:r>
        <w:rPr>
          <w:sz w:val="22"/>
        </w:rPr>
        <w:t>14.</w:t>
      </w:r>
      <w:r>
        <w:rPr>
          <w:sz w:val="22"/>
        </w:rPr>
        <w:tab/>
        <w:t>Estimated Federal government burden and cost:</w:t>
      </w:r>
    </w:p>
    <w:tbl>
      <w:tblPr>
        <w:tblW w:w="10560"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5"/>
        <w:gridCol w:w="1092"/>
        <w:gridCol w:w="1214"/>
        <w:gridCol w:w="1214"/>
        <w:gridCol w:w="1092"/>
        <w:gridCol w:w="1335"/>
        <w:gridCol w:w="1222"/>
        <w:gridCol w:w="1206"/>
      </w:tblGrid>
      <w:tr w:rsidR="00F45542" w:rsidTr="00813CF7">
        <w:trPr>
          <w:trHeight w:val="595"/>
        </w:trPr>
        <w:tc>
          <w:tcPr>
            <w:tcW w:w="2185"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Information</w:t>
            </w:r>
          </w:p>
          <w:p w:rsidR="00F45542" w:rsidRDefault="00F45542" w:rsidP="0041318D">
            <w:pPr>
              <w:spacing w:before="40" w:after="40"/>
              <w:jc w:val="center"/>
              <w:rPr>
                <w:rFonts w:ascii="Arial" w:hAnsi="Arial" w:cs="Arial"/>
                <w:color w:val="000000"/>
                <w:sz w:val="18"/>
              </w:rPr>
            </w:pPr>
            <w:r>
              <w:rPr>
                <w:rFonts w:ascii="Arial" w:hAnsi="Arial" w:cs="Arial"/>
                <w:color w:val="000000"/>
                <w:sz w:val="18"/>
              </w:rPr>
              <w:t>Collection</w:t>
            </w:r>
          </w:p>
        </w:tc>
        <w:tc>
          <w:tcPr>
            <w:tcW w:w="1092"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Number of Reviews</w:t>
            </w:r>
          </w:p>
        </w:tc>
        <w:tc>
          <w:tcPr>
            <w:tcW w:w="1214" w:type="dxa"/>
            <w:vAlign w:val="center"/>
          </w:tcPr>
          <w:p w:rsidR="00F45542" w:rsidRDefault="00F45542" w:rsidP="0041318D">
            <w:pPr>
              <w:spacing w:before="40" w:after="40"/>
              <w:ind w:left="-108" w:right="-108"/>
              <w:jc w:val="center"/>
              <w:rPr>
                <w:rFonts w:ascii="Arial" w:hAnsi="Arial" w:cs="Arial"/>
                <w:color w:val="000000"/>
                <w:sz w:val="18"/>
              </w:rPr>
            </w:pPr>
            <w:r>
              <w:rPr>
                <w:rFonts w:ascii="Arial" w:hAnsi="Arial" w:cs="Arial"/>
                <w:color w:val="000000"/>
                <w:sz w:val="18"/>
              </w:rPr>
              <w:t>Frequency of Response</w:t>
            </w:r>
          </w:p>
        </w:tc>
        <w:tc>
          <w:tcPr>
            <w:tcW w:w="1214"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Responses Per Annum</w:t>
            </w:r>
          </w:p>
        </w:tc>
        <w:tc>
          <w:tcPr>
            <w:tcW w:w="1092" w:type="dxa"/>
            <w:vAlign w:val="center"/>
          </w:tcPr>
          <w:p w:rsidR="00F45542" w:rsidRDefault="00F45542" w:rsidP="0041318D">
            <w:pPr>
              <w:spacing w:before="40" w:after="40"/>
              <w:ind w:left="-148" w:right="-64"/>
              <w:jc w:val="center"/>
              <w:rPr>
                <w:rFonts w:ascii="Arial" w:hAnsi="Arial" w:cs="Arial"/>
                <w:color w:val="000000"/>
                <w:sz w:val="18"/>
              </w:rPr>
            </w:pPr>
            <w:r>
              <w:rPr>
                <w:rFonts w:ascii="Arial" w:hAnsi="Arial" w:cs="Arial"/>
                <w:color w:val="000000"/>
                <w:sz w:val="18"/>
              </w:rPr>
              <w:t>Hrs Per Response</w:t>
            </w:r>
          </w:p>
        </w:tc>
        <w:tc>
          <w:tcPr>
            <w:tcW w:w="1335" w:type="dxa"/>
            <w:vAlign w:val="center"/>
          </w:tcPr>
          <w:p w:rsidR="00F45542" w:rsidRDefault="00F45542" w:rsidP="0041318D">
            <w:pPr>
              <w:spacing w:before="40" w:after="40"/>
              <w:ind w:left="-32" w:right="-104"/>
              <w:jc w:val="center"/>
              <w:rPr>
                <w:rFonts w:ascii="Arial" w:hAnsi="Arial" w:cs="Arial"/>
                <w:color w:val="000000"/>
                <w:sz w:val="18"/>
              </w:rPr>
            </w:pPr>
            <w:r>
              <w:rPr>
                <w:rFonts w:ascii="Arial" w:hAnsi="Arial" w:cs="Arial"/>
                <w:color w:val="000000"/>
                <w:sz w:val="18"/>
              </w:rPr>
              <w:t>Annual Burden Hours</w:t>
            </w:r>
          </w:p>
        </w:tc>
        <w:tc>
          <w:tcPr>
            <w:tcW w:w="1222" w:type="dxa"/>
            <w:vAlign w:val="center"/>
          </w:tcPr>
          <w:p w:rsidR="00F45542" w:rsidRDefault="00F45542" w:rsidP="0041318D">
            <w:pPr>
              <w:spacing w:before="40" w:after="40"/>
              <w:ind w:left="-112" w:right="-100"/>
              <w:jc w:val="center"/>
              <w:rPr>
                <w:rFonts w:ascii="Arial" w:hAnsi="Arial" w:cs="Arial"/>
                <w:color w:val="000000"/>
                <w:sz w:val="18"/>
              </w:rPr>
            </w:pPr>
            <w:proofErr w:type="spellStart"/>
            <w:r>
              <w:rPr>
                <w:rFonts w:ascii="Arial" w:hAnsi="Arial" w:cs="Arial"/>
                <w:color w:val="000000"/>
                <w:sz w:val="18"/>
              </w:rPr>
              <w:t>Hrly</w:t>
            </w:r>
            <w:proofErr w:type="spellEnd"/>
            <w:r>
              <w:rPr>
                <w:rFonts w:ascii="Arial" w:hAnsi="Arial" w:cs="Arial"/>
                <w:color w:val="000000"/>
                <w:sz w:val="18"/>
              </w:rPr>
              <w:t xml:space="preserve"> Cost Per Response</w:t>
            </w:r>
          </w:p>
        </w:tc>
        <w:tc>
          <w:tcPr>
            <w:tcW w:w="1206" w:type="dxa"/>
            <w:vAlign w:val="center"/>
          </w:tcPr>
          <w:p w:rsidR="00F45542" w:rsidRDefault="00F45542" w:rsidP="0041318D">
            <w:pPr>
              <w:spacing w:before="40" w:after="40"/>
              <w:ind w:left="-116" w:right="-108"/>
              <w:jc w:val="center"/>
              <w:rPr>
                <w:rFonts w:ascii="Arial" w:hAnsi="Arial" w:cs="Arial"/>
                <w:color w:val="000000"/>
                <w:sz w:val="18"/>
              </w:rPr>
            </w:pPr>
            <w:r>
              <w:rPr>
                <w:rFonts w:ascii="Arial" w:hAnsi="Arial" w:cs="Arial"/>
                <w:color w:val="000000"/>
                <w:sz w:val="18"/>
              </w:rPr>
              <w:t>Annual Cost</w:t>
            </w:r>
          </w:p>
        </w:tc>
      </w:tr>
      <w:tr w:rsidR="00F45542" w:rsidTr="00813CF7">
        <w:trPr>
          <w:trHeight w:val="353"/>
        </w:trPr>
        <w:tc>
          <w:tcPr>
            <w:tcW w:w="2185" w:type="dxa"/>
            <w:vAlign w:val="center"/>
          </w:tcPr>
          <w:p w:rsidR="00F45542" w:rsidRDefault="00F45542" w:rsidP="0041318D">
            <w:pPr>
              <w:spacing w:before="40" w:after="40"/>
              <w:ind w:right="-108"/>
              <w:rPr>
                <w:rFonts w:ascii="Arial" w:hAnsi="Arial" w:cs="Arial"/>
                <w:color w:val="000000"/>
                <w:sz w:val="18"/>
              </w:rPr>
            </w:pPr>
            <w:r>
              <w:rPr>
                <w:rFonts w:ascii="Arial" w:hAnsi="Arial" w:cs="Arial"/>
                <w:color w:val="000000"/>
                <w:sz w:val="18"/>
              </w:rPr>
              <w:t>HUD-2434</w:t>
            </w:r>
          </w:p>
        </w:tc>
        <w:tc>
          <w:tcPr>
            <w:tcW w:w="1092"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1,000*</w:t>
            </w:r>
          </w:p>
        </w:tc>
        <w:tc>
          <w:tcPr>
            <w:tcW w:w="1214"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1</w:t>
            </w:r>
          </w:p>
        </w:tc>
        <w:tc>
          <w:tcPr>
            <w:tcW w:w="1214"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1,000</w:t>
            </w:r>
          </w:p>
        </w:tc>
        <w:tc>
          <w:tcPr>
            <w:tcW w:w="1092"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.75</w:t>
            </w:r>
          </w:p>
        </w:tc>
        <w:tc>
          <w:tcPr>
            <w:tcW w:w="1335"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750</w:t>
            </w:r>
          </w:p>
        </w:tc>
        <w:tc>
          <w:tcPr>
            <w:tcW w:w="1222" w:type="dxa"/>
            <w:vAlign w:val="center"/>
          </w:tcPr>
          <w:p w:rsidR="00F45542" w:rsidRDefault="00F45542" w:rsidP="0041318D">
            <w:pPr>
              <w:spacing w:before="40" w:after="40"/>
              <w:jc w:val="right"/>
              <w:rPr>
                <w:rFonts w:ascii="Arial" w:hAnsi="Arial" w:cs="Arial"/>
                <w:color w:val="000000"/>
                <w:sz w:val="18"/>
              </w:rPr>
            </w:pPr>
            <w:r>
              <w:rPr>
                <w:rFonts w:ascii="Arial" w:hAnsi="Arial" w:cs="Arial"/>
                <w:color w:val="000000"/>
                <w:sz w:val="18"/>
              </w:rPr>
              <w:t>$32.73</w:t>
            </w:r>
          </w:p>
        </w:tc>
        <w:tc>
          <w:tcPr>
            <w:tcW w:w="1206" w:type="dxa"/>
            <w:vAlign w:val="center"/>
          </w:tcPr>
          <w:p w:rsidR="00F45542" w:rsidRDefault="00F45542" w:rsidP="0041318D">
            <w:pPr>
              <w:spacing w:before="40" w:after="40"/>
              <w:jc w:val="right"/>
              <w:rPr>
                <w:rFonts w:ascii="Arial" w:hAnsi="Arial" w:cs="Arial"/>
                <w:color w:val="000000"/>
                <w:sz w:val="18"/>
              </w:rPr>
            </w:pPr>
            <w:r>
              <w:rPr>
                <w:rFonts w:ascii="Arial" w:hAnsi="Arial" w:cs="Arial"/>
                <w:color w:val="000000"/>
                <w:sz w:val="18"/>
              </w:rPr>
              <w:t>$24,547</w:t>
            </w:r>
          </w:p>
        </w:tc>
      </w:tr>
      <w:tr w:rsidR="00F45542" w:rsidTr="00813CF7">
        <w:trPr>
          <w:trHeight w:val="353"/>
        </w:trPr>
        <w:tc>
          <w:tcPr>
            <w:tcW w:w="2185" w:type="dxa"/>
            <w:vAlign w:val="center"/>
          </w:tcPr>
          <w:p w:rsidR="00F45542" w:rsidRDefault="00F45542" w:rsidP="0041318D">
            <w:pPr>
              <w:spacing w:before="40" w:after="40"/>
              <w:rPr>
                <w:rFonts w:ascii="Arial" w:hAnsi="Arial" w:cs="Arial"/>
                <w:color w:val="000000"/>
                <w:sz w:val="18"/>
              </w:rPr>
            </w:pPr>
            <w:r>
              <w:rPr>
                <w:rFonts w:ascii="Arial" w:hAnsi="Arial" w:cs="Arial"/>
                <w:color w:val="000000"/>
                <w:sz w:val="18"/>
              </w:rPr>
              <w:t>HUD-3259</w:t>
            </w:r>
          </w:p>
        </w:tc>
        <w:tc>
          <w:tcPr>
            <w:tcW w:w="1092"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1,000</w:t>
            </w:r>
          </w:p>
        </w:tc>
        <w:tc>
          <w:tcPr>
            <w:tcW w:w="1214"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1</w:t>
            </w:r>
          </w:p>
        </w:tc>
        <w:tc>
          <w:tcPr>
            <w:tcW w:w="1214"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1,000</w:t>
            </w:r>
          </w:p>
        </w:tc>
        <w:tc>
          <w:tcPr>
            <w:tcW w:w="1092"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.30</w:t>
            </w:r>
          </w:p>
        </w:tc>
        <w:tc>
          <w:tcPr>
            <w:tcW w:w="1335"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300</w:t>
            </w:r>
          </w:p>
        </w:tc>
        <w:tc>
          <w:tcPr>
            <w:tcW w:w="1222" w:type="dxa"/>
            <w:vAlign w:val="center"/>
          </w:tcPr>
          <w:p w:rsidR="00F45542" w:rsidRDefault="00F45542" w:rsidP="0041318D">
            <w:pPr>
              <w:spacing w:before="40" w:after="40"/>
              <w:jc w:val="right"/>
              <w:rPr>
                <w:rFonts w:ascii="Arial" w:hAnsi="Arial" w:cs="Arial"/>
                <w:color w:val="000000"/>
                <w:sz w:val="18"/>
              </w:rPr>
            </w:pPr>
            <w:r>
              <w:rPr>
                <w:rFonts w:ascii="Arial" w:hAnsi="Arial" w:cs="Arial"/>
                <w:color w:val="000000"/>
                <w:sz w:val="18"/>
              </w:rPr>
              <w:t>$32.73</w:t>
            </w:r>
          </w:p>
        </w:tc>
        <w:tc>
          <w:tcPr>
            <w:tcW w:w="1206" w:type="dxa"/>
            <w:vAlign w:val="center"/>
          </w:tcPr>
          <w:p w:rsidR="00F45542" w:rsidRDefault="00F45542" w:rsidP="0041318D">
            <w:pPr>
              <w:spacing w:before="40" w:after="40"/>
              <w:jc w:val="right"/>
              <w:rPr>
                <w:rFonts w:ascii="Arial" w:hAnsi="Arial" w:cs="Arial"/>
                <w:color w:val="000000"/>
                <w:sz w:val="18"/>
              </w:rPr>
            </w:pPr>
            <w:r>
              <w:rPr>
                <w:rFonts w:ascii="Arial" w:hAnsi="Arial" w:cs="Arial"/>
                <w:color w:val="000000"/>
                <w:sz w:val="18"/>
              </w:rPr>
              <w:t>$9,819</w:t>
            </w:r>
          </w:p>
        </w:tc>
      </w:tr>
      <w:tr w:rsidR="00F45542" w:rsidTr="00813CF7">
        <w:trPr>
          <w:trHeight w:val="372"/>
        </w:trPr>
        <w:tc>
          <w:tcPr>
            <w:tcW w:w="2185" w:type="dxa"/>
            <w:vAlign w:val="center"/>
          </w:tcPr>
          <w:p w:rsidR="00F45542" w:rsidRDefault="00F45542" w:rsidP="0041318D">
            <w:pPr>
              <w:spacing w:before="40" w:after="40"/>
              <w:rPr>
                <w:rFonts w:ascii="Arial" w:hAnsi="Arial" w:cs="Arial"/>
                <w:color w:val="000000"/>
                <w:sz w:val="18"/>
              </w:rPr>
            </w:pPr>
            <w:r>
              <w:rPr>
                <w:rFonts w:ascii="Arial" w:hAnsi="Arial" w:cs="Arial"/>
                <w:color w:val="000000"/>
                <w:sz w:val="18"/>
              </w:rPr>
              <w:t xml:space="preserve">  Totals</w:t>
            </w:r>
          </w:p>
        </w:tc>
        <w:tc>
          <w:tcPr>
            <w:tcW w:w="1092"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2,000</w:t>
            </w:r>
          </w:p>
        </w:tc>
        <w:tc>
          <w:tcPr>
            <w:tcW w:w="1214" w:type="dxa"/>
            <w:vAlign w:val="center"/>
          </w:tcPr>
          <w:p w:rsidR="00F45542" w:rsidRDefault="00F45542" w:rsidP="0041318D">
            <w:pPr>
              <w:spacing w:before="40" w:after="40"/>
              <w:jc w:val="center"/>
              <w:rPr>
                <w:rFonts w:ascii="Arial" w:hAnsi="Arial" w:cs="Arial"/>
                <w:color w:val="000000"/>
                <w:sz w:val="18"/>
              </w:rPr>
            </w:pPr>
          </w:p>
        </w:tc>
        <w:tc>
          <w:tcPr>
            <w:tcW w:w="1214"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2,000</w:t>
            </w:r>
          </w:p>
        </w:tc>
        <w:tc>
          <w:tcPr>
            <w:tcW w:w="1092" w:type="dxa"/>
            <w:vAlign w:val="center"/>
          </w:tcPr>
          <w:p w:rsidR="00F45542" w:rsidRDefault="00F45542" w:rsidP="0041318D">
            <w:pPr>
              <w:spacing w:before="40" w:after="40"/>
              <w:jc w:val="center"/>
              <w:rPr>
                <w:rFonts w:ascii="Arial" w:hAnsi="Arial" w:cs="Arial"/>
                <w:color w:val="000000"/>
                <w:sz w:val="18"/>
              </w:rPr>
            </w:pPr>
          </w:p>
        </w:tc>
        <w:tc>
          <w:tcPr>
            <w:tcW w:w="1335" w:type="dxa"/>
            <w:vAlign w:val="center"/>
          </w:tcPr>
          <w:p w:rsidR="00F45542" w:rsidRDefault="00F45542" w:rsidP="0041318D">
            <w:pPr>
              <w:spacing w:before="40" w:after="40"/>
              <w:jc w:val="center"/>
              <w:rPr>
                <w:rFonts w:ascii="Arial" w:hAnsi="Arial" w:cs="Arial"/>
                <w:color w:val="000000"/>
                <w:sz w:val="18"/>
              </w:rPr>
            </w:pPr>
            <w:r>
              <w:rPr>
                <w:rFonts w:ascii="Arial" w:hAnsi="Arial" w:cs="Arial"/>
                <w:color w:val="000000"/>
                <w:sz w:val="18"/>
              </w:rPr>
              <w:t>1,050</w:t>
            </w:r>
          </w:p>
        </w:tc>
        <w:tc>
          <w:tcPr>
            <w:tcW w:w="1222" w:type="dxa"/>
            <w:vAlign w:val="center"/>
          </w:tcPr>
          <w:p w:rsidR="00F45542" w:rsidRDefault="00F45542" w:rsidP="0041318D">
            <w:pPr>
              <w:spacing w:before="40" w:after="40"/>
              <w:jc w:val="right"/>
              <w:rPr>
                <w:rFonts w:ascii="Arial" w:hAnsi="Arial" w:cs="Arial"/>
                <w:color w:val="000000"/>
                <w:sz w:val="18"/>
              </w:rPr>
            </w:pPr>
          </w:p>
        </w:tc>
        <w:tc>
          <w:tcPr>
            <w:tcW w:w="1206" w:type="dxa"/>
            <w:vAlign w:val="center"/>
          </w:tcPr>
          <w:p w:rsidR="00F45542" w:rsidRDefault="00F45542" w:rsidP="0041318D">
            <w:pPr>
              <w:spacing w:before="40" w:after="40"/>
              <w:jc w:val="right"/>
              <w:rPr>
                <w:rFonts w:ascii="Arial" w:hAnsi="Arial" w:cs="Arial"/>
                <w:color w:val="000000"/>
                <w:sz w:val="18"/>
              </w:rPr>
            </w:pPr>
            <w:r>
              <w:rPr>
                <w:rFonts w:ascii="Arial" w:hAnsi="Arial" w:cs="Arial"/>
                <w:color w:val="000000"/>
                <w:sz w:val="18"/>
              </w:rPr>
              <w:t>$34,366</w:t>
            </w:r>
          </w:p>
        </w:tc>
      </w:tr>
    </w:tbl>
    <w:p w:rsidR="00F45542" w:rsidRDefault="00F45542" w:rsidP="00F45542">
      <w:pPr>
        <w:rPr>
          <w:sz w:val="22"/>
        </w:rPr>
      </w:pPr>
      <w:r>
        <w:rPr>
          <w:sz w:val="22"/>
        </w:rPr>
        <w:t xml:space="preserve">  </w:t>
      </w:r>
      <w:r>
        <w:rPr>
          <w:sz w:val="22"/>
        </w:rPr>
        <w:tab/>
        <w:t>The hourly rate is based on the salary of a GS-12 step 5 for field staff review of documents.</w:t>
      </w:r>
    </w:p>
    <w:p w:rsidR="00F45542" w:rsidRDefault="00F45542" w:rsidP="00F45542">
      <w:pPr>
        <w:pStyle w:val="BodyTextIndent2"/>
        <w:rPr>
          <w:sz w:val="22"/>
        </w:rPr>
      </w:pPr>
      <w:r>
        <w:rPr>
          <w:sz w:val="22"/>
        </w:rPr>
        <w:t>*HUD Field Office staffs have responsibility for reviewing forms.</w:t>
      </w:r>
    </w:p>
    <w:p w:rsidR="00F45542" w:rsidRDefault="00F45542" w:rsidP="00F45542">
      <w:pPr>
        <w:rPr>
          <w:sz w:val="22"/>
        </w:rPr>
      </w:pPr>
    </w:p>
    <w:p w:rsidR="00F45542" w:rsidRPr="000E65FD" w:rsidRDefault="00F45542" w:rsidP="00F45542">
      <w:pPr>
        <w:pStyle w:val="BodyText"/>
        <w:ind w:left="360" w:hanging="360"/>
        <w:rPr>
          <w:color w:val="FF0000"/>
          <w:sz w:val="22"/>
        </w:rPr>
      </w:pPr>
      <w:r>
        <w:rPr>
          <w:sz w:val="22"/>
        </w:rPr>
        <w:t>15.</w:t>
      </w:r>
      <w:r>
        <w:rPr>
          <w:sz w:val="22"/>
        </w:rPr>
        <w:tab/>
        <w:t xml:space="preserve">This is an extension of a currently approved collection.   These numbers reflect an average of initial endorsements for the past three fiscal years.  </w:t>
      </w:r>
      <w:r w:rsidR="00147DBD">
        <w:rPr>
          <w:sz w:val="22"/>
        </w:rPr>
        <w:t xml:space="preserve">There </w:t>
      </w:r>
      <w:r w:rsidR="0093729B">
        <w:rPr>
          <w:sz w:val="22"/>
        </w:rPr>
        <w:t>has been no increase</w:t>
      </w:r>
      <w:r w:rsidR="00147DBD">
        <w:rPr>
          <w:sz w:val="22"/>
        </w:rPr>
        <w:t xml:space="preserve"> in applications.</w:t>
      </w:r>
    </w:p>
    <w:p w:rsidR="00F45542" w:rsidRDefault="00F45542" w:rsidP="00F45542">
      <w:pPr>
        <w:rPr>
          <w:sz w:val="22"/>
          <w:u w:val="single"/>
        </w:rPr>
      </w:pPr>
    </w:p>
    <w:p w:rsidR="00F45542" w:rsidRDefault="00F45542" w:rsidP="00F45542">
      <w:pPr>
        <w:pStyle w:val="BodyTextIndent"/>
        <w:rPr>
          <w:sz w:val="22"/>
        </w:rPr>
      </w:pPr>
      <w:r>
        <w:rPr>
          <w:sz w:val="22"/>
        </w:rPr>
        <w:t>16.</w:t>
      </w:r>
      <w:r>
        <w:rPr>
          <w:sz w:val="22"/>
        </w:rPr>
        <w:tab/>
        <w:t>The results of this information collection will not be published.</w:t>
      </w:r>
    </w:p>
    <w:p w:rsidR="00F45542" w:rsidRDefault="00F45542" w:rsidP="00F45542">
      <w:pPr>
        <w:tabs>
          <w:tab w:val="left" w:pos="360"/>
        </w:tabs>
        <w:rPr>
          <w:sz w:val="22"/>
        </w:rPr>
      </w:pPr>
    </w:p>
    <w:p w:rsidR="00F45542" w:rsidRDefault="00F45542" w:rsidP="00F45542">
      <w:pPr>
        <w:pStyle w:val="BodyTextIndent"/>
        <w:tabs>
          <w:tab w:val="left" w:pos="360"/>
        </w:tabs>
        <w:rPr>
          <w:sz w:val="22"/>
        </w:rPr>
      </w:pPr>
      <w:r>
        <w:rPr>
          <w:sz w:val="22"/>
        </w:rPr>
        <w:t>17.</w:t>
      </w:r>
      <w:r>
        <w:rPr>
          <w:sz w:val="22"/>
        </w:rPr>
        <w:tab/>
        <w:t>HUD is not seeking approval to avoid displaying the OMB expiration date.</w:t>
      </w:r>
    </w:p>
    <w:p w:rsidR="00F45542" w:rsidRDefault="00F45542" w:rsidP="00F45542">
      <w:pPr>
        <w:rPr>
          <w:sz w:val="22"/>
        </w:rPr>
      </w:pPr>
    </w:p>
    <w:p w:rsidR="00F45542" w:rsidRDefault="00F45542" w:rsidP="00F45542">
      <w:pPr>
        <w:pStyle w:val="BodyTextIndent"/>
        <w:tabs>
          <w:tab w:val="left" w:pos="360"/>
        </w:tabs>
        <w:rPr>
          <w:color w:val="000000"/>
          <w:sz w:val="22"/>
        </w:rPr>
      </w:pPr>
      <w:r>
        <w:rPr>
          <w:sz w:val="22"/>
        </w:rPr>
        <w:t>18.</w:t>
      </w:r>
      <w:r>
        <w:rPr>
          <w:sz w:val="22"/>
        </w:rPr>
        <w:tab/>
        <w:t>There are no exceptions to the certification statement identified in item 19 of the OMB 83-I.</w:t>
      </w:r>
    </w:p>
    <w:p w:rsidR="00F45542" w:rsidRDefault="00F45542" w:rsidP="00F45542">
      <w:pPr>
        <w:tabs>
          <w:tab w:val="left" w:pos="360"/>
          <w:tab w:val="left" w:pos="720"/>
        </w:tabs>
        <w:rPr>
          <w:color w:val="000000"/>
          <w:sz w:val="22"/>
        </w:rPr>
      </w:pPr>
    </w:p>
    <w:p w:rsidR="00F45542" w:rsidRDefault="00F45542" w:rsidP="00F45542">
      <w:pPr>
        <w:tabs>
          <w:tab w:val="left" w:pos="360"/>
          <w:tab w:val="left" w:pos="720"/>
        </w:tabs>
        <w:rPr>
          <w:color w:val="000000"/>
          <w:sz w:val="22"/>
        </w:rPr>
      </w:pPr>
    </w:p>
    <w:p w:rsidR="00F45542" w:rsidRDefault="00F45542" w:rsidP="00F45542">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rPr>
      </w:pPr>
      <w:r>
        <w:rPr>
          <w:b/>
          <w:color w:val="000000"/>
          <w:sz w:val="22"/>
        </w:rPr>
        <w:t xml:space="preserve">B. </w:t>
      </w:r>
      <w:r>
        <w:rPr>
          <w:b/>
          <w:color w:val="000000"/>
          <w:sz w:val="22"/>
        </w:rPr>
        <w:tab/>
        <w:t>Collections of Information Employing Statistical Methods</w:t>
      </w:r>
    </w:p>
    <w:p w:rsidR="00F45542" w:rsidRDefault="00F45542" w:rsidP="00F4554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rPr>
      </w:pPr>
    </w:p>
    <w:p w:rsidR="00F45542" w:rsidRDefault="00F45542" w:rsidP="00F45542">
      <w:pPr>
        <w:keepLines/>
        <w:tabs>
          <w:tab w:val="left" w:pos="360"/>
          <w:tab w:val="left" w:pos="720"/>
        </w:tabs>
        <w:ind w:left="360"/>
        <w:rPr>
          <w:color w:val="000000"/>
          <w:sz w:val="22"/>
        </w:rPr>
      </w:pPr>
      <w:r>
        <w:rPr>
          <w:color w:val="000000"/>
          <w:sz w:val="22"/>
        </w:rPr>
        <w:t>This information collection does not employ statistical methods.</w:t>
      </w:r>
    </w:p>
    <w:p w:rsidR="00F45542" w:rsidRDefault="00F45542" w:rsidP="00F45542">
      <w:pPr>
        <w:keepLines/>
        <w:tabs>
          <w:tab w:val="left" w:pos="360"/>
          <w:tab w:val="left" w:pos="720"/>
        </w:tabs>
        <w:rPr>
          <w:color w:val="000000"/>
          <w:sz w:val="22"/>
        </w:rPr>
      </w:pPr>
    </w:p>
    <w:p w:rsidR="00D2370B" w:rsidRDefault="00D2370B"/>
    <w:sectPr w:rsidR="00D2370B" w:rsidSect="00D23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744"/>
    <w:multiLevelType w:val="hybridMultilevel"/>
    <w:tmpl w:val="59A0A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A74F5"/>
    <w:multiLevelType w:val="hybridMultilevel"/>
    <w:tmpl w:val="D67E435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E27DE"/>
    <w:multiLevelType w:val="hybridMultilevel"/>
    <w:tmpl w:val="67D85788"/>
    <w:lvl w:ilvl="0" w:tplc="82B4A8F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916561"/>
    <w:multiLevelType w:val="hybridMultilevel"/>
    <w:tmpl w:val="C6CABD4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542"/>
    <w:rsid w:val="00147DBD"/>
    <w:rsid w:val="0035156F"/>
    <w:rsid w:val="00813CF7"/>
    <w:rsid w:val="008B2136"/>
    <w:rsid w:val="0093729B"/>
    <w:rsid w:val="00A92EB2"/>
    <w:rsid w:val="00B90150"/>
    <w:rsid w:val="00D2370B"/>
    <w:rsid w:val="00F4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54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45542"/>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5542"/>
    <w:rPr>
      <w:rFonts w:ascii="Helvetica" w:eastAsia="Times New Roman" w:hAnsi="Helvetica" w:cs="Times New Roman"/>
      <w:b/>
      <w:sz w:val="24"/>
      <w:szCs w:val="20"/>
    </w:rPr>
  </w:style>
  <w:style w:type="paragraph" w:styleId="BodyText">
    <w:name w:val="Body Text"/>
    <w:basedOn w:val="Normal"/>
    <w:link w:val="BodyTextChar"/>
    <w:semiHidden/>
    <w:rsid w:val="00F45542"/>
    <w:rPr>
      <w:sz w:val="24"/>
    </w:rPr>
  </w:style>
  <w:style w:type="character" w:customStyle="1" w:styleId="BodyTextChar">
    <w:name w:val="Body Text Char"/>
    <w:basedOn w:val="DefaultParagraphFont"/>
    <w:link w:val="BodyText"/>
    <w:semiHidden/>
    <w:rsid w:val="00F45542"/>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F45542"/>
    <w:pPr>
      <w:ind w:left="360" w:hanging="360"/>
    </w:pPr>
    <w:rPr>
      <w:sz w:val="24"/>
    </w:rPr>
  </w:style>
  <w:style w:type="character" w:customStyle="1" w:styleId="BodyTextIndentChar">
    <w:name w:val="Body Text Indent Char"/>
    <w:basedOn w:val="DefaultParagraphFont"/>
    <w:link w:val="BodyTextIndent"/>
    <w:semiHidden/>
    <w:rsid w:val="00F45542"/>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F45542"/>
    <w:pPr>
      <w:ind w:left="360"/>
    </w:pPr>
    <w:rPr>
      <w:sz w:val="24"/>
    </w:rPr>
  </w:style>
  <w:style w:type="character" w:customStyle="1" w:styleId="BodyTextIndent2Char">
    <w:name w:val="Body Text Indent 2 Char"/>
    <w:basedOn w:val="DefaultParagraphFont"/>
    <w:link w:val="BodyTextIndent2"/>
    <w:semiHidden/>
    <w:rsid w:val="00F45542"/>
    <w:rPr>
      <w:rFonts w:ascii="Times New Roman" w:eastAsia="Times New Roman" w:hAnsi="Times New Roman" w:cs="Times New Roman"/>
      <w:sz w:val="24"/>
      <w:szCs w:val="20"/>
    </w:rPr>
  </w:style>
  <w:style w:type="paragraph" w:styleId="ListParagraph">
    <w:name w:val="List Paragraph"/>
    <w:basedOn w:val="Normal"/>
    <w:uiPriority w:val="34"/>
    <w:qFormat/>
    <w:rsid w:val="00F4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54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45542"/>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5542"/>
    <w:rPr>
      <w:rFonts w:ascii="Helvetica" w:eastAsia="Times New Roman" w:hAnsi="Helvetica" w:cs="Times New Roman"/>
      <w:b/>
      <w:sz w:val="24"/>
      <w:szCs w:val="20"/>
    </w:rPr>
  </w:style>
  <w:style w:type="paragraph" w:styleId="BodyText">
    <w:name w:val="Body Text"/>
    <w:basedOn w:val="Normal"/>
    <w:link w:val="BodyTextChar"/>
    <w:semiHidden/>
    <w:rsid w:val="00F45542"/>
    <w:rPr>
      <w:sz w:val="24"/>
    </w:rPr>
  </w:style>
  <w:style w:type="character" w:customStyle="1" w:styleId="BodyTextChar">
    <w:name w:val="Body Text Char"/>
    <w:basedOn w:val="DefaultParagraphFont"/>
    <w:link w:val="BodyText"/>
    <w:semiHidden/>
    <w:rsid w:val="00F45542"/>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F45542"/>
    <w:pPr>
      <w:ind w:left="360" w:hanging="360"/>
    </w:pPr>
    <w:rPr>
      <w:sz w:val="24"/>
    </w:rPr>
  </w:style>
  <w:style w:type="character" w:customStyle="1" w:styleId="BodyTextIndentChar">
    <w:name w:val="Body Text Indent Char"/>
    <w:basedOn w:val="DefaultParagraphFont"/>
    <w:link w:val="BodyTextIndent"/>
    <w:semiHidden/>
    <w:rsid w:val="00F45542"/>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F45542"/>
    <w:pPr>
      <w:ind w:left="360"/>
    </w:pPr>
    <w:rPr>
      <w:sz w:val="24"/>
    </w:rPr>
  </w:style>
  <w:style w:type="character" w:customStyle="1" w:styleId="BodyTextIndent2Char">
    <w:name w:val="Body Text Indent 2 Char"/>
    <w:basedOn w:val="DefaultParagraphFont"/>
    <w:link w:val="BodyTextIndent2"/>
    <w:semiHidden/>
    <w:rsid w:val="00F45542"/>
    <w:rPr>
      <w:rFonts w:ascii="Times New Roman" w:eastAsia="Times New Roman" w:hAnsi="Times New Roman" w:cs="Times New Roman"/>
      <w:sz w:val="24"/>
      <w:szCs w:val="20"/>
    </w:rPr>
  </w:style>
  <w:style w:type="paragraph" w:styleId="ListParagraph">
    <w:name w:val="List Paragraph"/>
    <w:basedOn w:val="Normal"/>
    <w:uiPriority w:val="34"/>
    <w:qFormat/>
    <w:rsid w:val="00F4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5BC80BC5</Template>
  <TotalTime>2</TotalTime>
  <Pages>3</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atpotts</cp:lastModifiedBy>
  <cp:revision>2</cp:revision>
  <cp:lastPrinted>2012-07-24T19:15:00Z</cp:lastPrinted>
  <dcterms:created xsi:type="dcterms:W3CDTF">2012-12-18T21:12:00Z</dcterms:created>
  <dcterms:modified xsi:type="dcterms:W3CDTF">2012-12-18T21:12:00Z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37417069</vt:i4>
  </property>
  <property fmtid="{D5CDD505-2E9C-101B-9397-08002B2CF9AE}" pid="3" name="_NewReviewCycle">
    <vt:lpwstr/>
  </property>
  <property fmtid="{D5CDD505-2E9C-101B-9397-08002B2CF9AE}" pid="4" name="_EmailSubject">
    <vt:lpwstr>Mortgagee's Certification of Fees and Escrow and Surety Bond Against Defects</vt:lpwstr>
  </property>
  <property fmtid="{D5CDD505-2E9C-101B-9397-08002B2CF9AE}" pid="5" name="_AuthorEmail">
    <vt:lpwstr>Sylvia.S.Chatman@hud.gov</vt:lpwstr>
  </property>
  <property fmtid="{D5CDD505-2E9C-101B-9397-08002B2CF9AE}" pid="6" name="_AuthorEmailDisplayName">
    <vt:lpwstr>Chatman, Sylvia S</vt:lpwstr>
  </property>
  <property fmtid="{D5CDD505-2E9C-101B-9397-08002B2CF9AE}" pid="7" name="_ReviewingToolsShownOnce">
    <vt:lpwstr/>
  </property>
</Properties>
</file>