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87" w:rsidRDefault="004353F7">
      <w:pPr>
        <w:jc w:val="center"/>
        <w:rPr>
          <w:b/>
          <w:bCs/>
          <w:color w:val="000000"/>
          <w:szCs w:val="24"/>
        </w:rPr>
      </w:pPr>
      <w:r w:rsidRPr="006A08B6">
        <w:rPr>
          <w:szCs w:val="24"/>
          <w:lang w:val="en-CA"/>
        </w:rPr>
        <w:fldChar w:fldCharType="begin"/>
      </w:r>
      <w:r w:rsidR="0097783F" w:rsidRPr="006A08B6">
        <w:rPr>
          <w:szCs w:val="24"/>
          <w:lang w:val="en-CA"/>
        </w:rPr>
        <w:instrText xml:space="preserve"> SEQ CHAPTER \h \r 1</w:instrText>
      </w:r>
      <w:r w:rsidRPr="006A08B6">
        <w:rPr>
          <w:szCs w:val="24"/>
          <w:lang w:val="en-CA"/>
        </w:rPr>
        <w:fldChar w:fldCharType="end"/>
      </w:r>
      <w:r w:rsidR="0097783F" w:rsidRPr="006A08B6">
        <w:rPr>
          <w:b/>
          <w:bCs/>
          <w:color w:val="000000"/>
          <w:szCs w:val="24"/>
        </w:rPr>
        <w:t>Supporting Statement for the</w:t>
      </w:r>
      <w:r w:rsidR="00F25713">
        <w:rPr>
          <w:b/>
          <w:bCs/>
          <w:color w:val="000000"/>
          <w:szCs w:val="24"/>
        </w:rPr>
        <w:t xml:space="preserve"> </w:t>
      </w:r>
    </w:p>
    <w:p w:rsidR="0046361E" w:rsidRDefault="00E879D7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Reporting</w:t>
      </w:r>
      <w:r w:rsidR="00AC2139">
        <w:rPr>
          <w:b/>
          <w:bCs/>
          <w:color w:val="000000"/>
          <w:szCs w:val="24"/>
        </w:rPr>
        <w:t xml:space="preserve"> Requirements Associated with </w:t>
      </w:r>
      <w:r w:rsidR="0054089D">
        <w:rPr>
          <w:b/>
          <w:bCs/>
          <w:color w:val="000000"/>
          <w:szCs w:val="24"/>
        </w:rPr>
        <w:t>(</w:t>
      </w:r>
      <w:r w:rsidR="00AC2139">
        <w:rPr>
          <w:b/>
          <w:bCs/>
          <w:color w:val="000000"/>
          <w:szCs w:val="24"/>
        </w:rPr>
        <w:t xml:space="preserve">Regulation </w:t>
      </w:r>
      <w:r>
        <w:rPr>
          <w:b/>
          <w:bCs/>
          <w:color w:val="000000"/>
          <w:szCs w:val="24"/>
        </w:rPr>
        <w:t>OO</w:t>
      </w:r>
      <w:r w:rsidR="0054089D">
        <w:rPr>
          <w:b/>
          <w:bCs/>
          <w:color w:val="000000"/>
          <w:szCs w:val="24"/>
        </w:rPr>
        <w:t>; Docket No. R-1430)</w:t>
      </w:r>
    </w:p>
    <w:p w:rsidR="0054089D" w:rsidRDefault="0054089D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Registration of Supervised Securities Holding Companies</w:t>
      </w:r>
    </w:p>
    <w:p w:rsidR="0097783F" w:rsidRPr="006A08B6" w:rsidRDefault="00F25713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(</w:t>
      </w:r>
      <w:r w:rsidR="00E26E2E">
        <w:rPr>
          <w:b/>
          <w:bCs/>
          <w:color w:val="000000"/>
          <w:szCs w:val="24"/>
        </w:rPr>
        <w:t>FR</w:t>
      </w:r>
      <w:r w:rsidR="00E879D7">
        <w:rPr>
          <w:b/>
          <w:bCs/>
          <w:color w:val="000000"/>
          <w:szCs w:val="24"/>
        </w:rPr>
        <w:t xml:space="preserve"> </w:t>
      </w:r>
      <w:r w:rsidR="00CC5B67">
        <w:rPr>
          <w:b/>
          <w:bCs/>
          <w:color w:val="000000"/>
          <w:szCs w:val="24"/>
        </w:rPr>
        <w:t>2082</w:t>
      </w:r>
      <w:r w:rsidR="00E26E2E">
        <w:rPr>
          <w:b/>
          <w:bCs/>
          <w:color w:val="000000"/>
          <w:szCs w:val="24"/>
        </w:rPr>
        <w:t xml:space="preserve">; </w:t>
      </w:r>
      <w:r w:rsidR="0097783F" w:rsidRPr="006A08B6">
        <w:rPr>
          <w:b/>
          <w:bCs/>
          <w:color w:val="000000"/>
          <w:szCs w:val="24"/>
        </w:rPr>
        <w:t xml:space="preserve">OMB No. </w:t>
      </w:r>
      <w:r w:rsidR="00A77C60">
        <w:rPr>
          <w:b/>
          <w:bCs/>
          <w:color w:val="000000"/>
          <w:szCs w:val="24"/>
        </w:rPr>
        <w:t>7100-</w:t>
      </w:r>
      <w:r w:rsidR="002C4C81">
        <w:rPr>
          <w:b/>
          <w:bCs/>
          <w:color w:val="000000"/>
          <w:szCs w:val="24"/>
        </w:rPr>
        <w:t>0347</w:t>
      </w:r>
      <w:r w:rsidR="0097783F" w:rsidRPr="006A08B6">
        <w:rPr>
          <w:b/>
          <w:bCs/>
          <w:color w:val="000000"/>
          <w:szCs w:val="24"/>
        </w:rPr>
        <w:t>)</w:t>
      </w:r>
    </w:p>
    <w:p w:rsidR="0097783F" w:rsidRPr="006A08B6" w:rsidRDefault="0097783F">
      <w:pPr>
        <w:jc w:val="both"/>
        <w:rPr>
          <w:color w:val="000000"/>
          <w:szCs w:val="24"/>
        </w:rPr>
      </w:pPr>
    </w:p>
    <w:p w:rsidR="0097783F" w:rsidRPr="006A08B6" w:rsidRDefault="0097783F">
      <w:pPr>
        <w:jc w:val="both"/>
        <w:rPr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>Summary</w:t>
      </w:r>
    </w:p>
    <w:p w:rsidR="0097783F" w:rsidRPr="006A08B6" w:rsidRDefault="0097783F" w:rsidP="00937B5D">
      <w:pPr>
        <w:jc w:val="both"/>
        <w:rPr>
          <w:color w:val="000000"/>
          <w:szCs w:val="24"/>
        </w:rPr>
      </w:pPr>
    </w:p>
    <w:p w:rsidR="0054089D" w:rsidRPr="0054089D" w:rsidRDefault="0097783F" w:rsidP="00937B5D">
      <w:pPr>
        <w:ind w:firstLine="720"/>
        <w:rPr>
          <w:color w:val="000000"/>
          <w:szCs w:val="24"/>
        </w:rPr>
      </w:pPr>
      <w:r w:rsidRPr="006A08B6">
        <w:rPr>
          <w:color w:val="000000"/>
          <w:szCs w:val="24"/>
        </w:rPr>
        <w:t xml:space="preserve">The Board of Governors of the Federal Reserve System, under delegated authority from the Office of Management and Budget (OMB), </w:t>
      </w:r>
      <w:r w:rsidR="0054089D">
        <w:rPr>
          <w:color w:val="000000"/>
          <w:szCs w:val="24"/>
        </w:rPr>
        <w:t xml:space="preserve">is </w:t>
      </w:r>
      <w:r w:rsidRPr="006A08B6">
        <w:rPr>
          <w:color w:val="000000"/>
          <w:szCs w:val="24"/>
        </w:rPr>
        <w:t>implement</w:t>
      </w:r>
      <w:r w:rsidR="0054089D">
        <w:rPr>
          <w:color w:val="000000"/>
          <w:szCs w:val="24"/>
        </w:rPr>
        <w:t>ing</w:t>
      </w:r>
      <w:r w:rsidRPr="006A08B6">
        <w:rPr>
          <w:color w:val="000000"/>
          <w:szCs w:val="24"/>
        </w:rPr>
        <w:t xml:space="preserve"> </w:t>
      </w:r>
      <w:r w:rsidR="00717EA3">
        <w:rPr>
          <w:color w:val="000000"/>
          <w:szCs w:val="24"/>
        </w:rPr>
        <w:t>the</w:t>
      </w:r>
      <w:r w:rsidR="00B036E2">
        <w:rPr>
          <w:color w:val="000000"/>
          <w:szCs w:val="24"/>
        </w:rPr>
        <w:t xml:space="preserve"> </w:t>
      </w:r>
      <w:r w:rsidR="00EE5D2B">
        <w:rPr>
          <w:color w:val="000000"/>
          <w:szCs w:val="24"/>
        </w:rPr>
        <w:t>Reporting</w:t>
      </w:r>
      <w:r w:rsidR="00B036E2">
        <w:rPr>
          <w:color w:val="000000"/>
          <w:szCs w:val="24"/>
        </w:rPr>
        <w:t xml:space="preserve"> Requirements Associated with Regulation </w:t>
      </w:r>
      <w:r w:rsidR="00EE5D2B">
        <w:rPr>
          <w:color w:val="000000"/>
          <w:szCs w:val="24"/>
        </w:rPr>
        <w:t>OO</w:t>
      </w:r>
      <w:bookmarkStart w:id="0" w:name="_GoBack"/>
      <w:bookmarkEnd w:id="0"/>
      <w:r w:rsidR="0054089D">
        <w:rPr>
          <w:color w:val="000000"/>
          <w:szCs w:val="24"/>
        </w:rPr>
        <w:t xml:space="preserve">; </w:t>
      </w:r>
      <w:r w:rsidR="0054089D" w:rsidRPr="0054089D">
        <w:rPr>
          <w:bCs/>
          <w:color w:val="000000"/>
          <w:szCs w:val="24"/>
        </w:rPr>
        <w:t xml:space="preserve">(FR </w:t>
      </w:r>
      <w:r w:rsidR="00CC5B67">
        <w:rPr>
          <w:bCs/>
          <w:color w:val="000000"/>
          <w:szCs w:val="24"/>
        </w:rPr>
        <w:t>2082</w:t>
      </w:r>
      <w:r w:rsidR="002C4C81">
        <w:rPr>
          <w:bCs/>
          <w:color w:val="000000"/>
          <w:szCs w:val="24"/>
        </w:rPr>
        <w:t>; OMB No. 7100-0347</w:t>
      </w:r>
      <w:r w:rsidR="0054089D" w:rsidRPr="0054089D">
        <w:rPr>
          <w:bCs/>
          <w:color w:val="000000"/>
          <w:szCs w:val="24"/>
        </w:rPr>
        <w:t>)</w:t>
      </w:r>
      <w:r w:rsidR="0054089D">
        <w:rPr>
          <w:bCs/>
          <w:color w:val="000000"/>
          <w:szCs w:val="24"/>
        </w:rPr>
        <w:t>.</w:t>
      </w:r>
    </w:p>
    <w:p w:rsidR="00566034" w:rsidRDefault="00921519" w:rsidP="00937B5D">
      <w:pPr>
        <w:rPr>
          <w:szCs w:val="24"/>
        </w:rPr>
      </w:pPr>
      <w:r w:rsidRPr="006A08B6">
        <w:rPr>
          <w:color w:val="000000"/>
          <w:szCs w:val="24"/>
        </w:rPr>
        <w:t>The</w:t>
      </w:r>
      <w:r w:rsidR="0097783F" w:rsidRPr="006A08B6">
        <w:rPr>
          <w:szCs w:val="24"/>
        </w:rPr>
        <w:t xml:space="preserve"> Paperwork Reduction Act (PRA) classifies reporting, recordkeeping, or disclosure requirements of a regulation as an “information collection.”</w:t>
      </w:r>
      <w:r w:rsidR="0044792F">
        <w:rPr>
          <w:rStyle w:val="FootnoteReference"/>
          <w:szCs w:val="24"/>
        </w:rPr>
        <w:footnoteReference w:id="1"/>
      </w:r>
      <w:r w:rsidR="0097783F" w:rsidRPr="006A08B6">
        <w:rPr>
          <w:szCs w:val="24"/>
        </w:rPr>
        <w:t xml:space="preserve">  </w:t>
      </w:r>
    </w:p>
    <w:p w:rsidR="00B036E2" w:rsidRDefault="00B036E2" w:rsidP="00937B5D">
      <w:pPr>
        <w:rPr>
          <w:szCs w:val="24"/>
        </w:rPr>
      </w:pPr>
    </w:p>
    <w:p w:rsidR="0085692F" w:rsidRDefault="00650048" w:rsidP="0085692F">
      <w:pPr>
        <w:pStyle w:val="Default"/>
        <w:ind w:firstLine="720"/>
      </w:pPr>
      <w:r>
        <w:t>On June 4, 2012, t</w:t>
      </w:r>
      <w:r w:rsidR="00F25713">
        <w:t xml:space="preserve">he </w:t>
      </w:r>
      <w:r>
        <w:t xml:space="preserve">Federal Reserve published </w:t>
      </w:r>
      <w:r w:rsidR="00EE5D2B">
        <w:t xml:space="preserve">a final </w:t>
      </w:r>
      <w:r w:rsidR="00F25713">
        <w:t>r</w:t>
      </w:r>
      <w:r w:rsidR="00375AA4">
        <w:t xml:space="preserve">ulemaking </w:t>
      </w:r>
      <w:r w:rsidRPr="00D6407B">
        <w:t xml:space="preserve">in the </w:t>
      </w:r>
      <w:r w:rsidRPr="00D6407B">
        <w:rPr>
          <w:i/>
        </w:rPr>
        <w:t>Federal Register</w:t>
      </w:r>
      <w:r w:rsidRPr="00D6407B">
        <w:t xml:space="preserve"> (7</w:t>
      </w:r>
      <w:r>
        <w:t>7</w:t>
      </w:r>
      <w:r w:rsidRPr="00D6407B">
        <w:t xml:space="preserve"> FR</w:t>
      </w:r>
      <w:r>
        <w:t xml:space="preserve"> 32881</w:t>
      </w:r>
      <w:r w:rsidRPr="00D6407B">
        <w:t>)</w:t>
      </w:r>
      <w:r>
        <w:t>.</w:t>
      </w:r>
      <w:r w:rsidRPr="00D6407B">
        <w:t xml:space="preserve"> </w:t>
      </w:r>
      <w:r w:rsidR="00527E19">
        <w:t xml:space="preserve"> </w:t>
      </w:r>
      <w:r>
        <w:rPr>
          <w:sz w:val="23"/>
          <w:szCs w:val="23"/>
        </w:rPr>
        <w:t>The Federal Reserve is adopting a final rule to implement section 618 of the Dodd-Frank Wall Street Reform and Consumer Protection Act</w:t>
      </w:r>
      <w:r w:rsidR="0044792F">
        <w:rPr>
          <w:rStyle w:val="FootnoteReference"/>
          <w:sz w:val="23"/>
          <w:szCs w:val="23"/>
        </w:rPr>
        <w:footnoteReference w:id="2"/>
      </w:r>
      <w:r>
        <w:rPr>
          <w:sz w:val="23"/>
          <w:szCs w:val="23"/>
        </w:rPr>
        <w:t xml:space="preserve"> (“Dodd-Frank Act”), which permits nonbank companies that own at least one registered securities broker or dealer, and that are required by a foreign regulator or provision of foreign law to be subject to comprehensive consolidated supervision, to register with the </w:t>
      </w:r>
      <w:r w:rsidR="0054089D">
        <w:rPr>
          <w:sz w:val="23"/>
          <w:szCs w:val="23"/>
        </w:rPr>
        <w:t xml:space="preserve">Federal Reserve </w:t>
      </w:r>
      <w:r>
        <w:rPr>
          <w:sz w:val="23"/>
          <w:szCs w:val="23"/>
        </w:rPr>
        <w:t xml:space="preserve">Board and subject themselves to supervision by the </w:t>
      </w:r>
      <w:r w:rsidR="0054089D">
        <w:rPr>
          <w:sz w:val="23"/>
          <w:szCs w:val="23"/>
        </w:rPr>
        <w:t xml:space="preserve">Federal Reserve </w:t>
      </w:r>
      <w:r>
        <w:rPr>
          <w:sz w:val="23"/>
          <w:szCs w:val="23"/>
        </w:rPr>
        <w:t xml:space="preserve">Board. </w:t>
      </w:r>
      <w:r w:rsidR="00527E19">
        <w:rPr>
          <w:sz w:val="23"/>
          <w:szCs w:val="23"/>
        </w:rPr>
        <w:t xml:space="preserve"> </w:t>
      </w:r>
      <w:r w:rsidR="00C91727">
        <w:t xml:space="preserve">The information collection </w:t>
      </w:r>
      <w:r w:rsidR="00C91727" w:rsidRPr="00C91727">
        <w:t>reporting requirements are found in</w:t>
      </w:r>
      <w:r w:rsidR="00C91727">
        <w:t xml:space="preserve"> </w:t>
      </w:r>
      <w:r w:rsidR="00C91727" w:rsidRPr="00C91727">
        <w:t>sections 241.3(a)(1) and 241.3(b)(3)(</w:t>
      </w:r>
      <w:proofErr w:type="spellStart"/>
      <w:r w:rsidR="00C91727" w:rsidRPr="00C91727">
        <w:t>i</w:t>
      </w:r>
      <w:proofErr w:type="spellEnd"/>
      <w:r w:rsidR="00C91727" w:rsidRPr="00C91727">
        <w:t>) of</w:t>
      </w:r>
      <w:r w:rsidR="00C91727">
        <w:t xml:space="preserve"> </w:t>
      </w:r>
      <w:r w:rsidR="00C91727" w:rsidRPr="00C91727">
        <w:t>the final rule.</w:t>
      </w:r>
    </w:p>
    <w:p w:rsidR="00C91727" w:rsidRPr="003A6E95" w:rsidRDefault="00C91727" w:rsidP="003A6E95">
      <w:pPr>
        <w:pStyle w:val="Default"/>
        <w:ind w:left="1440"/>
      </w:pPr>
    </w:p>
    <w:p w:rsidR="0097783F" w:rsidRPr="00741050" w:rsidRDefault="0097783F" w:rsidP="00375076">
      <w:pPr>
        <w:ind w:firstLine="720"/>
      </w:pPr>
      <w:r w:rsidRPr="006A08B6">
        <w:rPr>
          <w:szCs w:val="24"/>
        </w:rPr>
        <w:t xml:space="preserve">The Federal Reserve’s total annual burden </w:t>
      </w:r>
      <w:r w:rsidR="000034D5">
        <w:rPr>
          <w:szCs w:val="24"/>
        </w:rPr>
        <w:t>for this information colle</w:t>
      </w:r>
      <w:r w:rsidR="009176B5">
        <w:rPr>
          <w:szCs w:val="24"/>
        </w:rPr>
        <w:t xml:space="preserve">ction is estimated to be </w:t>
      </w:r>
      <w:r w:rsidR="001713E6">
        <w:rPr>
          <w:szCs w:val="24"/>
        </w:rPr>
        <w:t xml:space="preserve">40 </w:t>
      </w:r>
      <w:r w:rsidRPr="006A08B6">
        <w:rPr>
          <w:szCs w:val="24"/>
        </w:rPr>
        <w:t xml:space="preserve">hours for </w:t>
      </w:r>
      <w:r w:rsidR="00375AA4">
        <w:rPr>
          <w:szCs w:val="24"/>
        </w:rPr>
        <w:t>the</w:t>
      </w:r>
      <w:r w:rsidRPr="006A08B6">
        <w:rPr>
          <w:szCs w:val="24"/>
        </w:rPr>
        <w:t xml:space="preserve"> </w:t>
      </w:r>
      <w:r w:rsidR="009176B5">
        <w:rPr>
          <w:szCs w:val="24"/>
        </w:rPr>
        <w:t>estimated</w:t>
      </w:r>
      <w:r w:rsidR="001713E6">
        <w:rPr>
          <w:szCs w:val="24"/>
        </w:rPr>
        <w:t xml:space="preserve"> five securities holding companies </w:t>
      </w:r>
      <w:r w:rsidR="0054089D">
        <w:rPr>
          <w:szCs w:val="24"/>
        </w:rPr>
        <w:t xml:space="preserve">(SHCs) </w:t>
      </w:r>
      <w:r w:rsidR="001713E6">
        <w:rPr>
          <w:szCs w:val="24"/>
        </w:rPr>
        <w:t xml:space="preserve">that would file a request to become a supervised </w:t>
      </w:r>
      <w:r w:rsidR="0054089D">
        <w:rPr>
          <w:szCs w:val="24"/>
        </w:rPr>
        <w:t>SHC</w:t>
      </w:r>
      <w:r w:rsidRPr="006A08B6">
        <w:rPr>
          <w:szCs w:val="24"/>
        </w:rPr>
        <w:t xml:space="preserve">.  </w:t>
      </w:r>
      <w:r w:rsidR="001713E6">
        <w:rPr>
          <w:szCs w:val="24"/>
        </w:rPr>
        <w:t>The effective</w:t>
      </w:r>
      <w:r w:rsidR="00650048" w:rsidRPr="00D6407B">
        <w:rPr>
          <w:szCs w:val="24"/>
        </w:rPr>
        <w:t xml:space="preserve"> date for Regulation </w:t>
      </w:r>
      <w:r w:rsidR="009549BB">
        <w:rPr>
          <w:szCs w:val="24"/>
        </w:rPr>
        <w:t>OO</w:t>
      </w:r>
      <w:r w:rsidR="00650048">
        <w:rPr>
          <w:szCs w:val="24"/>
        </w:rPr>
        <w:t xml:space="preserve"> </w:t>
      </w:r>
      <w:r w:rsidR="00650048">
        <w:t>is July 20, 2012</w:t>
      </w:r>
      <w:r w:rsidR="00650048" w:rsidRPr="00D6407B">
        <w:rPr>
          <w:szCs w:val="24"/>
        </w:rPr>
        <w:t xml:space="preserve">.  </w:t>
      </w:r>
      <w:r w:rsidR="004F41E3">
        <w:rPr>
          <w:szCs w:val="24"/>
        </w:rPr>
        <w:t xml:space="preserve">The </w:t>
      </w:r>
      <w:r w:rsidR="0054089D">
        <w:rPr>
          <w:szCs w:val="24"/>
        </w:rPr>
        <w:t xml:space="preserve">FR </w:t>
      </w:r>
      <w:r w:rsidR="00CC5B67">
        <w:rPr>
          <w:szCs w:val="24"/>
        </w:rPr>
        <w:t>2082</w:t>
      </w:r>
      <w:r w:rsidR="0054089D">
        <w:rPr>
          <w:szCs w:val="24"/>
        </w:rPr>
        <w:t xml:space="preserve"> </w:t>
      </w:r>
      <w:r w:rsidRPr="006A08B6">
        <w:rPr>
          <w:szCs w:val="24"/>
        </w:rPr>
        <w:t xml:space="preserve">reporting forms </w:t>
      </w:r>
      <w:r w:rsidR="004F41E3">
        <w:rPr>
          <w:szCs w:val="24"/>
        </w:rPr>
        <w:t xml:space="preserve">and instructions </w:t>
      </w:r>
      <w:r w:rsidR="0054089D">
        <w:rPr>
          <w:szCs w:val="24"/>
        </w:rPr>
        <w:t xml:space="preserve">are available on the </w:t>
      </w:r>
      <w:r w:rsidR="0044792F">
        <w:rPr>
          <w:szCs w:val="24"/>
        </w:rPr>
        <w:t xml:space="preserve">Board of Governors of the </w:t>
      </w:r>
      <w:r w:rsidR="0054089D">
        <w:rPr>
          <w:szCs w:val="24"/>
        </w:rPr>
        <w:t>Federal Reserve</w:t>
      </w:r>
      <w:r w:rsidR="0044792F">
        <w:rPr>
          <w:szCs w:val="24"/>
        </w:rPr>
        <w:t xml:space="preserve"> System</w:t>
      </w:r>
      <w:r w:rsidR="0054089D">
        <w:rPr>
          <w:szCs w:val="24"/>
        </w:rPr>
        <w:t>’s public website</w:t>
      </w:r>
      <w:r w:rsidRPr="006A08B6">
        <w:rPr>
          <w:szCs w:val="24"/>
        </w:rPr>
        <w:t>.</w:t>
      </w:r>
      <w:r w:rsidR="0044792F">
        <w:rPr>
          <w:rStyle w:val="FootnoteReference"/>
          <w:szCs w:val="24"/>
        </w:rPr>
        <w:footnoteReference w:id="3"/>
      </w:r>
    </w:p>
    <w:p w:rsidR="00A23410" w:rsidRPr="006A08B6" w:rsidRDefault="00A23410">
      <w:pPr>
        <w:rPr>
          <w:color w:val="000000"/>
          <w:szCs w:val="24"/>
        </w:rPr>
      </w:pPr>
    </w:p>
    <w:p w:rsidR="0097783F" w:rsidRPr="006A08B6" w:rsidRDefault="0097783F">
      <w:pPr>
        <w:jc w:val="both"/>
        <w:rPr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>Background and Justification</w:t>
      </w:r>
    </w:p>
    <w:p w:rsidR="0097783F" w:rsidRPr="006A08B6" w:rsidRDefault="0097783F">
      <w:pPr>
        <w:jc w:val="both"/>
        <w:rPr>
          <w:color w:val="000000"/>
          <w:szCs w:val="24"/>
        </w:rPr>
      </w:pPr>
    </w:p>
    <w:p w:rsidR="000B2E68" w:rsidRDefault="0054089D" w:rsidP="0044792F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napToGrid/>
          <w:szCs w:val="24"/>
        </w:rPr>
      </w:pPr>
      <w:r>
        <w:t>The Dodd-Frank Act eliminated the previous supervision framework that applied to SHCs under the Securities and Exchange Commission and permitted SHCs to be sup</w:t>
      </w:r>
      <w:r w:rsidR="0044792F">
        <w:t xml:space="preserve">ervised by the Federal Reserve.  </w:t>
      </w:r>
      <w:r>
        <w:t xml:space="preserve">An SHC may seek supervision by the Federal Reserve to meet requirements by a regulator in another country that the firm </w:t>
      </w:r>
      <w:proofErr w:type="gramStart"/>
      <w:r>
        <w:t>be</w:t>
      </w:r>
      <w:proofErr w:type="gramEnd"/>
      <w:r>
        <w:t xml:space="preserve"> subject to comprehensive, consolidated supervision in the United States in order to operate in the country.  </w:t>
      </w:r>
      <w:r w:rsidR="000B2E68">
        <w:rPr>
          <w:rFonts w:ascii="TimesNewRomanPSMT" w:hAnsi="TimesNewRomanPSMT" w:cs="TimesNewRomanPSMT"/>
          <w:snapToGrid/>
          <w:szCs w:val="24"/>
        </w:rPr>
        <w:t xml:space="preserve">A </w:t>
      </w:r>
      <w:r>
        <w:rPr>
          <w:rFonts w:ascii="TimesNewRomanPSMT" w:hAnsi="TimesNewRomanPSMT" w:cs="TimesNewRomanPSMT"/>
          <w:snapToGrid/>
          <w:szCs w:val="24"/>
        </w:rPr>
        <w:t>SHC</w:t>
      </w:r>
      <w:r w:rsidR="000B2E68">
        <w:rPr>
          <w:rFonts w:ascii="TimesNewRomanPSMT" w:hAnsi="TimesNewRomanPSMT" w:cs="TimesNewRomanPSMT"/>
          <w:snapToGrid/>
          <w:szCs w:val="24"/>
        </w:rPr>
        <w:t xml:space="preserve"> that registers with the Board under section 618 is subject to the full</w:t>
      </w:r>
      <w:r>
        <w:rPr>
          <w:rFonts w:ascii="TimesNewRomanPSMT" w:hAnsi="TimesNewRomanPSMT" w:cs="TimesNewRomanPSMT"/>
          <w:snapToGrid/>
          <w:szCs w:val="24"/>
        </w:rPr>
        <w:t xml:space="preserve"> </w:t>
      </w:r>
      <w:r w:rsidR="000B2E68">
        <w:rPr>
          <w:rFonts w:ascii="TimesNewRomanPSMT" w:hAnsi="TimesNewRomanPSMT" w:cs="TimesNewRomanPSMT"/>
          <w:snapToGrid/>
          <w:szCs w:val="24"/>
        </w:rPr>
        <w:t>examination, supervision, and enforcement regime applicable to a registered bank</w:t>
      </w:r>
      <w:r>
        <w:rPr>
          <w:rFonts w:ascii="TimesNewRomanPSMT" w:hAnsi="TimesNewRomanPSMT" w:cs="TimesNewRomanPSMT"/>
          <w:snapToGrid/>
          <w:szCs w:val="24"/>
        </w:rPr>
        <w:t xml:space="preserve"> </w:t>
      </w:r>
      <w:r w:rsidR="000B2E68">
        <w:rPr>
          <w:rFonts w:ascii="TimesNewRomanPSMT" w:hAnsi="TimesNewRomanPSMT" w:cs="TimesNewRomanPSMT"/>
          <w:snapToGrid/>
          <w:szCs w:val="24"/>
        </w:rPr>
        <w:t>holding company</w:t>
      </w:r>
      <w:r>
        <w:rPr>
          <w:rFonts w:ascii="TimesNewRomanPSMT" w:hAnsi="TimesNewRomanPSMT" w:cs="TimesNewRomanPSMT"/>
          <w:snapToGrid/>
          <w:szCs w:val="24"/>
        </w:rPr>
        <w:t xml:space="preserve"> (BHC)</w:t>
      </w:r>
      <w:r w:rsidR="000B2E68">
        <w:rPr>
          <w:rFonts w:ascii="TimesNewRomanPSMT" w:hAnsi="TimesNewRomanPSMT" w:cs="TimesNewRomanPSMT"/>
          <w:snapToGrid/>
          <w:szCs w:val="24"/>
        </w:rPr>
        <w:t>, including capital requirements set by the Board (although the statute</w:t>
      </w:r>
      <w:r>
        <w:rPr>
          <w:rFonts w:ascii="TimesNewRomanPSMT" w:hAnsi="TimesNewRomanPSMT" w:cs="TimesNewRomanPSMT"/>
          <w:snapToGrid/>
          <w:szCs w:val="24"/>
        </w:rPr>
        <w:t xml:space="preserve"> </w:t>
      </w:r>
      <w:r w:rsidR="000B2E68">
        <w:rPr>
          <w:rFonts w:ascii="TimesNewRomanPSMT" w:hAnsi="TimesNewRomanPSMT" w:cs="TimesNewRomanPSMT"/>
          <w:snapToGrid/>
          <w:szCs w:val="24"/>
        </w:rPr>
        <w:t>allows the Board to modify its capital rules to account for differences in activities and</w:t>
      </w:r>
      <w:r>
        <w:rPr>
          <w:rFonts w:ascii="TimesNewRomanPSMT" w:hAnsi="TimesNewRomanPSMT" w:cs="TimesNewRomanPSMT"/>
          <w:snapToGrid/>
          <w:szCs w:val="24"/>
        </w:rPr>
        <w:t xml:space="preserve"> </w:t>
      </w:r>
      <w:r w:rsidR="000B2E68">
        <w:rPr>
          <w:rFonts w:ascii="TimesNewRomanPSMT" w:hAnsi="TimesNewRomanPSMT" w:cs="TimesNewRomanPSMT"/>
          <w:snapToGrid/>
          <w:szCs w:val="24"/>
        </w:rPr>
        <w:t xml:space="preserve">structure of </w:t>
      </w:r>
      <w:r w:rsidR="001A7804">
        <w:rPr>
          <w:rFonts w:ascii="TimesNewRomanPSMT" w:hAnsi="TimesNewRomanPSMT" w:cs="TimesNewRomanPSMT"/>
          <w:snapToGrid/>
          <w:szCs w:val="24"/>
        </w:rPr>
        <w:t>SHCs</w:t>
      </w:r>
      <w:r w:rsidR="000B2E68">
        <w:rPr>
          <w:rFonts w:ascii="TimesNewRomanPSMT" w:hAnsi="TimesNewRomanPSMT" w:cs="TimesNewRomanPSMT"/>
          <w:snapToGrid/>
          <w:szCs w:val="24"/>
        </w:rPr>
        <w:t xml:space="preserve"> and </w:t>
      </w:r>
      <w:r w:rsidR="001A7804">
        <w:rPr>
          <w:rFonts w:ascii="TimesNewRomanPSMT" w:hAnsi="TimesNewRomanPSMT" w:cs="TimesNewRomanPSMT"/>
          <w:snapToGrid/>
          <w:szCs w:val="24"/>
        </w:rPr>
        <w:t>BHCs</w:t>
      </w:r>
      <w:r w:rsidR="000B2E68">
        <w:rPr>
          <w:rFonts w:ascii="TimesNewRomanPSMT" w:hAnsi="TimesNewRomanPSMT" w:cs="TimesNewRomanPSMT"/>
          <w:snapToGrid/>
          <w:szCs w:val="24"/>
        </w:rPr>
        <w:t xml:space="preserve">). </w:t>
      </w:r>
      <w:r w:rsidR="00527E19">
        <w:rPr>
          <w:rFonts w:ascii="TimesNewRomanPSMT" w:hAnsi="TimesNewRomanPSMT" w:cs="TimesNewRomanPSMT"/>
          <w:snapToGrid/>
          <w:szCs w:val="24"/>
        </w:rPr>
        <w:t xml:space="preserve"> </w:t>
      </w:r>
      <w:r w:rsidR="000B2E68">
        <w:rPr>
          <w:rFonts w:ascii="TimesNewRomanPSMT" w:hAnsi="TimesNewRomanPSMT" w:cs="TimesNewRomanPSMT"/>
          <w:snapToGrid/>
          <w:szCs w:val="24"/>
        </w:rPr>
        <w:t>The primary</w:t>
      </w:r>
      <w:r>
        <w:rPr>
          <w:rFonts w:ascii="TimesNewRomanPSMT" w:hAnsi="TimesNewRomanPSMT" w:cs="TimesNewRomanPSMT"/>
          <w:snapToGrid/>
          <w:szCs w:val="24"/>
        </w:rPr>
        <w:t xml:space="preserve"> </w:t>
      </w:r>
      <w:r w:rsidR="000B2E68">
        <w:rPr>
          <w:rFonts w:ascii="TimesNewRomanPSMT" w:hAnsi="TimesNewRomanPSMT" w:cs="TimesNewRomanPSMT"/>
          <w:snapToGrid/>
          <w:szCs w:val="24"/>
        </w:rPr>
        <w:t xml:space="preserve">difference in regulatory frameworks </w:t>
      </w:r>
      <w:r w:rsidR="000B2E68">
        <w:rPr>
          <w:rFonts w:ascii="TimesNewRomanPSMT" w:hAnsi="TimesNewRomanPSMT" w:cs="TimesNewRomanPSMT"/>
          <w:snapToGrid/>
          <w:szCs w:val="24"/>
        </w:rPr>
        <w:lastRenderedPageBreak/>
        <w:t xml:space="preserve">between </w:t>
      </w:r>
      <w:r w:rsidR="001A7804">
        <w:rPr>
          <w:rFonts w:ascii="TimesNewRomanPSMT" w:hAnsi="TimesNewRomanPSMT" w:cs="TimesNewRomanPSMT"/>
          <w:snapToGrid/>
          <w:szCs w:val="24"/>
        </w:rPr>
        <w:t>SHCs</w:t>
      </w:r>
      <w:r w:rsidR="000B2E68">
        <w:rPr>
          <w:rFonts w:ascii="TimesNewRomanPSMT" w:hAnsi="TimesNewRomanPSMT" w:cs="TimesNewRomanPSMT"/>
          <w:snapToGrid/>
          <w:szCs w:val="24"/>
        </w:rPr>
        <w:t xml:space="preserve"> and </w:t>
      </w:r>
      <w:r w:rsidR="001A7804">
        <w:rPr>
          <w:rFonts w:ascii="TimesNewRomanPSMT" w:hAnsi="TimesNewRomanPSMT" w:cs="TimesNewRomanPSMT"/>
          <w:snapToGrid/>
          <w:szCs w:val="24"/>
        </w:rPr>
        <w:t>BHCs</w:t>
      </w:r>
      <w:r w:rsidR="000B2E68">
        <w:rPr>
          <w:rFonts w:ascii="TimesNewRomanPSMT" w:hAnsi="TimesNewRomanPSMT" w:cs="TimesNewRomanPSMT"/>
          <w:snapToGrid/>
          <w:szCs w:val="24"/>
        </w:rPr>
        <w:t xml:space="preserve"> is that the restrictions on nonbanking activities that apply to </w:t>
      </w:r>
      <w:r w:rsidR="001A7804">
        <w:rPr>
          <w:rFonts w:ascii="TimesNewRomanPSMT" w:hAnsi="TimesNewRomanPSMT" w:cs="TimesNewRomanPSMT"/>
          <w:snapToGrid/>
          <w:szCs w:val="24"/>
        </w:rPr>
        <w:t>BHCs</w:t>
      </w:r>
      <w:r w:rsidR="000B2E68">
        <w:rPr>
          <w:rFonts w:ascii="TimesNewRomanPSMT" w:hAnsi="TimesNewRomanPSMT" w:cs="TimesNewRomanPSMT"/>
          <w:snapToGrid/>
          <w:szCs w:val="24"/>
        </w:rPr>
        <w:t xml:space="preserve"> do not apply to </w:t>
      </w:r>
      <w:r w:rsidR="001A7804">
        <w:rPr>
          <w:rFonts w:ascii="TimesNewRomanPSMT" w:hAnsi="TimesNewRomanPSMT" w:cs="TimesNewRomanPSMT"/>
          <w:snapToGrid/>
          <w:szCs w:val="24"/>
        </w:rPr>
        <w:t>SHCs</w:t>
      </w:r>
      <w:r w:rsidR="000B2E68">
        <w:rPr>
          <w:rFonts w:ascii="TimesNewRomanPSMT" w:hAnsi="TimesNewRomanPSMT" w:cs="TimesNewRomanPSMT"/>
          <w:snapToGrid/>
          <w:szCs w:val="24"/>
        </w:rPr>
        <w:t>.</w:t>
      </w:r>
    </w:p>
    <w:p w:rsidR="00454FA2" w:rsidRDefault="00454FA2" w:rsidP="00454FA2">
      <w:pPr>
        <w:autoSpaceDE w:val="0"/>
        <w:autoSpaceDN w:val="0"/>
        <w:adjustRightInd w:val="0"/>
        <w:rPr>
          <w:rFonts w:ascii="TimesNewRomanPSMT" w:hAnsi="TimesNewRomanPSMT" w:cs="TimesNewRomanPSMT"/>
          <w:snapToGrid/>
          <w:szCs w:val="24"/>
        </w:rPr>
      </w:pPr>
    </w:p>
    <w:p w:rsidR="00BA56C2" w:rsidRDefault="000B2E68" w:rsidP="00454FA2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napToGrid/>
          <w:szCs w:val="24"/>
        </w:rPr>
      </w:pPr>
      <w:r>
        <w:rPr>
          <w:rFonts w:ascii="TimesNewRomanPSMT" w:hAnsi="TimesNewRomanPSMT" w:cs="TimesNewRomanPSMT"/>
          <w:snapToGrid/>
          <w:szCs w:val="24"/>
        </w:rPr>
        <w:t xml:space="preserve">Under section 618 of the Act, a </w:t>
      </w:r>
      <w:r w:rsidR="0054089D">
        <w:rPr>
          <w:rFonts w:ascii="TimesNewRomanPSMT" w:hAnsi="TimesNewRomanPSMT" w:cs="TimesNewRomanPSMT"/>
          <w:snapToGrid/>
          <w:szCs w:val="24"/>
        </w:rPr>
        <w:t>SHC</w:t>
      </w:r>
      <w:r>
        <w:rPr>
          <w:rFonts w:ascii="TimesNewRomanPSMT" w:hAnsi="TimesNewRomanPSMT" w:cs="TimesNewRomanPSMT"/>
          <w:snapToGrid/>
          <w:szCs w:val="24"/>
        </w:rPr>
        <w:t xml:space="preserve"> that elects to be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subject to supervision by the Board must submit a registration form that includes all such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information and documents the Board, by regulation, deems necessary or appropriate.</w:t>
      </w:r>
      <w:r w:rsidR="0054089D">
        <w:rPr>
          <w:rFonts w:ascii="TimesNewRomanPSMT" w:hAnsi="TimesNewRomanPSMT" w:cs="TimesNewRomanPSMT"/>
          <w:snapToGrid/>
          <w:szCs w:val="24"/>
        </w:rPr>
        <w:t xml:space="preserve">  </w:t>
      </w:r>
      <w:r>
        <w:rPr>
          <w:rFonts w:ascii="TimesNewRomanPSMT" w:hAnsi="TimesNewRomanPSMT" w:cs="TimesNewRomanPSMT"/>
          <w:snapToGrid/>
          <w:szCs w:val="24"/>
        </w:rPr>
        <w:t xml:space="preserve">The statute also specifies that registration as a supervised </w:t>
      </w:r>
      <w:r w:rsidR="0054089D">
        <w:rPr>
          <w:rFonts w:ascii="TimesNewRomanPSMT" w:hAnsi="TimesNewRomanPSMT" w:cs="TimesNewRomanPSMT"/>
          <w:snapToGrid/>
          <w:szCs w:val="24"/>
        </w:rPr>
        <w:t xml:space="preserve">SHC </w:t>
      </w:r>
      <w:r>
        <w:rPr>
          <w:rFonts w:ascii="TimesNewRomanPSMT" w:hAnsi="TimesNewRomanPSMT" w:cs="TimesNewRomanPSMT"/>
          <w:snapToGrid/>
          <w:szCs w:val="24"/>
        </w:rPr>
        <w:t>becomes effective 45 days after the date the Board receives all required information, or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within such shorter period as the Board, by rule or order, may determine.</w:t>
      </w:r>
    </w:p>
    <w:p w:rsidR="000B2E68" w:rsidRDefault="000B2E68" w:rsidP="000B2E68">
      <w:pPr>
        <w:autoSpaceDE w:val="0"/>
        <w:autoSpaceDN w:val="0"/>
        <w:adjustRightInd w:val="0"/>
        <w:rPr>
          <w:rFonts w:ascii="TimesNewRomanPSMT" w:hAnsi="TimesNewRomanPSMT" w:cs="TimesNewRomanPSMT"/>
          <w:snapToGrid/>
          <w:szCs w:val="24"/>
        </w:rPr>
      </w:pPr>
    </w:p>
    <w:p w:rsidR="000B2E68" w:rsidRPr="0054089D" w:rsidRDefault="000B2E68" w:rsidP="0054089D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napToGrid/>
          <w:szCs w:val="24"/>
        </w:rPr>
      </w:pPr>
      <w:r>
        <w:rPr>
          <w:rFonts w:ascii="TimesNewRomanPSMT" w:hAnsi="TimesNewRomanPSMT" w:cs="TimesNewRomanPSMT"/>
          <w:snapToGrid/>
          <w:szCs w:val="24"/>
        </w:rPr>
        <w:t xml:space="preserve">Section 618 makes a registered </w:t>
      </w:r>
      <w:r w:rsidR="0054089D">
        <w:rPr>
          <w:rFonts w:ascii="TimesNewRomanPSMT" w:hAnsi="TimesNewRomanPSMT" w:cs="TimesNewRomanPSMT"/>
          <w:snapToGrid/>
          <w:szCs w:val="24"/>
        </w:rPr>
        <w:t>SHC</w:t>
      </w:r>
      <w:r>
        <w:rPr>
          <w:rFonts w:ascii="TimesNewRomanPSMT" w:hAnsi="TimesNewRomanPSMT" w:cs="TimesNewRomanPSMT"/>
          <w:snapToGrid/>
          <w:szCs w:val="24"/>
        </w:rPr>
        <w:t xml:space="preserve"> subject to all of the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provisions of the Bank Holding Company Act of 1956 (12 U.S.C. 1841 et seq</w:t>
      </w:r>
      <w:r>
        <w:rPr>
          <w:snapToGrid/>
          <w:szCs w:val="24"/>
        </w:rPr>
        <w:t>.) (“BHC</w:t>
      </w:r>
      <w:r w:rsidR="0054089D">
        <w:rPr>
          <w:snapToGrid/>
          <w:szCs w:val="24"/>
        </w:rPr>
        <w:t xml:space="preserve"> </w:t>
      </w:r>
      <w:r>
        <w:rPr>
          <w:snapToGrid/>
          <w:szCs w:val="24"/>
        </w:rPr>
        <w:t>Act”) in the same manner as a bank holding company</w:t>
      </w:r>
      <w:r>
        <w:rPr>
          <w:rFonts w:ascii="TimesNewRomanPSMT" w:hAnsi="TimesNewRomanPSMT" w:cs="TimesNewRomanPSMT"/>
          <w:snapToGrid/>
          <w:szCs w:val="24"/>
        </w:rPr>
        <w:t>, other than the restrictions on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nonbanking activities contained in section 4 of the BHC Act.</w:t>
      </w:r>
      <w:r>
        <w:rPr>
          <w:rFonts w:ascii="TimesNewRomanPSMT" w:hAnsi="TimesNewRomanPSMT" w:cs="TimesNewRomanPSMT"/>
          <w:snapToGrid/>
          <w:sz w:val="16"/>
          <w:szCs w:val="16"/>
        </w:rPr>
        <w:t xml:space="preserve"> </w:t>
      </w:r>
      <w:r w:rsidR="007B59C5">
        <w:rPr>
          <w:rFonts w:ascii="TimesNewRomanPSMT" w:hAnsi="TimesNewRomanPSMT" w:cs="TimesNewRomanPSMT"/>
          <w:snapToGrid/>
          <w:sz w:val="16"/>
          <w:szCs w:val="16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Consistent with the Dodd-Frank Act, the Board anticipates applying the same supervisory program, including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examination procedures, reporting requirements, supervisory guidance, and capital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 xml:space="preserve">standards, to supervised </w:t>
      </w:r>
      <w:r w:rsidR="001A7804">
        <w:rPr>
          <w:rFonts w:ascii="TimesNewRomanPSMT" w:hAnsi="TimesNewRomanPSMT" w:cs="TimesNewRomanPSMT"/>
          <w:snapToGrid/>
          <w:szCs w:val="24"/>
        </w:rPr>
        <w:t>SHCs</w:t>
      </w:r>
      <w:r>
        <w:rPr>
          <w:rFonts w:ascii="TimesNewRomanPSMT" w:hAnsi="TimesNewRomanPSMT" w:cs="TimesNewRomanPSMT"/>
          <w:snapToGrid/>
          <w:szCs w:val="24"/>
        </w:rPr>
        <w:t xml:space="preserve"> that the Board currently applies to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 w:rsidR="001A7804">
        <w:rPr>
          <w:rFonts w:ascii="TimesNewRomanPSMT" w:hAnsi="TimesNewRomanPSMT" w:cs="TimesNewRomanPSMT"/>
          <w:snapToGrid/>
          <w:szCs w:val="24"/>
        </w:rPr>
        <w:t>BHCs</w:t>
      </w:r>
      <w:r>
        <w:rPr>
          <w:rFonts w:ascii="TimesNewRomanPSMT" w:hAnsi="TimesNewRomanPSMT" w:cs="TimesNewRomanPSMT"/>
          <w:snapToGrid/>
          <w:szCs w:val="24"/>
        </w:rPr>
        <w:t xml:space="preserve">. </w:t>
      </w:r>
      <w:r w:rsidR="00527E19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However, the Board may, based on experience gained during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 xml:space="preserve">the supervision of supervised </w:t>
      </w:r>
      <w:r w:rsidR="001A7804">
        <w:rPr>
          <w:rFonts w:ascii="TimesNewRomanPSMT" w:hAnsi="TimesNewRomanPSMT" w:cs="TimesNewRomanPSMT"/>
          <w:snapToGrid/>
          <w:szCs w:val="24"/>
        </w:rPr>
        <w:t>SHCs</w:t>
      </w:r>
      <w:r>
        <w:rPr>
          <w:rFonts w:ascii="TimesNewRomanPSMT" w:hAnsi="TimesNewRomanPSMT" w:cs="TimesNewRomanPSMT"/>
          <w:snapToGrid/>
          <w:szCs w:val="24"/>
        </w:rPr>
        <w:t>, modify these requirements as</w:t>
      </w:r>
      <w:r w:rsidR="0054089D">
        <w:rPr>
          <w:rFonts w:ascii="TimesNewRomanPSMT" w:hAnsi="TimesNewRomanPSMT" w:cs="TimesNewRomanPSMT"/>
          <w:snapToGrid/>
          <w:szCs w:val="24"/>
        </w:rPr>
        <w:t xml:space="preserve"> </w:t>
      </w:r>
      <w:r>
        <w:rPr>
          <w:rFonts w:ascii="TimesNewRomanPSMT" w:hAnsi="TimesNewRomanPSMT" w:cs="TimesNewRomanPSMT"/>
          <w:snapToGrid/>
          <w:szCs w:val="24"/>
        </w:rPr>
        <w:t>appropriate and consistent with section 618.</w:t>
      </w:r>
    </w:p>
    <w:p w:rsidR="000B2E68" w:rsidRDefault="000B2E68" w:rsidP="007506C8">
      <w:pPr>
        <w:rPr>
          <w:b/>
          <w:bCs/>
          <w:color w:val="000000"/>
          <w:szCs w:val="24"/>
        </w:rPr>
      </w:pPr>
      <w:bookmarkStart w:id="1" w:name="_DV_M127"/>
      <w:bookmarkEnd w:id="1"/>
    </w:p>
    <w:p w:rsidR="0097783F" w:rsidRDefault="0097783F" w:rsidP="007506C8">
      <w:pPr>
        <w:rPr>
          <w:b/>
          <w:bCs/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>Description of Information Collection</w:t>
      </w:r>
    </w:p>
    <w:p w:rsidR="00375076" w:rsidRDefault="00375076" w:rsidP="007506C8">
      <w:pPr>
        <w:rPr>
          <w:b/>
          <w:bCs/>
          <w:color w:val="000000"/>
          <w:szCs w:val="24"/>
        </w:rPr>
      </w:pPr>
    </w:p>
    <w:p w:rsidR="00375076" w:rsidRDefault="00375076" w:rsidP="00454FA2">
      <w:pPr>
        <w:autoSpaceDE w:val="0"/>
        <w:autoSpaceDN w:val="0"/>
        <w:adjustRightInd w:val="0"/>
        <w:ind w:firstLine="720"/>
      </w:pPr>
      <w:r w:rsidRPr="00454FA2">
        <w:rPr>
          <w:b/>
        </w:rPr>
        <w:t>Section 241.3(a</w:t>
      </w:r>
      <w:proofErr w:type="gramStart"/>
      <w:r w:rsidRPr="00454FA2">
        <w:rPr>
          <w:b/>
        </w:rPr>
        <w:t>)(</w:t>
      </w:r>
      <w:proofErr w:type="gramEnd"/>
      <w:r w:rsidRPr="00454FA2">
        <w:rPr>
          <w:b/>
        </w:rPr>
        <w:t>1)</w:t>
      </w:r>
      <w:r>
        <w:t xml:space="preserve"> requires </w:t>
      </w:r>
      <w:r w:rsidR="001A7804">
        <w:t>SHCs</w:t>
      </w:r>
      <w:r w:rsidRPr="00C91727">
        <w:t xml:space="preserve"> that elect to register</w:t>
      </w:r>
      <w:r>
        <w:t xml:space="preserve"> </w:t>
      </w:r>
      <w:r w:rsidRPr="00C91727">
        <w:t xml:space="preserve">to become supervised </w:t>
      </w:r>
      <w:r w:rsidR="001A7804">
        <w:t>SHCs</w:t>
      </w:r>
      <w:r w:rsidRPr="00C91727">
        <w:t xml:space="preserve"> to file a registration form</w:t>
      </w:r>
      <w:r>
        <w:t xml:space="preserve"> </w:t>
      </w:r>
      <w:r w:rsidRPr="00C91727">
        <w:t xml:space="preserve">with the responsible </w:t>
      </w:r>
      <w:r>
        <w:t xml:space="preserve">Federal </w:t>
      </w:r>
      <w:r w:rsidRPr="00C91727">
        <w:t>Reserve Bank.</w:t>
      </w:r>
      <w:r>
        <w:t xml:space="preserve"> </w:t>
      </w:r>
      <w:r w:rsidRPr="00C91727">
        <w:t xml:space="preserve"> The</w:t>
      </w:r>
      <w:r>
        <w:t xml:space="preserve"> </w:t>
      </w:r>
      <w:r w:rsidRPr="00C91727">
        <w:t>registration form asks for information</w:t>
      </w:r>
      <w:r>
        <w:t xml:space="preserve"> </w:t>
      </w:r>
      <w:r w:rsidRPr="00C91727">
        <w:t xml:space="preserve">on: </w:t>
      </w:r>
      <w:r>
        <w:t xml:space="preserve"> </w:t>
      </w:r>
      <w:r w:rsidRPr="00C91727">
        <w:t>the organization chart (including all</w:t>
      </w:r>
      <w:r>
        <w:t xml:space="preserve"> </w:t>
      </w:r>
      <w:r w:rsidRPr="00C91727">
        <w:t>subsidiaries), shareholders, senior</w:t>
      </w:r>
      <w:r>
        <w:t xml:space="preserve"> </w:t>
      </w:r>
      <w:r w:rsidRPr="00C91727">
        <w:t>officers and directors, methods used to</w:t>
      </w:r>
      <w:r>
        <w:t xml:space="preserve"> </w:t>
      </w:r>
      <w:r w:rsidRPr="00C91727">
        <w:t>monitor and control its operations, and</w:t>
      </w:r>
      <w:r>
        <w:t xml:space="preserve"> </w:t>
      </w:r>
      <w:r w:rsidRPr="00C91727">
        <w:t>foreign bank subsidiaries and the bank</w:t>
      </w:r>
      <w:r>
        <w:t xml:space="preserve"> </w:t>
      </w:r>
      <w:r w:rsidRPr="00C91727">
        <w:t>regulatory system in which these foreign</w:t>
      </w:r>
      <w:r>
        <w:t xml:space="preserve"> </w:t>
      </w:r>
      <w:r w:rsidRPr="00C91727">
        <w:t xml:space="preserve">bank subsidiaries operate. </w:t>
      </w:r>
      <w:r>
        <w:t xml:space="preserve"> </w:t>
      </w:r>
    </w:p>
    <w:p w:rsidR="00375076" w:rsidRDefault="00375076" w:rsidP="00375076">
      <w:pPr>
        <w:autoSpaceDE w:val="0"/>
        <w:autoSpaceDN w:val="0"/>
        <w:adjustRightInd w:val="0"/>
        <w:ind w:firstLine="360"/>
      </w:pPr>
    </w:p>
    <w:p w:rsidR="00375076" w:rsidRDefault="00375076" w:rsidP="00454FA2">
      <w:pPr>
        <w:autoSpaceDE w:val="0"/>
        <w:autoSpaceDN w:val="0"/>
        <w:adjustRightInd w:val="0"/>
        <w:ind w:firstLine="720"/>
      </w:pPr>
      <w:r w:rsidRPr="00454FA2">
        <w:rPr>
          <w:b/>
        </w:rPr>
        <w:t>Section 241.3(b</w:t>
      </w:r>
      <w:proofErr w:type="gramStart"/>
      <w:r w:rsidRPr="00454FA2">
        <w:rPr>
          <w:b/>
        </w:rPr>
        <w:t>)(</w:t>
      </w:r>
      <w:proofErr w:type="gramEnd"/>
      <w:r w:rsidRPr="00454FA2">
        <w:rPr>
          <w:b/>
        </w:rPr>
        <w:t>3)(</w:t>
      </w:r>
      <w:proofErr w:type="spellStart"/>
      <w:r w:rsidRPr="00454FA2">
        <w:rPr>
          <w:b/>
        </w:rPr>
        <w:t>i</w:t>
      </w:r>
      <w:proofErr w:type="spellEnd"/>
      <w:r w:rsidRPr="00454FA2">
        <w:rPr>
          <w:b/>
        </w:rPr>
        <w:t>)</w:t>
      </w:r>
      <w:r w:rsidRPr="00C91727">
        <w:t xml:space="preserve"> requires supervised</w:t>
      </w:r>
      <w:r>
        <w:t xml:space="preserve"> </w:t>
      </w:r>
      <w:r w:rsidR="001A7804">
        <w:t>SHCs</w:t>
      </w:r>
      <w:r w:rsidRPr="0085692F">
        <w:t xml:space="preserve"> to be</w:t>
      </w:r>
      <w:r>
        <w:t xml:space="preserve"> </w:t>
      </w:r>
      <w:r w:rsidRPr="0085692F">
        <w:t>subject to supervision and regulation by</w:t>
      </w:r>
      <w:r>
        <w:t xml:space="preserve"> </w:t>
      </w:r>
      <w:r w:rsidRPr="0085692F">
        <w:t xml:space="preserve">the </w:t>
      </w:r>
      <w:r>
        <w:t xml:space="preserve">Federal Reserve </w:t>
      </w:r>
      <w:r w:rsidRPr="0085692F">
        <w:t>Board as if such companies were</w:t>
      </w:r>
      <w:r>
        <w:t xml:space="preserve"> </w:t>
      </w:r>
      <w:r w:rsidR="001A7804">
        <w:t>BHCs</w:t>
      </w:r>
      <w:r w:rsidRPr="0085692F">
        <w:t xml:space="preserve">. </w:t>
      </w:r>
      <w:r>
        <w:t xml:space="preserve"> </w:t>
      </w:r>
      <w:r w:rsidRPr="0085692F">
        <w:t>Accordingly,</w:t>
      </w:r>
      <w:r>
        <w:t xml:space="preserve"> </w:t>
      </w:r>
      <w:r w:rsidRPr="0085692F">
        <w:t xml:space="preserve">the </w:t>
      </w:r>
      <w:r>
        <w:t xml:space="preserve">Federal Reserve </w:t>
      </w:r>
      <w:r w:rsidRPr="0085692F">
        <w:t>will require supervised</w:t>
      </w:r>
      <w:r>
        <w:t xml:space="preserve"> </w:t>
      </w:r>
      <w:r w:rsidR="001A7804">
        <w:t>SHCs</w:t>
      </w:r>
      <w:r w:rsidRPr="0085692F">
        <w:t xml:space="preserve"> to file the</w:t>
      </w:r>
      <w:r>
        <w:t xml:space="preserve"> </w:t>
      </w:r>
      <w:r w:rsidRPr="0085692F">
        <w:t xml:space="preserve">same reports as </w:t>
      </w:r>
      <w:r w:rsidR="001A7804">
        <w:t>BHCs</w:t>
      </w:r>
      <w:r>
        <w:t xml:space="preserve"> </w:t>
      </w:r>
      <w:r w:rsidRPr="0085692F">
        <w:t xml:space="preserve">as follows: </w:t>
      </w:r>
    </w:p>
    <w:p w:rsidR="00375076" w:rsidRDefault="00375076" w:rsidP="00375076">
      <w:pPr>
        <w:autoSpaceDE w:val="0"/>
        <w:autoSpaceDN w:val="0"/>
        <w:adjustRightInd w:val="0"/>
      </w:pPr>
    </w:p>
    <w:p w:rsidR="00375076" w:rsidRPr="00454FA2" w:rsidRDefault="00375076" w:rsidP="00454FA2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 xml:space="preserve">The Annual Report of 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Bank Holding Companies (FR Y-6) and The Report of Foreign Banking Organizations (FR Y-7; </w:t>
      </w:r>
      <w:r w:rsidR="00454FA2" w:rsidRPr="00454FA2">
        <w:rPr>
          <w:rFonts w:ascii="TimesNewRomanPSMT" w:hAnsi="TimesNewRomanPSMT" w:cs="TimesNewRomanPSMT"/>
          <w:snapToGrid/>
          <w:color w:val="000000"/>
          <w:szCs w:val="24"/>
        </w:rPr>
        <w:t>OMB No. 7100-0297)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>;</w:t>
      </w:r>
    </w:p>
    <w:p w:rsidR="00375076" w:rsidRPr="00454FA2" w:rsidRDefault="00375076" w:rsidP="00454FA2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The Consolidated Financial Statements for Bank Holding Companies (FR Y-9C),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 </w:t>
      </w:r>
      <w:r w:rsidRPr="00454FA2">
        <w:rPr>
          <w:rFonts w:ascii="TimesNewRomanPSMT" w:hAnsi="TimesNewRomanPSMT" w:cs="TimesNewRomanPSMT"/>
          <w:snapToGrid/>
          <w:color w:val="000000"/>
          <w:szCs w:val="24"/>
        </w:rPr>
        <w:t>The Parent Company Only Financial Statements for Large Bank Holding</w:t>
      </w:r>
    </w:p>
    <w:p w:rsidR="00375076" w:rsidRDefault="00375076" w:rsidP="00375076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Companies (F</w:t>
      </w:r>
      <w:r>
        <w:rPr>
          <w:rFonts w:ascii="TimesNewRomanPSMT" w:hAnsi="TimesNewRomanPSMT" w:cs="TimesNewRomanPSMT"/>
          <w:snapToGrid/>
          <w:color w:val="010202"/>
          <w:szCs w:val="24"/>
        </w:rPr>
        <w:t xml:space="preserve">R </w:t>
      </w:r>
      <w:r>
        <w:rPr>
          <w:rFonts w:ascii="TimesNewRomanPSMT" w:hAnsi="TimesNewRomanPSMT" w:cs="TimesNewRomanPSMT"/>
          <w:snapToGrid/>
          <w:color w:val="000000"/>
          <w:szCs w:val="24"/>
        </w:rPr>
        <w:t>Y-9LP),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snapToGrid/>
          <w:color w:val="000000"/>
          <w:szCs w:val="24"/>
        </w:rPr>
        <w:t>The Parent Company Only Financial Statements for Small Bank Holding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snapToGrid/>
          <w:color w:val="000000"/>
          <w:szCs w:val="24"/>
        </w:rPr>
        <w:t>Companies (F</w:t>
      </w:r>
      <w:r>
        <w:rPr>
          <w:rFonts w:ascii="TimesNewRomanPSMT" w:hAnsi="TimesNewRomanPSMT" w:cs="TimesNewRomanPSMT"/>
          <w:snapToGrid/>
          <w:color w:val="010202"/>
          <w:szCs w:val="24"/>
        </w:rPr>
        <w:t xml:space="preserve">R </w:t>
      </w:r>
      <w:r>
        <w:rPr>
          <w:rFonts w:ascii="TimesNewRomanPSMT" w:hAnsi="TimesNewRomanPSMT" w:cs="TimesNewRomanPSMT"/>
          <w:snapToGrid/>
          <w:color w:val="000000"/>
          <w:szCs w:val="24"/>
        </w:rPr>
        <w:t>Y-9SP),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snapToGrid/>
          <w:color w:val="000000"/>
          <w:szCs w:val="24"/>
        </w:rPr>
        <w:t>The Financial Statements for Employee Stock Ownership Plan Bank Holding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snapToGrid/>
          <w:color w:val="000000"/>
          <w:szCs w:val="24"/>
        </w:rPr>
        <w:t>Companies (FR Y-9ES),</w:t>
      </w:r>
    </w:p>
    <w:p w:rsidR="00375076" w:rsidRDefault="00375076" w:rsidP="0037507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The Supplement to the Consolidated Financial Statements for Bank Holding</w:t>
      </w:r>
    </w:p>
    <w:p w:rsidR="00454FA2" w:rsidRDefault="00454FA2" w:rsidP="00375076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Companies (FR Y-9CS) (OMB No. 7100-0128);</w:t>
      </w:r>
    </w:p>
    <w:p w:rsidR="00375076" w:rsidRPr="00454FA2" w:rsidRDefault="00375076" w:rsidP="00454F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napToGrid/>
          <w:color w:val="000000"/>
          <w:szCs w:val="24"/>
        </w:rPr>
      </w:pPr>
      <w:r w:rsidRPr="00454FA2">
        <w:rPr>
          <w:rFonts w:ascii="TimesNewRomanPSMT" w:hAnsi="TimesNewRomanPSMT" w:cs="TimesNewRomanPSMT"/>
          <w:snapToGrid/>
          <w:color w:val="000000"/>
          <w:szCs w:val="24"/>
        </w:rPr>
        <w:t>The Financial Statements of U.S. Nonbank Subsidiaries of U.S. Bank Holding</w:t>
      </w:r>
      <w:r w:rsidR="00454FA2" w:rsidRPr="00454FA2">
        <w:rPr>
          <w:rFonts w:ascii="TimesNewRomanPSMT" w:hAnsi="TimesNewRomanPSMT" w:cs="TimesNewRomanPSMT"/>
          <w:snapToGrid/>
          <w:color w:val="000000"/>
          <w:szCs w:val="24"/>
        </w:rPr>
        <w:t xml:space="preserve"> 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>Companies (FR Y-11 and FR Y-11S; OMB No. 7100-0244)</w:t>
      </w:r>
      <w:r w:rsidRPr="00454FA2">
        <w:rPr>
          <w:rFonts w:ascii="TimesNewRomanPSMT" w:hAnsi="TimesNewRomanPSMT" w:cs="TimesNewRomanPSMT"/>
          <w:snapToGrid/>
          <w:color w:val="000000"/>
          <w:szCs w:val="24"/>
        </w:rPr>
        <w:t>,</w:t>
      </w:r>
    </w:p>
    <w:p w:rsidR="00375076" w:rsidRDefault="00375076" w:rsidP="0037507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The Financial Statements of Foreign Subsidiaries of U.S. Banking Organizations</w:t>
      </w:r>
    </w:p>
    <w:p w:rsidR="00375076" w:rsidRDefault="00375076" w:rsidP="00375076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lastRenderedPageBreak/>
        <w:t>(F</w:t>
      </w:r>
      <w:r>
        <w:rPr>
          <w:rFonts w:ascii="TimesNewRomanPSMT" w:hAnsi="TimesNewRomanPSMT" w:cs="TimesNewRomanPSMT"/>
          <w:snapToGrid/>
          <w:color w:val="010202"/>
          <w:szCs w:val="24"/>
        </w:rPr>
        <w:t xml:space="preserve">R </w:t>
      </w:r>
      <w:r>
        <w:rPr>
          <w:rFonts w:ascii="TimesNewRomanPSMT" w:hAnsi="TimesNewRomanPSMT" w:cs="TimesNewRomanPSMT"/>
          <w:snapToGrid/>
          <w:color w:val="000000"/>
          <w:szCs w:val="24"/>
        </w:rPr>
        <w:t>2314 and FR 2314S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>; OMB No. 7100-0073</w:t>
      </w:r>
      <w:r>
        <w:rPr>
          <w:rFonts w:ascii="TimesNewRomanPSMT" w:hAnsi="TimesNewRomanPSMT" w:cs="TimesNewRomanPSMT"/>
          <w:snapToGrid/>
          <w:color w:val="000000"/>
          <w:szCs w:val="24"/>
        </w:rPr>
        <w:t>),</w:t>
      </w:r>
    </w:p>
    <w:p w:rsidR="00375076" w:rsidRDefault="00375076" w:rsidP="00375076">
      <w:pPr>
        <w:numPr>
          <w:ilvl w:val="0"/>
          <w:numId w:val="1"/>
        </w:numPr>
        <w:autoSpaceDE w:val="0"/>
        <w:autoSpaceDN w:val="0"/>
        <w:adjustRightInd w:val="0"/>
        <w:rPr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The Bank H</w:t>
      </w:r>
      <w:r>
        <w:rPr>
          <w:snapToGrid/>
          <w:color w:val="000000"/>
          <w:szCs w:val="24"/>
        </w:rPr>
        <w:t>olding Company Report of Insured Depository Institutions’ Section</w:t>
      </w:r>
    </w:p>
    <w:p w:rsidR="00375076" w:rsidRDefault="00375076" w:rsidP="00375076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23A Transactions with Affiliates (FR Y-8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>; OMB No. 7100-0126</w:t>
      </w:r>
      <w:r>
        <w:rPr>
          <w:rFonts w:ascii="TimesNewRomanPSMT" w:hAnsi="TimesNewRomanPSMT" w:cs="TimesNewRomanPSMT"/>
          <w:snapToGrid/>
          <w:color w:val="000000"/>
          <w:szCs w:val="24"/>
        </w:rPr>
        <w:t>),</w:t>
      </w:r>
    </w:p>
    <w:p w:rsidR="00375076" w:rsidRDefault="00375076" w:rsidP="00375076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The Consolidated Bank Holding Company Report of Equity Investments in</w:t>
      </w:r>
    </w:p>
    <w:p w:rsidR="00375076" w:rsidRPr="00454FA2" w:rsidRDefault="00375076" w:rsidP="00454FA2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Nonfinancial Companies (FR Y-12)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 and </w:t>
      </w:r>
      <w:r w:rsidRPr="00454FA2">
        <w:rPr>
          <w:rFonts w:ascii="TimesNewRomanPSMT" w:hAnsi="TimesNewRomanPSMT" w:cs="TimesNewRomanPSMT"/>
          <w:snapToGrid/>
          <w:color w:val="000000"/>
          <w:szCs w:val="24"/>
        </w:rPr>
        <w:t>The Annual Report of Merchant Banking Investments Held for an Extended Period (FR Y-12A)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 (OMB No. 7100-0300)</w:t>
      </w:r>
      <w:r w:rsidRPr="00454FA2">
        <w:rPr>
          <w:rFonts w:ascii="TimesNewRomanPSMT" w:hAnsi="TimesNewRomanPSMT" w:cs="TimesNewRomanPSMT"/>
          <w:snapToGrid/>
          <w:color w:val="000000"/>
          <w:szCs w:val="24"/>
        </w:rPr>
        <w:t xml:space="preserve">, 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>and</w:t>
      </w:r>
    </w:p>
    <w:p w:rsidR="00375076" w:rsidRPr="00454FA2" w:rsidRDefault="00375076" w:rsidP="00454FA2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snapToGrid/>
          <w:color w:val="000000"/>
          <w:szCs w:val="24"/>
        </w:rPr>
      </w:pPr>
      <w:r>
        <w:rPr>
          <w:rFonts w:ascii="TimesNewRomanPSMT" w:hAnsi="TimesNewRomanPSMT" w:cs="TimesNewRomanPSMT"/>
          <w:snapToGrid/>
          <w:color w:val="000000"/>
          <w:szCs w:val="24"/>
        </w:rPr>
        <w:t>The Capital and Asset Report of Foreign Banking Organizations (FR Y-7Q), and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 xml:space="preserve"> </w:t>
      </w:r>
      <w:r w:rsidRPr="00454FA2">
        <w:rPr>
          <w:rFonts w:ascii="TimesNewRomanPSMT" w:hAnsi="TimesNewRomanPSMT" w:cs="TimesNewRomanPSMT"/>
          <w:snapToGrid/>
          <w:color w:val="000000"/>
          <w:szCs w:val="24"/>
        </w:rPr>
        <w:t xml:space="preserve">The Financial Statements of U.S. Nonbank Subsidiaries Held by Foreign Banking </w:t>
      </w:r>
      <w:r w:rsidRPr="00454FA2">
        <w:rPr>
          <w:rFonts w:ascii="TimesNewRomanPSMT" w:hAnsi="TimesNewRomanPSMT" w:cs="TimesNewRomanPSMT"/>
        </w:rPr>
        <w:t>Organizations (FR Y-7N and FR Y-7NS)</w:t>
      </w:r>
      <w:r w:rsidR="00454FA2">
        <w:rPr>
          <w:rFonts w:ascii="TimesNewRomanPSMT" w:hAnsi="TimesNewRomanPSMT" w:cs="TimesNewRomanPSMT"/>
        </w:rPr>
        <w:t xml:space="preserve"> </w:t>
      </w:r>
      <w:r w:rsidR="00454FA2">
        <w:rPr>
          <w:rFonts w:ascii="TimesNewRomanPSMT" w:hAnsi="TimesNewRomanPSMT" w:cs="TimesNewRomanPSMT"/>
          <w:snapToGrid/>
          <w:color w:val="000000"/>
          <w:szCs w:val="24"/>
        </w:rPr>
        <w:t>(OMB No. 7100-0125).</w:t>
      </w:r>
    </w:p>
    <w:p w:rsidR="00375076" w:rsidRPr="006A08B6" w:rsidRDefault="00375076" w:rsidP="007506C8">
      <w:pPr>
        <w:rPr>
          <w:color w:val="000000"/>
          <w:szCs w:val="24"/>
        </w:rPr>
      </w:pPr>
    </w:p>
    <w:p w:rsidR="0097783F" w:rsidRPr="006A08B6" w:rsidRDefault="0097783F">
      <w:pPr>
        <w:jc w:val="both"/>
        <w:rPr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>Time Schedule for Information Collection</w:t>
      </w:r>
    </w:p>
    <w:p w:rsidR="00E56522" w:rsidRDefault="00E56522">
      <w:pPr>
        <w:autoSpaceDE w:val="0"/>
        <w:autoSpaceDN w:val="0"/>
        <w:adjustRightInd w:val="0"/>
      </w:pPr>
    </w:p>
    <w:p w:rsidR="001A7804" w:rsidRDefault="001A7804" w:rsidP="007B334A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napToGrid/>
          <w:szCs w:val="24"/>
        </w:rPr>
      </w:pPr>
      <w:r w:rsidRPr="00C55201">
        <w:t xml:space="preserve">This information collection is event-generated.  The FR </w:t>
      </w:r>
      <w:r w:rsidR="00CC5B67">
        <w:t>2082</w:t>
      </w:r>
      <w:r w:rsidRPr="00C55201">
        <w:t xml:space="preserve"> is used whenever a</w:t>
      </w:r>
      <w:r>
        <w:t>n</w:t>
      </w:r>
      <w:r w:rsidRPr="00C55201">
        <w:t xml:space="preserve"> </w:t>
      </w:r>
      <w:r>
        <w:t xml:space="preserve">SHC </w:t>
      </w:r>
      <w:r>
        <w:rPr>
          <w:rFonts w:ascii="TimesNewRomanPSMT" w:hAnsi="TimesNewRomanPSMT" w:cs="TimesNewRomanPSMT"/>
          <w:snapToGrid/>
          <w:szCs w:val="24"/>
        </w:rPr>
        <w:t>elects to be subject to supervision by the Board</w:t>
      </w:r>
      <w:r w:rsidR="007B334A">
        <w:rPr>
          <w:rFonts w:ascii="TimesNewRomanPSMT" w:hAnsi="TimesNewRomanPSMT" w:cs="TimesNewRomanPSMT"/>
          <w:snapToGrid/>
          <w:szCs w:val="24"/>
        </w:rPr>
        <w:t>.  The r</w:t>
      </w:r>
      <w:r>
        <w:rPr>
          <w:rFonts w:ascii="TimesNewRomanPSMT" w:hAnsi="TimesNewRomanPSMT" w:cs="TimesNewRomanPSMT"/>
          <w:snapToGrid/>
          <w:szCs w:val="24"/>
        </w:rPr>
        <w:t>egistration becomes effective 45 days after the date the Board receives all required information, or within such shorter period as the Board, by rule or order, may determine.</w:t>
      </w:r>
    </w:p>
    <w:p w:rsidR="00525B2A" w:rsidRPr="006A08B6" w:rsidRDefault="00525B2A" w:rsidP="00525B2A">
      <w:pPr>
        <w:pStyle w:val="BodyText"/>
      </w:pPr>
    </w:p>
    <w:p w:rsidR="00921519" w:rsidRPr="006A08B6" w:rsidRDefault="00921519" w:rsidP="00921519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>Sensitive Questions</w:t>
      </w:r>
    </w:p>
    <w:p w:rsidR="00921519" w:rsidRPr="006A08B6" w:rsidRDefault="00921519" w:rsidP="00921519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Cs w:val="24"/>
        </w:rPr>
      </w:pPr>
    </w:p>
    <w:p w:rsidR="00921519" w:rsidRPr="006A08B6" w:rsidRDefault="00921519" w:rsidP="00921519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Cs w:val="24"/>
        </w:rPr>
      </w:pPr>
      <w:r w:rsidRPr="006A08B6">
        <w:rPr>
          <w:color w:val="000000"/>
          <w:szCs w:val="24"/>
        </w:rPr>
        <w:tab/>
      </w:r>
      <w:r w:rsidRPr="006A08B6">
        <w:rPr>
          <w:color w:val="000000"/>
          <w:szCs w:val="24"/>
        </w:rPr>
        <w:tab/>
        <w:t>This collection of information contains no questions of a sensitive nature, as defined by OMB guidelines.</w:t>
      </w:r>
    </w:p>
    <w:p w:rsidR="00921519" w:rsidRPr="006A08B6" w:rsidRDefault="00921519" w:rsidP="00921519">
      <w:pPr>
        <w:jc w:val="both"/>
        <w:rPr>
          <w:color w:val="000000"/>
          <w:szCs w:val="24"/>
        </w:rPr>
      </w:pPr>
    </w:p>
    <w:p w:rsidR="00921519" w:rsidRPr="006A08B6" w:rsidRDefault="00921519" w:rsidP="00921519">
      <w:pPr>
        <w:jc w:val="both"/>
        <w:rPr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 xml:space="preserve">Consultation </w:t>
      </w:r>
      <w:proofErr w:type="gramStart"/>
      <w:r w:rsidRPr="006A08B6">
        <w:rPr>
          <w:b/>
          <w:bCs/>
          <w:color w:val="000000"/>
          <w:szCs w:val="24"/>
        </w:rPr>
        <w:t>Outside</w:t>
      </w:r>
      <w:proofErr w:type="gramEnd"/>
      <w:r w:rsidRPr="006A08B6">
        <w:rPr>
          <w:b/>
          <w:bCs/>
          <w:color w:val="000000"/>
          <w:szCs w:val="24"/>
        </w:rPr>
        <w:t xml:space="preserve"> the Agency </w:t>
      </w:r>
    </w:p>
    <w:p w:rsidR="00921519" w:rsidRPr="006A08B6" w:rsidRDefault="00921519" w:rsidP="00921519">
      <w:pPr>
        <w:jc w:val="both"/>
        <w:rPr>
          <w:color w:val="000000"/>
          <w:szCs w:val="24"/>
        </w:rPr>
      </w:pPr>
    </w:p>
    <w:p w:rsidR="00921519" w:rsidRPr="006A08B6" w:rsidRDefault="00921519" w:rsidP="00921519">
      <w:pPr>
        <w:rPr>
          <w:color w:val="000000"/>
          <w:szCs w:val="24"/>
        </w:rPr>
      </w:pPr>
      <w:r w:rsidRPr="006A08B6">
        <w:rPr>
          <w:color w:val="000000"/>
          <w:szCs w:val="24"/>
        </w:rPr>
        <w:tab/>
        <w:t xml:space="preserve">All of the Board's rulemaking activities are subject to the notice and comment requirements of the Administrative Procedure Act.  </w:t>
      </w:r>
      <w:r w:rsidR="00841B71" w:rsidRPr="006A08B6">
        <w:rPr>
          <w:color w:val="000000"/>
          <w:szCs w:val="24"/>
        </w:rPr>
        <w:t xml:space="preserve">On </w:t>
      </w:r>
      <w:r w:rsidR="00525B2A">
        <w:rPr>
          <w:color w:val="000000"/>
          <w:szCs w:val="24"/>
        </w:rPr>
        <w:t>September 2, 2011</w:t>
      </w:r>
      <w:r w:rsidR="00841B71" w:rsidRPr="006A08B6">
        <w:rPr>
          <w:color w:val="000000"/>
          <w:szCs w:val="24"/>
        </w:rPr>
        <w:t>,</w:t>
      </w:r>
      <w:r w:rsidR="00841B71">
        <w:rPr>
          <w:color w:val="000000"/>
          <w:szCs w:val="24"/>
        </w:rPr>
        <w:t xml:space="preserve"> the </w:t>
      </w:r>
      <w:r w:rsidR="00525B2A">
        <w:rPr>
          <w:color w:val="000000"/>
          <w:szCs w:val="24"/>
        </w:rPr>
        <w:t xml:space="preserve">Federal Reserve </w:t>
      </w:r>
      <w:r w:rsidR="00841B71" w:rsidRPr="006A08B6">
        <w:rPr>
          <w:color w:val="000000"/>
          <w:szCs w:val="24"/>
        </w:rPr>
        <w:t xml:space="preserve">published </w:t>
      </w:r>
      <w:r w:rsidR="00841B71" w:rsidRPr="006A08B6">
        <w:rPr>
          <w:szCs w:val="24"/>
        </w:rPr>
        <w:t>a</w:t>
      </w:r>
      <w:r w:rsidR="00054307">
        <w:rPr>
          <w:szCs w:val="24"/>
        </w:rPr>
        <w:t xml:space="preserve"> </w:t>
      </w:r>
      <w:r w:rsidR="00525B2A">
        <w:rPr>
          <w:szCs w:val="24"/>
        </w:rPr>
        <w:t>notice of proposed rulemaking</w:t>
      </w:r>
      <w:r w:rsidR="00841B71" w:rsidRPr="006A08B6">
        <w:rPr>
          <w:szCs w:val="24"/>
        </w:rPr>
        <w:t xml:space="preserve"> in the </w:t>
      </w:r>
      <w:r w:rsidR="00841B71" w:rsidRPr="006A08B6">
        <w:rPr>
          <w:i/>
          <w:szCs w:val="24"/>
        </w:rPr>
        <w:t>Federal Register</w:t>
      </w:r>
      <w:r w:rsidR="00841B71">
        <w:rPr>
          <w:szCs w:val="24"/>
        </w:rPr>
        <w:t xml:space="preserve"> to seek</w:t>
      </w:r>
      <w:r w:rsidR="00841B71" w:rsidRPr="006A08B6">
        <w:rPr>
          <w:szCs w:val="24"/>
        </w:rPr>
        <w:t xml:space="preserve"> public comment</w:t>
      </w:r>
      <w:r w:rsidR="00210301">
        <w:rPr>
          <w:szCs w:val="24"/>
        </w:rPr>
        <w:t xml:space="preserve"> (76 FR 54717)</w:t>
      </w:r>
      <w:r w:rsidR="00841B71" w:rsidRPr="006A08B6">
        <w:rPr>
          <w:color w:val="000000"/>
          <w:szCs w:val="24"/>
        </w:rPr>
        <w:t>.</w:t>
      </w:r>
      <w:r w:rsidR="00841B71">
        <w:rPr>
          <w:color w:val="000000"/>
          <w:szCs w:val="24"/>
        </w:rPr>
        <w:t xml:space="preserve">  </w:t>
      </w:r>
      <w:r w:rsidR="009F48AA">
        <w:rPr>
          <w:color w:val="000000"/>
          <w:szCs w:val="24"/>
        </w:rPr>
        <w:t xml:space="preserve">The </w:t>
      </w:r>
      <w:r w:rsidR="00525B2A">
        <w:rPr>
          <w:color w:val="000000"/>
          <w:szCs w:val="24"/>
        </w:rPr>
        <w:t xml:space="preserve">Federal Reserve </w:t>
      </w:r>
      <w:r w:rsidR="009F48AA">
        <w:rPr>
          <w:color w:val="000000"/>
          <w:szCs w:val="24"/>
        </w:rPr>
        <w:t xml:space="preserve">received </w:t>
      </w:r>
      <w:r w:rsidR="00525B2A">
        <w:rPr>
          <w:color w:val="000000"/>
          <w:szCs w:val="24"/>
        </w:rPr>
        <w:t>three</w:t>
      </w:r>
      <w:r w:rsidR="0023261F">
        <w:rPr>
          <w:color w:val="000000"/>
          <w:szCs w:val="24"/>
        </w:rPr>
        <w:t xml:space="preserve"> </w:t>
      </w:r>
      <w:r w:rsidR="009F48AA">
        <w:rPr>
          <w:color w:val="000000"/>
          <w:szCs w:val="24"/>
        </w:rPr>
        <w:t>comments</w:t>
      </w:r>
      <w:r w:rsidR="00525B2A">
        <w:rPr>
          <w:color w:val="000000"/>
          <w:szCs w:val="24"/>
        </w:rPr>
        <w:t xml:space="preserve">, </w:t>
      </w:r>
      <w:r w:rsidR="00525B2A">
        <w:rPr>
          <w:rFonts w:ascii="TimesNewRomanPSMT" w:hAnsi="TimesNewRomanPSMT" w:cs="TimesNewRomanPSMT"/>
          <w:snapToGrid/>
          <w:szCs w:val="24"/>
        </w:rPr>
        <w:t xml:space="preserve">none of which addressed </w:t>
      </w:r>
      <w:r w:rsidR="00434946">
        <w:rPr>
          <w:rFonts w:ascii="TimesNewRomanPSMT" w:hAnsi="TimesNewRomanPSMT" w:cs="TimesNewRomanPSMT"/>
          <w:snapToGrid/>
          <w:szCs w:val="24"/>
        </w:rPr>
        <w:t>PRA</w:t>
      </w:r>
      <w:r w:rsidR="009F48AA">
        <w:rPr>
          <w:color w:val="000000"/>
          <w:szCs w:val="24"/>
        </w:rPr>
        <w:t xml:space="preserve">.  </w:t>
      </w:r>
      <w:r w:rsidR="00525B2A">
        <w:rPr>
          <w:color w:val="000000"/>
          <w:szCs w:val="24"/>
        </w:rPr>
        <w:t xml:space="preserve">On June 4, 2012, the Federal Reserve published </w:t>
      </w:r>
      <w:r w:rsidR="004F51C3">
        <w:rPr>
          <w:color w:val="000000"/>
          <w:szCs w:val="24"/>
        </w:rPr>
        <w:t xml:space="preserve">a final rulemaking </w:t>
      </w:r>
      <w:r w:rsidR="004F51C3" w:rsidRPr="00EB4241">
        <w:t xml:space="preserve">in the </w:t>
      </w:r>
      <w:r w:rsidR="004F51C3" w:rsidRPr="00EB4241">
        <w:rPr>
          <w:i/>
        </w:rPr>
        <w:t>Federal Register</w:t>
      </w:r>
      <w:r w:rsidR="004F51C3" w:rsidRPr="00EB4241">
        <w:t xml:space="preserve"> </w:t>
      </w:r>
      <w:r w:rsidR="004F51C3" w:rsidRPr="00B433AE">
        <w:t>(77 FR </w:t>
      </w:r>
      <w:r w:rsidR="004F51C3">
        <w:t>32881).</w:t>
      </w:r>
    </w:p>
    <w:p w:rsidR="00921519" w:rsidRPr="006A08B6" w:rsidRDefault="00921519">
      <w:pPr>
        <w:jc w:val="both"/>
        <w:rPr>
          <w:color w:val="000000"/>
          <w:szCs w:val="24"/>
        </w:rPr>
      </w:pPr>
    </w:p>
    <w:p w:rsidR="0097783F" w:rsidRPr="006A08B6" w:rsidRDefault="0097783F">
      <w:pPr>
        <w:jc w:val="both"/>
        <w:rPr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 xml:space="preserve">Legal Status </w:t>
      </w:r>
    </w:p>
    <w:p w:rsidR="0097783F" w:rsidRPr="006A08B6" w:rsidRDefault="0097783F">
      <w:pPr>
        <w:jc w:val="both"/>
        <w:rPr>
          <w:color w:val="000000"/>
          <w:szCs w:val="24"/>
        </w:rPr>
      </w:pPr>
    </w:p>
    <w:p w:rsidR="0097783F" w:rsidRPr="006A08B6" w:rsidRDefault="0097783F" w:rsidP="009A5F49">
      <w:pPr>
        <w:rPr>
          <w:color w:val="000000"/>
          <w:szCs w:val="24"/>
        </w:rPr>
      </w:pPr>
      <w:r w:rsidRPr="006A08B6">
        <w:rPr>
          <w:color w:val="000000"/>
          <w:szCs w:val="24"/>
        </w:rPr>
        <w:tab/>
      </w:r>
      <w:r w:rsidR="00081F55" w:rsidRPr="00D6407B">
        <w:t xml:space="preserve">The Board's Legal Division has determined that </w:t>
      </w:r>
      <w:r w:rsidR="009A5F49">
        <w:t xml:space="preserve">section 618 </w:t>
      </w:r>
      <w:r w:rsidR="009A5F49" w:rsidRPr="00D6407B">
        <w:t>of the Act</w:t>
      </w:r>
      <w:r w:rsidR="009A5F49">
        <w:t xml:space="preserve"> (</w:t>
      </w:r>
      <w:r w:rsidR="00081F55">
        <w:t>12</w:t>
      </w:r>
      <w:r w:rsidR="00081F55" w:rsidRPr="00D6407B">
        <w:t xml:space="preserve"> U.S.C. § </w:t>
      </w:r>
      <w:r w:rsidR="00081F55">
        <w:t>1850</w:t>
      </w:r>
      <w:r w:rsidR="00081F55" w:rsidRPr="00D6407B">
        <w:t>(a)</w:t>
      </w:r>
      <w:r w:rsidR="009A5F49">
        <w:t>)</w:t>
      </w:r>
      <w:r w:rsidR="00081F55" w:rsidRPr="00D6407B">
        <w:t xml:space="preserve"> authorizes the Board to require the information collect</w:t>
      </w:r>
      <w:r w:rsidR="00081F55">
        <w:t xml:space="preserve">ion </w:t>
      </w:r>
      <w:r w:rsidR="009A5F49">
        <w:t xml:space="preserve">as contained in the final rule and described above.  </w:t>
      </w:r>
      <w:r w:rsidR="004B7DD1">
        <w:t>Pursuant to section 241.3(a)(1), the information on the form is normally public, but a company may seek confidential treatment for any portion of the form the disclosure of which would cause substantial competitive harm pursuant to exemption 4 of the Freedom of Information Act (“FOIA”) (5 U.S.C. § 552(b)(4)).  A determination of confidentiality would be made on a case-by-case basis</w:t>
      </w:r>
      <w:r w:rsidRPr="006A08B6">
        <w:rPr>
          <w:color w:val="000000"/>
          <w:szCs w:val="24"/>
        </w:rPr>
        <w:t>.</w:t>
      </w:r>
      <w:r w:rsidR="00921519" w:rsidRPr="006A08B6">
        <w:rPr>
          <w:color w:val="000000"/>
          <w:szCs w:val="24"/>
        </w:rPr>
        <w:t xml:space="preserve">  </w:t>
      </w:r>
    </w:p>
    <w:p w:rsidR="003935D5" w:rsidRDefault="003935D5">
      <w:pPr>
        <w:jc w:val="both"/>
        <w:rPr>
          <w:b/>
          <w:bCs/>
          <w:color w:val="000000"/>
          <w:szCs w:val="24"/>
        </w:rPr>
      </w:pPr>
    </w:p>
    <w:p w:rsidR="0097783F" w:rsidRPr="006A08B6" w:rsidRDefault="0097783F">
      <w:pPr>
        <w:jc w:val="both"/>
        <w:rPr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>Estimate of Respondent Burden</w:t>
      </w:r>
    </w:p>
    <w:p w:rsidR="0097783F" w:rsidRPr="006A08B6" w:rsidRDefault="0097783F">
      <w:pPr>
        <w:jc w:val="both"/>
        <w:rPr>
          <w:color w:val="000000"/>
          <w:szCs w:val="24"/>
        </w:rPr>
      </w:pPr>
    </w:p>
    <w:p w:rsidR="009D503A" w:rsidRPr="008A3B4A" w:rsidRDefault="0097783F" w:rsidP="008A3B4A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snapToGrid/>
          <w:szCs w:val="24"/>
        </w:rPr>
      </w:pPr>
      <w:r w:rsidRPr="006A08B6">
        <w:rPr>
          <w:szCs w:val="24"/>
        </w:rPr>
        <w:t xml:space="preserve">The total annual burden for the </w:t>
      </w:r>
      <w:r w:rsidR="00E3309D">
        <w:rPr>
          <w:szCs w:val="24"/>
        </w:rPr>
        <w:t xml:space="preserve">FR </w:t>
      </w:r>
      <w:r w:rsidR="00CC5B67">
        <w:rPr>
          <w:szCs w:val="24"/>
        </w:rPr>
        <w:t>2082</w:t>
      </w:r>
      <w:r w:rsidRPr="006A08B6">
        <w:rPr>
          <w:szCs w:val="24"/>
        </w:rPr>
        <w:t xml:space="preserve"> is</w:t>
      </w:r>
      <w:r w:rsidR="00E3309D">
        <w:rPr>
          <w:szCs w:val="24"/>
        </w:rPr>
        <w:t xml:space="preserve"> estimated to be</w:t>
      </w:r>
      <w:r w:rsidRPr="006A08B6">
        <w:rPr>
          <w:szCs w:val="24"/>
        </w:rPr>
        <w:t xml:space="preserve"> </w:t>
      </w:r>
      <w:r w:rsidR="00890CC0">
        <w:rPr>
          <w:szCs w:val="24"/>
        </w:rPr>
        <w:t>40</w:t>
      </w:r>
      <w:r w:rsidRPr="006A08B6">
        <w:rPr>
          <w:szCs w:val="24"/>
        </w:rPr>
        <w:t xml:space="preserve"> hours, as shown in the table below</w:t>
      </w:r>
      <w:r w:rsidR="009A5F49">
        <w:rPr>
          <w:szCs w:val="24"/>
        </w:rPr>
        <w:t>.</w:t>
      </w:r>
      <w:r w:rsidR="00890CC0" w:rsidRPr="00890CC0">
        <w:rPr>
          <w:rFonts w:ascii="TimesNewRomanPSMT" w:hAnsi="TimesNewRomanPSMT" w:cs="TimesNewRomanPSMT"/>
          <w:snapToGrid/>
          <w:szCs w:val="24"/>
        </w:rPr>
        <w:t xml:space="preserve"> </w:t>
      </w:r>
      <w:r w:rsidR="009A5F49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 xml:space="preserve">The estimated burden per filing for the registration form in section </w:t>
      </w:r>
      <w:r w:rsidR="00890CC0">
        <w:rPr>
          <w:rFonts w:ascii="TimesNewRomanPSMT" w:hAnsi="TimesNewRomanPSMT" w:cs="TimesNewRomanPSMT"/>
          <w:snapToGrid/>
          <w:szCs w:val="24"/>
        </w:rPr>
        <w:lastRenderedPageBreak/>
        <w:t>241.3(a</w:t>
      </w:r>
      <w:proofErr w:type="gramStart"/>
      <w:r w:rsidR="00890CC0">
        <w:rPr>
          <w:rFonts w:ascii="TimesNewRomanPSMT" w:hAnsi="TimesNewRomanPSMT" w:cs="TimesNewRomanPSMT"/>
          <w:snapToGrid/>
          <w:szCs w:val="24"/>
        </w:rPr>
        <w:t>)(</w:t>
      </w:r>
      <w:proofErr w:type="gramEnd"/>
      <w:r w:rsidR="00890CC0">
        <w:rPr>
          <w:rFonts w:ascii="TimesNewRomanPSMT" w:hAnsi="TimesNewRomanPSMT" w:cs="TimesNewRomanPSMT"/>
          <w:snapToGrid/>
          <w:szCs w:val="24"/>
        </w:rPr>
        <w:t>1) is</w:t>
      </w:r>
      <w:r w:rsidR="00E3309D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>eight hours (one business day).</w:t>
      </w:r>
      <w:r w:rsidR="009A5F49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 xml:space="preserve"> The Federal Reserve estimates that approximately five </w:t>
      </w:r>
      <w:r w:rsidR="001A7804">
        <w:rPr>
          <w:rFonts w:ascii="TimesNewRomanPSMT" w:hAnsi="TimesNewRomanPSMT" w:cs="TimesNewRomanPSMT"/>
          <w:snapToGrid/>
          <w:szCs w:val="24"/>
        </w:rPr>
        <w:t>SHCs</w:t>
      </w:r>
      <w:r w:rsidR="00890CC0">
        <w:rPr>
          <w:rFonts w:ascii="TimesNewRomanPSMT" w:hAnsi="TimesNewRomanPSMT" w:cs="TimesNewRomanPSMT"/>
          <w:snapToGrid/>
          <w:szCs w:val="24"/>
        </w:rPr>
        <w:t xml:space="preserve"> would file a request to become a supervised </w:t>
      </w:r>
      <w:r w:rsidR="0054089D">
        <w:rPr>
          <w:rFonts w:ascii="TimesNewRomanPSMT" w:hAnsi="TimesNewRomanPSMT" w:cs="TimesNewRomanPSMT"/>
          <w:snapToGrid/>
          <w:szCs w:val="24"/>
        </w:rPr>
        <w:t>SHC</w:t>
      </w:r>
      <w:r w:rsidR="00890CC0">
        <w:rPr>
          <w:rFonts w:ascii="TimesNewRomanPSMT" w:hAnsi="TimesNewRomanPSMT" w:cs="TimesNewRomanPSMT"/>
          <w:snapToGrid/>
          <w:szCs w:val="24"/>
        </w:rPr>
        <w:t>.</w:t>
      </w:r>
      <w:r w:rsidR="009A5F49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 xml:space="preserve"> Effective upon registration, and except as otherwise provided by order of the Board, a supervised </w:t>
      </w:r>
      <w:r w:rsidR="0054089D">
        <w:rPr>
          <w:rFonts w:ascii="TimesNewRomanPSMT" w:hAnsi="TimesNewRomanPSMT" w:cs="TimesNewRomanPSMT"/>
          <w:snapToGrid/>
          <w:szCs w:val="24"/>
        </w:rPr>
        <w:t>SHC</w:t>
      </w:r>
      <w:r w:rsidR="00890CC0">
        <w:rPr>
          <w:rFonts w:ascii="TimesNewRomanPSMT" w:hAnsi="TimesNewRomanPSMT" w:cs="TimesNewRomanPSMT"/>
          <w:snapToGrid/>
          <w:szCs w:val="24"/>
        </w:rPr>
        <w:t xml:space="preserve"> shall file the existing bank holding</w:t>
      </w:r>
      <w:r w:rsidR="008A3B4A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>company reporting forms listed above on the calendar quarter-end under section</w:t>
      </w:r>
      <w:r w:rsidR="008A3B4A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>241.3(b)(3)(</w:t>
      </w:r>
      <w:proofErr w:type="spellStart"/>
      <w:r w:rsidR="00890CC0">
        <w:rPr>
          <w:rFonts w:ascii="TimesNewRomanPSMT" w:hAnsi="TimesNewRomanPSMT" w:cs="TimesNewRomanPSMT"/>
          <w:snapToGrid/>
          <w:szCs w:val="24"/>
        </w:rPr>
        <w:t>i</w:t>
      </w:r>
      <w:proofErr w:type="spellEnd"/>
      <w:r w:rsidR="00890CC0">
        <w:rPr>
          <w:rFonts w:ascii="TimesNewRomanPSMT" w:hAnsi="TimesNewRomanPSMT" w:cs="TimesNewRomanPSMT"/>
          <w:snapToGrid/>
          <w:szCs w:val="24"/>
        </w:rPr>
        <w:t>).</w:t>
      </w:r>
      <w:r w:rsidR="00527E19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 xml:space="preserve"> The hourly burden estimates associated with each of these reporting</w:t>
      </w:r>
      <w:r w:rsidR="008A3B4A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>forms is not expected to change materially as the information to be collected is</w:t>
      </w:r>
      <w:r w:rsidR="008A3B4A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>substantively similar to that which is currently being collected from bank holding</w:t>
      </w:r>
      <w:r w:rsidR="008A3B4A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>companies.</w:t>
      </w:r>
      <w:r w:rsidR="00527E19">
        <w:rPr>
          <w:rFonts w:ascii="TimesNewRomanPSMT" w:hAnsi="TimesNewRomanPSMT" w:cs="TimesNewRomanPSMT"/>
          <w:snapToGrid/>
          <w:szCs w:val="24"/>
        </w:rPr>
        <w:t xml:space="preserve"> </w:t>
      </w:r>
      <w:r w:rsidR="00890CC0">
        <w:rPr>
          <w:rFonts w:ascii="TimesNewRomanPSMT" w:hAnsi="TimesNewRomanPSMT" w:cs="TimesNewRomanPSMT"/>
          <w:snapToGrid/>
          <w:szCs w:val="24"/>
        </w:rPr>
        <w:t xml:space="preserve"> </w:t>
      </w:r>
      <w:r w:rsidR="00E3309D">
        <w:rPr>
          <w:szCs w:val="24"/>
        </w:rPr>
        <w:t xml:space="preserve">The FR </w:t>
      </w:r>
      <w:r w:rsidR="00CC5B67">
        <w:rPr>
          <w:szCs w:val="24"/>
        </w:rPr>
        <w:t>2082</w:t>
      </w:r>
      <w:r w:rsidRPr="006A08B6">
        <w:rPr>
          <w:szCs w:val="24"/>
        </w:rPr>
        <w:t xml:space="preserve"> represents </w:t>
      </w:r>
      <w:r w:rsidR="00436831">
        <w:rPr>
          <w:szCs w:val="24"/>
        </w:rPr>
        <w:t>less than 1</w:t>
      </w:r>
      <w:r w:rsidR="009D503A">
        <w:rPr>
          <w:szCs w:val="24"/>
        </w:rPr>
        <w:t xml:space="preserve"> </w:t>
      </w:r>
      <w:r w:rsidRPr="006A08B6">
        <w:rPr>
          <w:szCs w:val="24"/>
        </w:rPr>
        <w:t>percent of the total Federal Reserve System paperwork burden.</w:t>
      </w:r>
    </w:p>
    <w:p w:rsidR="00454FA2" w:rsidRDefault="00454FA2" w:rsidP="00890CC0">
      <w:pPr>
        <w:rPr>
          <w:szCs w:val="24"/>
        </w:rPr>
      </w:pPr>
    </w:p>
    <w:tbl>
      <w:tblPr>
        <w:tblW w:w="8640" w:type="dxa"/>
        <w:tblInd w:w="139" w:type="dxa"/>
        <w:tblLayout w:type="fixed"/>
        <w:tblCellMar>
          <w:left w:w="139" w:type="dxa"/>
          <w:right w:w="139" w:type="dxa"/>
        </w:tblCellMar>
        <w:tblLook w:val="0000"/>
      </w:tblPr>
      <w:tblGrid>
        <w:gridCol w:w="2610"/>
        <w:gridCol w:w="630"/>
        <w:gridCol w:w="1350"/>
        <w:gridCol w:w="90"/>
        <w:gridCol w:w="1260"/>
        <w:gridCol w:w="1440"/>
        <w:gridCol w:w="1260"/>
      </w:tblGrid>
      <w:tr w:rsidR="0097783F" w:rsidRPr="006A08B6" w:rsidTr="00434946">
        <w:trPr>
          <w:cantSplit/>
        </w:trPr>
        <w:tc>
          <w:tcPr>
            <w:tcW w:w="2610" w:type="dxa"/>
            <w:tcBorders>
              <w:top w:val="single" w:sz="6" w:space="0" w:color="000000"/>
            </w:tcBorders>
            <w:vAlign w:val="center"/>
          </w:tcPr>
          <w:p w:rsidR="0097783F" w:rsidRPr="006A08B6" w:rsidRDefault="0025023A" w:rsidP="00E75D49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</w:tabs>
              <w:spacing w:before="163" w:after="19"/>
              <w:rPr>
                <w:szCs w:val="24"/>
              </w:rPr>
            </w:pPr>
            <w:r>
              <w:rPr>
                <w:color w:val="000000"/>
                <w:szCs w:val="24"/>
              </w:rPr>
              <w:br w:type="page"/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</w:tcBorders>
            <w:vAlign w:val="center"/>
          </w:tcPr>
          <w:p w:rsidR="000B401A" w:rsidRPr="006A08B6" w:rsidRDefault="0097783F" w:rsidP="00434946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after="19"/>
              <w:jc w:val="center"/>
              <w:rPr>
                <w:i/>
                <w:iCs/>
                <w:color w:val="000000"/>
                <w:szCs w:val="24"/>
              </w:rPr>
            </w:pPr>
            <w:r w:rsidRPr="006A08B6">
              <w:rPr>
                <w:i/>
                <w:iCs/>
                <w:color w:val="000000"/>
                <w:szCs w:val="24"/>
              </w:rPr>
              <w:t>Number</w:t>
            </w:r>
          </w:p>
          <w:p w:rsidR="0097783F" w:rsidRPr="006A08B6" w:rsidRDefault="0097783F" w:rsidP="00434946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after="19"/>
              <w:jc w:val="center"/>
              <w:rPr>
                <w:szCs w:val="24"/>
              </w:rPr>
            </w:pPr>
            <w:r w:rsidRPr="006A08B6">
              <w:rPr>
                <w:i/>
                <w:iCs/>
                <w:color w:val="000000"/>
                <w:szCs w:val="24"/>
              </w:rPr>
              <w:t>of respondents</w:t>
            </w:r>
            <w:r w:rsidR="00434946">
              <w:rPr>
                <w:rStyle w:val="FootnoteReference"/>
                <w:i/>
                <w:iCs/>
                <w:color w:val="000000"/>
                <w:szCs w:val="24"/>
              </w:rPr>
              <w:footnoteReference w:id="4"/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</w:tcBorders>
            <w:vAlign w:val="bottom"/>
          </w:tcPr>
          <w:p w:rsidR="0097783F" w:rsidRPr="006A08B6" w:rsidRDefault="0097783F" w:rsidP="000B401A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szCs w:val="24"/>
              </w:rPr>
            </w:pPr>
            <w:r w:rsidRPr="006A08B6">
              <w:rPr>
                <w:i/>
                <w:iCs/>
                <w:color w:val="000000"/>
                <w:szCs w:val="24"/>
              </w:rPr>
              <w:t>Estimated annual frequency</w:t>
            </w:r>
          </w:p>
        </w:tc>
        <w:tc>
          <w:tcPr>
            <w:tcW w:w="1440" w:type="dxa"/>
            <w:tcBorders>
              <w:top w:val="single" w:sz="6" w:space="0" w:color="000000"/>
            </w:tcBorders>
            <w:vAlign w:val="bottom"/>
          </w:tcPr>
          <w:p w:rsidR="0097783F" w:rsidRPr="00400F50" w:rsidRDefault="0097783F" w:rsidP="00400F5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/>
              <w:jc w:val="center"/>
              <w:rPr>
                <w:i/>
                <w:iCs/>
                <w:color w:val="000000"/>
                <w:szCs w:val="24"/>
              </w:rPr>
            </w:pPr>
            <w:r w:rsidRPr="006A08B6">
              <w:rPr>
                <w:i/>
                <w:iCs/>
                <w:color w:val="000000"/>
                <w:szCs w:val="24"/>
              </w:rPr>
              <w:t xml:space="preserve">Estimated </w:t>
            </w:r>
            <w:r w:rsidR="00400F50">
              <w:rPr>
                <w:i/>
                <w:iCs/>
                <w:color w:val="000000"/>
                <w:szCs w:val="24"/>
              </w:rPr>
              <w:t xml:space="preserve">average </w:t>
            </w:r>
            <w:r w:rsidRPr="006A08B6">
              <w:rPr>
                <w:i/>
                <w:iCs/>
                <w:color w:val="000000"/>
                <w:szCs w:val="24"/>
              </w:rPr>
              <w:t>response</w:t>
            </w:r>
          </w:p>
          <w:p w:rsidR="0097783F" w:rsidRPr="006A08B6" w:rsidRDefault="0097783F" w:rsidP="000B401A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after="19"/>
              <w:jc w:val="center"/>
              <w:rPr>
                <w:szCs w:val="24"/>
              </w:rPr>
            </w:pPr>
            <w:r w:rsidRPr="006A08B6">
              <w:rPr>
                <w:i/>
                <w:iCs/>
                <w:color w:val="000000"/>
                <w:szCs w:val="24"/>
              </w:rPr>
              <w:t>time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bottom"/>
          </w:tcPr>
          <w:p w:rsidR="0097783F" w:rsidRPr="006A08B6" w:rsidRDefault="0097783F" w:rsidP="00E75D49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63" w:after="19"/>
              <w:jc w:val="center"/>
              <w:rPr>
                <w:szCs w:val="24"/>
              </w:rPr>
            </w:pPr>
            <w:r w:rsidRPr="006A08B6">
              <w:rPr>
                <w:i/>
                <w:iCs/>
                <w:color w:val="000000"/>
                <w:szCs w:val="24"/>
              </w:rPr>
              <w:t>Estimated annual burden hours</w:t>
            </w:r>
          </w:p>
        </w:tc>
      </w:tr>
      <w:tr w:rsidR="0097783F" w:rsidRPr="006A08B6">
        <w:trPr>
          <w:cantSplit/>
        </w:trPr>
        <w:tc>
          <w:tcPr>
            <w:tcW w:w="3240" w:type="dxa"/>
            <w:gridSpan w:val="2"/>
          </w:tcPr>
          <w:p w:rsidR="0097783F" w:rsidRPr="00890CC0" w:rsidRDefault="00400F5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</w:tabs>
              <w:spacing w:before="163" w:after="19"/>
              <w:rPr>
                <w:i/>
                <w:szCs w:val="24"/>
              </w:rPr>
            </w:pPr>
            <w:r w:rsidRPr="00890CC0">
              <w:rPr>
                <w:i/>
                <w:szCs w:val="24"/>
              </w:rPr>
              <w:t>Re</w:t>
            </w:r>
            <w:r>
              <w:rPr>
                <w:i/>
                <w:szCs w:val="24"/>
              </w:rPr>
              <w:t>gistration</w:t>
            </w:r>
          </w:p>
          <w:p w:rsidR="001B1098" w:rsidRDefault="001B1098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</w:tabs>
              <w:spacing w:before="163" w:after="19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890CC0">
              <w:rPr>
                <w:szCs w:val="24"/>
              </w:rPr>
              <w:t>Section 241.3(a)(1)</w:t>
            </w:r>
          </w:p>
          <w:p w:rsidR="00D95665" w:rsidRPr="006A08B6" w:rsidRDefault="001B1098" w:rsidP="00890CC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</w:tabs>
              <w:spacing w:before="163" w:after="19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440" w:type="dxa"/>
            <w:gridSpan w:val="2"/>
          </w:tcPr>
          <w:p w:rsidR="001B1098" w:rsidRDefault="001B1098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63" w:after="19"/>
              <w:jc w:val="center"/>
              <w:rPr>
                <w:szCs w:val="24"/>
              </w:rPr>
            </w:pPr>
          </w:p>
          <w:p w:rsidR="0097783F" w:rsidRDefault="00890CC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63" w:after="19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D95665" w:rsidRPr="006A08B6" w:rsidRDefault="00D95665" w:rsidP="00B450F1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63" w:after="19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B1098" w:rsidRDefault="001B1098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szCs w:val="24"/>
              </w:rPr>
            </w:pPr>
          </w:p>
          <w:p w:rsidR="0097783F" w:rsidRDefault="00890CC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D95665" w:rsidRPr="006A08B6" w:rsidRDefault="00D95665" w:rsidP="00B450F1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B1098" w:rsidRDefault="001B1098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szCs w:val="24"/>
              </w:rPr>
            </w:pPr>
          </w:p>
          <w:p w:rsidR="0097783F" w:rsidRDefault="00890CC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szCs w:val="24"/>
              </w:rPr>
            </w:pPr>
            <w:r>
              <w:rPr>
                <w:szCs w:val="24"/>
              </w:rPr>
              <w:t>8 hours</w:t>
            </w:r>
          </w:p>
          <w:p w:rsidR="00D95665" w:rsidRPr="006A08B6" w:rsidRDefault="00D95665" w:rsidP="00890CC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3844B4" w:rsidRDefault="003844B4" w:rsidP="005869DD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63" w:after="19"/>
              <w:jc w:val="right"/>
              <w:rPr>
                <w:szCs w:val="24"/>
              </w:rPr>
            </w:pPr>
          </w:p>
          <w:p w:rsidR="00B450F1" w:rsidRDefault="00890CC0" w:rsidP="005869DD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63" w:after="19"/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D95665" w:rsidRPr="006A08B6" w:rsidRDefault="00D95665" w:rsidP="005869DD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63" w:after="19"/>
              <w:jc w:val="right"/>
              <w:rPr>
                <w:szCs w:val="24"/>
              </w:rPr>
            </w:pPr>
          </w:p>
        </w:tc>
      </w:tr>
      <w:tr w:rsidR="005869DD" w:rsidRPr="006A08B6">
        <w:trPr>
          <w:cantSplit/>
        </w:trPr>
        <w:tc>
          <w:tcPr>
            <w:tcW w:w="3240" w:type="dxa"/>
            <w:gridSpan w:val="2"/>
            <w:tcBorders>
              <w:bottom w:val="single" w:sz="4" w:space="0" w:color="auto"/>
            </w:tcBorders>
            <w:vAlign w:val="bottom"/>
          </w:tcPr>
          <w:p w:rsidR="005869DD" w:rsidRPr="00701590" w:rsidRDefault="00890CC0" w:rsidP="00890CC0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5869DD" w:rsidRPr="00701590" w:rsidRDefault="005869DD" w:rsidP="009F48AA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44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69DD" w:rsidRDefault="005869DD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869DD" w:rsidRPr="00890CC0" w:rsidRDefault="00890CC0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</w:tabs>
              <w:spacing w:before="163" w:after="19"/>
              <w:jc w:val="center"/>
              <w:rPr>
                <w:i/>
                <w:szCs w:val="24"/>
              </w:rPr>
            </w:pPr>
            <w:r w:rsidRPr="00890CC0">
              <w:rPr>
                <w:i/>
                <w:szCs w:val="24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869DD" w:rsidRDefault="00890CC0" w:rsidP="005869DD">
            <w:pPr>
              <w:tabs>
                <w:tab w:val="left" w:pos="-1440"/>
                <w:tab w:val="left" w:pos="-720"/>
                <w:tab w:val="left" w:pos="0"/>
                <w:tab w:val="left" w:pos="240"/>
                <w:tab w:val="left" w:pos="720"/>
                <w:tab w:val="left" w:pos="1440"/>
              </w:tabs>
              <w:spacing w:before="163" w:after="19"/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</w:tbl>
    <w:p w:rsidR="0097783F" w:rsidRPr="006A08B6" w:rsidRDefault="0097783F">
      <w:pPr>
        <w:pStyle w:val="Footer"/>
        <w:tabs>
          <w:tab w:val="clear" w:pos="4320"/>
          <w:tab w:val="clear" w:pos="8640"/>
        </w:tabs>
        <w:rPr>
          <w:szCs w:val="24"/>
        </w:rPr>
      </w:pPr>
    </w:p>
    <w:p w:rsidR="0097783F" w:rsidRPr="006A08B6" w:rsidRDefault="0097783F">
      <w:pPr>
        <w:pStyle w:val="Footer"/>
        <w:tabs>
          <w:tab w:val="clear" w:pos="4320"/>
          <w:tab w:val="clear" w:pos="8640"/>
        </w:tabs>
        <w:rPr>
          <w:szCs w:val="24"/>
        </w:rPr>
      </w:pPr>
      <w:r w:rsidRPr="006A08B6">
        <w:rPr>
          <w:szCs w:val="24"/>
        </w:rPr>
        <w:t>Based on a rate of $</w:t>
      </w:r>
      <w:r w:rsidR="00460167">
        <w:rPr>
          <w:szCs w:val="24"/>
        </w:rPr>
        <w:t xml:space="preserve">100 </w:t>
      </w:r>
      <w:r w:rsidRPr="006A08B6">
        <w:rPr>
          <w:szCs w:val="24"/>
        </w:rPr>
        <w:t>per hour, the estimated cost to the public for this information collection is $</w:t>
      </w:r>
      <w:r w:rsidR="00995213">
        <w:rPr>
          <w:szCs w:val="24"/>
        </w:rPr>
        <w:t>4,000</w:t>
      </w:r>
      <w:r w:rsidRPr="006A08B6">
        <w:rPr>
          <w:szCs w:val="24"/>
        </w:rPr>
        <w:t>.</w:t>
      </w:r>
    </w:p>
    <w:p w:rsidR="0097783F" w:rsidRPr="006A08B6" w:rsidRDefault="0097783F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Cs w:val="24"/>
        </w:rPr>
      </w:pPr>
    </w:p>
    <w:p w:rsidR="0097783F" w:rsidRPr="006A08B6" w:rsidRDefault="0097783F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Cs w:val="24"/>
        </w:rPr>
      </w:pPr>
      <w:r w:rsidRPr="006A08B6">
        <w:rPr>
          <w:b/>
          <w:bCs/>
          <w:color w:val="000000"/>
          <w:szCs w:val="24"/>
        </w:rPr>
        <w:t>Estimate of Cost to the Federal Reserve System</w:t>
      </w:r>
    </w:p>
    <w:p w:rsidR="0097783F" w:rsidRPr="006A08B6" w:rsidRDefault="0097783F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  <w:szCs w:val="24"/>
        </w:rPr>
      </w:pPr>
    </w:p>
    <w:p w:rsidR="00890CC0" w:rsidRDefault="0097783F" w:rsidP="00890CC0">
      <w:pPr>
        <w:tabs>
          <w:tab w:val="left" w:pos="-1440"/>
          <w:tab w:val="left" w:pos="-720"/>
          <w:tab w:val="left" w:pos="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6A08B6">
        <w:rPr>
          <w:color w:val="000000"/>
          <w:szCs w:val="24"/>
        </w:rPr>
        <w:tab/>
      </w:r>
      <w:r w:rsidR="008A3B4A">
        <w:rPr>
          <w:color w:val="000000"/>
          <w:szCs w:val="24"/>
        </w:rPr>
        <w:tab/>
      </w:r>
      <w:r w:rsidR="00890CC0" w:rsidRPr="00323808">
        <w:t>The annual cost to the Federal Reserve System for collecting this information is negligible.</w:t>
      </w:r>
    </w:p>
    <w:p w:rsidR="0097783F" w:rsidRPr="006A08B6" w:rsidRDefault="0097783F">
      <w:pPr>
        <w:rPr>
          <w:szCs w:val="24"/>
        </w:rPr>
      </w:pPr>
    </w:p>
    <w:sectPr w:rsidR="0097783F" w:rsidRPr="006A08B6" w:rsidSect="00D672E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804" w:rsidRDefault="001A7804" w:rsidP="0085692F">
      <w:r>
        <w:separator/>
      </w:r>
    </w:p>
  </w:endnote>
  <w:endnote w:type="continuationSeparator" w:id="0">
    <w:p w:rsidR="001A7804" w:rsidRDefault="001A7804" w:rsidP="0085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04" w:rsidRDefault="004353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8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804" w:rsidRDefault="001A780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04" w:rsidRDefault="004353F7">
    <w:pPr>
      <w:pStyle w:val="Footer"/>
      <w:jc w:val="center"/>
    </w:pPr>
    <w:fldSimple w:instr=" PAGE   \* MERGEFORMAT ">
      <w:r w:rsidR="002C4C81">
        <w:rPr>
          <w:noProof/>
        </w:rPr>
        <w:t>1</w:t>
      </w:r>
    </w:fldSimple>
  </w:p>
  <w:p w:rsidR="001A7804" w:rsidRDefault="001A780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804" w:rsidRDefault="001A7804" w:rsidP="0085692F">
      <w:r>
        <w:separator/>
      </w:r>
    </w:p>
  </w:footnote>
  <w:footnote w:type="continuationSeparator" w:id="0">
    <w:p w:rsidR="001A7804" w:rsidRDefault="001A7804" w:rsidP="0085692F">
      <w:r>
        <w:continuationSeparator/>
      </w:r>
    </w:p>
  </w:footnote>
  <w:footnote w:id="1">
    <w:p w:rsidR="001A7804" w:rsidRPr="0044792F" w:rsidRDefault="001A78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44 U.S.C. § 3501 </w:t>
      </w:r>
      <w:r>
        <w:rPr>
          <w:u w:val="single"/>
        </w:rPr>
        <w:t>et seq</w:t>
      </w:r>
      <w:r>
        <w:t>.</w:t>
      </w:r>
      <w:proofErr w:type="gramEnd"/>
    </w:p>
  </w:footnote>
  <w:footnote w:id="2">
    <w:p w:rsidR="001A7804" w:rsidRDefault="001A78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Dodd-Frank Act, Public Law 111-203- 1 24 STAT. 1376 (2010).</w:t>
      </w:r>
      <w:proofErr w:type="gramEnd"/>
    </w:p>
  </w:footnote>
  <w:footnote w:id="3">
    <w:p w:rsidR="001A7804" w:rsidRDefault="001A7804" w:rsidP="004479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792F">
        <w:t>http://www.federalreserve.gov/reportforms/default.cfm</w:t>
      </w:r>
      <w:r>
        <w:t>.</w:t>
      </w:r>
    </w:p>
    <w:p w:rsidR="001A7804" w:rsidRDefault="001A7804">
      <w:pPr>
        <w:pStyle w:val="FootnoteText"/>
      </w:pPr>
    </w:p>
  </w:footnote>
  <w:footnote w:id="4">
    <w:p w:rsidR="001A7804" w:rsidRDefault="001A7804" w:rsidP="00434946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>
        <w:rPr>
          <w:color w:val="000000"/>
          <w:szCs w:val="24"/>
        </w:rPr>
        <w:t xml:space="preserve">t this time, only one company, which has assets in excess of $175 million, has expressed interest in electing to become a supervised SHC.  The Federal Reserve estimates that approximately five securities holding companies may possibly register to become a Federal Reserve supervised SHC.  In light of the foregoing, the Federal Reserve does not believe that the final rule would have a significant economic impact on a substantial number of small entities supervised by the Federal Reserve. </w:t>
      </w:r>
      <w:r>
        <w:t>S</w:t>
      </w:r>
      <w:r w:rsidRPr="00BC2D1A">
        <w:t>mall entities as defined by the Small Business Administration (</w:t>
      </w:r>
      <w:r w:rsidRPr="006905D8">
        <w:rPr>
          <w:i/>
        </w:rPr>
        <w:t>i.e.,</w:t>
      </w:r>
      <w:r w:rsidRPr="00BC2D1A">
        <w:t xml:space="preserve"> entities with less than $175 million in total assets) </w:t>
      </w:r>
      <w:hyperlink r:id="rId1" w:history="1">
        <w:r w:rsidRPr="00BC2D1A">
          <w:rPr>
            <w:rStyle w:val="Hyperlink"/>
          </w:rPr>
          <w:t>www.sba.gov/contractingopportunities/officials/size/table/index.html</w:t>
        </w:r>
      </w:hyperlink>
      <w:r w:rsidRPr="00BC2D1A">
        <w:t xml:space="preserve">.  </w:t>
      </w:r>
    </w:p>
    <w:p w:rsidR="001A7804" w:rsidRDefault="001A7804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C0F3C"/>
    <w:multiLevelType w:val="hybridMultilevel"/>
    <w:tmpl w:val="7E6E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C9E"/>
    <w:rsid w:val="000034D5"/>
    <w:rsid w:val="00054307"/>
    <w:rsid w:val="00081F55"/>
    <w:rsid w:val="00094CE8"/>
    <w:rsid w:val="000B2E68"/>
    <w:rsid w:val="000B401A"/>
    <w:rsid w:val="000B50B3"/>
    <w:rsid w:val="000C5FDD"/>
    <w:rsid w:val="00107609"/>
    <w:rsid w:val="00123261"/>
    <w:rsid w:val="00124CBF"/>
    <w:rsid w:val="0012553E"/>
    <w:rsid w:val="00131C95"/>
    <w:rsid w:val="001464A7"/>
    <w:rsid w:val="001612C7"/>
    <w:rsid w:val="00164734"/>
    <w:rsid w:val="00167F25"/>
    <w:rsid w:val="001713E6"/>
    <w:rsid w:val="001A2406"/>
    <w:rsid w:val="001A7804"/>
    <w:rsid w:val="001B1098"/>
    <w:rsid w:val="001D3381"/>
    <w:rsid w:val="001F2E3E"/>
    <w:rsid w:val="00210301"/>
    <w:rsid w:val="00214838"/>
    <w:rsid w:val="00222D9D"/>
    <w:rsid w:val="0023261F"/>
    <w:rsid w:val="002420B0"/>
    <w:rsid w:val="0025023A"/>
    <w:rsid w:val="00292CCF"/>
    <w:rsid w:val="002C4C81"/>
    <w:rsid w:val="002E4AB9"/>
    <w:rsid w:val="002F7EA2"/>
    <w:rsid w:val="00341F36"/>
    <w:rsid w:val="003514BE"/>
    <w:rsid w:val="0036182C"/>
    <w:rsid w:val="00371FA7"/>
    <w:rsid w:val="00375076"/>
    <w:rsid w:val="00375AA4"/>
    <w:rsid w:val="003844B4"/>
    <w:rsid w:val="003935D5"/>
    <w:rsid w:val="003A6E95"/>
    <w:rsid w:val="003B639F"/>
    <w:rsid w:val="003C034E"/>
    <w:rsid w:val="003F07E8"/>
    <w:rsid w:val="003F5AF5"/>
    <w:rsid w:val="00400F50"/>
    <w:rsid w:val="00416897"/>
    <w:rsid w:val="00427C3E"/>
    <w:rsid w:val="0043291C"/>
    <w:rsid w:val="00434946"/>
    <w:rsid w:val="004353F7"/>
    <w:rsid w:val="00436831"/>
    <w:rsid w:val="0044792F"/>
    <w:rsid w:val="00454FA2"/>
    <w:rsid w:val="00460167"/>
    <w:rsid w:val="0046361E"/>
    <w:rsid w:val="004730BC"/>
    <w:rsid w:val="004B7DD1"/>
    <w:rsid w:val="004F41E3"/>
    <w:rsid w:val="004F51C3"/>
    <w:rsid w:val="00525B2A"/>
    <w:rsid w:val="00527E19"/>
    <w:rsid w:val="0053251B"/>
    <w:rsid w:val="0054089D"/>
    <w:rsid w:val="00566034"/>
    <w:rsid w:val="005869DD"/>
    <w:rsid w:val="005D6F87"/>
    <w:rsid w:val="005D7A89"/>
    <w:rsid w:val="005E4926"/>
    <w:rsid w:val="00613F94"/>
    <w:rsid w:val="0063625D"/>
    <w:rsid w:val="00644C7C"/>
    <w:rsid w:val="00650048"/>
    <w:rsid w:val="00671CD3"/>
    <w:rsid w:val="0067746D"/>
    <w:rsid w:val="006A08B6"/>
    <w:rsid w:val="006B0827"/>
    <w:rsid w:val="006B7F4E"/>
    <w:rsid w:val="006E7C17"/>
    <w:rsid w:val="00700D37"/>
    <w:rsid w:val="00717EA3"/>
    <w:rsid w:val="00733432"/>
    <w:rsid w:val="00741050"/>
    <w:rsid w:val="007506C8"/>
    <w:rsid w:val="00754495"/>
    <w:rsid w:val="007B334A"/>
    <w:rsid w:val="007B59C5"/>
    <w:rsid w:val="007E2EEE"/>
    <w:rsid w:val="00805D16"/>
    <w:rsid w:val="00814CF7"/>
    <w:rsid w:val="00820F04"/>
    <w:rsid w:val="00841B71"/>
    <w:rsid w:val="00847DCF"/>
    <w:rsid w:val="0085692F"/>
    <w:rsid w:val="00864520"/>
    <w:rsid w:val="0088299B"/>
    <w:rsid w:val="00890CC0"/>
    <w:rsid w:val="008A3B4A"/>
    <w:rsid w:val="00915611"/>
    <w:rsid w:val="009176B5"/>
    <w:rsid w:val="00921519"/>
    <w:rsid w:val="00924369"/>
    <w:rsid w:val="009269CF"/>
    <w:rsid w:val="00937B5D"/>
    <w:rsid w:val="009537C3"/>
    <w:rsid w:val="009549BB"/>
    <w:rsid w:val="0097783F"/>
    <w:rsid w:val="00995213"/>
    <w:rsid w:val="009A5F49"/>
    <w:rsid w:val="009D503A"/>
    <w:rsid w:val="009F48AA"/>
    <w:rsid w:val="00A23410"/>
    <w:rsid w:val="00A77C60"/>
    <w:rsid w:val="00AB799B"/>
    <w:rsid w:val="00AC2139"/>
    <w:rsid w:val="00AD14C2"/>
    <w:rsid w:val="00AD488C"/>
    <w:rsid w:val="00B036E2"/>
    <w:rsid w:val="00B231FD"/>
    <w:rsid w:val="00B450D9"/>
    <w:rsid w:val="00B450F1"/>
    <w:rsid w:val="00B50C82"/>
    <w:rsid w:val="00B70D60"/>
    <w:rsid w:val="00BA1271"/>
    <w:rsid w:val="00BA56C2"/>
    <w:rsid w:val="00C232CC"/>
    <w:rsid w:val="00C32C9E"/>
    <w:rsid w:val="00C348D6"/>
    <w:rsid w:val="00C42536"/>
    <w:rsid w:val="00C64016"/>
    <w:rsid w:val="00C908B1"/>
    <w:rsid w:val="00C91727"/>
    <w:rsid w:val="00C94BB7"/>
    <w:rsid w:val="00CC102F"/>
    <w:rsid w:val="00CC5B67"/>
    <w:rsid w:val="00D21D59"/>
    <w:rsid w:val="00D50637"/>
    <w:rsid w:val="00D672EF"/>
    <w:rsid w:val="00D85C0D"/>
    <w:rsid w:val="00D95665"/>
    <w:rsid w:val="00E16886"/>
    <w:rsid w:val="00E20108"/>
    <w:rsid w:val="00E26E2E"/>
    <w:rsid w:val="00E3309D"/>
    <w:rsid w:val="00E56522"/>
    <w:rsid w:val="00E75D49"/>
    <w:rsid w:val="00E879D7"/>
    <w:rsid w:val="00E90DF4"/>
    <w:rsid w:val="00ED1243"/>
    <w:rsid w:val="00ED5CE6"/>
    <w:rsid w:val="00EE5D2B"/>
    <w:rsid w:val="00F11B0A"/>
    <w:rsid w:val="00F25713"/>
    <w:rsid w:val="00F379CC"/>
    <w:rsid w:val="00FB0B9D"/>
    <w:rsid w:val="00FB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EF"/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"/>
    <w:basedOn w:val="Normal"/>
    <w:link w:val="FootnoteTextChar"/>
    <w:semiHidden/>
    <w:rsid w:val="00D672EF"/>
    <w:rPr>
      <w:snapToGrid/>
      <w:sz w:val="20"/>
    </w:rPr>
  </w:style>
  <w:style w:type="character" w:styleId="FootnoteReference">
    <w:name w:val="footnote reference"/>
    <w:aliases w:val="fr"/>
    <w:basedOn w:val="DefaultParagraphFont"/>
    <w:semiHidden/>
    <w:rsid w:val="00D672EF"/>
    <w:rPr>
      <w:vertAlign w:val="superscript"/>
    </w:rPr>
  </w:style>
  <w:style w:type="paragraph" w:styleId="BodyTextIndent">
    <w:name w:val="Body Text Indent"/>
    <w:basedOn w:val="Normal"/>
    <w:rsid w:val="00D672EF"/>
    <w:pPr>
      <w:ind w:firstLine="720"/>
      <w:jc w:val="both"/>
    </w:pPr>
    <w:rPr>
      <w:rFonts w:ascii="Times" w:hAnsi="Times"/>
    </w:rPr>
  </w:style>
  <w:style w:type="paragraph" w:styleId="BodyTextIndent2">
    <w:name w:val="Body Text Indent 2"/>
    <w:basedOn w:val="Normal"/>
    <w:rsid w:val="00D672EF"/>
    <w:pPr>
      <w:ind w:firstLine="720"/>
    </w:pPr>
    <w:rPr>
      <w:rFonts w:ascii="Times" w:hAnsi="Times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D672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72EF"/>
  </w:style>
  <w:style w:type="paragraph" w:styleId="BodyText">
    <w:name w:val="Body Text"/>
    <w:basedOn w:val="Normal"/>
    <w:rsid w:val="00D672EF"/>
    <w:rPr>
      <w:rFonts w:ascii="Times" w:hAnsi="Times"/>
      <w:color w:val="000000"/>
      <w:szCs w:val="24"/>
    </w:rPr>
  </w:style>
  <w:style w:type="paragraph" w:styleId="BalloonText">
    <w:name w:val="Balloon Text"/>
    <w:basedOn w:val="Normal"/>
    <w:semiHidden/>
    <w:rsid w:val="00C32C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32C9E"/>
    <w:rPr>
      <w:sz w:val="16"/>
      <w:szCs w:val="16"/>
    </w:rPr>
  </w:style>
  <w:style w:type="paragraph" w:styleId="CommentText">
    <w:name w:val="annotation text"/>
    <w:basedOn w:val="Normal"/>
    <w:semiHidden/>
    <w:rsid w:val="00C32C9E"/>
    <w:rPr>
      <w:sz w:val="20"/>
    </w:rPr>
  </w:style>
  <w:style w:type="paragraph" w:styleId="CommentSubject">
    <w:name w:val="annotation subject"/>
    <w:basedOn w:val="CommentText"/>
    <w:next w:val="CommentText"/>
    <w:semiHidden/>
    <w:rsid w:val="00C32C9E"/>
    <w:rPr>
      <w:b/>
      <w:bCs/>
    </w:rPr>
  </w:style>
  <w:style w:type="character" w:styleId="FollowedHyperlink">
    <w:name w:val="FollowedHyperlink"/>
    <w:basedOn w:val="DefaultParagraphFont"/>
    <w:rsid w:val="006A08B6"/>
    <w:rPr>
      <w:color w:val="800080"/>
      <w:u w:val="single"/>
    </w:rPr>
  </w:style>
  <w:style w:type="character" w:customStyle="1" w:styleId="DeltaViewInsertion">
    <w:name w:val="DeltaView Insertion"/>
    <w:rsid w:val="003B639F"/>
    <w:rPr>
      <w:color w:val="0000FF"/>
      <w:spacing w:val="0"/>
      <w:u w:val="double"/>
    </w:rPr>
  </w:style>
  <w:style w:type="paragraph" w:styleId="NormalWeb">
    <w:name w:val="Normal (Web)"/>
    <w:basedOn w:val="Normal"/>
    <w:link w:val="NormalWebChar"/>
    <w:rsid w:val="00C232CC"/>
    <w:pPr>
      <w:autoSpaceDE w:val="0"/>
      <w:autoSpaceDN w:val="0"/>
      <w:adjustRightInd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NormalWebChar">
    <w:name w:val="Normal (Web) Char"/>
    <w:basedOn w:val="DefaultParagraphFont"/>
    <w:link w:val="NormalWeb"/>
    <w:rsid w:val="00C232CC"/>
    <w:rPr>
      <w:rFonts w:ascii="Arial Unicode MS" w:eastAsia="Arial Unicode MS" w:hAnsi="Arial Unicode MS" w:cs="Arial Unicode MS"/>
      <w:snapToGrid w:val="0"/>
      <w:sz w:val="24"/>
      <w:szCs w:val="24"/>
      <w:lang w:val="en-US" w:eastAsia="en-US" w:bidi="ar-SA"/>
    </w:rPr>
  </w:style>
  <w:style w:type="paragraph" w:customStyle="1" w:styleId="Default">
    <w:name w:val="Default"/>
    <w:rsid w:val="00EE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D5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CE6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D5CE6"/>
    <w:rPr>
      <w:snapToGrid w:val="0"/>
      <w:sz w:val="24"/>
    </w:rPr>
  </w:style>
  <w:style w:type="character" w:styleId="Hyperlink">
    <w:name w:val="Hyperlink"/>
    <w:basedOn w:val="DefaultParagraphFont"/>
    <w:uiPriority w:val="99"/>
    <w:rsid w:val="00434946"/>
    <w:rPr>
      <w:color w:val="006666"/>
      <w:u w:val="single"/>
    </w:rPr>
  </w:style>
  <w:style w:type="character" w:customStyle="1" w:styleId="FootnoteTextChar">
    <w:name w:val="Footnote Text Char"/>
    <w:aliases w:val="ft Char"/>
    <w:basedOn w:val="DefaultParagraphFont"/>
    <w:link w:val="FootnoteText"/>
    <w:semiHidden/>
    <w:rsid w:val="0044792F"/>
  </w:style>
  <w:style w:type="paragraph" w:styleId="ListParagraph">
    <w:name w:val="List Paragraph"/>
    <w:basedOn w:val="Normal"/>
    <w:uiPriority w:val="34"/>
    <w:qFormat/>
    <w:rsid w:val="00454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EF"/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"/>
    <w:basedOn w:val="Normal"/>
    <w:semiHidden/>
    <w:rsid w:val="00D672EF"/>
    <w:rPr>
      <w:snapToGrid/>
      <w:sz w:val="20"/>
    </w:rPr>
  </w:style>
  <w:style w:type="character" w:styleId="FootnoteReference">
    <w:name w:val="footnote reference"/>
    <w:aliases w:val="fr"/>
    <w:basedOn w:val="DefaultParagraphFont"/>
    <w:semiHidden/>
    <w:rsid w:val="00D672EF"/>
    <w:rPr>
      <w:vertAlign w:val="superscript"/>
    </w:rPr>
  </w:style>
  <w:style w:type="paragraph" w:styleId="BodyTextIndent">
    <w:name w:val="Body Text Indent"/>
    <w:basedOn w:val="Normal"/>
    <w:rsid w:val="00D672EF"/>
    <w:pPr>
      <w:ind w:firstLine="720"/>
      <w:jc w:val="both"/>
    </w:pPr>
    <w:rPr>
      <w:rFonts w:ascii="Times" w:hAnsi="Times"/>
    </w:rPr>
  </w:style>
  <w:style w:type="paragraph" w:styleId="BodyTextIndent2">
    <w:name w:val="Body Text Indent 2"/>
    <w:basedOn w:val="Normal"/>
    <w:rsid w:val="00D672EF"/>
    <w:pPr>
      <w:ind w:firstLine="720"/>
    </w:pPr>
    <w:rPr>
      <w:rFonts w:ascii="Times" w:hAnsi="Times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D672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72EF"/>
  </w:style>
  <w:style w:type="paragraph" w:styleId="BodyText">
    <w:name w:val="Body Text"/>
    <w:basedOn w:val="Normal"/>
    <w:rsid w:val="00D672EF"/>
    <w:rPr>
      <w:rFonts w:ascii="Times" w:hAnsi="Times"/>
      <w:color w:val="000000"/>
      <w:szCs w:val="24"/>
    </w:rPr>
  </w:style>
  <w:style w:type="paragraph" w:styleId="BalloonText">
    <w:name w:val="Balloon Text"/>
    <w:basedOn w:val="Normal"/>
    <w:semiHidden/>
    <w:rsid w:val="00C32C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32C9E"/>
    <w:rPr>
      <w:sz w:val="16"/>
      <w:szCs w:val="16"/>
    </w:rPr>
  </w:style>
  <w:style w:type="paragraph" w:styleId="CommentText">
    <w:name w:val="annotation text"/>
    <w:basedOn w:val="Normal"/>
    <w:semiHidden/>
    <w:rsid w:val="00C32C9E"/>
    <w:rPr>
      <w:sz w:val="20"/>
    </w:rPr>
  </w:style>
  <w:style w:type="paragraph" w:styleId="CommentSubject">
    <w:name w:val="annotation subject"/>
    <w:basedOn w:val="CommentText"/>
    <w:next w:val="CommentText"/>
    <w:semiHidden/>
    <w:rsid w:val="00C32C9E"/>
    <w:rPr>
      <w:b/>
      <w:bCs/>
    </w:rPr>
  </w:style>
  <w:style w:type="character" w:styleId="FollowedHyperlink">
    <w:name w:val="FollowedHyperlink"/>
    <w:basedOn w:val="DefaultParagraphFont"/>
    <w:rsid w:val="006A08B6"/>
    <w:rPr>
      <w:color w:val="800080"/>
      <w:u w:val="single"/>
    </w:rPr>
  </w:style>
  <w:style w:type="character" w:customStyle="1" w:styleId="DeltaViewInsertion">
    <w:name w:val="DeltaView Insertion"/>
    <w:rsid w:val="003B639F"/>
    <w:rPr>
      <w:color w:val="0000FF"/>
      <w:spacing w:val="0"/>
      <w:u w:val="double"/>
    </w:rPr>
  </w:style>
  <w:style w:type="paragraph" w:styleId="NormalWeb">
    <w:name w:val="Normal (Web)"/>
    <w:basedOn w:val="Normal"/>
    <w:link w:val="NormalWebChar"/>
    <w:rsid w:val="00C232CC"/>
    <w:pPr>
      <w:autoSpaceDE w:val="0"/>
      <w:autoSpaceDN w:val="0"/>
      <w:adjustRightInd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NormalWebChar">
    <w:name w:val="Normal (Web) Char"/>
    <w:basedOn w:val="DefaultParagraphFont"/>
    <w:link w:val="NormalWeb"/>
    <w:rsid w:val="00C232CC"/>
    <w:rPr>
      <w:rFonts w:ascii="Arial Unicode MS" w:eastAsia="Arial Unicode MS" w:hAnsi="Arial Unicode MS" w:cs="Arial Unicode MS"/>
      <w:snapToGrid w:val="0"/>
      <w:sz w:val="24"/>
      <w:szCs w:val="24"/>
      <w:lang w:val="en-US" w:eastAsia="en-US" w:bidi="ar-SA"/>
    </w:rPr>
  </w:style>
  <w:style w:type="paragraph" w:customStyle="1" w:styleId="Default">
    <w:name w:val="Default"/>
    <w:rsid w:val="00EE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D5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CE6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D5CE6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\\drslx1\fr-misc\fr_documents\proposals\Legal\FR%204025%20(Reg%20R)\www.sba.gov\contractingopportunities\officials\size\table\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D989-BC34-4244-9AE4-2C83D2F3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1370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*** (FR ####; OMB No</vt:lpstr>
    </vt:vector>
  </TitlesOfParts>
  <Company>FRB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*** (FR ####; OMB No</dc:title>
  <dc:subject/>
  <dc:creator>m1mel00</dc:creator>
  <cp:keywords/>
  <dc:description/>
  <cp:lastModifiedBy>frbuser</cp:lastModifiedBy>
  <cp:revision>2</cp:revision>
  <cp:lastPrinted>2012-06-08T12:47:00Z</cp:lastPrinted>
  <dcterms:created xsi:type="dcterms:W3CDTF">2012-07-20T14:59:00Z</dcterms:created>
  <dcterms:modified xsi:type="dcterms:W3CDTF">2012-07-20T14:59:00Z</dcterms:modified>
</cp:coreProperties>
</file>