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DB" w:rsidRDefault="002A11DB">
      <w:pPr>
        <w:spacing w:before="0" w:line="240" w:lineRule="auto"/>
        <w:jc w:val="center"/>
        <w:rPr>
          <w:b/>
        </w:rPr>
      </w:pPr>
      <w:r>
        <w:rPr>
          <w:b/>
        </w:rPr>
        <w:t>SUPPORTING STATEMENT</w:t>
      </w:r>
    </w:p>
    <w:p w:rsidR="002A11DB" w:rsidRDefault="002A11DB">
      <w:pPr>
        <w:spacing w:before="0" w:line="240" w:lineRule="auto"/>
        <w:jc w:val="center"/>
        <w:rPr>
          <w:b/>
        </w:rPr>
      </w:pPr>
      <w:r>
        <w:rPr>
          <w:b/>
        </w:rPr>
        <w:t xml:space="preserve">FOR </w:t>
      </w:r>
      <w:r w:rsidR="009B36AF">
        <w:rPr>
          <w:b/>
        </w:rPr>
        <w:t>INFORMATION COLLECTION</w:t>
      </w:r>
      <w:r>
        <w:rPr>
          <w:b/>
        </w:rPr>
        <w:t xml:space="preserve"> SUBMISSION </w:t>
      </w:r>
    </w:p>
    <w:p w:rsidR="002A11DB" w:rsidRDefault="002A11DB">
      <w:pPr>
        <w:spacing w:before="0" w:line="240" w:lineRule="auto"/>
        <w:jc w:val="center"/>
      </w:pPr>
      <w:r>
        <w:rPr>
          <w:b/>
        </w:rPr>
        <w:t>9000-0082, ECONOMIC PURCHASE QUANTIT</w:t>
      </w:r>
      <w:r w:rsidR="00CC4F57">
        <w:rPr>
          <w:b/>
        </w:rPr>
        <w:t>Y</w:t>
      </w:r>
      <w:r>
        <w:rPr>
          <w:rFonts w:ascii="Times" w:hAnsi="Times"/>
          <w:b/>
        </w:rPr>
        <w:t>—</w:t>
      </w:r>
      <w:r>
        <w:rPr>
          <w:b/>
        </w:rPr>
        <w:t>SUPPLIES</w:t>
      </w:r>
    </w:p>
    <w:p w:rsidR="002A11DB" w:rsidRDefault="002A11DB">
      <w:pPr>
        <w:spacing w:before="0" w:line="240" w:lineRule="auto"/>
      </w:pPr>
    </w:p>
    <w:p w:rsidR="002A11DB" w:rsidRDefault="002A11DB">
      <w:pPr>
        <w:pStyle w:val="FRi"/>
        <w:tabs>
          <w:tab w:val="left" w:pos="560"/>
          <w:tab w:val="left" w:pos="1120"/>
        </w:tabs>
        <w:spacing w:before="0" w:line="240" w:lineRule="auto"/>
      </w:pPr>
    </w:p>
    <w:p w:rsidR="002A11DB" w:rsidRDefault="002A11DB">
      <w:pPr>
        <w:spacing w:before="0" w:line="240" w:lineRule="auto"/>
      </w:pPr>
      <w:r>
        <w:rPr>
          <w:b/>
        </w:rPr>
        <w:t>A.  Justification.</w:t>
      </w:r>
    </w:p>
    <w:p w:rsidR="002A11DB" w:rsidRDefault="002A11DB">
      <w:pPr>
        <w:spacing w:before="0" w:line="240" w:lineRule="auto"/>
      </w:pPr>
    </w:p>
    <w:p w:rsidR="002A11DB" w:rsidRDefault="002A11DB">
      <w:pPr>
        <w:spacing w:before="0"/>
      </w:pPr>
      <w:r>
        <w:t xml:space="preserve">1.  </w:t>
      </w:r>
      <w:r>
        <w:rPr>
          <w:b/>
        </w:rPr>
        <w:t>Administrative requirements</w:t>
      </w:r>
      <w:r>
        <w:t>.  The provision at 52.207</w:t>
      </w:r>
      <w:r w:rsidR="00CC4F57">
        <w:t>-4, Economic Purchase Quantity</w:t>
      </w:r>
      <w:r>
        <w:rPr>
          <w:rFonts w:ascii="Times" w:hAnsi="Times"/>
        </w:rPr>
        <w:t>—</w:t>
      </w:r>
      <w:r>
        <w:t xml:space="preserve">Supplies, invites </w:t>
      </w:r>
      <w:proofErr w:type="spellStart"/>
      <w:r>
        <w:t>offerors</w:t>
      </w:r>
      <w:proofErr w:type="spellEnd"/>
      <w:r>
        <w:t xml:space="preserve"> to state an opinion on whether the quantity of supplies on which bids, proposals, or quotes are requested in solicitations is economically advantageous to the Government.  Each </w:t>
      </w:r>
      <w:proofErr w:type="spellStart"/>
      <w:r>
        <w:t>offeror</w:t>
      </w:r>
      <w:proofErr w:type="spellEnd"/>
      <w:r>
        <w:t xml:space="preserve"> who believes that acquisitions in different quantities would be more advantageous is invited to (1) recommend an economic purchase quantity, showing a recommended unit and total price, and (2) identify the different quantity points where significant price breaks occur.  This information is required by Public Law 98-577 and Public Law 98-525.</w:t>
      </w:r>
    </w:p>
    <w:p w:rsidR="002A11DB" w:rsidRDefault="002A11DB">
      <w:pPr>
        <w:spacing w:before="0"/>
      </w:pPr>
    </w:p>
    <w:p w:rsidR="002A11DB" w:rsidRDefault="002A11DB">
      <w:pPr>
        <w:spacing w:before="0"/>
      </w:pPr>
      <w:r>
        <w:t xml:space="preserve">2.  </w:t>
      </w:r>
      <w:r>
        <w:rPr>
          <w:b/>
        </w:rPr>
        <w:t>Uses of information</w:t>
      </w:r>
      <w:r>
        <w:t>. The information is used by contracting officers, inventory managers, and requirements development activities to avoid acquisitions in disadvantageous quantities and to develop a database for future acquisitions of the items of supply.</w:t>
      </w:r>
    </w:p>
    <w:p w:rsidR="002A11DB" w:rsidRDefault="002A11DB">
      <w:pPr>
        <w:tabs>
          <w:tab w:val="left" w:pos="90"/>
        </w:tabs>
      </w:pPr>
      <w:r>
        <w:rPr>
          <w:rFonts w:ascii="Courier New" w:hAnsi="Courier New"/>
        </w:rPr>
        <w:t>3</w:t>
      </w:r>
      <w:r>
        <w:t xml:space="preserve">.  </w:t>
      </w:r>
      <w:r>
        <w:rPr>
          <w:b/>
        </w:rPr>
        <w:t>Consideration of information technology</w:t>
      </w:r>
      <w:r>
        <w:t>.  We use improved information technology to the maximum extent practicable.  Where both the Government agency and contractors are capable of electronic interchange, the contractors may submit this information collection requirement electronically.</w:t>
      </w:r>
    </w:p>
    <w:p w:rsidR="002A11DB" w:rsidRDefault="002A11DB">
      <w:pPr>
        <w:spacing w:before="0"/>
      </w:pPr>
    </w:p>
    <w:p w:rsidR="002A11DB" w:rsidRDefault="002A11DB">
      <w:pPr>
        <w:spacing w:before="0"/>
      </w:pPr>
      <w:r>
        <w:t xml:space="preserve">4.  </w:t>
      </w:r>
      <w:r>
        <w:rPr>
          <w:b/>
        </w:rPr>
        <w:t>Efforts to identify duplication</w:t>
      </w:r>
      <w:r>
        <w:t>.</w:t>
      </w:r>
      <w:r>
        <w:rPr>
          <w:b/>
        </w:rPr>
        <w:t xml:space="preserve"> </w:t>
      </w:r>
      <w:r>
        <w:t>This requirement is being issued under the Federal Acquisition Regulation (FAR) which has been developed to standardize Federal procurement practices and eliminate unnecessary duplication.</w:t>
      </w:r>
    </w:p>
    <w:p w:rsidR="002A11DB" w:rsidRDefault="002A11DB">
      <w:pPr>
        <w:tabs>
          <w:tab w:val="clear" w:pos="560"/>
          <w:tab w:val="clear" w:pos="1120"/>
          <w:tab w:val="clear" w:pos="1680"/>
          <w:tab w:val="clear" w:pos="2240"/>
          <w:tab w:val="left" w:pos="7920"/>
          <w:tab w:val="right" w:pos="9180"/>
        </w:tabs>
        <w:spacing w:before="0"/>
      </w:pPr>
    </w:p>
    <w:p w:rsidR="002A11DB" w:rsidRDefault="002A11DB">
      <w:pPr>
        <w:tabs>
          <w:tab w:val="clear" w:pos="560"/>
          <w:tab w:val="clear" w:pos="1120"/>
          <w:tab w:val="clear" w:pos="1680"/>
          <w:tab w:val="clear" w:pos="2240"/>
        </w:tabs>
        <w:spacing w:before="0"/>
      </w:pPr>
      <w:r>
        <w:t xml:space="preserve">5.  </w:t>
      </w:r>
      <w:r>
        <w:rPr>
          <w:b/>
        </w:rPr>
        <w:t>If the collection of information impacts small businesses or other entities, describe methods used to minimize burden.</w:t>
      </w:r>
      <w:r>
        <w:t xml:space="preserve">  The burden applied to small businesses is the minimum consistent with applicable laws, Executive orders, regulations, and prudent business practices.</w:t>
      </w:r>
    </w:p>
    <w:p w:rsidR="002A11DB" w:rsidRDefault="002A11DB">
      <w:pPr>
        <w:tabs>
          <w:tab w:val="clear" w:pos="560"/>
          <w:tab w:val="clear" w:pos="1120"/>
          <w:tab w:val="clear" w:pos="1680"/>
          <w:tab w:val="clear" w:pos="2240"/>
        </w:tabs>
        <w:spacing w:before="0"/>
      </w:pPr>
    </w:p>
    <w:p w:rsidR="002A11DB" w:rsidRDefault="002A11DB">
      <w:pPr>
        <w:spacing w:before="0"/>
      </w:pPr>
      <w:r>
        <w:t xml:space="preserve">6.  </w:t>
      </w:r>
      <w:r>
        <w:rPr>
          <w:b/>
        </w:rPr>
        <w:t xml:space="preserve">Describe consequence to Federal program or policy activities if the collection is not conducted or is conducted less frequently.  </w:t>
      </w:r>
      <w:r>
        <w:t>Collection of information on a basis other than solicitation-by-solicitation is not practical.</w:t>
      </w:r>
    </w:p>
    <w:p w:rsidR="002A11DB" w:rsidRDefault="002A11DB">
      <w:pPr>
        <w:spacing w:before="0"/>
      </w:pPr>
    </w:p>
    <w:p w:rsidR="002A11DB" w:rsidRDefault="002A11DB">
      <w:pPr>
        <w:spacing w:before="0"/>
      </w:pPr>
      <w:r>
        <w:lastRenderedPageBreak/>
        <w:t xml:space="preserve">7.  </w:t>
      </w:r>
      <w:r>
        <w:rPr>
          <w:b/>
        </w:rPr>
        <w:t>Special circumstances for collection</w:t>
      </w:r>
      <w:r>
        <w:t>. Collection is generally consistent with guidelines in 5 CFR 1320.6.</w:t>
      </w:r>
    </w:p>
    <w:p w:rsidR="002A11DB" w:rsidRPr="00AB183F" w:rsidRDefault="002A11DB">
      <w:pPr>
        <w:spacing w:before="0"/>
      </w:pPr>
    </w:p>
    <w:p w:rsidR="003020DF" w:rsidRPr="002C3B15" w:rsidRDefault="006A47F1" w:rsidP="003020DF">
      <w:pPr>
        <w:spacing w:before="0" w:line="240" w:lineRule="auto"/>
        <w:rPr>
          <w:rFonts w:ascii="Courier New" w:hAnsi="Courier New" w:cs="Courier New"/>
          <w:szCs w:val="24"/>
        </w:rPr>
      </w:pPr>
      <w:r>
        <w:t xml:space="preserve">8.  </w:t>
      </w:r>
      <w:r>
        <w:rPr>
          <w:b/>
        </w:rPr>
        <w:t>Efforts to consult with person outside the agency.</w:t>
      </w:r>
      <w:r>
        <w:t xml:space="preserve">  A notice was published in the </w:t>
      </w:r>
      <w:r w:rsidRPr="00AB183F">
        <w:rPr>
          <w:i/>
        </w:rPr>
        <w:t>Federal Register</w:t>
      </w:r>
      <w:r>
        <w:t xml:space="preserve"> at 77 FR 43077, on July 23, 2012.  </w:t>
      </w:r>
      <w:r w:rsidR="003020DF" w:rsidRPr="002C3B15">
        <w:rPr>
          <w:rFonts w:ascii="Courier New" w:hAnsi="Courier New" w:cs="Courier New"/>
          <w:szCs w:val="24"/>
        </w:rPr>
        <w:t xml:space="preserve">   </w:t>
      </w:r>
      <w:r w:rsidR="003020DF" w:rsidRPr="002C3B15">
        <w:rPr>
          <w:rFonts w:ascii="Courier New" w:hAnsi="Courier New" w:cs="Courier New"/>
          <w:bCs/>
          <w:szCs w:val="24"/>
        </w:rPr>
        <w:t>One respondent submitted public c</w:t>
      </w:r>
      <w:r w:rsidR="003020DF" w:rsidRPr="002C3B15">
        <w:rPr>
          <w:rFonts w:ascii="Courier New" w:hAnsi="Courier New" w:cs="Courier New"/>
          <w:szCs w:val="24"/>
        </w:rPr>
        <w:t>omments on the extension of the previously approved information collection.  The analysis of the public comments is summarized as follows:</w:t>
      </w:r>
    </w:p>
    <w:p w:rsidR="003020DF" w:rsidRPr="002C3B15" w:rsidRDefault="003020DF" w:rsidP="003020DF">
      <w:pPr>
        <w:spacing w:before="0" w:line="240" w:lineRule="auto"/>
        <w:rPr>
          <w:rFonts w:ascii="Courier New" w:hAnsi="Courier New" w:cs="Courier New"/>
          <w:color w:val="222222"/>
          <w:szCs w:val="24"/>
        </w:rPr>
      </w:pPr>
      <w:r w:rsidRPr="002C3B15">
        <w:rPr>
          <w:rFonts w:ascii="Courier New" w:hAnsi="Courier New" w:cs="Courier New"/>
          <w:b/>
          <w:color w:val="222222"/>
          <w:szCs w:val="24"/>
        </w:rPr>
        <w:tab/>
        <w:t>Comment:</w:t>
      </w:r>
      <w:r w:rsidRPr="002C3B15">
        <w:rPr>
          <w:rFonts w:ascii="Courier New" w:hAnsi="Courier New" w:cs="Courier New"/>
          <w:color w:val="222222"/>
          <w:szCs w:val="24"/>
        </w:rPr>
        <w:t xml:space="preserve">  The respondent commented that the extension of the information collection would violate the fundamental purposes of the Paperwork Reduction Act because of the burden it puts on the entity submitting the information and the agency collecting the information.  The respondent opposes granting the extension of the information collection requirement.</w:t>
      </w:r>
    </w:p>
    <w:p w:rsidR="003020DF" w:rsidRPr="002C3B15" w:rsidRDefault="003020DF" w:rsidP="003020DF">
      <w:pPr>
        <w:spacing w:before="0" w:line="240" w:lineRule="auto"/>
        <w:rPr>
          <w:rFonts w:ascii="Courier New" w:hAnsi="Courier New" w:cs="Courier New"/>
          <w:color w:val="222222"/>
          <w:szCs w:val="24"/>
        </w:rPr>
      </w:pPr>
      <w:r w:rsidRPr="002C3B15">
        <w:rPr>
          <w:rFonts w:ascii="Courier New" w:hAnsi="Courier New" w:cs="Courier New"/>
          <w:color w:val="222222"/>
          <w:szCs w:val="24"/>
        </w:rPr>
        <w:tab/>
      </w:r>
      <w:r w:rsidRPr="002C3B15">
        <w:rPr>
          <w:rFonts w:ascii="Courier New" w:hAnsi="Courier New" w:cs="Courier New"/>
          <w:b/>
          <w:color w:val="222222"/>
          <w:szCs w:val="24"/>
        </w:rPr>
        <w:t>Response:</w:t>
      </w:r>
      <w:r w:rsidRPr="002C3B15">
        <w:rPr>
          <w:rFonts w:ascii="Courier New" w:hAnsi="Courier New" w:cs="Courier New"/>
          <w:color w:val="222222"/>
          <w:szCs w:val="24"/>
        </w:rPr>
        <w:t xml:space="preserve">  In accordance with the Paperwork Re</w:t>
      </w:r>
      <w:r>
        <w:rPr>
          <w:rFonts w:ascii="Courier New" w:hAnsi="Courier New" w:cs="Courier New"/>
          <w:color w:val="222222"/>
          <w:szCs w:val="24"/>
        </w:rPr>
        <w:t>duction</w:t>
      </w:r>
      <w:r w:rsidRPr="002C3B15">
        <w:rPr>
          <w:rFonts w:ascii="Courier New" w:hAnsi="Courier New" w:cs="Courier New"/>
          <w:color w:val="222222"/>
          <w:szCs w:val="24"/>
        </w:rPr>
        <w:t xml:space="preserve"> Act (PRA), agencies can request an OMB approval of an existing information collection.  The PRA requires that agencies use the Federal Register notice and comment process, to extend the OMB’s approval, at least every three years.  </w:t>
      </w:r>
      <w:r w:rsidRPr="002C3B15">
        <w:rPr>
          <w:rFonts w:ascii="Courier New" w:hAnsi="Courier New" w:cs="Courier New"/>
          <w:color w:val="222222"/>
          <w:szCs w:val="24"/>
          <w:shd w:val="clear" w:color="auto" w:fill="FFFFFF"/>
        </w:rPr>
        <w:t xml:space="preserve">This extension, to a previously approved information collection, pertains to </w:t>
      </w:r>
      <w:r>
        <w:rPr>
          <w:rFonts w:ascii="Courier New" w:hAnsi="Courier New" w:cs="Courier New"/>
          <w:color w:val="222222"/>
          <w:szCs w:val="24"/>
          <w:shd w:val="clear" w:color="auto" w:fill="FFFFFF"/>
        </w:rPr>
        <w:t>t</w:t>
      </w:r>
      <w:r w:rsidRPr="002C3B15">
        <w:rPr>
          <w:rFonts w:ascii="Courier New" w:hAnsi="Courier New" w:cs="Courier New"/>
          <w:szCs w:val="24"/>
        </w:rPr>
        <w:t xml:space="preserve">he provision at </w:t>
      </w:r>
      <w:r>
        <w:rPr>
          <w:rFonts w:ascii="Courier New" w:hAnsi="Courier New" w:cs="Courier New"/>
          <w:szCs w:val="24"/>
        </w:rPr>
        <w:t xml:space="preserve">FAR </w:t>
      </w:r>
      <w:r w:rsidRPr="002C3B15">
        <w:rPr>
          <w:rFonts w:ascii="Courier New" w:hAnsi="Courier New" w:cs="Courier New"/>
          <w:szCs w:val="24"/>
        </w:rPr>
        <w:t xml:space="preserve">52.207-4, Economic Purchase Quantity—Supplies, </w:t>
      </w:r>
      <w:r>
        <w:rPr>
          <w:rFonts w:ascii="Courier New" w:hAnsi="Courier New" w:cs="Courier New"/>
          <w:szCs w:val="24"/>
        </w:rPr>
        <w:t xml:space="preserve">which </w:t>
      </w:r>
      <w:r w:rsidRPr="002C3B15">
        <w:rPr>
          <w:rFonts w:ascii="Courier New" w:hAnsi="Courier New" w:cs="Courier New"/>
          <w:szCs w:val="24"/>
        </w:rPr>
        <w:t xml:space="preserve">invites </w:t>
      </w:r>
      <w:proofErr w:type="spellStart"/>
      <w:r w:rsidRPr="002C3B15">
        <w:rPr>
          <w:rFonts w:ascii="Courier New" w:hAnsi="Courier New" w:cs="Courier New"/>
          <w:szCs w:val="24"/>
        </w:rPr>
        <w:t>offerors</w:t>
      </w:r>
      <w:proofErr w:type="spellEnd"/>
      <w:r w:rsidRPr="002C3B15">
        <w:rPr>
          <w:rFonts w:ascii="Courier New" w:hAnsi="Courier New" w:cs="Courier New"/>
          <w:szCs w:val="24"/>
        </w:rPr>
        <w:t xml:space="preserve"> to state an opinion on whether the quantity of supplies on which bids, proposals, or quotes are requested in solicitations is economically advantageous to the Government.  Each </w:t>
      </w:r>
      <w:proofErr w:type="spellStart"/>
      <w:r w:rsidRPr="002C3B15">
        <w:rPr>
          <w:rFonts w:ascii="Courier New" w:hAnsi="Courier New" w:cs="Courier New"/>
          <w:szCs w:val="24"/>
        </w:rPr>
        <w:t>offeror</w:t>
      </w:r>
      <w:proofErr w:type="spellEnd"/>
      <w:r w:rsidRPr="002C3B15">
        <w:rPr>
          <w:rFonts w:ascii="Courier New" w:hAnsi="Courier New" w:cs="Courier New"/>
          <w:szCs w:val="24"/>
        </w:rPr>
        <w:t xml:space="preserve"> who believes that acquisitions in different quantities would be more advantageous is invited to (1) recommend an economic purchase quantity, showing a recommended unit and total price, and (2) identify the different quantity points where significant price breaks occur.  This information is required by Public Law 98-577 and Public Law 98-525.</w:t>
      </w:r>
      <w:r>
        <w:rPr>
          <w:rFonts w:ascii="Courier New" w:hAnsi="Courier New" w:cs="Courier New"/>
          <w:szCs w:val="24"/>
        </w:rPr>
        <w:t xml:space="preserve">  </w:t>
      </w:r>
      <w:r w:rsidRPr="002C3B15">
        <w:rPr>
          <w:rFonts w:ascii="Courier New" w:hAnsi="Courier New" w:cs="Courier New"/>
          <w:color w:val="222222"/>
          <w:szCs w:val="24"/>
        </w:rPr>
        <w:t>Not granting this extension would consequently eliminate FAR clauses that provide a benefit to the public and the agency collecting the information.</w:t>
      </w:r>
    </w:p>
    <w:p w:rsidR="003020DF" w:rsidRPr="002C3B15" w:rsidRDefault="003020DF" w:rsidP="003020DF">
      <w:pPr>
        <w:spacing w:before="0" w:line="240" w:lineRule="auto"/>
        <w:rPr>
          <w:rFonts w:ascii="Courier New" w:hAnsi="Courier New" w:cs="Courier New"/>
          <w:color w:val="222222"/>
          <w:szCs w:val="24"/>
        </w:rPr>
      </w:pPr>
      <w:r w:rsidRPr="002C3B15">
        <w:rPr>
          <w:rFonts w:ascii="Courier New" w:hAnsi="Courier New" w:cs="Courier New"/>
          <w:b/>
          <w:color w:val="222222"/>
          <w:szCs w:val="24"/>
        </w:rPr>
        <w:tab/>
        <w:t>Comment:</w:t>
      </w:r>
      <w:r w:rsidRPr="002C3B15">
        <w:rPr>
          <w:rFonts w:ascii="Courier New" w:hAnsi="Courier New" w:cs="Courier New"/>
          <w:color w:val="222222"/>
          <w:szCs w:val="24"/>
        </w:rPr>
        <w:t xml:space="preserve">  The respondent commented that the agency did not accurately estimate the public burden challenging that the agency’s methodology for calculating it is insufficient and inadequate and does not reflect the total burden.  For this reason, the respondent provided that the agency should reassess the estimated total burden hours and revise the estimate upwards to be more accurate, as was done in FAR Case 2007-006.  The same respondent also provided that the burden of compliance with the information collection requirement greatly exceeds the agency’s estimate and outweighs any potential utility of the extension.</w:t>
      </w:r>
    </w:p>
    <w:p w:rsidR="003020DF" w:rsidRPr="002C3B15" w:rsidRDefault="003020DF" w:rsidP="003020DF">
      <w:pPr>
        <w:spacing w:before="0" w:line="240" w:lineRule="auto"/>
        <w:rPr>
          <w:rStyle w:val="apple-converted-space"/>
          <w:rFonts w:ascii="Courier New" w:hAnsi="Courier New" w:cs="Courier New"/>
          <w:color w:val="363636"/>
          <w:szCs w:val="24"/>
          <w:shd w:val="clear" w:color="auto" w:fill="FFFFFF"/>
        </w:rPr>
      </w:pPr>
      <w:r w:rsidRPr="002C3B15">
        <w:rPr>
          <w:rFonts w:ascii="Courier New" w:hAnsi="Courier New" w:cs="Courier New"/>
          <w:color w:val="222222"/>
          <w:szCs w:val="24"/>
        </w:rPr>
        <w:tab/>
      </w:r>
      <w:r w:rsidRPr="002C3B15">
        <w:rPr>
          <w:rFonts w:ascii="Courier New" w:hAnsi="Courier New" w:cs="Courier New"/>
          <w:b/>
          <w:color w:val="222222"/>
          <w:szCs w:val="24"/>
        </w:rPr>
        <w:t>Response</w:t>
      </w:r>
      <w:r w:rsidRPr="002C3B15">
        <w:rPr>
          <w:rFonts w:ascii="Courier New" w:hAnsi="Courier New" w:cs="Courier New"/>
          <w:color w:val="222222"/>
          <w:szCs w:val="24"/>
        </w:rPr>
        <w:t>: S</w:t>
      </w:r>
      <w:r w:rsidRPr="002C3B15">
        <w:rPr>
          <w:rFonts w:ascii="Courier New" w:hAnsi="Courier New" w:cs="Courier New"/>
          <w:color w:val="222222"/>
          <w:szCs w:val="24"/>
          <w:shd w:val="clear" w:color="auto" w:fill="FFFFFF"/>
        </w:rPr>
        <w:t xml:space="preserve">erious consideration is given, during the open comment period, to all comments received and adjustments are made to the </w:t>
      </w:r>
      <w:r w:rsidRPr="002C3B15">
        <w:rPr>
          <w:rFonts w:ascii="Courier New" w:hAnsi="Courier New" w:cs="Courier New"/>
          <w:color w:val="222222"/>
          <w:szCs w:val="24"/>
        </w:rPr>
        <w:t>paperwork</w:t>
      </w:r>
      <w:r w:rsidRPr="002C3B15">
        <w:rPr>
          <w:rStyle w:val="apple-converted-space"/>
          <w:rFonts w:ascii="Courier New" w:hAnsi="Courier New" w:cs="Courier New"/>
          <w:color w:val="222222"/>
          <w:szCs w:val="24"/>
        </w:rPr>
        <w:t> </w:t>
      </w:r>
      <w:r w:rsidRPr="002C3B15">
        <w:rPr>
          <w:rStyle w:val="il"/>
          <w:rFonts w:ascii="Courier New" w:hAnsi="Courier New" w:cs="Courier New"/>
          <w:color w:val="222222"/>
          <w:szCs w:val="24"/>
        </w:rPr>
        <w:t>burden</w:t>
      </w:r>
      <w:r w:rsidRPr="002C3B15">
        <w:rPr>
          <w:rStyle w:val="apple-converted-space"/>
          <w:rFonts w:ascii="Courier New" w:hAnsi="Courier New" w:cs="Courier New"/>
          <w:color w:val="222222"/>
          <w:szCs w:val="24"/>
        </w:rPr>
        <w:t> </w:t>
      </w:r>
      <w:r w:rsidRPr="002C3B15">
        <w:rPr>
          <w:rFonts w:ascii="Courier New" w:hAnsi="Courier New" w:cs="Courier New"/>
          <w:color w:val="222222"/>
          <w:szCs w:val="24"/>
        </w:rPr>
        <w:t>estimate</w:t>
      </w:r>
      <w:r w:rsidRPr="002C3B15">
        <w:rPr>
          <w:rFonts w:ascii="Courier New" w:hAnsi="Courier New" w:cs="Courier New"/>
          <w:color w:val="222222"/>
          <w:szCs w:val="24"/>
          <w:shd w:val="clear" w:color="auto" w:fill="FFFFFF"/>
        </w:rPr>
        <w:t xml:space="preserve"> based on reasonable considerations provided by the public.  This is evidenced, as </w:t>
      </w:r>
      <w:r w:rsidRPr="002C3B15">
        <w:rPr>
          <w:rFonts w:ascii="Courier New" w:hAnsi="Courier New" w:cs="Courier New"/>
          <w:color w:val="222222"/>
          <w:szCs w:val="24"/>
          <w:shd w:val="clear" w:color="auto" w:fill="FFFFFF"/>
        </w:rPr>
        <w:lastRenderedPageBreak/>
        <w:t xml:space="preserve">the respondent notes, in FAR Case 2007-006 where an adjustment was made from the total preparation hours from three to 60.  This change was made </w:t>
      </w:r>
      <w:r w:rsidRPr="002C3B15">
        <w:rPr>
          <w:rFonts w:ascii="Courier New" w:hAnsi="Courier New" w:cs="Courier New"/>
          <w:color w:val="363636"/>
          <w:szCs w:val="24"/>
          <w:shd w:val="clear" w:color="auto" w:fill="FFFFFF"/>
        </w:rPr>
        <w:t>considering particularly the hours that would be required for review within the company, prior to release to the Government. </w:t>
      </w:r>
      <w:r w:rsidRPr="002C3B15">
        <w:rPr>
          <w:rStyle w:val="apple-converted-space"/>
          <w:rFonts w:ascii="Courier New" w:hAnsi="Courier New" w:cs="Courier New"/>
          <w:color w:val="363636"/>
          <w:szCs w:val="24"/>
          <w:shd w:val="clear" w:color="auto" w:fill="FFFFFF"/>
        </w:rPr>
        <w:t> </w:t>
      </w:r>
    </w:p>
    <w:p w:rsidR="003020DF" w:rsidRDefault="003020DF" w:rsidP="003020DF">
      <w:pPr>
        <w:spacing w:before="0" w:line="240" w:lineRule="auto"/>
        <w:rPr>
          <w:rFonts w:ascii="Courier New" w:hAnsi="Courier New" w:cs="Courier New"/>
          <w:color w:val="222222"/>
          <w:szCs w:val="24"/>
          <w:shd w:val="clear" w:color="auto" w:fill="FFFFFF"/>
        </w:rPr>
      </w:pPr>
      <w:r w:rsidRPr="002C3B15">
        <w:rPr>
          <w:rStyle w:val="apple-converted-space"/>
          <w:rFonts w:ascii="Courier New" w:hAnsi="Courier New" w:cs="Courier New"/>
          <w:color w:val="363636"/>
          <w:szCs w:val="24"/>
          <w:shd w:val="clear" w:color="auto" w:fill="FFFFFF"/>
        </w:rPr>
        <w:tab/>
        <w:t xml:space="preserve">The burden is prepared </w:t>
      </w:r>
      <w:r w:rsidRPr="002C3B15">
        <w:rPr>
          <w:rFonts w:ascii="Courier New" w:hAnsi="Courier New" w:cs="Courier New"/>
          <w:color w:val="333333"/>
          <w:szCs w:val="24"/>
          <w:shd w:val="clear" w:color="auto" w:fill="FFFFFF"/>
        </w:rPr>
        <w:t>taking into consideration the necessary criteria in OMB guidance for estimating the paperwork burden put on the entity submitting the information.  For example, consideration is given to an entity reviewing instructions; using technology to collect, process, and disclose information; adjusting existing practices to comply with requirements; searching data sources; completing and reviewing the response; and transmitting or disclosing information.</w:t>
      </w:r>
      <w:r w:rsidRPr="002C3B15">
        <w:rPr>
          <w:rStyle w:val="apple-converted-space"/>
          <w:rFonts w:ascii="Courier New" w:hAnsi="Courier New" w:cs="Courier New"/>
          <w:color w:val="333333"/>
          <w:szCs w:val="24"/>
          <w:shd w:val="clear" w:color="auto" w:fill="FFFFFF"/>
        </w:rPr>
        <w:t> </w:t>
      </w:r>
      <w:r w:rsidRPr="002C3B15">
        <w:rPr>
          <w:rFonts w:ascii="Courier New" w:hAnsi="Courier New" w:cs="Courier New"/>
          <w:color w:val="363636"/>
          <w:szCs w:val="24"/>
          <w:shd w:val="clear" w:color="auto" w:fill="FFFFFF"/>
        </w:rPr>
        <w:t>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w:t>
      </w:r>
      <w:r w:rsidRPr="002C3B15">
        <w:rPr>
          <w:rFonts w:ascii="Courier New" w:hAnsi="Courier New" w:cs="Courier New"/>
          <w:color w:val="222222"/>
          <w:szCs w:val="24"/>
          <w:shd w:val="clear" w:color="auto" w:fill="FFFFFF"/>
        </w:rPr>
        <w:t xml:space="preserve">  </w:t>
      </w:r>
    </w:p>
    <w:p w:rsidR="003020DF" w:rsidRPr="00A529A6" w:rsidRDefault="003020DF" w:rsidP="00FC2FC6">
      <w:pPr>
        <w:spacing w:before="0"/>
        <w:rPr>
          <w:rFonts w:ascii="Courier New" w:hAnsi="Courier New" w:cs="Courier New"/>
          <w:color w:val="222222"/>
          <w:szCs w:val="24"/>
        </w:rPr>
      </w:pPr>
      <w:r>
        <w:rPr>
          <w:rFonts w:ascii="Courier New" w:hAnsi="Courier New" w:cs="Courier New"/>
          <w:color w:val="222222"/>
          <w:szCs w:val="24"/>
          <w:shd w:val="clear" w:color="auto" w:fill="FFFFFF"/>
        </w:rPr>
        <w:tab/>
      </w:r>
      <w:r w:rsidRPr="002C3B15">
        <w:rPr>
          <w:rFonts w:ascii="Courier New" w:hAnsi="Courier New" w:cs="Courier New"/>
          <w:color w:val="222222"/>
          <w:szCs w:val="24"/>
          <w:shd w:val="clear" w:color="auto" w:fill="FFFFFF"/>
        </w:rPr>
        <w:t xml:space="preserve">Careful consideration went into </w:t>
      </w:r>
      <w:r w:rsidRPr="002C3B15">
        <w:rPr>
          <w:rStyle w:val="apple-converted-space"/>
          <w:rFonts w:ascii="Courier New" w:hAnsi="Courier New" w:cs="Courier New"/>
          <w:color w:val="222222"/>
          <w:szCs w:val="24"/>
          <w:shd w:val="clear" w:color="auto" w:fill="FFFFFF"/>
        </w:rPr>
        <w:t xml:space="preserve">assessing </w:t>
      </w:r>
      <w:r w:rsidRPr="002C3B15">
        <w:rPr>
          <w:rFonts w:ascii="Courier New" w:hAnsi="Courier New" w:cs="Courier New"/>
          <w:color w:val="222222"/>
          <w:szCs w:val="24"/>
          <w:shd w:val="clear" w:color="auto" w:fill="FFFFFF"/>
        </w:rPr>
        <w:t>the</w:t>
      </w:r>
      <w:r w:rsidRPr="002C3B15">
        <w:rPr>
          <w:rStyle w:val="apple-converted-space"/>
          <w:rFonts w:ascii="Courier New" w:hAnsi="Courier New" w:cs="Courier New"/>
          <w:color w:val="222222"/>
          <w:szCs w:val="24"/>
          <w:shd w:val="clear" w:color="auto" w:fill="FFFFFF"/>
        </w:rPr>
        <w:t xml:space="preserve"> </w:t>
      </w:r>
      <w:r w:rsidRPr="002C3B15">
        <w:rPr>
          <w:rStyle w:val="il"/>
          <w:rFonts w:ascii="Courier New" w:hAnsi="Courier New" w:cs="Courier New"/>
          <w:color w:val="222222"/>
          <w:szCs w:val="24"/>
        </w:rPr>
        <w:t>burden</w:t>
      </w:r>
      <w:r w:rsidRPr="002C3B15">
        <w:rPr>
          <w:rStyle w:val="apple-converted-space"/>
          <w:rFonts w:ascii="Courier New" w:hAnsi="Courier New" w:cs="Courier New"/>
          <w:color w:val="222222"/>
          <w:szCs w:val="24"/>
        </w:rPr>
        <w:t> </w:t>
      </w:r>
      <w:r w:rsidRPr="002C3B15">
        <w:rPr>
          <w:rFonts w:ascii="Courier New" w:hAnsi="Courier New" w:cs="Courier New"/>
          <w:color w:val="222222"/>
          <w:szCs w:val="24"/>
          <w:shd w:val="clear" w:color="auto" w:fill="FFFFFF"/>
        </w:rPr>
        <w:t xml:space="preserve">for this collection.  </w:t>
      </w:r>
      <w:r>
        <w:rPr>
          <w:rFonts w:ascii="Courier New" w:hAnsi="Courier New" w:cs="Courier New"/>
          <w:color w:val="222222"/>
          <w:szCs w:val="24"/>
          <w:shd w:val="clear" w:color="auto" w:fill="FFFFFF"/>
        </w:rPr>
        <w:t xml:space="preserve">There is no centralized database for the collection of the information associated with this requirement.  The solicitation provision of this information collection is not required to be inserted in contracts for the General Services Administration multiple award schedule contract program where numerous agencies place orders for supplies.  In addition, a contracting officer can determine not to include the provision in a solicitation for supplies under certain circumstances.  </w:t>
      </w:r>
      <w:r w:rsidR="00FC2FC6">
        <w:rPr>
          <w:rFonts w:ascii="Courier New" w:hAnsi="Courier New" w:cs="Courier New"/>
          <w:color w:val="222222"/>
          <w:szCs w:val="24"/>
          <w:shd w:val="clear" w:color="auto" w:fill="FFFFFF"/>
        </w:rPr>
        <w:t xml:space="preserve">Further, </w:t>
      </w:r>
      <w:r w:rsidR="00FC2FC6">
        <w:t xml:space="preserve">the FAR requirements </w:t>
      </w:r>
      <w:r w:rsidR="00BE1807">
        <w:t xml:space="preserve">to </w:t>
      </w:r>
      <w:r w:rsidR="00FC2FC6">
        <w:t xml:space="preserve">conduct market research significantly reduced the applicability of the provision because Government quantities are more in line with industry practices.  </w:t>
      </w:r>
      <w:r>
        <w:rPr>
          <w:rFonts w:ascii="Courier New" w:hAnsi="Courier New" w:cs="Courier New"/>
          <w:color w:val="222222"/>
          <w:szCs w:val="24"/>
          <w:shd w:val="clear" w:color="auto" w:fill="FFFFFF"/>
        </w:rPr>
        <w:t>However, based on the information submitted by the respondent an adjustment is made to the estimated burden.  A</w:t>
      </w:r>
      <w:r w:rsidRPr="002C3B15">
        <w:rPr>
          <w:rFonts w:ascii="Courier New" w:hAnsi="Courier New" w:cs="Courier New"/>
          <w:color w:val="222222"/>
          <w:szCs w:val="24"/>
          <w:shd w:val="clear" w:color="auto" w:fill="FFFFFF"/>
        </w:rPr>
        <w:t>t any point, members of the public may submit comments for further consideration, and are encouraged to provide data to support their request for an adjustment.</w:t>
      </w:r>
    </w:p>
    <w:p w:rsidR="002A11DB" w:rsidRDefault="002A11DB">
      <w:r>
        <w:t xml:space="preserve">9.  </w:t>
      </w:r>
      <w:r>
        <w:rPr>
          <w:b/>
        </w:rPr>
        <w:t>Explanation of any decision to provide any payment or gift to respondents, other than rem</w:t>
      </w:r>
      <w:r w:rsidR="001A1444">
        <w:rPr>
          <w:b/>
        </w:rPr>
        <w:t>un</w:t>
      </w:r>
      <w:r>
        <w:rPr>
          <w:b/>
        </w:rPr>
        <w:t>eration of contractors or guarantees</w:t>
      </w:r>
      <w:r>
        <w:t>.  Not applicable.</w:t>
      </w:r>
    </w:p>
    <w:p w:rsidR="002A11DB" w:rsidRDefault="002A11DB">
      <w:pPr>
        <w:spacing w:before="0"/>
      </w:pPr>
    </w:p>
    <w:p w:rsidR="002A11DB" w:rsidRDefault="002A11DB">
      <w:pPr>
        <w:spacing w:before="0"/>
      </w:pPr>
      <w:r>
        <w:t xml:space="preserve">10.  </w:t>
      </w:r>
      <w:r>
        <w:rPr>
          <w:b/>
        </w:rPr>
        <w:t>Describe assurance of confidentiality provided to respondents.</w:t>
      </w:r>
      <w:r>
        <w:t xml:space="preserve">  This information is disclosed only to the extent consistent with prudent business practices and current regulations.</w:t>
      </w:r>
    </w:p>
    <w:p w:rsidR="002A11DB" w:rsidRDefault="002A11DB">
      <w:pPr>
        <w:pStyle w:val="FRi"/>
        <w:tabs>
          <w:tab w:val="left" w:pos="560"/>
          <w:tab w:val="left" w:pos="1120"/>
        </w:tabs>
        <w:spacing w:before="0"/>
      </w:pPr>
    </w:p>
    <w:p w:rsidR="002A11DB" w:rsidRDefault="002A11DB">
      <w:pPr>
        <w:spacing w:before="0"/>
      </w:pPr>
      <w:r>
        <w:lastRenderedPageBreak/>
        <w:t xml:space="preserve">11.  </w:t>
      </w:r>
      <w:r>
        <w:rPr>
          <w:b/>
        </w:rPr>
        <w:t>Additional justification for questions of a sensitive nature.</w:t>
      </w:r>
      <w:r>
        <w:t xml:space="preserve">  No sensitive questions are involved.</w:t>
      </w:r>
    </w:p>
    <w:p w:rsidR="002A11DB" w:rsidRDefault="002A11DB">
      <w:pPr>
        <w:spacing w:before="0"/>
      </w:pPr>
    </w:p>
    <w:p w:rsidR="003020DF" w:rsidRDefault="002A11DB">
      <w:pPr>
        <w:spacing w:before="0"/>
      </w:pPr>
      <w:proofErr w:type="gramStart"/>
      <w:r>
        <w:t>12 &amp; 13.</w:t>
      </w:r>
      <w:proofErr w:type="gramEnd"/>
      <w:r>
        <w:t xml:space="preserve">  </w:t>
      </w:r>
      <w:r>
        <w:rPr>
          <w:b/>
        </w:rPr>
        <w:t>Estimated total annual public hours and cost burden.</w:t>
      </w:r>
      <w:r>
        <w:t xml:space="preserve">  </w:t>
      </w:r>
    </w:p>
    <w:p w:rsidR="003020DF" w:rsidRPr="003020DF" w:rsidRDefault="003020DF" w:rsidP="003020DF">
      <w:pPr>
        <w:tabs>
          <w:tab w:val="clear" w:pos="560"/>
          <w:tab w:val="clear" w:pos="1120"/>
          <w:tab w:val="clear" w:pos="1680"/>
          <w:tab w:val="clear" w:pos="2240"/>
        </w:tabs>
        <w:autoSpaceDE w:val="0"/>
        <w:autoSpaceDN w:val="0"/>
        <w:adjustRightInd w:val="0"/>
        <w:snapToGrid w:val="0"/>
        <w:spacing w:before="0" w:line="240" w:lineRule="auto"/>
        <w:rPr>
          <w:rFonts w:ascii="Courier New" w:hAnsi="Courier New" w:cs="Courier New"/>
          <w:color w:val="000000"/>
          <w:szCs w:val="24"/>
        </w:rPr>
      </w:pPr>
      <w:r w:rsidRPr="003020DF">
        <w:rPr>
          <w:rFonts w:ascii="Courier New" w:hAnsi="Courier New" w:cs="Courier New"/>
        </w:rPr>
        <w:t>The public comment</w:t>
      </w:r>
      <w:r w:rsidR="00FC2FC6">
        <w:rPr>
          <w:rFonts w:ascii="Courier New" w:hAnsi="Courier New" w:cs="Courier New"/>
        </w:rPr>
        <w:t>er</w:t>
      </w:r>
      <w:r w:rsidRPr="003020DF">
        <w:rPr>
          <w:rFonts w:ascii="Courier New" w:hAnsi="Courier New" w:cs="Courier New"/>
        </w:rPr>
        <w:t xml:space="preserve"> </w:t>
      </w:r>
      <w:r w:rsidRPr="003020DF">
        <w:rPr>
          <w:rFonts w:ascii="Courier New" w:hAnsi="Courier New" w:cs="Courier New"/>
          <w:color w:val="000000"/>
          <w:szCs w:val="24"/>
        </w:rPr>
        <w:t xml:space="preserve">stated that the </w:t>
      </w:r>
      <w:r w:rsidR="00FC2FC6" w:rsidRPr="003020DF">
        <w:rPr>
          <w:rFonts w:ascii="Courier New" w:hAnsi="Courier New" w:cs="Courier New"/>
          <w:color w:val="000000"/>
          <w:szCs w:val="24"/>
        </w:rPr>
        <w:t>estimated</w:t>
      </w:r>
      <w:r w:rsidRPr="003020DF">
        <w:rPr>
          <w:rFonts w:ascii="Courier New" w:hAnsi="Courier New" w:cs="Courier New"/>
          <w:color w:val="000000"/>
          <w:szCs w:val="24"/>
        </w:rPr>
        <w:t xml:space="preserve"> 1,524 </w:t>
      </w:r>
      <w:r w:rsidR="00FC2FC6">
        <w:rPr>
          <w:rFonts w:ascii="Courier New" w:hAnsi="Courier New" w:cs="Courier New"/>
          <w:color w:val="000000"/>
          <w:szCs w:val="24"/>
        </w:rPr>
        <w:t xml:space="preserve">respondents </w:t>
      </w:r>
      <w:proofErr w:type="gramStart"/>
      <w:r w:rsidRPr="003020DF">
        <w:rPr>
          <w:rFonts w:ascii="Courier New" w:hAnsi="Courier New" w:cs="Courier New"/>
          <w:color w:val="000000"/>
          <w:szCs w:val="24"/>
        </w:rPr>
        <w:t>is</w:t>
      </w:r>
      <w:proofErr w:type="gramEnd"/>
      <w:r w:rsidRPr="003020DF">
        <w:rPr>
          <w:rFonts w:ascii="Courier New" w:hAnsi="Courier New" w:cs="Courier New"/>
          <w:color w:val="000000"/>
          <w:szCs w:val="24"/>
        </w:rPr>
        <w:t xml:space="preserve"> significantly understated, as the requirements</w:t>
      </w:r>
      <w:r w:rsidR="00FC2FC6">
        <w:rPr>
          <w:rFonts w:ascii="Courier New" w:hAnsi="Courier New" w:cs="Courier New"/>
          <w:color w:val="000000"/>
          <w:szCs w:val="24"/>
        </w:rPr>
        <w:t xml:space="preserve"> </w:t>
      </w:r>
      <w:r w:rsidRPr="003020DF">
        <w:rPr>
          <w:rFonts w:ascii="Courier New" w:hAnsi="Courier New" w:cs="Courier New"/>
          <w:color w:val="000000"/>
          <w:szCs w:val="24"/>
        </w:rPr>
        <w:t xml:space="preserve">likely apply to ten to twenty times as many respondents. However, the </w:t>
      </w:r>
      <w:proofErr w:type="spellStart"/>
      <w:r w:rsidR="00FC2FC6">
        <w:rPr>
          <w:rFonts w:ascii="Courier New" w:hAnsi="Courier New" w:cs="Courier New"/>
          <w:color w:val="000000"/>
          <w:szCs w:val="24"/>
        </w:rPr>
        <w:t>commeter</w:t>
      </w:r>
      <w:proofErr w:type="spellEnd"/>
      <w:r w:rsidRPr="003020DF">
        <w:rPr>
          <w:rFonts w:ascii="Courier New" w:hAnsi="Courier New" w:cs="Courier New"/>
          <w:color w:val="000000"/>
          <w:szCs w:val="24"/>
        </w:rPr>
        <w:t xml:space="preserve"> did not provide the source of the estimate, so it could be relied on with any degree of certainty to make an adjustment as recommended.  The Government does not maintain a centralized database for the information, but in consideration of the public comment</w:t>
      </w:r>
      <w:r>
        <w:rPr>
          <w:rFonts w:ascii="Courier New" w:hAnsi="Courier New" w:cs="Courier New"/>
          <w:color w:val="000000"/>
          <w:szCs w:val="24"/>
        </w:rPr>
        <w:t>,</w:t>
      </w:r>
      <w:r w:rsidRPr="003020DF">
        <w:rPr>
          <w:rFonts w:ascii="Courier New" w:hAnsi="Courier New" w:cs="Courier New"/>
          <w:color w:val="000000"/>
          <w:szCs w:val="24"/>
        </w:rPr>
        <w:t xml:space="preserve"> the estimated number of respondents is increased by 100% to 3,000.  </w:t>
      </w:r>
      <w:r>
        <w:rPr>
          <w:rFonts w:ascii="Courier New" w:hAnsi="Courier New" w:cs="Courier New"/>
          <w:color w:val="000000"/>
          <w:szCs w:val="24"/>
        </w:rPr>
        <w:t xml:space="preserve">The estimated number of responses is unchanged despite the respondents comment that </w:t>
      </w:r>
      <w:r w:rsidRPr="003020DF">
        <w:rPr>
          <w:rFonts w:ascii="Courier New" w:hAnsi="Courier New" w:cs="Courier New"/>
          <w:color w:val="000000"/>
          <w:szCs w:val="24"/>
        </w:rPr>
        <w:t>it is unrealistically low for larger</w:t>
      </w:r>
      <w:r>
        <w:rPr>
          <w:rFonts w:ascii="Courier New" w:hAnsi="Courier New" w:cs="Courier New"/>
          <w:color w:val="000000"/>
          <w:szCs w:val="24"/>
        </w:rPr>
        <w:t xml:space="preserve"> </w:t>
      </w:r>
      <w:r w:rsidRPr="003020DF">
        <w:rPr>
          <w:rFonts w:ascii="Courier New" w:hAnsi="Courier New" w:cs="Courier New"/>
          <w:color w:val="000000"/>
          <w:szCs w:val="24"/>
        </w:rPr>
        <w:t xml:space="preserve">companies that perform extensive government contracts. </w:t>
      </w:r>
      <w:r>
        <w:rPr>
          <w:rFonts w:ascii="Courier New" w:hAnsi="Courier New" w:cs="Courier New"/>
          <w:color w:val="000000"/>
          <w:szCs w:val="24"/>
        </w:rPr>
        <w:t xml:space="preserve">The estimated number of responses remains as a valid assumption for the average among small and large companies providing the information for this collection.  </w:t>
      </w:r>
    </w:p>
    <w:p w:rsidR="003020DF" w:rsidRPr="00FC2FC6" w:rsidRDefault="00FC2FC6" w:rsidP="003020DF">
      <w:pPr>
        <w:tabs>
          <w:tab w:val="clear" w:pos="560"/>
          <w:tab w:val="clear" w:pos="1120"/>
          <w:tab w:val="clear" w:pos="1680"/>
          <w:tab w:val="clear" w:pos="2240"/>
        </w:tabs>
        <w:autoSpaceDE w:val="0"/>
        <w:autoSpaceDN w:val="0"/>
        <w:adjustRightInd w:val="0"/>
        <w:snapToGrid w:val="0"/>
        <w:spacing w:before="0" w:line="240" w:lineRule="auto"/>
        <w:rPr>
          <w:rFonts w:ascii="Courier New" w:hAnsi="Courier New" w:cs="Courier New"/>
          <w:color w:val="000000"/>
          <w:szCs w:val="24"/>
        </w:rPr>
      </w:pPr>
      <w:r>
        <w:rPr>
          <w:rFonts w:ascii="Courier New" w:hAnsi="Courier New" w:cs="Courier New"/>
          <w:color w:val="000000"/>
          <w:szCs w:val="24"/>
        </w:rPr>
        <w:t xml:space="preserve">An adjustment is made to the estimated responses time based on the comment that 0.83 is </w:t>
      </w:r>
      <w:r w:rsidR="003020DF" w:rsidRPr="003020DF">
        <w:rPr>
          <w:rFonts w:ascii="Courier New" w:hAnsi="Courier New" w:cs="Courier New"/>
          <w:color w:val="000000"/>
          <w:szCs w:val="24"/>
        </w:rPr>
        <w:t>too</w:t>
      </w:r>
      <w:r>
        <w:rPr>
          <w:rFonts w:ascii="Courier New" w:hAnsi="Courier New" w:cs="Courier New"/>
          <w:color w:val="000000"/>
          <w:szCs w:val="24"/>
        </w:rPr>
        <w:t xml:space="preserve"> low</w:t>
      </w:r>
      <w:r w:rsidR="003020DF" w:rsidRPr="003020DF">
        <w:rPr>
          <w:rFonts w:ascii="Courier New" w:hAnsi="Courier New" w:cs="Courier New"/>
          <w:color w:val="000000"/>
          <w:szCs w:val="24"/>
        </w:rPr>
        <w:t xml:space="preserve"> </w:t>
      </w:r>
      <w:r>
        <w:rPr>
          <w:rFonts w:ascii="Courier New" w:hAnsi="Courier New" w:cs="Courier New"/>
          <w:color w:val="000000"/>
          <w:szCs w:val="24"/>
        </w:rPr>
        <w:t>t</w:t>
      </w:r>
      <w:r w:rsidR="003020DF" w:rsidRPr="003020DF">
        <w:rPr>
          <w:rFonts w:ascii="Courier New" w:hAnsi="Courier New" w:cs="Courier New"/>
          <w:color w:val="000000"/>
          <w:szCs w:val="24"/>
        </w:rPr>
        <w:t xml:space="preserve">o comply </w:t>
      </w:r>
      <w:r>
        <w:rPr>
          <w:rFonts w:ascii="Courier New" w:hAnsi="Courier New" w:cs="Courier New"/>
          <w:color w:val="000000"/>
          <w:szCs w:val="24"/>
        </w:rPr>
        <w:t xml:space="preserve">with </w:t>
      </w:r>
      <w:r w:rsidR="003020DF" w:rsidRPr="003020DF">
        <w:rPr>
          <w:rFonts w:ascii="Courier New" w:hAnsi="Courier New" w:cs="Courier New"/>
          <w:color w:val="000000"/>
          <w:szCs w:val="24"/>
        </w:rPr>
        <w:t>under an hour.</w:t>
      </w:r>
      <w:r>
        <w:rPr>
          <w:rFonts w:ascii="Courier New" w:hAnsi="Courier New" w:cs="Courier New"/>
          <w:color w:val="000000"/>
          <w:szCs w:val="24"/>
        </w:rPr>
        <w:t xml:space="preserve">  The estimate is increased to one hour.</w:t>
      </w:r>
    </w:p>
    <w:p w:rsidR="003020DF" w:rsidRDefault="003020DF">
      <w:pPr>
        <w:spacing w:before="0"/>
      </w:pPr>
    </w:p>
    <w:p w:rsidR="002A11DB" w:rsidRDefault="002A11DB">
      <w:pPr>
        <w:tabs>
          <w:tab w:val="clear" w:pos="560"/>
          <w:tab w:val="clear" w:pos="1120"/>
          <w:tab w:val="clear" w:pos="1680"/>
          <w:tab w:val="clear" w:pos="2240"/>
          <w:tab w:val="left" w:leader="dot" w:pos="7740"/>
          <w:tab w:val="right" w:pos="9270"/>
        </w:tabs>
        <w:spacing w:before="0"/>
      </w:pPr>
      <w:r>
        <w:t>Estimated respondents/yr</w:t>
      </w:r>
      <w:r>
        <w:tab/>
      </w:r>
      <w:r>
        <w:tab/>
      </w:r>
      <w:r w:rsidR="00FC2FC6">
        <w:t>3,000</w:t>
      </w:r>
    </w:p>
    <w:p w:rsidR="002A11DB" w:rsidRDefault="002A11DB">
      <w:pPr>
        <w:tabs>
          <w:tab w:val="clear" w:pos="560"/>
          <w:tab w:val="clear" w:pos="1120"/>
          <w:tab w:val="clear" w:pos="1680"/>
          <w:tab w:val="clear" w:pos="2240"/>
          <w:tab w:val="left" w:leader="dot" w:pos="7740"/>
          <w:tab w:val="left" w:pos="7920"/>
          <w:tab w:val="right" w:pos="9270"/>
        </w:tabs>
        <w:spacing w:before="0"/>
        <w:rPr>
          <w:u w:val="single"/>
        </w:rPr>
      </w:pPr>
      <w:r>
        <w:t>Responses annually</w:t>
      </w:r>
      <w:r>
        <w:tab/>
      </w:r>
      <w:r>
        <w:tab/>
      </w:r>
      <w:r>
        <w:tab/>
      </w:r>
      <w:r>
        <w:rPr>
          <w:u w:val="single"/>
        </w:rPr>
        <w:t>x 25</w:t>
      </w:r>
    </w:p>
    <w:p w:rsidR="002A11DB" w:rsidRDefault="002A11DB">
      <w:pPr>
        <w:tabs>
          <w:tab w:val="clear" w:pos="560"/>
          <w:tab w:val="clear" w:pos="1120"/>
          <w:tab w:val="clear" w:pos="1680"/>
          <w:tab w:val="clear" w:pos="2240"/>
          <w:tab w:val="left" w:leader="dot" w:pos="7740"/>
          <w:tab w:val="right" w:pos="9270"/>
        </w:tabs>
        <w:spacing w:before="0"/>
      </w:pPr>
      <w:r>
        <w:t>Total annual responses</w:t>
      </w:r>
      <w:r>
        <w:tab/>
      </w:r>
      <w:r>
        <w:tab/>
      </w:r>
      <w:r w:rsidR="00FC2FC6">
        <w:t>75,000</w:t>
      </w:r>
    </w:p>
    <w:p w:rsidR="002A11DB" w:rsidRDefault="002A11DB">
      <w:pPr>
        <w:tabs>
          <w:tab w:val="clear" w:pos="560"/>
          <w:tab w:val="clear" w:pos="1120"/>
          <w:tab w:val="clear" w:pos="1680"/>
          <w:tab w:val="clear" w:pos="2240"/>
          <w:tab w:val="left" w:leader="dot" w:pos="7740"/>
          <w:tab w:val="left" w:pos="7920"/>
          <w:tab w:val="right" w:pos="9270"/>
        </w:tabs>
        <w:spacing w:before="0"/>
      </w:pPr>
      <w:r>
        <w:t>Estimated hrs/response</w:t>
      </w:r>
      <w:r>
        <w:tab/>
      </w:r>
      <w:r>
        <w:tab/>
      </w:r>
      <w:r>
        <w:tab/>
      </w:r>
      <w:r>
        <w:rPr>
          <w:u w:val="single"/>
        </w:rPr>
        <w:t xml:space="preserve">x </w:t>
      </w:r>
      <w:r w:rsidR="00FC2FC6">
        <w:rPr>
          <w:u w:val="single"/>
        </w:rPr>
        <w:t>1</w:t>
      </w:r>
    </w:p>
    <w:p w:rsidR="002A11DB" w:rsidRDefault="002A11DB">
      <w:pPr>
        <w:tabs>
          <w:tab w:val="clear" w:pos="560"/>
          <w:tab w:val="clear" w:pos="1120"/>
          <w:tab w:val="clear" w:pos="1680"/>
          <w:tab w:val="clear" w:pos="2240"/>
          <w:tab w:val="left" w:leader="dot" w:pos="7740"/>
          <w:tab w:val="right" w:pos="9270"/>
        </w:tabs>
        <w:spacing w:before="0"/>
      </w:pPr>
      <w:r>
        <w:t>Estimated total burden/hrs</w:t>
      </w:r>
      <w:r>
        <w:tab/>
      </w:r>
      <w:r>
        <w:tab/>
      </w:r>
      <w:r w:rsidR="00FC2FC6">
        <w:t>75,000</w:t>
      </w:r>
    </w:p>
    <w:p w:rsidR="002A11DB" w:rsidRDefault="002A11DB">
      <w:pPr>
        <w:tabs>
          <w:tab w:val="clear" w:pos="560"/>
          <w:tab w:val="clear" w:pos="1120"/>
          <w:tab w:val="clear" w:pos="1680"/>
          <w:tab w:val="clear" w:pos="2240"/>
          <w:tab w:val="left" w:leader="dot" w:pos="7740"/>
          <w:tab w:val="right" w:pos="9270"/>
        </w:tabs>
        <w:spacing w:before="0"/>
      </w:pPr>
      <w:r>
        <w:t xml:space="preserve">Estimated cost to </w:t>
      </w:r>
      <w:r w:rsidR="002C3A3C">
        <w:t>public (</w:t>
      </w:r>
      <w:r>
        <w:t>$</w:t>
      </w:r>
      <w:r w:rsidR="0021262B">
        <w:t>32.73</w:t>
      </w:r>
      <w:r w:rsidR="001A1444">
        <w:rPr>
          <w:rStyle w:val="FootnoteReference"/>
        </w:rPr>
        <w:footnoteReference w:id="1"/>
      </w:r>
      <w:r w:rsidR="0021262B">
        <w:t xml:space="preserve"> </w:t>
      </w:r>
      <w:r>
        <w:t xml:space="preserve">+ </w:t>
      </w:r>
      <w:r w:rsidR="00FC7489">
        <w:t>36.45</w:t>
      </w:r>
      <w:r>
        <w:t>% OH</w:t>
      </w:r>
      <w:r w:rsidR="00FC7489">
        <w:rPr>
          <w:rStyle w:val="FootnoteReference"/>
        </w:rPr>
        <w:footnoteReference w:id="2"/>
      </w:r>
      <w:r>
        <w:t>)</w:t>
      </w:r>
      <w:r>
        <w:tab/>
      </w:r>
      <w:r>
        <w:tab/>
        <w:t>$</w:t>
      </w:r>
      <w:r w:rsidR="00FC2FC6">
        <w:t>3,349,506</w:t>
      </w:r>
    </w:p>
    <w:p w:rsidR="002A11DB" w:rsidRDefault="002A11DB">
      <w:pPr>
        <w:spacing w:before="0"/>
      </w:pPr>
    </w:p>
    <w:p w:rsidR="002A11DB" w:rsidRDefault="002A11DB">
      <w:pPr>
        <w:spacing w:before="0"/>
      </w:pPr>
      <w:r>
        <w:t xml:space="preserve">14.  </w:t>
      </w:r>
      <w:r>
        <w:rPr>
          <w:b/>
        </w:rPr>
        <w:t>Estimated cost to the Government</w:t>
      </w:r>
      <w:r>
        <w:t xml:space="preserve">.  Time required for </w:t>
      </w:r>
      <w:proofErr w:type="spellStart"/>
      <w:r>
        <w:t>Governmentwide</w:t>
      </w:r>
      <w:proofErr w:type="spellEnd"/>
      <w:r>
        <w:t xml:space="preserve"> review is estimated at 1 hour per response.</w:t>
      </w:r>
    </w:p>
    <w:p w:rsidR="002A11DB" w:rsidRDefault="002A11DB">
      <w:pPr>
        <w:spacing w:before="0"/>
      </w:pPr>
    </w:p>
    <w:p w:rsidR="002A11DB" w:rsidRDefault="002A11DB">
      <w:pPr>
        <w:spacing w:before="0"/>
        <w:jc w:val="center"/>
        <w:rPr>
          <w:u w:val="single"/>
        </w:rPr>
      </w:pPr>
      <w:r>
        <w:rPr>
          <w:u w:val="single"/>
        </w:rPr>
        <w:t>Annual Reporting Burden and Cost</w:t>
      </w:r>
    </w:p>
    <w:p w:rsidR="002A11DB" w:rsidRDefault="002A11DB">
      <w:pPr>
        <w:spacing w:before="0"/>
        <w:jc w:val="center"/>
      </w:pPr>
    </w:p>
    <w:p w:rsidR="002A11DB" w:rsidRDefault="002A11DB">
      <w:pPr>
        <w:tabs>
          <w:tab w:val="clear" w:pos="560"/>
          <w:tab w:val="clear" w:pos="1120"/>
          <w:tab w:val="clear" w:pos="1680"/>
          <w:tab w:val="clear" w:pos="2240"/>
          <w:tab w:val="left" w:leader="dot" w:pos="7740"/>
          <w:tab w:val="right" w:pos="9270"/>
        </w:tabs>
        <w:spacing w:before="0"/>
      </w:pPr>
      <w:r>
        <w:t>Reviewing time/hr</w:t>
      </w:r>
      <w:r>
        <w:tab/>
      </w:r>
      <w:r>
        <w:tab/>
        <w:t>1</w:t>
      </w:r>
    </w:p>
    <w:p w:rsidR="002A11DB" w:rsidRDefault="002A11DB">
      <w:pPr>
        <w:tabs>
          <w:tab w:val="clear" w:pos="560"/>
          <w:tab w:val="clear" w:pos="1120"/>
          <w:tab w:val="clear" w:pos="1680"/>
          <w:tab w:val="clear" w:pos="2240"/>
          <w:tab w:val="left" w:leader="dot" w:pos="7740"/>
          <w:tab w:val="left" w:pos="7920"/>
          <w:tab w:val="right" w:pos="9270"/>
        </w:tabs>
        <w:spacing w:before="0"/>
        <w:rPr>
          <w:u w:val="single"/>
        </w:rPr>
      </w:pPr>
      <w:r>
        <w:t>Responses/yr</w:t>
      </w:r>
      <w:r>
        <w:tab/>
      </w:r>
      <w:r>
        <w:tab/>
      </w:r>
      <w:r>
        <w:tab/>
        <w:t xml:space="preserve">x </w:t>
      </w:r>
      <w:r w:rsidR="00FC2FC6">
        <w:rPr>
          <w:u w:val="single"/>
        </w:rPr>
        <w:t>75,000</w:t>
      </w:r>
    </w:p>
    <w:p w:rsidR="002A11DB" w:rsidRDefault="002A11DB">
      <w:pPr>
        <w:tabs>
          <w:tab w:val="clear" w:pos="560"/>
          <w:tab w:val="clear" w:pos="1120"/>
          <w:tab w:val="clear" w:pos="1680"/>
          <w:tab w:val="clear" w:pos="2240"/>
          <w:tab w:val="left" w:leader="dot" w:pos="7740"/>
          <w:tab w:val="left" w:pos="7920"/>
          <w:tab w:val="right" w:pos="9270"/>
        </w:tabs>
        <w:spacing w:before="0"/>
      </w:pPr>
      <w:r>
        <w:t>Review time/yr</w:t>
      </w:r>
      <w:r>
        <w:tab/>
      </w:r>
      <w:r>
        <w:tab/>
      </w:r>
      <w:r>
        <w:tab/>
      </w:r>
      <w:r w:rsidR="00FC2FC6">
        <w:t>75,000</w:t>
      </w:r>
    </w:p>
    <w:p w:rsidR="002A11DB" w:rsidRDefault="002A11DB">
      <w:pPr>
        <w:tabs>
          <w:tab w:val="clear" w:pos="560"/>
          <w:tab w:val="clear" w:pos="1120"/>
          <w:tab w:val="clear" w:pos="1680"/>
          <w:tab w:val="clear" w:pos="2240"/>
          <w:tab w:val="left" w:leader="dot" w:pos="7740"/>
          <w:tab w:val="left" w:pos="7920"/>
          <w:tab w:val="right" w:pos="9270"/>
        </w:tabs>
        <w:spacing w:before="0"/>
        <w:rPr>
          <w:u w:val="single"/>
        </w:rPr>
      </w:pPr>
      <w:r>
        <w:t>Average wages/</w:t>
      </w:r>
      <w:proofErr w:type="gramStart"/>
      <w:r>
        <w:t>hr(</w:t>
      </w:r>
      <w:proofErr w:type="gramEnd"/>
      <w:r>
        <w:t>$</w:t>
      </w:r>
      <w:r w:rsidR="0021262B">
        <w:t>32.73</w:t>
      </w:r>
      <w:r>
        <w:t>)</w:t>
      </w:r>
      <w:r>
        <w:tab/>
      </w:r>
      <w:r>
        <w:tab/>
      </w:r>
      <w:r>
        <w:tab/>
      </w:r>
      <w:r w:rsidR="00CC4F57">
        <w:rPr>
          <w:u w:val="single"/>
        </w:rPr>
        <w:t>x $</w:t>
      </w:r>
      <w:r w:rsidR="0021262B">
        <w:rPr>
          <w:u w:val="single"/>
        </w:rPr>
        <w:t>32.73</w:t>
      </w:r>
    </w:p>
    <w:p w:rsidR="002A11DB" w:rsidRPr="00284016" w:rsidRDefault="00FC2FC6">
      <w:pPr>
        <w:tabs>
          <w:tab w:val="clear" w:pos="560"/>
          <w:tab w:val="clear" w:pos="1120"/>
          <w:tab w:val="clear" w:pos="1680"/>
          <w:tab w:val="clear" w:pos="2240"/>
          <w:tab w:val="left" w:leader="dot" w:pos="7740"/>
          <w:tab w:val="left" w:pos="7920"/>
          <w:tab w:val="right" w:pos="9270"/>
        </w:tabs>
        <w:spacing w:before="0"/>
      </w:pPr>
      <w:r w:rsidRPr="00284016">
        <w:t>Total Government cost</w:t>
      </w:r>
      <w:r w:rsidR="002A11DB">
        <w:tab/>
      </w:r>
      <w:r w:rsidR="002A11DB">
        <w:tab/>
      </w:r>
      <w:r w:rsidR="002A11DB">
        <w:tab/>
        <w:t>$</w:t>
      </w:r>
      <w:r>
        <w:t>2</w:t>
      </w:r>
      <w:proofErr w:type="gramStart"/>
      <w:r>
        <w:t>,454750</w:t>
      </w:r>
      <w:proofErr w:type="gramEnd"/>
    </w:p>
    <w:p w:rsidR="002A11DB" w:rsidRDefault="002A11DB">
      <w:pPr>
        <w:spacing w:before="0"/>
      </w:pPr>
    </w:p>
    <w:p w:rsidR="002A11DB" w:rsidRDefault="002A11DB">
      <w:pPr>
        <w:spacing w:before="0"/>
      </w:pPr>
      <w:r>
        <w:lastRenderedPageBreak/>
        <w:t xml:space="preserve">15.  </w:t>
      </w:r>
      <w:r>
        <w:rPr>
          <w:b/>
        </w:rPr>
        <w:t>Explain reasons for program changes or adjustments reported in Item 13 or 14</w:t>
      </w:r>
      <w:r>
        <w:t xml:space="preserve">.  This submission requests an extension of OMB approval of an information collection requirement in the Federal Acquisition Regulation (FAR).  The information collection requirement in the FAR remains unchanged.  </w:t>
      </w:r>
      <w:r w:rsidR="00A14C66">
        <w:t xml:space="preserve">However, an upward adjustment is made to the burden based on consideration of the public comment.  Additionally, the costs are adjusted for based on an update to the wage rates for the personnel preparing or reviewing the information.  </w:t>
      </w:r>
    </w:p>
    <w:p w:rsidR="002A11DB" w:rsidRDefault="002A11DB">
      <w:pPr>
        <w:spacing w:before="0"/>
      </w:pPr>
    </w:p>
    <w:p w:rsidR="002A11DB" w:rsidRDefault="002A11DB">
      <w:pPr>
        <w:numPr>
          <w:ilvl w:val="0"/>
          <w:numId w:val="1"/>
        </w:numPr>
        <w:spacing w:before="0"/>
        <w:ind w:left="0" w:firstLine="0"/>
      </w:pPr>
      <w:r>
        <w:rPr>
          <w:b/>
        </w:rPr>
        <w:t>Outline plans for published results of information collections.</w:t>
      </w:r>
      <w:r>
        <w:t xml:space="preserve">  Results will not be tabulated or published.</w:t>
      </w:r>
    </w:p>
    <w:p w:rsidR="002A11DB" w:rsidRDefault="002A11DB">
      <w:pPr>
        <w:rPr>
          <w:rFonts w:ascii="Courier New" w:hAnsi="Courier New"/>
        </w:rPr>
      </w:pPr>
      <w:r>
        <w:rPr>
          <w:rFonts w:ascii="Courier New" w:hAnsi="Courier New"/>
        </w:rPr>
        <w:t xml:space="preserve">17.  </w:t>
      </w:r>
      <w:r>
        <w:rPr>
          <w:rFonts w:ascii="Courier New" w:hAnsi="Courier New"/>
          <w:b/>
        </w:rPr>
        <w:t>Approval not to display expiration date</w:t>
      </w:r>
      <w:r>
        <w:rPr>
          <w:rFonts w:ascii="Courier New" w:hAnsi="Courier New"/>
        </w:rPr>
        <w:t>.  Not applicable.</w:t>
      </w:r>
    </w:p>
    <w:p w:rsidR="002A11DB" w:rsidRDefault="002A11DB">
      <w:pPr>
        <w:rPr>
          <w:rFonts w:ascii="Courier New" w:hAnsi="Courier New"/>
        </w:rPr>
      </w:pPr>
      <w:r>
        <w:rPr>
          <w:rFonts w:ascii="Courier New" w:hAnsi="Courier New"/>
        </w:rPr>
        <w:t xml:space="preserve">18.  </w:t>
      </w:r>
      <w:r>
        <w:rPr>
          <w:rFonts w:ascii="Courier New" w:hAnsi="Courier New"/>
          <w:b/>
        </w:rPr>
        <w:t>Explanation of exception to certification statement</w:t>
      </w:r>
      <w:r>
        <w:rPr>
          <w:rFonts w:ascii="Courier New" w:hAnsi="Courier New"/>
        </w:rPr>
        <w:t>.  Not applicable.</w:t>
      </w:r>
    </w:p>
    <w:p w:rsidR="002A11DB" w:rsidRDefault="002A11DB">
      <w:pPr>
        <w:spacing w:before="0"/>
      </w:pPr>
    </w:p>
    <w:p w:rsidR="002A11DB" w:rsidRPr="00DE3F36" w:rsidRDefault="002A11DB">
      <w:pPr>
        <w:spacing w:before="0"/>
        <w:rPr>
          <w:b/>
        </w:rPr>
      </w:pPr>
      <w:r>
        <w:rPr>
          <w:b/>
        </w:rPr>
        <w:t xml:space="preserve">B.  Collections of Information Employing Statistical </w:t>
      </w:r>
      <w:r>
        <w:rPr>
          <w:b/>
        </w:rPr>
        <w:tab/>
        <w:t xml:space="preserve"> </w:t>
      </w:r>
      <w:r>
        <w:rPr>
          <w:b/>
        </w:rPr>
        <w:tab/>
        <w:t xml:space="preserve"> </w:t>
      </w:r>
      <w:r>
        <w:rPr>
          <w:b/>
        </w:rPr>
        <w:tab/>
        <w:t>Methods.</w:t>
      </w:r>
      <w:r w:rsidR="00DE3F36">
        <w:rPr>
          <w:b/>
        </w:rPr>
        <w:t xml:space="preserve">  </w:t>
      </w:r>
      <w:r>
        <w:t>Statistical methods are not used in this information collection.</w:t>
      </w:r>
    </w:p>
    <w:p w:rsidR="002A11DB" w:rsidRDefault="002A11DB">
      <w:pPr>
        <w:spacing w:before="0"/>
      </w:pPr>
    </w:p>
    <w:p w:rsidR="002A11DB" w:rsidRDefault="002A11DB">
      <w:pPr>
        <w:spacing w:before="0"/>
      </w:pPr>
    </w:p>
    <w:sectPr w:rsidR="002A11DB" w:rsidSect="00FD4748">
      <w:footerReference w:type="default" r:id="rId8"/>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FC6" w:rsidRDefault="00FC2FC6">
      <w:r>
        <w:separator/>
      </w:r>
    </w:p>
  </w:endnote>
  <w:endnote w:type="continuationSeparator" w:id="0">
    <w:p w:rsidR="00FC2FC6" w:rsidRDefault="00FC2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FC6" w:rsidRDefault="00D773F3">
    <w:pPr>
      <w:pStyle w:val="Footer"/>
      <w:framePr w:wrap="auto" w:vAnchor="text" w:hAnchor="margin" w:xAlign="center" w:y="1"/>
      <w:rPr>
        <w:rStyle w:val="PageNumber"/>
      </w:rPr>
    </w:pPr>
    <w:r>
      <w:rPr>
        <w:rStyle w:val="PageNumber"/>
      </w:rPr>
      <w:fldChar w:fldCharType="begin"/>
    </w:r>
    <w:r w:rsidR="00FC2FC6">
      <w:rPr>
        <w:rStyle w:val="PageNumber"/>
      </w:rPr>
      <w:instrText xml:space="preserve">PAGE  </w:instrText>
    </w:r>
    <w:r>
      <w:rPr>
        <w:rStyle w:val="PageNumber"/>
      </w:rPr>
      <w:fldChar w:fldCharType="separate"/>
    </w:r>
    <w:r w:rsidR="00BE1807">
      <w:rPr>
        <w:rStyle w:val="PageNumber"/>
        <w:noProof/>
      </w:rPr>
      <w:t>5</w:t>
    </w:r>
    <w:r>
      <w:rPr>
        <w:rStyle w:val="PageNumber"/>
      </w:rPr>
      <w:fldChar w:fldCharType="end"/>
    </w:r>
  </w:p>
  <w:p w:rsidR="00FC2FC6" w:rsidRDefault="00FC2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FC6" w:rsidRDefault="00FC2FC6">
      <w:r>
        <w:separator/>
      </w:r>
    </w:p>
  </w:footnote>
  <w:footnote w:type="continuationSeparator" w:id="0">
    <w:p w:rsidR="00FC2FC6" w:rsidRDefault="00FC2FC6">
      <w:r>
        <w:continuationSeparator/>
      </w:r>
    </w:p>
  </w:footnote>
  <w:footnote w:id="1">
    <w:p w:rsidR="00FC2FC6" w:rsidRDefault="00FC2FC6" w:rsidP="001A1444">
      <w:pPr>
        <w:tabs>
          <w:tab w:val="clear" w:pos="560"/>
          <w:tab w:val="clear" w:pos="1120"/>
          <w:tab w:val="clear" w:pos="1680"/>
          <w:tab w:val="clear" w:pos="2240"/>
          <w:tab w:val="left" w:leader="dot" w:pos="7740"/>
          <w:tab w:val="right" w:pos="9270"/>
        </w:tabs>
        <w:spacing w:before="0"/>
      </w:pPr>
      <w:r>
        <w:rPr>
          <w:rStyle w:val="FootnoteReference"/>
        </w:rPr>
        <w:footnoteRef/>
      </w:r>
      <w:r>
        <w:t xml:space="preserve"> The cost of $32.73 per hour is based on a GS-12 Step 5 Salary (Base GS Salary table 2012)</w:t>
      </w:r>
    </w:p>
  </w:footnote>
  <w:footnote w:id="2">
    <w:p w:rsidR="00FC2FC6" w:rsidRDefault="00FC2FC6">
      <w:pPr>
        <w:pStyle w:val="FootnoteText"/>
      </w:pPr>
      <w:r>
        <w:rPr>
          <w:rStyle w:val="FootnoteReference"/>
        </w:rPr>
        <w:footnoteRef/>
      </w:r>
      <w:r>
        <w:t xml:space="preserve"> The 36.45% fringe benefit rate is derived from Circular No. A-76, Revised Supplemental handbook (Memorandum M-07-02 dated October 31,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rsids>
    <w:rsidRoot w:val="00C44830"/>
    <w:rsid w:val="001A1444"/>
    <w:rsid w:val="001B78B9"/>
    <w:rsid w:val="0021262B"/>
    <w:rsid w:val="00257A56"/>
    <w:rsid w:val="00284016"/>
    <w:rsid w:val="002A11DB"/>
    <w:rsid w:val="002C3A3C"/>
    <w:rsid w:val="002D391D"/>
    <w:rsid w:val="00301511"/>
    <w:rsid w:val="003020DF"/>
    <w:rsid w:val="00447B0E"/>
    <w:rsid w:val="004D14E8"/>
    <w:rsid w:val="00536E98"/>
    <w:rsid w:val="00595557"/>
    <w:rsid w:val="005B3234"/>
    <w:rsid w:val="006A47F1"/>
    <w:rsid w:val="007B50F2"/>
    <w:rsid w:val="00954468"/>
    <w:rsid w:val="00990A54"/>
    <w:rsid w:val="009B36AF"/>
    <w:rsid w:val="00A14C66"/>
    <w:rsid w:val="00AB183F"/>
    <w:rsid w:val="00BE1807"/>
    <w:rsid w:val="00C41017"/>
    <w:rsid w:val="00C44830"/>
    <w:rsid w:val="00CC4F57"/>
    <w:rsid w:val="00D773F3"/>
    <w:rsid w:val="00DE3F36"/>
    <w:rsid w:val="00FA3434"/>
    <w:rsid w:val="00FC2FC6"/>
    <w:rsid w:val="00FC7489"/>
    <w:rsid w:val="00FD4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748"/>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FD4748"/>
    <w:pPr>
      <w:outlineLvl w:val="0"/>
    </w:pPr>
    <w:rPr>
      <w:rFonts w:ascii="Helvetica" w:hAnsi="Helvetica"/>
      <w:b/>
      <w:u w:val="single"/>
    </w:rPr>
  </w:style>
  <w:style w:type="paragraph" w:styleId="Heading2">
    <w:name w:val="heading 2"/>
    <w:basedOn w:val="Normal"/>
    <w:next w:val="Normal"/>
    <w:qFormat/>
    <w:rsid w:val="00FD4748"/>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D4748"/>
    <w:rPr>
      <w:rFonts w:ascii="Courier" w:hAnsi="Courier"/>
    </w:rPr>
  </w:style>
  <w:style w:type="paragraph" w:customStyle="1" w:styleId="FRi">
    <w:name w:val="FR(i)"/>
    <w:basedOn w:val="Normal"/>
    <w:rsid w:val="00FD4748"/>
    <w:pPr>
      <w:tabs>
        <w:tab w:val="clear" w:pos="560"/>
        <w:tab w:val="clear" w:pos="1120"/>
      </w:tabs>
    </w:pPr>
  </w:style>
  <w:style w:type="paragraph" w:customStyle="1" w:styleId="FAR">
    <w:name w:val="FAR"/>
    <w:basedOn w:val="Normal"/>
    <w:rsid w:val="00FD4748"/>
    <w:pPr>
      <w:tabs>
        <w:tab w:val="left" w:pos="240"/>
        <w:tab w:val="left" w:pos="480"/>
        <w:tab w:val="left" w:pos="720"/>
        <w:tab w:val="left" w:pos="960"/>
      </w:tabs>
    </w:pPr>
    <w:rPr>
      <w:rFonts w:ascii="Times" w:hAnsi="Times"/>
      <w:sz w:val="20"/>
    </w:rPr>
  </w:style>
  <w:style w:type="paragraph" w:customStyle="1" w:styleId="FRA">
    <w:name w:val="FR(A)"/>
    <w:basedOn w:val="Normal"/>
    <w:rsid w:val="00FD4748"/>
    <w:pPr>
      <w:tabs>
        <w:tab w:val="clear" w:pos="560"/>
        <w:tab w:val="clear" w:pos="1120"/>
        <w:tab w:val="clear" w:pos="1680"/>
      </w:tabs>
    </w:pPr>
  </w:style>
  <w:style w:type="paragraph" w:customStyle="1" w:styleId="FR1">
    <w:name w:val="FR(1)"/>
    <w:basedOn w:val="Normal"/>
    <w:rsid w:val="00FD4748"/>
    <w:pPr>
      <w:tabs>
        <w:tab w:val="clear" w:pos="560"/>
      </w:tabs>
    </w:pPr>
  </w:style>
  <w:style w:type="paragraph" w:customStyle="1" w:styleId="memoheader">
    <w:name w:val="memo header"/>
    <w:basedOn w:val="Normal"/>
    <w:rsid w:val="00FD4748"/>
    <w:pPr>
      <w:tabs>
        <w:tab w:val="clear" w:pos="560"/>
        <w:tab w:val="clear" w:pos="1120"/>
        <w:tab w:val="clear" w:pos="1680"/>
        <w:tab w:val="clear" w:pos="2240"/>
      </w:tabs>
      <w:spacing w:before="0"/>
      <w:ind w:left="2700" w:hanging="2700"/>
    </w:pPr>
  </w:style>
  <w:style w:type="paragraph" w:styleId="Footer">
    <w:name w:val="footer"/>
    <w:basedOn w:val="Normal"/>
    <w:rsid w:val="00FD4748"/>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FC7489"/>
    <w:rPr>
      <w:sz w:val="16"/>
      <w:szCs w:val="16"/>
    </w:rPr>
  </w:style>
  <w:style w:type="paragraph" w:styleId="CommentText">
    <w:name w:val="annotation text"/>
    <w:basedOn w:val="Normal"/>
    <w:link w:val="CommentTextChar"/>
    <w:rsid w:val="00FC7489"/>
    <w:rPr>
      <w:sz w:val="20"/>
    </w:rPr>
  </w:style>
  <w:style w:type="character" w:customStyle="1" w:styleId="CommentTextChar">
    <w:name w:val="Comment Text Char"/>
    <w:basedOn w:val="DefaultParagraphFont"/>
    <w:link w:val="CommentText"/>
    <w:rsid w:val="00FC7489"/>
    <w:rPr>
      <w:rFonts w:ascii="Courier" w:hAnsi="Courier"/>
    </w:rPr>
  </w:style>
  <w:style w:type="paragraph" w:styleId="CommentSubject">
    <w:name w:val="annotation subject"/>
    <w:basedOn w:val="CommentText"/>
    <w:next w:val="CommentText"/>
    <w:link w:val="CommentSubjectChar"/>
    <w:rsid w:val="00FC7489"/>
    <w:rPr>
      <w:b/>
      <w:bCs/>
    </w:rPr>
  </w:style>
  <w:style w:type="character" w:customStyle="1" w:styleId="CommentSubjectChar">
    <w:name w:val="Comment Subject Char"/>
    <w:basedOn w:val="CommentTextChar"/>
    <w:link w:val="CommentSubject"/>
    <w:rsid w:val="00FC7489"/>
    <w:rPr>
      <w:b/>
      <w:bCs/>
    </w:rPr>
  </w:style>
  <w:style w:type="paragraph" w:styleId="BalloonText">
    <w:name w:val="Balloon Text"/>
    <w:basedOn w:val="Normal"/>
    <w:link w:val="BalloonTextChar"/>
    <w:rsid w:val="00FC748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FC7489"/>
    <w:rPr>
      <w:rFonts w:ascii="Tahoma" w:hAnsi="Tahoma" w:cs="Tahoma"/>
      <w:sz w:val="16"/>
      <w:szCs w:val="16"/>
    </w:rPr>
  </w:style>
  <w:style w:type="paragraph" w:styleId="FootnoteText">
    <w:name w:val="footnote text"/>
    <w:basedOn w:val="Normal"/>
    <w:link w:val="FootnoteTextChar"/>
    <w:rsid w:val="00FC7489"/>
    <w:rPr>
      <w:sz w:val="20"/>
    </w:rPr>
  </w:style>
  <w:style w:type="character" w:customStyle="1" w:styleId="FootnoteTextChar">
    <w:name w:val="Footnote Text Char"/>
    <w:basedOn w:val="DefaultParagraphFont"/>
    <w:link w:val="FootnoteText"/>
    <w:rsid w:val="00FC7489"/>
    <w:rPr>
      <w:rFonts w:ascii="Courier" w:hAnsi="Courier"/>
    </w:rPr>
  </w:style>
  <w:style w:type="character" w:styleId="FootnoteReference">
    <w:name w:val="footnote reference"/>
    <w:basedOn w:val="DefaultParagraphFont"/>
    <w:rsid w:val="00FC7489"/>
    <w:rPr>
      <w:vertAlign w:val="superscript"/>
    </w:rPr>
  </w:style>
  <w:style w:type="character" w:customStyle="1" w:styleId="apple-converted-space">
    <w:name w:val="apple-converted-space"/>
    <w:basedOn w:val="DefaultParagraphFont"/>
    <w:rsid w:val="003020DF"/>
  </w:style>
  <w:style w:type="character" w:customStyle="1" w:styleId="il">
    <w:name w:val="il"/>
    <w:basedOn w:val="DefaultParagraphFont"/>
    <w:rsid w:val="003020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DACC4-F21F-446A-985C-79A0AE86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8534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WilliamFClark</cp:lastModifiedBy>
  <cp:revision>2</cp:revision>
  <cp:lastPrinted>2012-06-27T12:28:00Z</cp:lastPrinted>
  <dcterms:created xsi:type="dcterms:W3CDTF">2013-01-18T17:17:00Z</dcterms:created>
  <dcterms:modified xsi:type="dcterms:W3CDTF">2013-01-18T17:17:00Z</dcterms:modified>
</cp:coreProperties>
</file>