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DE35FA" w:rsidRDefault="00DE35FA"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A559F9" w:rsidP="000164AF">
      <w:pPr>
        <w:jc w:val="center"/>
        <w:rPr>
          <w:rStyle w:val="BookTitle"/>
          <w:sz w:val="28"/>
          <w:szCs w:val="28"/>
        </w:rPr>
      </w:pPr>
      <w:r>
        <w:rPr>
          <w:rStyle w:val="BookTitle"/>
          <w:sz w:val="28"/>
          <w:szCs w:val="28"/>
        </w:rPr>
        <w:t xml:space="preserve">Monitoring and Reporting </w:t>
      </w:r>
      <w:r w:rsidR="0044258D">
        <w:rPr>
          <w:rStyle w:val="BookTitle"/>
          <w:sz w:val="28"/>
          <w:szCs w:val="28"/>
        </w:rPr>
        <w:t>System for</w:t>
      </w:r>
    </w:p>
    <w:p w:rsidR="009C48CA" w:rsidRDefault="009C48CA" w:rsidP="00631CA8">
      <w:pPr>
        <w:jc w:val="center"/>
        <w:rPr>
          <w:rStyle w:val="BookTitle"/>
          <w:sz w:val="28"/>
          <w:szCs w:val="28"/>
        </w:rPr>
      </w:pPr>
      <w:r>
        <w:rPr>
          <w:rStyle w:val="BookTitle"/>
          <w:sz w:val="28"/>
          <w:szCs w:val="28"/>
        </w:rPr>
        <w:t>C</w:t>
      </w:r>
      <w:r w:rsidR="000164AF">
        <w:rPr>
          <w:rStyle w:val="BookTitle"/>
          <w:sz w:val="28"/>
          <w:szCs w:val="28"/>
        </w:rPr>
        <w:t xml:space="preserve">ommunity </w:t>
      </w:r>
      <w:r>
        <w:rPr>
          <w:rStyle w:val="BookTitle"/>
          <w:sz w:val="28"/>
          <w:szCs w:val="28"/>
        </w:rPr>
        <w:t>T</w:t>
      </w:r>
      <w:r w:rsidR="000164AF">
        <w:rPr>
          <w:rStyle w:val="BookTitle"/>
          <w:sz w:val="28"/>
          <w:szCs w:val="28"/>
        </w:rPr>
        <w:t xml:space="preserve">ransformation </w:t>
      </w:r>
      <w:r>
        <w:rPr>
          <w:rStyle w:val="BookTitle"/>
          <w:sz w:val="28"/>
          <w:szCs w:val="28"/>
        </w:rPr>
        <w:t>G</w:t>
      </w:r>
      <w:r w:rsidR="000164AF">
        <w:rPr>
          <w:rStyle w:val="BookTitle"/>
          <w:sz w:val="28"/>
          <w:szCs w:val="28"/>
        </w:rPr>
        <w:t>rant Awardees</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r>
        <w:rPr>
          <w:rStyle w:val="BookTitle"/>
          <w:sz w:val="28"/>
          <w:szCs w:val="28"/>
        </w:rPr>
        <w:t>Part A:  Justification</w:t>
      </w:r>
    </w:p>
    <w:p w:rsidR="0044258D" w:rsidRDefault="0044258D" w:rsidP="00631CA8">
      <w:pPr>
        <w:jc w:val="center"/>
        <w:rPr>
          <w:rStyle w:val="BookTitle"/>
          <w:sz w:val="28"/>
          <w:szCs w:val="28"/>
        </w:rPr>
      </w:pPr>
    </w:p>
    <w:p w:rsidR="001A572E" w:rsidRDefault="001A572E" w:rsidP="008C575B">
      <w:pPr>
        <w:jc w:val="center"/>
        <w:rPr>
          <w:b/>
          <w:sz w:val="32"/>
          <w:szCs w:val="32"/>
        </w:rPr>
      </w:pPr>
    </w:p>
    <w:p w:rsidR="000164AF" w:rsidRPr="007A7D44" w:rsidRDefault="000164AF" w:rsidP="008C575B">
      <w:pPr>
        <w:jc w:val="center"/>
        <w:rPr>
          <w:b/>
          <w:sz w:val="32"/>
          <w:szCs w:val="32"/>
        </w:rPr>
      </w:pPr>
    </w:p>
    <w:p w:rsidR="001A572E" w:rsidRPr="007A7D44" w:rsidRDefault="001A572E" w:rsidP="008C575B">
      <w:pPr>
        <w:jc w:val="center"/>
        <w:rPr>
          <w:b/>
          <w:sz w:val="32"/>
          <w:szCs w:val="32"/>
        </w:rPr>
      </w:pPr>
    </w:p>
    <w:p w:rsidR="001A572E" w:rsidRDefault="006578CE" w:rsidP="008C575B">
      <w:pPr>
        <w:jc w:val="center"/>
        <w:rPr>
          <w:b/>
        </w:rPr>
      </w:pPr>
      <w:r>
        <w:rPr>
          <w:b/>
        </w:rPr>
        <w:t>April 23</w:t>
      </w:r>
      <w:r w:rsidR="00AD217D">
        <w:rPr>
          <w:b/>
        </w:rPr>
        <w:t>, 2012</w:t>
      </w:r>
    </w:p>
    <w:p w:rsidR="0087660C" w:rsidRDefault="0087660C" w:rsidP="0087660C">
      <w:pPr>
        <w:jc w:val="center"/>
        <w:rPr>
          <w:b/>
        </w:rPr>
      </w:pPr>
    </w:p>
    <w:p w:rsidR="001A572E" w:rsidRDefault="001A572E" w:rsidP="008C575B">
      <w:pPr>
        <w:jc w:val="center"/>
        <w:rPr>
          <w:b/>
        </w:rPr>
      </w:pPr>
    </w:p>
    <w:p w:rsidR="001A572E" w:rsidRDefault="001A572E" w:rsidP="008C575B">
      <w:pPr>
        <w:jc w:val="center"/>
        <w:rPr>
          <w:b/>
        </w:rPr>
      </w:pPr>
    </w:p>
    <w:p w:rsidR="001A572E" w:rsidRDefault="001A572E" w:rsidP="008C575B">
      <w:pPr>
        <w:jc w:val="center"/>
        <w:rPr>
          <w:b/>
        </w:rPr>
      </w:pPr>
    </w:p>
    <w:p w:rsidR="001A572E" w:rsidRDefault="00054962" w:rsidP="00054962">
      <w:pPr>
        <w:tabs>
          <w:tab w:val="left" w:pos="5205"/>
        </w:tabs>
        <w:rPr>
          <w:b/>
        </w:rPr>
      </w:pPr>
      <w:r>
        <w:rPr>
          <w:b/>
        </w:rPr>
        <w:tab/>
      </w:r>
    </w:p>
    <w:p w:rsidR="001A572E" w:rsidRDefault="001A572E" w:rsidP="007C0071">
      <w:pP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1A572E" w:rsidRDefault="001A572E" w:rsidP="008C575B">
      <w:pPr>
        <w:jc w:val="center"/>
        <w:rPr>
          <w:b/>
        </w:rPr>
      </w:pPr>
    </w:p>
    <w:p w:rsidR="00E86E3F" w:rsidRDefault="00E86E3F" w:rsidP="008C575B">
      <w:pPr>
        <w:jc w:val="center"/>
        <w:rPr>
          <w:b/>
        </w:rPr>
      </w:pPr>
    </w:p>
    <w:p w:rsidR="00E86E3F" w:rsidRDefault="00E86E3F" w:rsidP="008C575B">
      <w:pPr>
        <w:jc w:val="center"/>
        <w:rPr>
          <w:b/>
        </w:rPr>
      </w:pPr>
    </w:p>
    <w:p w:rsidR="00E86E3F" w:rsidRDefault="00E86E3F" w:rsidP="008C575B">
      <w:pPr>
        <w:jc w:val="center"/>
        <w:rPr>
          <w:b/>
        </w:rPr>
      </w:pPr>
    </w:p>
    <w:p w:rsidR="003A4279" w:rsidRDefault="003A4279" w:rsidP="008C575B">
      <w:pPr>
        <w:jc w:val="center"/>
        <w:rPr>
          <w:b/>
        </w:rPr>
      </w:pPr>
    </w:p>
    <w:p w:rsidR="003A4279" w:rsidRDefault="003A4279" w:rsidP="008C575B">
      <w:pPr>
        <w:jc w:val="center"/>
        <w:rPr>
          <w:b/>
        </w:rPr>
      </w:pPr>
    </w:p>
    <w:p w:rsidR="001A572E" w:rsidRDefault="001A572E" w:rsidP="00E86E3F">
      <w:pPr>
        <w:jc w:val="right"/>
        <w:rPr>
          <w:b/>
        </w:rPr>
      </w:pPr>
    </w:p>
    <w:p w:rsidR="006C24A5" w:rsidRPr="00E86E3F" w:rsidRDefault="00E86E3F" w:rsidP="00E86E3F">
      <w:pPr>
        <w:jc w:val="right"/>
        <w:rPr>
          <w:b/>
        </w:rPr>
      </w:pPr>
      <w:r>
        <w:rPr>
          <w:b/>
        </w:rPr>
        <w:t xml:space="preserve">Contact: </w:t>
      </w:r>
      <w:r w:rsidR="00010E9A">
        <w:rPr>
          <w:b/>
        </w:rPr>
        <w:t xml:space="preserve">Charlotte Kent, Ph.D. </w:t>
      </w:r>
    </w:p>
    <w:p w:rsidR="003A2BD5" w:rsidRPr="007A6350" w:rsidRDefault="00E75192" w:rsidP="00E86E3F">
      <w:pPr>
        <w:jc w:val="right"/>
        <w:rPr>
          <w:b/>
        </w:rPr>
      </w:pPr>
      <w:r>
        <w:rPr>
          <w:b/>
        </w:rPr>
        <w:t>Telep</w:t>
      </w:r>
      <w:r w:rsidR="00F60D5C" w:rsidRPr="00E86E3F">
        <w:rPr>
          <w:b/>
        </w:rPr>
        <w:t xml:space="preserve">hone: </w:t>
      </w:r>
      <w:r w:rsidR="00010E9A" w:rsidRPr="007A6350">
        <w:rPr>
          <w:b/>
        </w:rPr>
        <w:t>770.488.6471</w:t>
      </w:r>
    </w:p>
    <w:p w:rsidR="003A2BD5" w:rsidRDefault="00F60D5C" w:rsidP="00E86E3F">
      <w:pPr>
        <w:jc w:val="right"/>
        <w:rPr>
          <w:b/>
        </w:rPr>
      </w:pPr>
      <w:r w:rsidRPr="007A6350">
        <w:rPr>
          <w:b/>
        </w:rPr>
        <w:t xml:space="preserve">E-mail: </w:t>
      </w:r>
      <w:r w:rsidR="00010E9A" w:rsidRPr="007A6350">
        <w:rPr>
          <w:b/>
        </w:rPr>
        <w:t>CKent</w:t>
      </w:r>
      <w:hyperlink r:id="rId9" w:history="1">
        <w:r w:rsidRPr="00E86E3F">
          <w:rPr>
            <w:rStyle w:val="Hyperlink"/>
            <w:b/>
          </w:rPr>
          <w:t>@cdc.gov</w:t>
        </w:r>
      </w:hyperlink>
    </w:p>
    <w:p w:rsidR="00E86E3F" w:rsidRDefault="003A2BD5" w:rsidP="00E86E3F">
      <w:pPr>
        <w:jc w:val="right"/>
        <w:rPr>
          <w:b/>
        </w:rPr>
      </w:pPr>
      <w:r>
        <w:rPr>
          <w:b/>
        </w:rPr>
        <w:t xml:space="preserve">National Center for Chronic Disease </w:t>
      </w:r>
    </w:p>
    <w:p w:rsidR="003A2BD5" w:rsidRDefault="003A2BD5" w:rsidP="00E86E3F">
      <w:pPr>
        <w:jc w:val="right"/>
        <w:rPr>
          <w:b/>
        </w:rPr>
      </w:pPr>
      <w:r>
        <w:rPr>
          <w:b/>
        </w:rPr>
        <w:t>Prevention and Health Promotion</w:t>
      </w:r>
    </w:p>
    <w:p w:rsidR="00E86E3F" w:rsidRDefault="00E86E3F" w:rsidP="00E86E3F">
      <w:pPr>
        <w:jc w:val="right"/>
        <w:rPr>
          <w:b/>
        </w:rPr>
      </w:pPr>
      <w:r>
        <w:rPr>
          <w:b/>
        </w:rPr>
        <w:t>Centers for Disease Prevention and Control</w:t>
      </w:r>
    </w:p>
    <w:p w:rsidR="003A2BD5" w:rsidRDefault="003A2BD5" w:rsidP="00E86E3F">
      <w:pPr>
        <w:jc w:val="right"/>
        <w:rPr>
          <w:b/>
        </w:rPr>
      </w:pPr>
      <w:r>
        <w:rPr>
          <w:b/>
        </w:rPr>
        <w:t>Atlanta, G</w:t>
      </w:r>
      <w:r w:rsidR="00E86E3F">
        <w:rPr>
          <w:b/>
        </w:rPr>
        <w:t>eorgia</w:t>
      </w:r>
    </w:p>
    <w:p w:rsidR="000B3692" w:rsidRDefault="00F87086" w:rsidP="00FF0F14">
      <w:pPr>
        <w:jc w:val="center"/>
        <w:rPr>
          <w:b/>
        </w:rPr>
      </w:pPr>
      <w:r>
        <w:rPr>
          <w:b/>
        </w:rPr>
        <w:br w:type="page"/>
      </w:r>
      <w:r w:rsidR="00FF0F14">
        <w:rPr>
          <w:b/>
        </w:rPr>
        <w:lastRenderedPageBreak/>
        <w:t>TABLE OF CONTENTS</w:t>
      </w:r>
    </w:p>
    <w:p w:rsidR="00FF0F14" w:rsidRDefault="00FF0F14" w:rsidP="00FF0F14">
      <w:pPr>
        <w:jc w:val="center"/>
        <w:rPr>
          <w:b/>
        </w:rPr>
      </w:pPr>
    </w:p>
    <w:p w:rsidR="001E0F5B" w:rsidRPr="00447A5D" w:rsidRDefault="00691613" w:rsidP="00F87086">
      <w:pPr>
        <w:spacing w:line="360" w:lineRule="auto"/>
        <w:rPr>
          <w:b/>
        </w:rPr>
      </w:pPr>
      <w:r w:rsidRPr="00447A5D">
        <w:rPr>
          <w:b/>
        </w:rPr>
        <w:t>A</w:t>
      </w:r>
      <w:r w:rsidR="001E0F5B" w:rsidRPr="00447A5D">
        <w:rPr>
          <w:b/>
        </w:rPr>
        <w:t>. Justification</w:t>
      </w:r>
    </w:p>
    <w:p w:rsidR="00FF0F14" w:rsidRPr="00447A5D" w:rsidRDefault="00FF0F14" w:rsidP="00F87086">
      <w:pPr>
        <w:numPr>
          <w:ilvl w:val="0"/>
          <w:numId w:val="12"/>
        </w:numPr>
        <w:spacing w:line="360" w:lineRule="auto"/>
      </w:pPr>
      <w:r w:rsidRPr="00447A5D">
        <w:t>Circumstances Making the Collection of Information Necessary</w:t>
      </w:r>
    </w:p>
    <w:p w:rsidR="00FF0F14" w:rsidRPr="00447A5D" w:rsidRDefault="00FF0F14" w:rsidP="00F87086">
      <w:pPr>
        <w:numPr>
          <w:ilvl w:val="0"/>
          <w:numId w:val="12"/>
        </w:numPr>
        <w:spacing w:line="360" w:lineRule="auto"/>
      </w:pPr>
      <w:r w:rsidRPr="00447A5D">
        <w:t xml:space="preserve">Purposes and Use of Information Collection </w:t>
      </w:r>
    </w:p>
    <w:p w:rsidR="00FF0F14" w:rsidRPr="00447A5D" w:rsidRDefault="00FF0F14" w:rsidP="00F87086">
      <w:pPr>
        <w:numPr>
          <w:ilvl w:val="0"/>
          <w:numId w:val="12"/>
        </w:numPr>
        <w:spacing w:line="360" w:lineRule="auto"/>
      </w:pPr>
      <w:r w:rsidRPr="00447A5D">
        <w:t>Use of Improved Information Technology and Burden Reduction</w:t>
      </w:r>
    </w:p>
    <w:p w:rsidR="00FF0F14" w:rsidRPr="00447A5D" w:rsidRDefault="00FF0F14" w:rsidP="00F87086">
      <w:pPr>
        <w:numPr>
          <w:ilvl w:val="0"/>
          <w:numId w:val="12"/>
        </w:numPr>
        <w:spacing w:line="360" w:lineRule="auto"/>
      </w:pPr>
      <w:r w:rsidRPr="00447A5D">
        <w:t>Efforts to Identify Duplication and Use of Similar Information</w:t>
      </w:r>
    </w:p>
    <w:p w:rsidR="00FF0F14" w:rsidRPr="00447A5D" w:rsidRDefault="00FF0F14" w:rsidP="00F87086">
      <w:pPr>
        <w:numPr>
          <w:ilvl w:val="0"/>
          <w:numId w:val="12"/>
        </w:numPr>
        <w:spacing w:line="360" w:lineRule="auto"/>
      </w:pPr>
      <w:r w:rsidRPr="00447A5D">
        <w:t>Impact on Small Businesses or Other Small Entities</w:t>
      </w:r>
    </w:p>
    <w:p w:rsidR="003B1463" w:rsidRPr="00447A5D" w:rsidRDefault="00FF0F14" w:rsidP="00F87086">
      <w:pPr>
        <w:numPr>
          <w:ilvl w:val="0"/>
          <w:numId w:val="12"/>
        </w:numPr>
        <w:spacing w:line="360" w:lineRule="auto"/>
      </w:pPr>
      <w:r w:rsidRPr="00447A5D">
        <w:t>Consequences of Collecting the Information Less Frequently</w:t>
      </w:r>
    </w:p>
    <w:p w:rsidR="00C3574C" w:rsidRPr="00447A5D" w:rsidRDefault="00C3574C" w:rsidP="00F87086">
      <w:pPr>
        <w:numPr>
          <w:ilvl w:val="0"/>
          <w:numId w:val="12"/>
        </w:numPr>
        <w:spacing w:line="360" w:lineRule="auto"/>
      </w:pPr>
      <w:r w:rsidRPr="00447A5D">
        <w:t>Special Circumstances Relating to the Guidelines of 5 CFR 1320.5</w:t>
      </w:r>
    </w:p>
    <w:p w:rsidR="00C3574C" w:rsidRPr="00447A5D" w:rsidRDefault="00C3574C" w:rsidP="00F87086">
      <w:pPr>
        <w:numPr>
          <w:ilvl w:val="0"/>
          <w:numId w:val="12"/>
        </w:numPr>
        <w:spacing w:line="360" w:lineRule="auto"/>
      </w:pPr>
      <w:r w:rsidRPr="00447A5D">
        <w:t>Comments in Response to the Federal Register Notice</w:t>
      </w:r>
    </w:p>
    <w:p w:rsidR="00C3574C" w:rsidRPr="00447A5D" w:rsidRDefault="00C3574C" w:rsidP="00F87086">
      <w:pPr>
        <w:numPr>
          <w:ilvl w:val="0"/>
          <w:numId w:val="12"/>
        </w:numPr>
        <w:spacing w:line="360" w:lineRule="auto"/>
      </w:pPr>
      <w:r w:rsidRPr="00447A5D">
        <w:t>Explanation of Any payment or Gift to Respondents</w:t>
      </w:r>
    </w:p>
    <w:p w:rsidR="00C3574C" w:rsidRPr="00447A5D" w:rsidRDefault="00C3574C" w:rsidP="00F87086">
      <w:pPr>
        <w:numPr>
          <w:ilvl w:val="0"/>
          <w:numId w:val="12"/>
        </w:numPr>
        <w:spacing w:line="360" w:lineRule="auto"/>
      </w:pPr>
      <w:r w:rsidRPr="00447A5D">
        <w:t>Assurance of Confidentiality Provided to Respondents</w:t>
      </w:r>
    </w:p>
    <w:p w:rsidR="00C3574C" w:rsidRPr="00447A5D" w:rsidRDefault="00C3574C" w:rsidP="00F87086">
      <w:pPr>
        <w:numPr>
          <w:ilvl w:val="0"/>
          <w:numId w:val="12"/>
        </w:numPr>
        <w:spacing w:line="360" w:lineRule="auto"/>
      </w:pPr>
      <w:r w:rsidRPr="00447A5D">
        <w:t>Justification for Sensitive Questions</w:t>
      </w:r>
    </w:p>
    <w:p w:rsidR="00C3574C" w:rsidRPr="00447A5D" w:rsidRDefault="00C3574C" w:rsidP="00F87086">
      <w:pPr>
        <w:numPr>
          <w:ilvl w:val="0"/>
          <w:numId w:val="12"/>
        </w:numPr>
        <w:spacing w:line="360" w:lineRule="auto"/>
      </w:pPr>
      <w:r w:rsidRPr="00447A5D">
        <w:t>Estimates of Annualized Burden Hours and Costs</w:t>
      </w:r>
    </w:p>
    <w:p w:rsidR="0030165D" w:rsidRPr="00447A5D" w:rsidRDefault="00C3574C" w:rsidP="00F87086">
      <w:pPr>
        <w:numPr>
          <w:ilvl w:val="0"/>
          <w:numId w:val="12"/>
        </w:numPr>
        <w:spacing w:line="360" w:lineRule="auto"/>
      </w:pPr>
      <w:r w:rsidRPr="00447A5D">
        <w:t>Estimates of Other Total Annual Cost Burden</w:t>
      </w:r>
      <w:r w:rsidR="00A456DA" w:rsidRPr="00447A5D">
        <w:t xml:space="preserve"> to </w:t>
      </w:r>
    </w:p>
    <w:p w:rsidR="00A456DA" w:rsidRPr="00447A5D" w:rsidRDefault="00A456DA" w:rsidP="00F87086">
      <w:pPr>
        <w:spacing w:line="360" w:lineRule="auto"/>
        <w:ind w:firstLine="720"/>
      </w:pPr>
      <w:r w:rsidRPr="00447A5D">
        <w:t>Respondents or Record Keepers</w:t>
      </w:r>
    </w:p>
    <w:p w:rsidR="00A456DA" w:rsidRPr="00447A5D" w:rsidRDefault="00A456DA" w:rsidP="00F87086">
      <w:pPr>
        <w:numPr>
          <w:ilvl w:val="0"/>
          <w:numId w:val="12"/>
        </w:numPr>
        <w:spacing w:line="360" w:lineRule="auto"/>
      </w:pPr>
      <w:r w:rsidRPr="00447A5D">
        <w:t>Estimates of Annualized Cost to the Federal Government</w:t>
      </w:r>
    </w:p>
    <w:p w:rsidR="00A456DA" w:rsidRPr="00447A5D" w:rsidRDefault="00A456DA" w:rsidP="00F87086">
      <w:pPr>
        <w:numPr>
          <w:ilvl w:val="0"/>
          <w:numId w:val="12"/>
        </w:numPr>
        <w:spacing w:line="360" w:lineRule="auto"/>
      </w:pPr>
      <w:r w:rsidRPr="00447A5D">
        <w:t>Explanation for Program Changes or Adjustments</w:t>
      </w:r>
    </w:p>
    <w:p w:rsidR="00A456DA" w:rsidRPr="00447A5D" w:rsidRDefault="00A456DA" w:rsidP="00F87086">
      <w:pPr>
        <w:numPr>
          <w:ilvl w:val="0"/>
          <w:numId w:val="12"/>
        </w:numPr>
        <w:spacing w:line="360" w:lineRule="auto"/>
      </w:pPr>
      <w:r w:rsidRPr="00447A5D">
        <w:t>Plans for Tabulation and Publication and Project Time Schedule</w:t>
      </w:r>
    </w:p>
    <w:p w:rsidR="00A456DA" w:rsidRPr="00447A5D" w:rsidRDefault="00A456DA" w:rsidP="00F87086">
      <w:pPr>
        <w:numPr>
          <w:ilvl w:val="0"/>
          <w:numId w:val="12"/>
        </w:numPr>
        <w:spacing w:line="360" w:lineRule="auto"/>
      </w:pPr>
      <w:r w:rsidRPr="00447A5D">
        <w:t>Reason(s) Display of OMB Expiration Date is Inappropriate</w:t>
      </w:r>
    </w:p>
    <w:p w:rsidR="00A456DA" w:rsidRPr="00447A5D" w:rsidRDefault="00A456DA" w:rsidP="00F87086">
      <w:pPr>
        <w:numPr>
          <w:ilvl w:val="0"/>
          <w:numId w:val="12"/>
        </w:numPr>
        <w:spacing w:line="360" w:lineRule="auto"/>
      </w:pPr>
      <w:r w:rsidRPr="00447A5D">
        <w:t xml:space="preserve">Exceptions to Certification for Paperwork Reduction Act </w:t>
      </w:r>
      <w:r w:rsidR="00AD08B6" w:rsidRPr="00447A5D">
        <w:t>S</w:t>
      </w:r>
      <w:r w:rsidRPr="00447A5D">
        <w:t>ubmissions</w:t>
      </w:r>
    </w:p>
    <w:p w:rsidR="00D91C60" w:rsidRPr="00447A5D" w:rsidRDefault="00D91C60" w:rsidP="00173E20">
      <w:pPr>
        <w:spacing w:line="360" w:lineRule="auto"/>
      </w:pPr>
    </w:p>
    <w:p w:rsidR="006C24A5" w:rsidRPr="00447A5D" w:rsidRDefault="00D91C60" w:rsidP="00F87086">
      <w:pPr>
        <w:spacing w:line="360" w:lineRule="auto"/>
        <w:rPr>
          <w:b/>
        </w:rPr>
      </w:pPr>
      <w:r w:rsidRPr="00447A5D">
        <w:rPr>
          <w:b/>
        </w:rPr>
        <w:t xml:space="preserve">List of </w:t>
      </w:r>
      <w:r w:rsidR="00CD256F" w:rsidRPr="00447A5D">
        <w:rPr>
          <w:b/>
        </w:rPr>
        <w:t>A</w:t>
      </w:r>
      <w:r w:rsidR="005C03BB">
        <w:rPr>
          <w:b/>
        </w:rPr>
        <w:t>ttachments</w:t>
      </w:r>
    </w:p>
    <w:p w:rsidR="00173E20" w:rsidRPr="007C62B1" w:rsidRDefault="00F87086" w:rsidP="00173E20">
      <w:pPr>
        <w:numPr>
          <w:ilvl w:val="0"/>
          <w:numId w:val="16"/>
        </w:numPr>
        <w:spacing w:line="360" w:lineRule="auto"/>
      </w:pPr>
      <w:r w:rsidRPr="007C62B1">
        <w:t>Authorizing Legislation</w:t>
      </w:r>
    </w:p>
    <w:p w:rsidR="005E592A" w:rsidRDefault="005E592A" w:rsidP="00111BDE">
      <w:pPr>
        <w:numPr>
          <w:ilvl w:val="1"/>
          <w:numId w:val="16"/>
        </w:numPr>
        <w:tabs>
          <w:tab w:val="clear" w:pos="1350"/>
          <w:tab w:val="num" w:pos="1440"/>
        </w:tabs>
        <w:ind w:left="1440"/>
      </w:pPr>
      <w:r>
        <w:t>Patient Protection and Affordable Care Act of 2010</w:t>
      </w:r>
    </w:p>
    <w:p w:rsidR="00111BDE" w:rsidRPr="007C62B1" w:rsidRDefault="00173E20" w:rsidP="00111BDE">
      <w:pPr>
        <w:numPr>
          <w:ilvl w:val="1"/>
          <w:numId w:val="16"/>
        </w:numPr>
        <w:tabs>
          <w:tab w:val="clear" w:pos="1350"/>
          <w:tab w:val="num" w:pos="1440"/>
        </w:tabs>
        <w:ind w:left="1440"/>
      </w:pPr>
      <w:r w:rsidRPr="007C62B1">
        <w:t>Public Health Service Act</w:t>
      </w:r>
    </w:p>
    <w:p w:rsidR="00111BDE" w:rsidRPr="007C62B1" w:rsidRDefault="00111BDE" w:rsidP="00111BDE">
      <w:pPr>
        <w:ind w:left="1440"/>
      </w:pPr>
    </w:p>
    <w:p w:rsidR="00643287" w:rsidRDefault="00BA33C6" w:rsidP="00F87086">
      <w:pPr>
        <w:numPr>
          <w:ilvl w:val="0"/>
          <w:numId w:val="16"/>
        </w:numPr>
        <w:spacing w:line="360" w:lineRule="auto"/>
      </w:pPr>
      <w:r w:rsidRPr="007C62B1">
        <w:t>Federal Register Notice</w:t>
      </w:r>
    </w:p>
    <w:p w:rsidR="00643287" w:rsidRDefault="00BA33C6" w:rsidP="006362DF">
      <w:pPr>
        <w:numPr>
          <w:ilvl w:val="1"/>
          <w:numId w:val="16"/>
        </w:numPr>
        <w:tabs>
          <w:tab w:val="clear" w:pos="1350"/>
          <w:tab w:val="num" w:pos="1440"/>
        </w:tabs>
        <w:ind w:left="1440"/>
      </w:pPr>
      <w:r w:rsidRPr="007C62B1">
        <w:t xml:space="preserve"> </w:t>
      </w:r>
      <w:r w:rsidR="00643287">
        <w:t>Federal Register Notice (December 6, 2011)</w:t>
      </w:r>
    </w:p>
    <w:p w:rsidR="00D91C60" w:rsidRDefault="00643287" w:rsidP="006362DF">
      <w:pPr>
        <w:numPr>
          <w:ilvl w:val="1"/>
          <w:numId w:val="16"/>
        </w:numPr>
        <w:tabs>
          <w:tab w:val="clear" w:pos="1350"/>
          <w:tab w:val="num" w:pos="1440"/>
        </w:tabs>
        <w:ind w:left="1440"/>
      </w:pPr>
      <w:r>
        <w:t xml:space="preserve"> Summary of Public Comments and CDC Response</w:t>
      </w:r>
    </w:p>
    <w:p w:rsidR="00643287" w:rsidRPr="007C62B1" w:rsidRDefault="00643287" w:rsidP="006362DF">
      <w:pPr>
        <w:ind w:left="1440"/>
      </w:pPr>
    </w:p>
    <w:p w:rsidR="00C222A1" w:rsidRPr="007C62B1" w:rsidRDefault="00C222A1" w:rsidP="00C222A1">
      <w:pPr>
        <w:numPr>
          <w:ilvl w:val="0"/>
          <w:numId w:val="16"/>
        </w:numPr>
        <w:spacing w:line="360" w:lineRule="auto"/>
      </w:pPr>
      <w:r w:rsidRPr="007C62B1">
        <w:t>List of</w:t>
      </w:r>
      <w:r w:rsidR="006C24A5" w:rsidRPr="007C62B1">
        <w:t xml:space="preserve"> </w:t>
      </w:r>
      <w:r w:rsidRPr="007C62B1">
        <w:t>Awardees</w:t>
      </w:r>
    </w:p>
    <w:p w:rsidR="009111B3" w:rsidRPr="007C62B1" w:rsidRDefault="00C6557E" w:rsidP="00C65E3C">
      <w:pPr>
        <w:numPr>
          <w:ilvl w:val="0"/>
          <w:numId w:val="16"/>
        </w:numPr>
        <w:spacing w:line="360" w:lineRule="auto"/>
        <w:sectPr w:rsidR="009111B3" w:rsidRPr="007C62B1" w:rsidSect="009111B3">
          <w:headerReference w:type="default" r:id="rId10"/>
          <w:footerReference w:type="even" r:id="rId11"/>
          <w:footerReference w:type="default" r:id="rId12"/>
          <w:pgSz w:w="12240" w:h="15840" w:code="1"/>
          <w:pgMar w:top="1440" w:right="1440" w:bottom="1440" w:left="1440" w:header="720" w:footer="720" w:gutter="0"/>
          <w:pgNumType w:fmt="lowerRoman"/>
          <w:cols w:space="720"/>
          <w:titlePg/>
          <w:docGrid w:linePitch="360"/>
        </w:sectPr>
      </w:pPr>
      <w:r w:rsidRPr="007C62B1">
        <w:t>Management Information System (MIS)</w:t>
      </w:r>
      <w:r w:rsidR="00856596" w:rsidRPr="007C62B1">
        <w:t xml:space="preserve"> </w:t>
      </w:r>
      <w:r w:rsidR="00FE5688">
        <w:t>Data Elements</w:t>
      </w:r>
    </w:p>
    <w:p w:rsidR="00CB4243" w:rsidRDefault="00CB4243" w:rsidP="008373FD">
      <w:pPr>
        <w:spacing w:line="276" w:lineRule="auto"/>
        <w:rPr>
          <w:b/>
        </w:rPr>
      </w:pPr>
    </w:p>
    <w:p w:rsidR="004D5886" w:rsidRDefault="004F2CBB" w:rsidP="00A9732B">
      <w:pPr>
        <w:rPr>
          <w:b/>
        </w:rPr>
      </w:pPr>
      <w:r>
        <w:rPr>
          <w:b/>
        </w:rPr>
        <w:t>Overview</w:t>
      </w:r>
    </w:p>
    <w:p w:rsidR="004D5886" w:rsidRDefault="004D5886" w:rsidP="00A9732B">
      <w:pPr>
        <w:rPr>
          <w:b/>
        </w:rPr>
      </w:pPr>
    </w:p>
    <w:p w:rsidR="008725AF" w:rsidRDefault="004D5886" w:rsidP="00A9732B">
      <w:pPr>
        <w:rPr>
          <w:color w:val="000000" w:themeColor="text1"/>
        </w:rPr>
      </w:pPr>
      <w:r w:rsidRPr="0080549F">
        <w:rPr>
          <w:color w:val="000000" w:themeColor="text1"/>
        </w:rPr>
        <w:t>CDC seeks OMB approval</w:t>
      </w:r>
      <w:r w:rsidR="000164AF">
        <w:rPr>
          <w:color w:val="000000" w:themeColor="text1"/>
        </w:rPr>
        <w:t xml:space="preserve"> </w:t>
      </w:r>
      <w:r w:rsidR="00856097" w:rsidRPr="0080549F">
        <w:rPr>
          <w:color w:val="000000" w:themeColor="text1"/>
        </w:rPr>
        <w:t xml:space="preserve">to </w:t>
      </w:r>
      <w:r w:rsidR="005E592A">
        <w:rPr>
          <w:color w:val="000000" w:themeColor="text1"/>
        </w:rPr>
        <w:t xml:space="preserve">collect </w:t>
      </w:r>
      <w:r w:rsidR="00856097" w:rsidRPr="0080549F">
        <w:rPr>
          <w:color w:val="000000" w:themeColor="text1"/>
        </w:rPr>
        <w:t>information</w:t>
      </w:r>
      <w:r w:rsidR="005E592A">
        <w:rPr>
          <w:color w:val="000000" w:themeColor="text1"/>
        </w:rPr>
        <w:t xml:space="preserve"> electronically</w:t>
      </w:r>
      <w:r w:rsidR="00856097" w:rsidRPr="0080549F">
        <w:rPr>
          <w:color w:val="000000" w:themeColor="text1"/>
        </w:rPr>
        <w:t xml:space="preserve"> from </w:t>
      </w:r>
      <w:r w:rsidR="000164AF">
        <w:rPr>
          <w:color w:val="000000" w:themeColor="text1"/>
        </w:rPr>
        <w:t>awardees funded under the Community Trans</w:t>
      </w:r>
      <w:r w:rsidR="00704A3F">
        <w:rPr>
          <w:color w:val="000000" w:themeColor="text1"/>
        </w:rPr>
        <w:t>formation Grant (CTG) cooperative agreement program</w:t>
      </w:r>
      <w:r w:rsidR="00874F14" w:rsidRPr="0080549F">
        <w:rPr>
          <w:color w:val="000000" w:themeColor="text1"/>
        </w:rPr>
        <w:t>.</w:t>
      </w:r>
      <w:r w:rsidR="000164AF">
        <w:rPr>
          <w:color w:val="000000" w:themeColor="text1"/>
        </w:rPr>
        <w:t xml:space="preserve">  The CTG </w:t>
      </w:r>
      <w:r w:rsidR="00704A3F">
        <w:rPr>
          <w:color w:val="000000" w:themeColor="text1"/>
        </w:rPr>
        <w:t xml:space="preserve">program is a new initiative </w:t>
      </w:r>
      <w:r w:rsidR="008725AF">
        <w:rPr>
          <w:color w:val="000000" w:themeColor="text1"/>
        </w:rPr>
        <w:t>authorized by the Prevention and Public Health Fund (PPHF) of the Patient Protection and Affordable Care Act of 2010, and administered</w:t>
      </w:r>
      <w:r w:rsidR="008373FD">
        <w:rPr>
          <w:color w:val="000000" w:themeColor="text1"/>
        </w:rPr>
        <w:t xml:space="preserve"> by the Centers for Disease Control and Prevention (CDC)</w:t>
      </w:r>
      <w:r w:rsidR="00D97B14">
        <w:rPr>
          <w:color w:val="000000" w:themeColor="text1"/>
        </w:rPr>
        <w:t>.</w:t>
      </w:r>
    </w:p>
    <w:p w:rsidR="008725AF" w:rsidRDefault="008725AF" w:rsidP="00A9732B">
      <w:pPr>
        <w:rPr>
          <w:color w:val="000000" w:themeColor="text1"/>
        </w:rPr>
      </w:pPr>
    </w:p>
    <w:p w:rsidR="00F23521" w:rsidRDefault="00710336" w:rsidP="00A9732B">
      <w:pPr>
        <w:rPr>
          <w:color w:val="000000" w:themeColor="text1"/>
        </w:rPr>
      </w:pPr>
      <w:r>
        <w:rPr>
          <w:color w:val="000000" w:themeColor="text1"/>
        </w:rPr>
        <w:t>Interest in the CTG program is high and has intensified since</w:t>
      </w:r>
      <w:r w:rsidR="00AF6E97">
        <w:rPr>
          <w:color w:val="000000" w:themeColor="text1"/>
        </w:rPr>
        <w:t xml:space="preserve"> a</w:t>
      </w:r>
      <w:r w:rsidR="00D97B14">
        <w:rPr>
          <w:color w:val="000000" w:themeColor="text1"/>
        </w:rPr>
        <w:t xml:space="preserve">wardees were announced on </w:t>
      </w:r>
      <w:r w:rsidR="006E7763" w:rsidRPr="00010E9A">
        <w:rPr>
          <w:color w:val="000000" w:themeColor="text1"/>
        </w:rPr>
        <w:t>Septembe</w:t>
      </w:r>
      <w:r w:rsidR="00010E9A" w:rsidRPr="00010E9A">
        <w:rPr>
          <w:color w:val="000000" w:themeColor="text1"/>
        </w:rPr>
        <w:t>r 27</w:t>
      </w:r>
      <w:r w:rsidR="00D97B14" w:rsidRPr="00010E9A">
        <w:rPr>
          <w:color w:val="000000" w:themeColor="text1"/>
        </w:rPr>
        <w:t>, 2011.</w:t>
      </w:r>
      <w:r w:rsidR="00D97B14">
        <w:rPr>
          <w:color w:val="000000" w:themeColor="text1"/>
        </w:rPr>
        <w:t xml:space="preserve">  </w:t>
      </w:r>
      <w:r w:rsidR="007A6350">
        <w:rPr>
          <w:color w:val="000000" w:themeColor="text1"/>
        </w:rPr>
        <w:t>A</w:t>
      </w:r>
      <w:r w:rsidR="00A00C66">
        <w:rPr>
          <w:color w:val="000000" w:themeColor="text1"/>
        </w:rPr>
        <w:t>wardees will</w:t>
      </w:r>
      <w:r w:rsidR="000C6C4C">
        <w:rPr>
          <w:color w:val="000000" w:themeColor="text1"/>
        </w:rPr>
        <w:t xml:space="preserve"> report progress and activity information to CDC</w:t>
      </w:r>
      <w:r w:rsidR="00617117">
        <w:rPr>
          <w:color w:val="000000" w:themeColor="text1"/>
        </w:rPr>
        <w:t xml:space="preserve"> on a semi-annual schedule</w:t>
      </w:r>
      <w:r w:rsidR="00EA087F">
        <w:rPr>
          <w:color w:val="000000" w:themeColor="text1"/>
        </w:rPr>
        <w:t xml:space="preserve"> using</w:t>
      </w:r>
      <w:r w:rsidR="00A00C66">
        <w:rPr>
          <w:color w:val="000000" w:themeColor="text1"/>
        </w:rPr>
        <w:t xml:space="preserve"> an electronic Management Information System (MIS).  </w:t>
      </w:r>
      <w:r w:rsidR="007A6350">
        <w:rPr>
          <w:color w:val="000000" w:themeColor="text1"/>
        </w:rPr>
        <w:t>I</w:t>
      </w:r>
      <w:r w:rsidR="00617117">
        <w:rPr>
          <w:color w:val="000000" w:themeColor="text1"/>
        </w:rPr>
        <w:t xml:space="preserve">nformation </w:t>
      </w:r>
      <w:r w:rsidR="007A6350">
        <w:rPr>
          <w:color w:val="000000" w:themeColor="text1"/>
        </w:rPr>
        <w:t xml:space="preserve">to be collected </w:t>
      </w:r>
      <w:r w:rsidR="00617117">
        <w:rPr>
          <w:color w:val="000000" w:themeColor="text1"/>
        </w:rPr>
        <w:t>will provide crucial</w:t>
      </w:r>
      <w:r w:rsidR="0004540B">
        <w:rPr>
          <w:color w:val="000000" w:themeColor="text1"/>
        </w:rPr>
        <w:t xml:space="preserve"> </w:t>
      </w:r>
      <w:r w:rsidR="00617117">
        <w:rPr>
          <w:color w:val="000000" w:themeColor="text1"/>
        </w:rPr>
        <w:t xml:space="preserve">data for CTG </w:t>
      </w:r>
      <w:r w:rsidR="00A14BF3">
        <w:rPr>
          <w:color w:val="000000" w:themeColor="text1"/>
        </w:rPr>
        <w:t xml:space="preserve">program performance </w:t>
      </w:r>
      <w:r w:rsidR="00EA087F">
        <w:rPr>
          <w:color w:val="000000" w:themeColor="text1"/>
        </w:rPr>
        <w:t xml:space="preserve">monitoring </w:t>
      </w:r>
      <w:r w:rsidR="00533F97">
        <w:rPr>
          <w:color w:val="000000" w:themeColor="text1"/>
        </w:rPr>
        <w:t>and provide CDC with</w:t>
      </w:r>
      <w:r w:rsidR="007B01F8">
        <w:rPr>
          <w:color w:val="000000" w:themeColor="text1"/>
        </w:rPr>
        <w:t xml:space="preserve"> the capacity to respond in a timely manner</w:t>
      </w:r>
      <w:r w:rsidR="00533F97">
        <w:rPr>
          <w:color w:val="000000" w:themeColor="text1"/>
        </w:rPr>
        <w:t xml:space="preserve"> to requests for information about the CTG program from </w:t>
      </w:r>
      <w:r w:rsidR="00961CC5">
        <w:rPr>
          <w:color w:val="000000" w:themeColor="text1"/>
        </w:rPr>
        <w:t>the Department of Health and Human Services (</w:t>
      </w:r>
      <w:r w:rsidR="00533F97">
        <w:rPr>
          <w:color w:val="000000" w:themeColor="text1"/>
        </w:rPr>
        <w:t>HHS</w:t>
      </w:r>
      <w:r w:rsidR="00961CC5">
        <w:rPr>
          <w:color w:val="000000" w:themeColor="text1"/>
        </w:rPr>
        <w:t>)</w:t>
      </w:r>
      <w:r w:rsidR="00533F97">
        <w:rPr>
          <w:color w:val="000000" w:themeColor="text1"/>
        </w:rPr>
        <w:t xml:space="preserve">, </w:t>
      </w:r>
      <w:r w:rsidR="00010E9A">
        <w:rPr>
          <w:color w:val="000000" w:themeColor="text1"/>
        </w:rPr>
        <w:t xml:space="preserve">the White House, </w:t>
      </w:r>
      <w:r w:rsidR="00533F97">
        <w:rPr>
          <w:color w:val="000000" w:themeColor="text1"/>
        </w:rPr>
        <w:t>Congress, and other sources</w:t>
      </w:r>
      <w:r w:rsidR="00617117">
        <w:rPr>
          <w:color w:val="000000" w:themeColor="text1"/>
        </w:rPr>
        <w:t>.</w:t>
      </w:r>
      <w:r w:rsidR="00352615">
        <w:rPr>
          <w:color w:val="000000" w:themeColor="text1"/>
        </w:rPr>
        <w:t xml:space="preserve">  </w:t>
      </w:r>
      <w:r w:rsidR="00617117">
        <w:rPr>
          <w:color w:val="000000" w:themeColor="text1"/>
        </w:rPr>
        <w:t xml:space="preserve">Over the five-year award period, additional advantages of the electronic MIS include:  reducing respondent </w:t>
      </w:r>
      <w:r w:rsidR="005A1782">
        <w:rPr>
          <w:color w:val="000000" w:themeColor="text1"/>
        </w:rPr>
        <w:t>reporting burden</w:t>
      </w:r>
      <w:r w:rsidR="00617117">
        <w:rPr>
          <w:color w:val="000000" w:themeColor="text1"/>
        </w:rPr>
        <w:t xml:space="preserve">; </w:t>
      </w:r>
      <w:r w:rsidR="0096217B">
        <w:rPr>
          <w:color w:val="000000" w:themeColor="text1"/>
        </w:rPr>
        <w:t>i</w:t>
      </w:r>
      <w:r w:rsidR="00533F97">
        <w:rPr>
          <w:color w:val="000000" w:themeColor="text1"/>
        </w:rPr>
        <w:t xml:space="preserve">mproving real-time CDC-awardee communications; and </w:t>
      </w:r>
      <w:r w:rsidR="00A14BF3">
        <w:rPr>
          <w:color w:val="000000" w:themeColor="text1"/>
        </w:rPr>
        <w:t>strengthening</w:t>
      </w:r>
      <w:r w:rsidR="005A1782">
        <w:rPr>
          <w:color w:val="000000" w:themeColor="text1"/>
        </w:rPr>
        <w:t xml:space="preserve"> CDC’s ability to monito</w:t>
      </w:r>
      <w:r w:rsidR="00585D8F">
        <w:rPr>
          <w:color w:val="000000" w:themeColor="text1"/>
        </w:rPr>
        <w:t>r awardee progress and provide data-driven</w:t>
      </w:r>
      <w:r w:rsidR="005E592A">
        <w:rPr>
          <w:color w:val="000000" w:themeColor="text1"/>
        </w:rPr>
        <w:t xml:space="preserve"> technical assistance</w:t>
      </w:r>
      <w:r w:rsidR="00F23521">
        <w:rPr>
          <w:color w:val="000000" w:themeColor="text1"/>
        </w:rPr>
        <w:t xml:space="preserve">.  </w:t>
      </w:r>
      <w:r w:rsidR="008373FD">
        <w:rPr>
          <w:color w:val="000000" w:themeColor="text1"/>
        </w:rPr>
        <w:t>CDC’s National Center for Chronic</w:t>
      </w:r>
      <w:r w:rsidR="00690DBF">
        <w:rPr>
          <w:color w:val="000000" w:themeColor="text1"/>
        </w:rPr>
        <w:t xml:space="preserve"> Disease Prevention and Health P</w:t>
      </w:r>
      <w:r w:rsidR="008373FD">
        <w:rPr>
          <w:color w:val="000000" w:themeColor="text1"/>
        </w:rPr>
        <w:t>romotion (</w:t>
      </w:r>
      <w:r w:rsidR="00B04AD3">
        <w:rPr>
          <w:color w:val="000000" w:themeColor="text1"/>
        </w:rPr>
        <w:t>NCCDPHP</w:t>
      </w:r>
      <w:r w:rsidR="008373FD">
        <w:rPr>
          <w:color w:val="000000" w:themeColor="text1"/>
        </w:rPr>
        <w:t>)</w:t>
      </w:r>
      <w:r w:rsidR="004401DA">
        <w:rPr>
          <w:color w:val="000000" w:themeColor="text1"/>
        </w:rPr>
        <w:t xml:space="preserve"> </w:t>
      </w:r>
      <w:r w:rsidR="00B04AD3">
        <w:rPr>
          <w:color w:val="000000" w:themeColor="text1"/>
        </w:rPr>
        <w:t xml:space="preserve">has </w:t>
      </w:r>
      <w:r w:rsidR="00D05DE1">
        <w:rPr>
          <w:color w:val="000000" w:themeColor="text1"/>
        </w:rPr>
        <w:t>successfully</w:t>
      </w:r>
      <w:r w:rsidR="00315A45">
        <w:rPr>
          <w:color w:val="000000" w:themeColor="text1"/>
        </w:rPr>
        <w:t xml:space="preserve"> implemented </w:t>
      </w:r>
      <w:r w:rsidR="00B04AD3">
        <w:rPr>
          <w:color w:val="000000" w:themeColor="text1"/>
        </w:rPr>
        <w:t xml:space="preserve">similar electronic information collection methods </w:t>
      </w:r>
      <w:r w:rsidR="00315A45">
        <w:rPr>
          <w:color w:val="000000" w:themeColor="text1"/>
        </w:rPr>
        <w:t xml:space="preserve">with other </w:t>
      </w:r>
      <w:r w:rsidR="009F4514">
        <w:rPr>
          <w:color w:val="000000" w:themeColor="text1"/>
        </w:rPr>
        <w:t xml:space="preserve">chronic disease prevention and control </w:t>
      </w:r>
      <w:r w:rsidR="00315A45">
        <w:rPr>
          <w:color w:val="000000" w:themeColor="text1"/>
        </w:rPr>
        <w:t>programs.</w:t>
      </w:r>
      <w:r w:rsidR="00173270">
        <w:rPr>
          <w:color w:val="000000" w:themeColor="text1"/>
        </w:rPr>
        <w:t xml:space="preserve"> </w:t>
      </w:r>
      <w:r w:rsidR="007A6350">
        <w:rPr>
          <w:color w:val="000000" w:themeColor="text1"/>
        </w:rPr>
        <w:t>OMB approval is requested for three years.</w:t>
      </w:r>
      <w:r w:rsidR="00173270">
        <w:rPr>
          <w:color w:val="000000" w:themeColor="text1"/>
        </w:rPr>
        <w:t xml:space="preserve"> </w:t>
      </w:r>
    </w:p>
    <w:p w:rsidR="004D5886" w:rsidRPr="00BF4442" w:rsidRDefault="004D5886" w:rsidP="00A9732B"/>
    <w:p w:rsidR="004D5886" w:rsidRDefault="004D5886" w:rsidP="00A9732B">
      <w:pPr>
        <w:rPr>
          <w:b/>
        </w:rPr>
      </w:pPr>
    </w:p>
    <w:p w:rsidR="00C65E3C" w:rsidRDefault="00C65E3C" w:rsidP="00A9732B">
      <w:pPr>
        <w:rPr>
          <w:b/>
        </w:rPr>
      </w:pPr>
      <w:r>
        <w:rPr>
          <w:b/>
        </w:rPr>
        <w:t>A. JUSTIFICATION</w:t>
      </w:r>
    </w:p>
    <w:p w:rsidR="00C65E3C" w:rsidRDefault="00C65E3C" w:rsidP="00A9732B">
      <w:pPr>
        <w:rPr>
          <w:b/>
        </w:rPr>
      </w:pPr>
    </w:p>
    <w:p w:rsidR="00C65E3C" w:rsidRDefault="00C65E3C" w:rsidP="00A9732B">
      <w:pPr>
        <w:rPr>
          <w:b/>
        </w:rPr>
      </w:pPr>
      <w:r>
        <w:rPr>
          <w:b/>
        </w:rPr>
        <w:t xml:space="preserve">     1. Circumstances </w:t>
      </w:r>
      <w:r w:rsidR="004E4ED3">
        <w:rPr>
          <w:b/>
        </w:rPr>
        <w:t>Making the Collection of Information Necessary</w:t>
      </w:r>
    </w:p>
    <w:p w:rsidR="002C1A51" w:rsidRDefault="002C1A51" w:rsidP="00A9732B"/>
    <w:p w:rsidR="0038014B" w:rsidRDefault="0038014B" w:rsidP="00A9732B">
      <w:r>
        <w:t xml:space="preserve">Chronic diseases—including heart disease, cancer, stroke, diabetes, arthritis, and related risk factors, such as tobacco use, physical inactivity, poor diet, and obesity—are the leading causes of death and disability in the United States, accounting for </w:t>
      </w:r>
      <w:r w:rsidR="008725AF">
        <w:t>seven</w:t>
      </w:r>
      <w:r>
        <w:t xml:space="preserve"> of every</w:t>
      </w:r>
      <w:r w:rsidR="008725AF">
        <w:t xml:space="preserve"> ten</w:t>
      </w:r>
      <w:r>
        <w:t xml:space="preserve"> deaths and affecting the quality of life of 90 million Americans</w:t>
      </w:r>
      <w:r>
        <w:rPr>
          <w:b/>
        </w:rPr>
        <w:t xml:space="preserve">. </w:t>
      </w:r>
      <w:r>
        <w:t xml:space="preserve"> R</w:t>
      </w:r>
      <w:r w:rsidRPr="009E42E4">
        <w:t>e</w:t>
      </w:r>
      <w:r>
        <w:t>ducing</w:t>
      </w:r>
      <w:r w:rsidRPr="009E42E4">
        <w:t xml:space="preserve"> death and disability </w:t>
      </w:r>
      <w:r w:rsidR="00010E9A">
        <w:t>through</w:t>
      </w:r>
      <w:r w:rsidR="00010E9A" w:rsidRPr="009E42E4">
        <w:t xml:space="preserve"> </w:t>
      </w:r>
      <w:r w:rsidRPr="009E42E4">
        <w:t xml:space="preserve">the prevention and control </w:t>
      </w:r>
      <w:r>
        <w:t xml:space="preserve">of </w:t>
      </w:r>
      <w:r w:rsidRPr="009E42E4">
        <w:t>these conditions</w:t>
      </w:r>
      <w:r>
        <w:t>,</w:t>
      </w:r>
      <w:r w:rsidRPr="009E42E4">
        <w:t xml:space="preserve"> and their risk facto</w:t>
      </w:r>
      <w:r>
        <w:t>rs, has critical importance for public health.</w:t>
      </w:r>
    </w:p>
    <w:p w:rsidR="0038014B" w:rsidRDefault="0038014B" w:rsidP="00A9732B"/>
    <w:p w:rsidR="005A16ED" w:rsidRPr="0038014B" w:rsidRDefault="00464F9A" w:rsidP="00A9732B">
      <w:r>
        <w:t>T</w:t>
      </w:r>
      <w:r w:rsidR="00FE5688">
        <w:t>he Prevention and Public Health Fund (PPHF) of t</w:t>
      </w:r>
      <w:r>
        <w:t>he Patient Protection and Affordable Care Act of 2010 (</w:t>
      </w:r>
      <w:r w:rsidR="00DA7C10">
        <w:t>ACA</w:t>
      </w:r>
      <w:r>
        <w:t xml:space="preserve">) </w:t>
      </w:r>
      <w:r w:rsidR="003976FF" w:rsidRPr="00AC18BD">
        <w:t xml:space="preserve">provides an important opportunity for states, </w:t>
      </w:r>
      <w:r w:rsidR="003976FF">
        <w:t xml:space="preserve">counties, territories </w:t>
      </w:r>
      <w:r w:rsidR="003976FF" w:rsidRPr="00AC18BD">
        <w:t>and tribes to advance public h</w:t>
      </w:r>
      <w:r w:rsidR="003976FF">
        <w:t>ealth across the lifespan and to</w:t>
      </w:r>
      <w:r w:rsidR="003976FF" w:rsidRPr="00AC18BD">
        <w:t xml:space="preserve"> </w:t>
      </w:r>
      <w:r w:rsidR="003976FF">
        <w:t xml:space="preserve">reduce </w:t>
      </w:r>
      <w:r w:rsidR="003976FF" w:rsidRPr="00AC18BD">
        <w:t>health disparities.</w:t>
      </w:r>
      <w:r w:rsidR="003976FF">
        <w:t xml:space="preserve"> </w:t>
      </w:r>
      <w:r w:rsidR="00DA7C10">
        <w:t xml:space="preserve">Section </w:t>
      </w:r>
      <w:r w:rsidR="00DA7C10" w:rsidRPr="00367E87">
        <w:rPr>
          <w:rFonts w:cs="Courier New"/>
          <w:bCs/>
        </w:rPr>
        <w:t xml:space="preserve">4201 of the </w:t>
      </w:r>
      <w:r w:rsidR="0012247F" w:rsidRPr="0012247F">
        <w:t>PPHF</w:t>
      </w:r>
      <w:r w:rsidR="0012247F">
        <w:rPr>
          <w:b/>
        </w:rPr>
        <w:t xml:space="preserve"> </w:t>
      </w:r>
      <w:r w:rsidR="00DA7C10" w:rsidRPr="00D86F39">
        <w:t>(</w:t>
      </w:r>
      <w:r w:rsidR="00DA7C10" w:rsidRPr="005A16ED">
        <w:rPr>
          <w:b/>
        </w:rPr>
        <w:t>Attachment 1a</w:t>
      </w:r>
      <w:r w:rsidR="00DA7C10">
        <w:rPr>
          <w:rFonts w:cs="Courier New"/>
          <w:bCs/>
        </w:rPr>
        <w:t>)</w:t>
      </w:r>
      <w:r w:rsidR="00DA7C10" w:rsidRPr="00F40635">
        <w:t xml:space="preserve"> </w:t>
      </w:r>
      <w:r w:rsidR="00DA7C10">
        <w:t>authorizes</w:t>
      </w:r>
      <w:r>
        <w:t xml:space="preserve"> Community Transformation Grants </w:t>
      </w:r>
      <w:r w:rsidR="00CF5364">
        <w:t xml:space="preserve">(CTG) </w:t>
      </w:r>
      <w:r>
        <w:t>for the implementation, evaluation, and dissemination of evidence-based community preventive health activities</w:t>
      </w:r>
      <w:r w:rsidR="005A16ED">
        <w:rPr>
          <w:rFonts w:cs="Courier New"/>
          <w:bCs/>
        </w:rPr>
        <w:t xml:space="preserve">. </w:t>
      </w:r>
      <w:r w:rsidR="005A16ED" w:rsidRPr="00367E87">
        <w:rPr>
          <w:rFonts w:cs="Courier New"/>
          <w:bCs/>
        </w:rPr>
        <w:t xml:space="preserve"> </w:t>
      </w:r>
      <w:r w:rsidR="00E241C7">
        <w:rPr>
          <w:color w:val="000000" w:themeColor="text1"/>
        </w:rPr>
        <w:t>The CTG program will create</w:t>
      </w:r>
      <w:r w:rsidR="00EC7F8C" w:rsidRPr="005C548B">
        <w:rPr>
          <w:color w:val="000000" w:themeColor="text1"/>
        </w:rPr>
        <w:t xml:space="preserve"> healthier communities by 1) building capacity to implement </w:t>
      </w:r>
      <w:r w:rsidR="00EC7F8C" w:rsidRPr="005C548B">
        <w:rPr>
          <w:bCs/>
          <w:color w:val="000000" w:themeColor="text1"/>
        </w:rPr>
        <w:t>broad evidence and practice-based policy, environmental, programmatic and infrastructure changes, as appropriate, in large counties, and in states, tribes and territories, including in rural and frontier areas; and 2) support</w:t>
      </w:r>
      <w:r w:rsidR="00C576B2">
        <w:rPr>
          <w:bCs/>
          <w:color w:val="000000" w:themeColor="text1"/>
        </w:rPr>
        <w:t>ing</w:t>
      </w:r>
      <w:r w:rsidR="00EC7F8C" w:rsidRPr="005C548B">
        <w:rPr>
          <w:bCs/>
          <w:color w:val="000000" w:themeColor="text1"/>
        </w:rPr>
        <w:t xml:space="preserve"> implementation of such interventions in five strategic areas (“Strategic Directions”): tobacco-free living, active living and healthy eating, high impact evidence-based clinical and other preventive services, social and emotional wellness, and </w:t>
      </w:r>
      <w:r w:rsidR="008725AF">
        <w:rPr>
          <w:bCs/>
          <w:color w:val="000000" w:themeColor="text1"/>
        </w:rPr>
        <w:t xml:space="preserve">a </w:t>
      </w:r>
      <w:r w:rsidR="00EC7F8C" w:rsidRPr="005C548B">
        <w:rPr>
          <w:bCs/>
          <w:color w:val="000000" w:themeColor="text1"/>
        </w:rPr>
        <w:t xml:space="preserve">healthy and safe physical environment. </w:t>
      </w:r>
      <w:r w:rsidR="00B004E0">
        <w:t>T</w:t>
      </w:r>
      <w:r w:rsidR="00A74AC8">
        <w:t>he CTG program is administer</w:t>
      </w:r>
      <w:r w:rsidR="00CF5364">
        <w:t xml:space="preserve">ed by the </w:t>
      </w:r>
      <w:r w:rsidR="00CF5364">
        <w:lastRenderedPageBreak/>
        <w:t>Centers for Disease Control and Prevention (CDC), National Center for Chronic Disease Prevention and</w:t>
      </w:r>
      <w:r w:rsidR="005A16ED">
        <w:t xml:space="preserve"> Health Promotion (NCCDPHP)</w:t>
      </w:r>
      <w:r w:rsidR="00F40635">
        <w:t xml:space="preserve">.  </w:t>
      </w:r>
      <w:r w:rsidR="0012247F">
        <w:t>Relevant CDC</w:t>
      </w:r>
      <w:r w:rsidR="00D86F39">
        <w:t xml:space="preserve"> activities are </w:t>
      </w:r>
      <w:r w:rsidR="0012247F">
        <w:t xml:space="preserve">also </w:t>
      </w:r>
      <w:r w:rsidR="00D86F39">
        <w:t>authorized by</w:t>
      </w:r>
      <w:r w:rsidR="00F40635">
        <w:t xml:space="preserve"> </w:t>
      </w:r>
      <w:r w:rsidR="00D86F39">
        <w:rPr>
          <w:rFonts w:cs="Courier New"/>
          <w:bCs/>
        </w:rPr>
        <w:t xml:space="preserve">sections </w:t>
      </w:r>
      <w:r w:rsidR="00D86F39" w:rsidRPr="00367E87">
        <w:rPr>
          <w:rFonts w:cs="Courier New"/>
          <w:bCs/>
        </w:rPr>
        <w:t>311 and 317(k)(2) of the Public Health Service Act,</w:t>
      </w:r>
      <w:r w:rsidR="00D86F39">
        <w:rPr>
          <w:rFonts w:cs="Courier New"/>
          <w:bCs/>
        </w:rPr>
        <w:t xml:space="preserve"> 42 U.S. Code 243 and 247b(k)2 (</w:t>
      </w:r>
      <w:r w:rsidR="00F40635" w:rsidRPr="005A16ED">
        <w:rPr>
          <w:rFonts w:cs="Courier New"/>
          <w:b/>
          <w:bCs/>
        </w:rPr>
        <w:t>Attachment 1</w:t>
      </w:r>
      <w:r w:rsidR="00F40635">
        <w:rPr>
          <w:rFonts w:cs="Courier New"/>
          <w:b/>
          <w:bCs/>
        </w:rPr>
        <w:t>b</w:t>
      </w:r>
      <w:r w:rsidR="00F40635">
        <w:rPr>
          <w:rFonts w:cs="Courier New"/>
          <w:bCs/>
        </w:rPr>
        <w:t>).</w:t>
      </w:r>
    </w:p>
    <w:p w:rsidR="00E61040" w:rsidRDefault="00E61040" w:rsidP="00A9732B"/>
    <w:p w:rsidR="00BB0202" w:rsidRDefault="00010E9A" w:rsidP="00BB0202">
      <w:r>
        <w:t>O</w:t>
      </w:r>
      <w:r w:rsidR="00CF5364">
        <w:t xml:space="preserve">n </w:t>
      </w:r>
      <w:r w:rsidR="00CF5364" w:rsidRPr="00010E9A">
        <w:rPr>
          <w:color w:val="000000" w:themeColor="text1"/>
        </w:rPr>
        <w:t>September</w:t>
      </w:r>
      <w:r w:rsidRPr="00010E9A">
        <w:rPr>
          <w:color w:val="000000" w:themeColor="text1"/>
        </w:rPr>
        <w:t xml:space="preserve"> 27,</w:t>
      </w:r>
      <w:r w:rsidR="00CF5364" w:rsidRPr="00010E9A">
        <w:rPr>
          <w:color w:val="000000" w:themeColor="text1"/>
        </w:rPr>
        <w:t xml:space="preserve"> 2011</w:t>
      </w:r>
      <w:r w:rsidR="00B004E0" w:rsidRPr="00010E9A">
        <w:t>,</w:t>
      </w:r>
      <w:r w:rsidR="00E61040" w:rsidRPr="00010E9A">
        <w:t xml:space="preserve"> CDC awarded </w:t>
      </w:r>
      <w:r w:rsidR="00E327B2" w:rsidRPr="00010E9A">
        <w:t>6</w:t>
      </w:r>
      <w:r w:rsidR="008C677F" w:rsidRPr="00010E9A">
        <w:t>8</w:t>
      </w:r>
      <w:r w:rsidR="00E61040" w:rsidRPr="00010E9A">
        <w:t xml:space="preserve"> cooperative agreements totaling $</w:t>
      </w:r>
      <w:r>
        <w:t>107.2</w:t>
      </w:r>
      <w:r w:rsidR="00E241C7">
        <w:t xml:space="preserve"> million to</w:t>
      </w:r>
      <w:r w:rsidR="00A74AC8">
        <w:t xml:space="preserve"> </w:t>
      </w:r>
      <w:r w:rsidR="00A74AC8" w:rsidRPr="005C548B">
        <w:rPr>
          <w:color w:val="000000" w:themeColor="text1"/>
        </w:rPr>
        <w:t>state and local governmental agencies, tribes and territories, state or local non-profit organizations, and national networks of community-based organizations</w:t>
      </w:r>
      <w:r w:rsidR="00A74AC8">
        <w:rPr>
          <w:color w:val="000000" w:themeColor="text1"/>
        </w:rPr>
        <w:t>.</w:t>
      </w:r>
      <w:r w:rsidR="00A74AC8">
        <w:rPr>
          <w:rFonts w:cs="Courier New"/>
        </w:rPr>
        <w:t xml:space="preserve"> </w:t>
      </w:r>
      <w:r w:rsidR="00096E21">
        <w:rPr>
          <w:rFonts w:cs="Courier New"/>
        </w:rPr>
        <w:t xml:space="preserve"> </w:t>
      </w:r>
      <w:r w:rsidR="004E6C70">
        <w:t xml:space="preserve">A list of awardees is provided in </w:t>
      </w:r>
      <w:r w:rsidR="004E6C70" w:rsidRPr="00DB6335">
        <w:rPr>
          <w:b/>
        </w:rPr>
        <w:t>Attachment 3</w:t>
      </w:r>
      <w:r w:rsidR="004E6C70">
        <w:t xml:space="preserve">.  </w:t>
      </w:r>
      <w:r>
        <w:t xml:space="preserve">There are four types of awardees with different areas of emphasis:  CTG Capacity Building (N=26), CTG Implementation (N=35), CTG National Network Dissemination (N=3), and CTG National Network Acceleration (N=4).  Fifty-four awardees are drawn from the state, territorial and tribal government sector, and 14 awardees are drawn from the private sector.  </w:t>
      </w:r>
      <w:r w:rsidR="00BB0202">
        <w:t xml:space="preserve">If additional funding is made available to the CTG program, CDC </w:t>
      </w:r>
      <w:r w:rsidR="0004540B">
        <w:t xml:space="preserve">will </w:t>
      </w:r>
      <w:r w:rsidR="00BB0202">
        <w:t>submit a Change Request to authorize participation of additional CTG awardees in the MIS data collection.</w:t>
      </w:r>
      <w:r w:rsidR="00EE3AAB">
        <w:t xml:space="preserve">  The burden estimates presented in this Information Collection Request are structured to accommodate CTG program expansion.</w:t>
      </w:r>
    </w:p>
    <w:p w:rsidR="00BB0202" w:rsidRDefault="00BB0202" w:rsidP="00A9732B"/>
    <w:p w:rsidR="00E64745" w:rsidRDefault="00493E0F" w:rsidP="00A9732B">
      <w:r>
        <w:t xml:space="preserve">Each </w:t>
      </w:r>
      <w:r w:rsidR="000C45ED">
        <w:t xml:space="preserve">CTG </w:t>
      </w:r>
      <w:r>
        <w:t>awardee is charged with implementing a community-</w:t>
      </w:r>
      <w:r w:rsidR="00C576B2">
        <w:t xml:space="preserve"> </w:t>
      </w:r>
      <w:r w:rsidR="008C677F">
        <w:t>or awardee-</w:t>
      </w:r>
      <w:r>
        <w:t xml:space="preserve">specific </w:t>
      </w:r>
      <w:r w:rsidR="00010E9A">
        <w:t xml:space="preserve">work </w:t>
      </w:r>
      <w:r>
        <w:t>plan</w:t>
      </w:r>
      <w:r w:rsidR="000C45ED">
        <w:t xml:space="preserve"> </w:t>
      </w:r>
      <w:r w:rsidR="001621BE">
        <w:t>that will</w:t>
      </w:r>
      <w:r w:rsidR="000C45ED">
        <w:t xml:space="preserve"> l</w:t>
      </w:r>
      <w:r>
        <w:t>ead to specific, measurable health outcomes</w:t>
      </w:r>
      <w:r w:rsidR="00CC4206">
        <w:t xml:space="preserve"> </w:t>
      </w:r>
      <w:r w:rsidR="003A0CFB">
        <w:t xml:space="preserve">in its jurisdiction </w:t>
      </w:r>
      <w:r w:rsidR="00990D89">
        <w:t xml:space="preserve">(or service area) </w:t>
      </w:r>
      <w:r w:rsidR="00CC4206">
        <w:t>among an entire population or a specific population subgroup</w:t>
      </w:r>
      <w:r>
        <w:t xml:space="preserve">. </w:t>
      </w:r>
      <w:r w:rsidR="001C4311">
        <w:rPr>
          <w:rFonts w:eastAsia="Calibri"/>
        </w:rPr>
        <w:t>Although t</w:t>
      </w:r>
      <w:r w:rsidR="003A0CFB">
        <w:rPr>
          <w:rFonts w:eastAsia="Calibri"/>
        </w:rPr>
        <w:t xml:space="preserve">he </w:t>
      </w:r>
      <w:r w:rsidR="00201653">
        <w:rPr>
          <w:rFonts w:eastAsia="Calibri"/>
        </w:rPr>
        <w:t>CTG</w:t>
      </w:r>
      <w:r w:rsidR="003A0CFB">
        <w:rPr>
          <w:rFonts w:eastAsia="Calibri"/>
        </w:rPr>
        <w:t xml:space="preserve"> program </w:t>
      </w:r>
      <w:r w:rsidR="00201653">
        <w:rPr>
          <w:rFonts w:eastAsia="Calibri"/>
        </w:rPr>
        <w:t>emphasizes</w:t>
      </w:r>
      <w:r w:rsidR="003A0CFB">
        <w:rPr>
          <w:rFonts w:eastAsia="Calibri"/>
        </w:rPr>
        <w:t xml:space="preserve"> po</w:t>
      </w:r>
      <w:r w:rsidR="001C4311">
        <w:rPr>
          <w:rFonts w:eastAsia="Calibri"/>
        </w:rPr>
        <w:t>licy and environmental changes,</w:t>
      </w:r>
      <w:r w:rsidR="003A0CFB">
        <w:rPr>
          <w:rFonts w:eastAsia="Calibri"/>
        </w:rPr>
        <w:t xml:space="preserve"> CTG funding may also be used to implement</w:t>
      </w:r>
      <w:r w:rsidR="00961CC5">
        <w:rPr>
          <w:rFonts w:eastAsia="Calibri"/>
        </w:rPr>
        <w:t xml:space="preserve"> </w:t>
      </w:r>
      <w:r w:rsidR="00010E9A">
        <w:rPr>
          <w:rFonts w:eastAsia="Calibri"/>
        </w:rPr>
        <w:t>clinical and preventive services</w:t>
      </w:r>
      <w:r w:rsidR="003A0CFB" w:rsidRPr="00301B2D">
        <w:rPr>
          <w:rFonts w:eastAsia="Calibri"/>
        </w:rPr>
        <w:t xml:space="preserve"> programs </w:t>
      </w:r>
      <w:r w:rsidR="003A0CFB">
        <w:rPr>
          <w:rFonts w:eastAsia="Calibri"/>
        </w:rPr>
        <w:t>that are a n</w:t>
      </w:r>
      <w:r w:rsidR="00156D67">
        <w:rPr>
          <w:rFonts w:eastAsia="Calibri"/>
        </w:rPr>
        <w:t xml:space="preserve">ecessary </w:t>
      </w:r>
      <w:r w:rsidR="003A0CFB" w:rsidRPr="00301B2D">
        <w:rPr>
          <w:rFonts w:eastAsia="Calibri"/>
        </w:rPr>
        <w:t xml:space="preserve">part of a </w:t>
      </w:r>
      <w:r w:rsidR="003A0CFB">
        <w:rPr>
          <w:rFonts w:eastAsia="Calibri"/>
        </w:rPr>
        <w:t xml:space="preserve">long-term strategy.  </w:t>
      </w:r>
      <w:r w:rsidR="003A0CFB">
        <w:t>Activities that may be supported with CTG funding</w:t>
      </w:r>
      <w:r w:rsidR="00DE79A2">
        <w:t xml:space="preserve"> include </w:t>
      </w:r>
      <w:r w:rsidR="00416509">
        <w:t xml:space="preserve">establishing or strengthening </w:t>
      </w:r>
      <w:r w:rsidR="00DE79A2">
        <w:t>community coalitions</w:t>
      </w:r>
      <w:r w:rsidR="00416509">
        <w:t xml:space="preserve">; participating in </w:t>
      </w:r>
      <w:r w:rsidR="00DE79A2">
        <w:t xml:space="preserve">appropriate training; conducting community-specific </w:t>
      </w:r>
      <w:r w:rsidR="00416509">
        <w:t>needs assessment</w:t>
      </w:r>
      <w:r w:rsidR="00DE79A2">
        <w:t>s; promot</w:t>
      </w:r>
      <w:r w:rsidR="00416509">
        <w:t xml:space="preserve">ing community engagement with populations experiencing health disparities; </w:t>
      </w:r>
      <w:r w:rsidR="00996506">
        <w:t>analyzin</w:t>
      </w:r>
      <w:r w:rsidR="00DE79A2">
        <w:t>g</w:t>
      </w:r>
      <w:r w:rsidR="00416509">
        <w:t xml:space="preserve"> gaps in existing policies, systems, and environments</w:t>
      </w:r>
      <w:r w:rsidR="005A5D9C">
        <w:t>; implementing</w:t>
      </w:r>
      <w:r w:rsidR="00781B4F">
        <w:t xml:space="preserve"> evidence-based strategies and </w:t>
      </w:r>
      <w:r w:rsidR="005A5D9C">
        <w:t>evaluating</w:t>
      </w:r>
      <w:r w:rsidR="00781B4F">
        <w:t xml:space="preserve"> promising interventions; and supporting, disseminating, and amplifying the evidence base of the CTG strategies within national networks</w:t>
      </w:r>
      <w:r w:rsidR="00416509">
        <w:t>.</w:t>
      </w:r>
    </w:p>
    <w:p w:rsidR="00096E21" w:rsidRDefault="00096E21" w:rsidP="00A9732B"/>
    <w:p w:rsidR="00A925D1" w:rsidRDefault="00201653" w:rsidP="00A1395B">
      <w:pPr>
        <w:spacing w:after="120"/>
      </w:pPr>
      <w:r>
        <w:t>Each CTG awardee is required to provide</w:t>
      </w:r>
      <w:r w:rsidR="00FE2B16">
        <w:t xml:space="preserve"> semi-annual reports to CDC describing</w:t>
      </w:r>
      <w:r>
        <w:t xml:space="preserve"> its </w:t>
      </w:r>
      <w:r w:rsidR="00FA4AD5">
        <w:t xml:space="preserve">work </w:t>
      </w:r>
      <w:r>
        <w:t xml:space="preserve">plan, activities, and progress toward achieving objectives.  </w:t>
      </w:r>
      <w:r w:rsidR="008C677F">
        <w:t xml:space="preserve">The first interim report is due </w:t>
      </w:r>
      <w:r w:rsidR="008C677F" w:rsidRPr="00010E9A">
        <w:t>March 31, 2012,</w:t>
      </w:r>
      <w:r w:rsidR="008C677F">
        <w:t xml:space="preserve"> and CDC plans to </w:t>
      </w:r>
      <w:r w:rsidR="00276AB8">
        <w:t>begin using the CTG MIS immediately upon receipt of OMB approval</w:t>
      </w:r>
      <w:r w:rsidR="008C677F">
        <w:t>.</w:t>
      </w:r>
      <w:r>
        <w:t xml:space="preserve">  </w:t>
      </w:r>
      <w:r w:rsidR="00A925D1">
        <w:t xml:space="preserve">There are significant </w:t>
      </w:r>
      <w:r w:rsidR="008C677F">
        <w:t xml:space="preserve">advantages to </w:t>
      </w:r>
      <w:r w:rsidR="00C576B2">
        <w:t>collecting information with a web-based</w:t>
      </w:r>
      <w:r w:rsidR="008C677F">
        <w:t xml:space="preserve"> MIS</w:t>
      </w:r>
      <w:r w:rsidR="00516E47">
        <w:t>:</w:t>
      </w:r>
    </w:p>
    <w:p w:rsidR="00A925D1" w:rsidRDefault="00516E47" w:rsidP="00A1395B">
      <w:pPr>
        <w:pStyle w:val="ListParagraph"/>
        <w:numPr>
          <w:ilvl w:val="0"/>
          <w:numId w:val="30"/>
        </w:numPr>
        <w:spacing w:after="120"/>
        <w:contextualSpacing w:val="0"/>
      </w:pPr>
      <w:r>
        <w:t>T</w:t>
      </w:r>
      <w:r w:rsidR="008418F7">
        <w:t xml:space="preserve">he MIS data structures and business rules will help awardees formulate objectives that are specific, measurable, achievable, relevant and time-framed (SMART).  </w:t>
      </w:r>
      <w:r w:rsidR="00A925D1">
        <w:t>This formulation is</w:t>
      </w:r>
      <w:r w:rsidR="00EF3B1A">
        <w:t xml:space="preserve"> intended to facilitate successful</w:t>
      </w:r>
      <w:r w:rsidR="00A925D1">
        <w:t xml:space="preserve"> </w:t>
      </w:r>
      <w:r w:rsidR="00EF3B1A">
        <w:t xml:space="preserve">achievement of objectives and is </w:t>
      </w:r>
      <w:r w:rsidR="00A925D1">
        <w:t xml:space="preserve">integral to CDC’s </w:t>
      </w:r>
      <w:r w:rsidR="00C24B40">
        <w:t>evaluation strategy</w:t>
      </w:r>
      <w:r w:rsidR="00A925D1">
        <w:t xml:space="preserve"> for the CTG program.</w:t>
      </w:r>
    </w:p>
    <w:p w:rsidR="00A925D1" w:rsidRDefault="00516E47" w:rsidP="00A1395B">
      <w:pPr>
        <w:pStyle w:val="ListParagraph"/>
        <w:numPr>
          <w:ilvl w:val="0"/>
          <w:numId w:val="30"/>
        </w:numPr>
        <w:spacing w:after="120"/>
        <w:contextualSpacing w:val="0"/>
      </w:pPr>
      <w:r>
        <w:t>T</w:t>
      </w:r>
      <w:r w:rsidR="001C4311">
        <w:t xml:space="preserve">he </w:t>
      </w:r>
      <w:r w:rsidR="005919E3">
        <w:t>information being collected</w:t>
      </w:r>
      <w:r w:rsidR="00FE2B16">
        <w:t xml:space="preserve"> provide</w:t>
      </w:r>
      <w:r w:rsidR="005919E3">
        <w:t>s</w:t>
      </w:r>
      <w:r w:rsidR="006578CE">
        <w:t xml:space="preserve"> crucial </w:t>
      </w:r>
      <w:r w:rsidR="00FE2B16">
        <w:t>information about each awardee’</w:t>
      </w:r>
      <w:r w:rsidR="00880B4F">
        <w:t xml:space="preserve">s </w:t>
      </w:r>
      <w:r w:rsidR="008C1258">
        <w:t>work plan</w:t>
      </w:r>
      <w:r w:rsidR="008725AF">
        <w:t xml:space="preserve">, activities, </w:t>
      </w:r>
      <w:r w:rsidR="00804525">
        <w:t>partnerships</w:t>
      </w:r>
      <w:r w:rsidR="005919E3">
        <w:t xml:space="preserve"> and progress over the award period</w:t>
      </w:r>
      <w:r w:rsidR="008C1258">
        <w:t xml:space="preserve">.  </w:t>
      </w:r>
    </w:p>
    <w:p w:rsidR="00C24B40" w:rsidRDefault="00516E47" w:rsidP="00A1395B">
      <w:pPr>
        <w:pStyle w:val="ListParagraph"/>
        <w:numPr>
          <w:ilvl w:val="0"/>
          <w:numId w:val="30"/>
        </w:numPr>
        <w:spacing w:after="120"/>
        <w:contextualSpacing w:val="0"/>
      </w:pPr>
      <w:r>
        <w:t>A</w:t>
      </w:r>
      <w:r w:rsidR="00C24B40">
        <w:t>wardees will have the capaci</w:t>
      </w:r>
      <w:r w:rsidR="00D11620">
        <w:t>ty to enter updates on an ongoing basis</w:t>
      </w:r>
      <w:r w:rsidR="00C24B40">
        <w:t>.  This feature</w:t>
      </w:r>
      <w:r w:rsidR="00306966">
        <w:t xml:space="preserve"> of the MIS</w:t>
      </w:r>
      <w:r w:rsidR="00C24B40">
        <w:t xml:space="preserve"> is expected to facilitate </w:t>
      </w:r>
      <w:r w:rsidR="00D11620">
        <w:t xml:space="preserve">real time </w:t>
      </w:r>
      <w:r w:rsidR="00CF36B9">
        <w:t xml:space="preserve">communications </w:t>
      </w:r>
      <w:r w:rsidR="00526699">
        <w:t xml:space="preserve">with </w:t>
      </w:r>
      <w:r w:rsidR="00CF36B9">
        <w:t xml:space="preserve">and </w:t>
      </w:r>
      <w:r w:rsidR="00C24B40">
        <w:t>interim review by CDC</w:t>
      </w:r>
      <w:r w:rsidR="00CF36B9">
        <w:t>, resulting in</w:t>
      </w:r>
      <w:r w:rsidR="00C24B40">
        <w:t xml:space="preserve"> more timely technical assistance</w:t>
      </w:r>
      <w:r w:rsidR="00CF36B9">
        <w:t xml:space="preserve">.  The ability to enter updates </w:t>
      </w:r>
      <w:r w:rsidR="00D11620">
        <w:t>as activities occur</w:t>
      </w:r>
      <w:r w:rsidR="00CF36B9">
        <w:t xml:space="preserve"> may also</w:t>
      </w:r>
      <w:r w:rsidR="00C24B40" w:rsidRPr="00C24B40">
        <w:t xml:space="preserve"> </w:t>
      </w:r>
      <w:r w:rsidR="00C24B40">
        <w:t>re</w:t>
      </w:r>
      <w:r w:rsidR="00E65157">
        <w:t>sult in more complete enumeration</w:t>
      </w:r>
      <w:r w:rsidR="00C24B40">
        <w:t xml:space="preserve"> of CTG-funded efforts</w:t>
      </w:r>
      <w:r w:rsidR="00CF36B9">
        <w:t>.</w:t>
      </w:r>
    </w:p>
    <w:p w:rsidR="005C7FD2" w:rsidRDefault="00516E47" w:rsidP="00A1395B">
      <w:pPr>
        <w:pStyle w:val="ListParagraph"/>
        <w:numPr>
          <w:ilvl w:val="0"/>
          <w:numId w:val="30"/>
        </w:numPr>
        <w:spacing w:after="120"/>
        <w:contextualSpacing w:val="0"/>
      </w:pPr>
      <w:r>
        <w:lastRenderedPageBreak/>
        <w:t>C</w:t>
      </w:r>
      <w:r w:rsidR="008418F7">
        <w:t xml:space="preserve">apturing </w:t>
      </w:r>
      <w:r w:rsidR="00880B4F">
        <w:t xml:space="preserve">the </w:t>
      </w:r>
      <w:r w:rsidR="008418F7">
        <w:t xml:space="preserve">required information </w:t>
      </w:r>
      <w:r w:rsidR="00880B4F">
        <w:t>electronic</w:t>
      </w:r>
      <w:r w:rsidR="008418F7">
        <w:t>ally</w:t>
      </w:r>
      <w:r w:rsidR="00880B4F">
        <w:t xml:space="preserve"> will allow CDC to formulate ad hoc analyses and reports that would be impracticable using paper-based information </w:t>
      </w:r>
      <w:r w:rsidR="00880B4F" w:rsidRPr="009660C2">
        <w:t>sources.</w:t>
      </w:r>
    </w:p>
    <w:p w:rsidR="005C7FD2" w:rsidRDefault="005C7FD2" w:rsidP="005C7FD2">
      <w:pPr>
        <w:pStyle w:val="ListParagraph"/>
      </w:pPr>
    </w:p>
    <w:p w:rsidR="005A6459" w:rsidRPr="009660C2" w:rsidRDefault="00201653" w:rsidP="005C7FD2">
      <w:r w:rsidRPr="009660C2">
        <w:t xml:space="preserve">NCCDPHP has successfully implemented similar information collections with other chronic disease prevention and </w:t>
      </w:r>
      <w:r w:rsidR="009D227B" w:rsidRPr="009660C2">
        <w:t>control programs (Monitoring and Reporting System for Chronic Disease Prevention and Control Programs, OMB No. 0920-0870, exp. 11/30/2013).</w:t>
      </w:r>
    </w:p>
    <w:p w:rsidR="00534F70" w:rsidRPr="009660C2" w:rsidRDefault="00534F70" w:rsidP="00A9732B"/>
    <w:p w:rsidR="00065BEA" w:rsidRPr="009660C2" w:rsidRDefault="00D84FE9" w:rsidP="00A9732B">
      <w:pPr>
        <w:rPr>
          <w:i/>
        </w:rPr>
      </w:pPr>
      <w:r w:rsidRPr="009660C2">
        <w:rPr>
          <w:i/>
        </w:rPr>
        <w:t>Privacy Impa</w:t>
      </w:r>
      <w:r w:rsidR="00065BEA" w:rsidRPr="009660C2">
        <w:rPr>
          <w:i/>
        </w:rPr>
        <w:t>ct Assessment</w:t>
      </w:r>
    </w:p>
    <w:p w:rsidR="00065BEA" w:rsidRPr="009660C2" w:rsidRDefault="00065BEA" w:rsidP="00A9732B">
      <w:pPr>
        <w:ind w:left="360"/>
      </w:pPr>
    </w:p>
    <w:p w:rsidR="00D84FE9" w:rsidRPr="009660C2" w:rsidRDefault="00DF6202" w:rsidP="00A9732B">
      <w:r w:rsidRPr="009660C2">
        <w:t xml:space="preserve">A) </w:t>
      </w:r>
      <w:r w:rsidR="00D84FE9" w:rsidRPr="009660C2">
        <w:t>Overview of the Data Collection System</w:t>
      </w:r>
    </w:p>
    <w:p w:rsidR="007D7457" w:rsidRPr="009660C2" w:rsidRDefault="007D7457" w:rsidP="00A9732B"/>
    <w:p w:rsidR="005C548B" w:rsidRPr="009660C2" w:rsidRDefault="009660C2" w:rsidP="00A9732B">
      <w:r w:rsidRPr="009660C2">
        <w:rPr>
          <w:color w:val="000000" w:themeColor="text1"/>
        </w:rPr>
        <w:t xml:space="preserve">Information will be collected from CTG awardees through an electronic MIS.  Data placed into the system produces interim and annual reports as PDFs that </w:t>
      </w:r>
      <w:r w:rsidR="002E10E3">
        <w:rPr>
          <w:color w:val="000000" w:themeColor="text1"/>
        </w:rPr>
        <w:t>awardee</w:t>
      </w:r>
      <w:r w:rsidRPr="009660C2">
        <w:rPr>
          <w:color w:val="000000" w:themeColor="text1"/>
        </w:rPr>
        <w:t>s can use to upload into grants.gov</w:t>
      </w:r>
      <w:r>
        <w:rPr>
          <w:color w:val="000000" w:themeColor="text1"/>
        </w:rPr>
        <w:t>.</w:t>
      </w:r>
      <w:r w:rsidRPr="009660C2">
        <w:rPr>
          <w:color w:val="000000" w:themeColor="text1"/>
        </w:rPr>
        <w:t xml:space="preserve"> </w:t>
      </w:r>
      <w:r>
        <w:rPr>
          <w:color w:val="000000" w:themeColor="text1"/>
        </w:rPr>
        <w:t xml:space="preserve"> This procedure satisfies </w:t>
      </w:r>
      <w:r w:rsidR="008725AF">
        <w:rPr>
          <w:color w:val="000000" w:themeColor="text1"/>
        </w:rPr>
        <w:t xml:space="preserve">the </w:t>
      </w:r>
      <w:r>
        <w:rPr>
          <w:color w:val="000000" w:themeColor="text1"/>
        </w:rPr>
        <w:t>routine,</w:t>
      </w:r>
      <w:r w:rsidRPr="009660C2">
        <w:rPr>
          <w:color w:val="000000" w:themeColor="text1"/>
        </w:rPr>
        <w:t xml:space="preserve"> semi-annual</w:t>
      </w:r>
      <w:r>
        <w:rPr>
          <w:color w:val="000000" w:themeColor="text1"/>
        </w:rPr>
        <w:t xml:space="preserve"> </w:t>
      </w:r>
      <w:r w:rsidR="008725AF">
        <w:rPr>
          <w:color w:val="000000" w:themeColor="text1"/>
        </w:rPr>
        <w:t>cooperative agreement</w:t>
      </w:r>
      <w:r w:rsidRPr="009660C2">
        <w:rPr>
          <w:color w:val="000000" w:themeColor="text1"/>
        </w:rPr>
        <w:t xml:space="preserve"> reporting</w:t>
      </w:r>
      <w:r w:rsidR="00414787">
        <w:rPr>
          <w:color w:val="000000" w:themeColor="text1"/>
        </w:rPr>
        <w:t xml:space="preserve"> requirements.  </w:t>
      </w:r>
      <w:r w:rsidR="008725AF">
        <w:rPr>
          <w:color w:val="000000" w:themeColor="text1"/>
        </w:rPr>
        <w:t>Progress reports are required twice per year, but data entry can occur on a real-time basis.  As a result</w:t>
      </w:r>
      <w:r>
        <w:rPr>
          <w:color w:val="000000" w:themeColor="text1"/>
        </w:rPr>
        <w:t xml:space="preserve">, </w:t>
      </w:r>
      <w:r w:rsidRPr="009660C2">
        <w:rPr>
          <w:color w:val="000000" w:themeColor="text1"/>
        </w:rPr>
        <w:t xml:space="preserve">the MIS </w:t>
      </w:r>
      <w:r>
        <w:rPr>
          <w:color w:val="000000" w:themeColor="text1"/>
        </w:rPr>
        <w:t>can</w:t>
      </w:r>
      <w:r w:rsidR="00414787">
        <w:rPr>
          <w:color w:val="000000" w:themeColor="text1"/>
        </w:rPr>
        <w:t xml:space="preserve"> also</w:t>
      </w:r>
      <w:r>
        <w:rPr>
          <w:color w:val="000000" w:themeColor="text1"/>
        </w:rPr>
        <w:t xml:space="preserve"> be used for ongoing program management</w:t>
      </w:r>
      <w:r w:rsidR="00117330">
        <w:rPr>
          <w:color w:val="000000" w:themeColor="text1"/>
        </w:rPr>
        <w:t>, and supports more effective, data-driven technical assistance between NCCDPHP and awardees</w:t>
      </w:r>
      <w:r w:rsidR="00414787">
        <w:rPr>
          <w:color w:val="000000" w:themeColor="text1"/>
        </w:rPr>
        <w:t>.</w:t>
      </w:r>
    </w:p>
    <w:p w:rsidR="007D7457" w:rsidRDefault="007D7457" w:rsidP="00EE523C"/>
    <w:p w:rsidR="00D84FE9" w:rsidRDefault="002D4B18" w:rsidP="00EE523C">
      <w:r>
        <w:t xml:space="preserve">B) </w:t>
      </w:r>
      <w:r w:rsidR="00D84FE9" w:rsidRPr="002D4B18">
        <w:t xml:space="preserve">Items of Information to be </w:t>
      </w:r>
      <w:proofErr w:type="gramStart"/>
      <w:r w:rsidR="00D84FE9" w:rsidRPr="002D4B18">
        <w:t>Collected</w:t>
      </w:r>
      <w:proofErr w:type="gramEnd"/>
    </w:p>
    <w:p w:rsidR="009660C2" w:rsidRDefault="009660C2" w:rsidP="00EE523C"/>
    <w:p w:rsidR="0023402B" w:rsidRDefault="002E10E3" w:rsidP="00EE523C">
      <w:r>
        <w:rPr>
          <w:color w:val="000000" w:themeColor="text1"/>
        </w:rPr>
        <w:t>Awardee</w:t>
      </w:r>
      <w:r w:rsidR="009660C2" w:rsidRPr="009660C2">
        <w:rPr>
          <w:color w:val="000000" w:themeColor="text1"/>
        </w:rPr>
        <w:t xml:space="preserve">s </w:t>
      </w:r>
      <w:r w:rsidR="00A808C2">
        <w:rPr>
          <w:color w:val="000000" w:themeColor="text1"/>
        </w:rPr>
        <w:t xml:space="preserve">will </w:t>
      </w:r>
      <w:r w:rsidR="009660C2" w:rsidRPr="009660C2">
        <w:rPr>
          <w:color w:val="000000" w:themeColor="text1"/>
        </w:rPr>
        <w:t>store information about their personnel, work plan objectives</w:t>
      </w:r>
      <w:r w:rsidR="002B29AD">
        <w:rPr>
          <w:color w:val="000000" w:themeColor="text1"/>
        </w:rPr>
        <w:t>, milestones</w:t>
      </w:r>
      <w:r w:rsidR="009660C2" w:rsidRPr="009660C2">
        <w:rPr>
          <w:color w:val="000000" w:themeColor="text1"/>
        </w:rPr>
        <w:t xml:space="preserve"> and activities, resources, and facilitators and barriers to success.  </w:t>
      </w:r>
      <w:r w:rsidR="00815620" w:rsidRPr="00922ECD">
        <w:rPr>
          <w:color w:val="000000" w:themeColor="text1"/>
        </w:rPr>
        <w:t xml:space="preserve">The MIS will </w:t>
      </w:r>
      <w:r w:rsidR="00815620">
        <w:rPr>
          <w:color w:val="000000" w:themeColor="text1"/>
        </w:rPr>
        <w:t xml:space="preserve">also </w:t>
      </w:r>
      <w:r w:rsidR="00815620" w:rsidRPr="00922ECD">
        <w:rPr>
          <w:color w:val="000000" w:themeColor="text1"/>
        </w:rPr>
        <w:t>collect information about the staffing resources dedicated by each awardee</w:t>
      </w:r>
      <w:r w:rsidR="00815620">
        <w:rPr>
          <w:color w:val="000000" w:themeColor="text1"/>
        </w:rPr>
        <w:t xml:space="preserve"> a</w:t>
      </w:r>
      <w:r w:rsidR="008725AF">
        <w:rPr>
          <w:color w:val="000000" w:themeColor="text1"/>
        </w:rPr>
        <w:t>s well as</w:t>
      </w:r>
      <w:r w:rsidR="00815620">
        <w:rPr>
          <w:color w:val="000000" w:themeColor="text1"/>
        </w:rPr>
        <w:t xml:space="preserve"> partnerships with external organizations</w:t>
      </w:r>
      <w:r w:rsidR="008725AF">
        <w:rPr>
          <w:color w:val="000000" w:themeColor="text1"/>
        </w:rPr>
        <w:t xml:space="preserve"> (see </w:t>
      </w:r>
      <w:r w:rsidR="009C74E7" w:rsidRPr="009C74E7">
        <w:rPr>
          <w:b/>
          <w:color w:val="000000" w:themeColor="text1"/>
        </w:rPr>
        <w:t>Attachment 4</w:t>
      </w:r>
      <w:r w:rsidR="008725AF">
        <w:rPr>
          <w:color w:val="000000" w:themeColor="text1"/>
        </w:rPr>
        <w:t>)</w:t>
      </w:r>
      <w:r w:rsidR="00815620" w:rsidRPr="00922ECD">
        <w:rPr>
          <w:color w:val="000000" w:themeColor="text1"/>
        </w:rPr>
        <w:t xml:space="preserve">. </w:t>
      </w:r>
      <w:r w:rsidR="00815620">
        <w:rPr>
          <w:color w:val="000000" w:themeColor="text1"/>
        </w:rPr>
        <w:t xml:space="preserve">The MIS requires </w:t>
      </w:r>
      <w:r w:rsidR="00815620">
        <w:t>CTG awardees</w:t>
      </w:r>
      <w:r w:rsidR="009660C2" w:rsidRPr="009660C2">
        <w:t xml:space="preserve"> to define their objectives</w:t>
      </w:r>
      <w:r w:rsidR="00815620">
        <w:t xml:space="preserve"> </w:t>
      </w:r>
      <w:r w:rsidR="0038014B">
        <w:t xml:space="preserve">in </w:t>
      </w:r>
      <w:r w:rsidR="00815620">
        <w:t>action-oriented</w:t>
      </w:r>
      <w:r w:rsidR="009660C2" w:rsidRPr="009660C2">
        <w:t xml:space="preserve"> SMART format (Specific, Measurable, Achievable, Relevant, and Time-Framed).  </w:t>
      </w:r>
    </w:p>
    <w:p w:rsidR="00815620" w:rsidRDefault="00815620" w:rsidP="00EE523C">
      <w:pPr>
        <w:rPr>
          <w:color w:val="000000" w:themeColor="text1"/>
        </w:rPr>
      </w:pPr>
    </w:p>
    <w:p w:rsidR="0023402B" w:rsidRPr="00922ECD" w:rsidRDefault="00B12648" w:rsidP="00EE523C">
      <w:pPr>
        <w:rPr>
          <w:color w:val="000000" w:themeColor="text1"/>
        </w:rPr>
      </w:pPr>
      <w:r w:rsidRPr="00922ECD">
        <w:rPr>
          <w:color w:val="000000" w:themeColor="text1"/>
        </w:rPr>
        <w:t>The MIS will collect a limited amount of information in identifiable form (IIF)</w:t>
      </w:r>
      <w:r w:rsidR="007D4906" w:rsidRPr="00922ECD">
        <w:rPr>
          <w:color w:val="000000" w:themeColor="text1"/>
        </w:rPr>
        <w:t xml:space="preserve"> for key program staff (e.g., Program Director)</w:t>
      </w:r>
      <w:r w:rsidRPr="00922ECD">
        <w:rPr>
          <w:color w:val="000000" w:themeColor="text1"/>
        </w:rPr>
        <w:t xml:space="preserve">.  </w:t>
      </w:r>
      <w:r w:rsidR="00706C03" w:rsidRPr="00922ECD">
        <w:rPr>
          <w:color w:val="000000" w:themeColor="text1"/>
        </w:rPr>
        <w:t>Each awardee will provide the name</w:t>
      </w:r>
      <w:r w:rsidR="007D4906" w:rsidRPr="00922ECD">
        <w:rPr>
          <w:color w:val="000000" w:themeColor="text1"/>
        </w:rPr>
        <w:t>s</w:t>
      </w:r>
      <w:r w:rsidR="00706C03" w:rsidRPr="00922ECD">
        <w:rPr>
          <w:color w:val="000000" w:themeColor="text1"/>
        </w:rPr>
        <w:t xml:space="preserve"> of </w:t>
      </w:r>
      <w:r w:rsidR="007D4906" w:rsidRPr="00922ECD">
        <w:rPr>
          <w:color w:val="000000" w:themeColor="text1"/>
        </w:rPr>
        <w:t xml:space="preserve">these individuals </w:t>
      </w:r>
      <w:r w:rsidR="00706C03" w:rsidRPr="00922ECD">
        <w:rPr>
          <w:color w:val="000000" w:themeColor="text1"/>
        </w:rPr>
        <w:t xml:space="preserve">as well as </w:t>
      </w:r>
      <w:r w:rsidR="007D4906" w:rsidRPr="00922ECD">
        <w:rPr>
          <w:color w:val="000000" w:themeColor="text1"/>
        </w:rPr>
        <w:t>their</w:t>
      </w:r>
      <w:r w:rsidR="00706C03" w:rsidRPr="00922ECD">
        <w:rPr>
          <w:color w:val="000000" w:themeColor="text1"/>
        </w:rPr>
        <w:t xml:space="preserve"> professional contact information</w:t>
      </w:r>
      <w:r w:rsidR="00F45426" w:rsidRPr="00922ECD">
        <w:rPr>
          <w:color w:val="000000" w:themeColor="text1"/>
        </w:rPr>
        <w:t xml:space="preserve">.  </w:t>
      </w:r>
      <w:r w:rsidR="002B29AD">
        <w:rPr>
          <w:color w:val="000000" w:themeColor="text1"/>
        </w:rPr>
        <w:t>No personal contact information will be collected</w:t>
      </w:r>
      <w:r w:rsidR="00F45426" w:rsidRPr="00922ECD">
        <w:rPr>
          <w:color w:val="000000" w:themeColor="text1"/>
        </w:rPr>
        <w:t>.</w:t>
      </w:r>
    </w:p>
    <w:p w:rsidR="00D84FE9" w:rsidRPr="00922ECD" w:rsidRDefault="00D84FE9" w:rsidP="00EE523C">
      <w:pPr>
        <w:rPr>
          <w:color w:val="000000" w:themeColor="text1"/>
        </w:rPr>
      </w:pPr>
    </w:p>
    <w:p w:rsidR="00D84FE9" w:rsidRDefault="00D42BCE" w:rsidP="00EE523C">
      <w:r>
        <w:t xml:space="preserve">C) </w:t>
      </w:r>
      <w:r w:rsidR="00D84FE9">
        <w:t>Identification of Website(s) and Website Content Directed at Children Under 13 Years of Age</w:t>
      </w:r>
    </w:p>
    <w:p w:rsidR="00065BEA" w:rsidRDefault="00065BEA" w:rsidP="00EE523C"/>
    <w:p w:rsidR="004F7899" w:rsidRDefault="009F72CC" w:rsidP="00CA7AD8">
      <w:r>
        <w:t>The MIS is a Web-based application.  Access to the MIS will be controlled by a password-protected login</w:t>
      </w:r>
      <w:r w:rsidR="00F45426">
        <w:t xml:space="preserve"> for authorized users</w:t>
      </w:r>
      <w:r>
        <w:t>.  There is no</w:t>
      </w:r>
      <w:r w:rsidR="00D42BCE">
        <w:t xml:space="preserve"> W</w:t>
      </w:r>
      <w:r>
        <w:t>ebsite con</w:t>
      </w:r>
      <w:r w:rsidR="00B6387D">
        <w:t>te</w:t>
      </w:r>
      <w:r w:rsidR="005277D3">
        <w:t xml:space="preserve">nt directed at children </w:t>
      </w:r>
      <w:r w:rsidR="00D42BCE">
        <w:t xml:space="preserve">less than </w:t>
      </w:r>
      <w:r>
        <w:t>13 years of age.</w:t>
      </w:r>
    </w:p>
    <w:p w:rsidR="00935D87" w:rsidRDefault="00935D87" w:rsidP="00C65E3C">
      <w:pPr>
        <w:ind w:left="360"/>
      </w:pPr>
    </w:p>
    <w:p w:rsidR="004F7899" w:rsidRDefault="004F7899" w:rsidP="00C65E3C">
      <w:pPr>
        <w:ind w:left="360"/>
        <w:rPr>
          <w:b/>
        </w:rPr>
      </w:pPr>
      <w:r>
        <w:rPr>
          <w:b/>
        </w:rPr>
        <w:t>2. Purpose and Use of</w:t>
      </w:r>
      <w:r w:rsidR="004E4ED3">
        <w:rPr>
          <w:b/>
        </w:rPr>
        <w:t xml:space="preserve"> the </w:t>
      </w:r>
      <w:r>
        <w:rPr>
          <w:b/>
        </w:rPr>
        <w:t>Information Collection</w:t>
      </w:r>
    </w:p>
    <w:p w:rsidR="00C04C49" w:rsidRDefault="00C04C49" w:rsidP="00B15A4B"/>
    <w:p w:rsidR="00FE5688" w:rsidRDefault="00772673" w:rsidP="00B15A4B">
      <w:pPr>
        <w:rPr>
          <w:rFonts w:cs="Courier New"/>
        </w:rPr>
      </w:pPr>
      <w:r>
        <w:t>T</w:t>
      </w:r>
      <w:r w:rsidR="00FE5688" w:rsidRPr="004B5300">
        <w:t xml:space="preserve">he purpose of </w:t>
      </w:r>
      <w:r>
        <w:t>the CTG</w:t>
      </w:r>
      <w:r w:rsidR="00FE5688">
        <w:t xml:space="preserve"> program </w:t>
      </w:r>
      <w:r w:rsidR="00FE5688" w:rsidRPr="004B5300">
        <w:t>is to</w:t>
      </w:r>
      <w:r w:rsidR="00FE5688">
        <w:t xml:space="preserve"> </w:t>
      </w:r>
      <w:r w:rsidR="00FE5688" w:rsidRPr="00E518E1">
        <w:t>create healthier communities through</w:t>
      </w:r>
      <w:r w:rsidR="00FE5688">
        <w:t xml:space="preserve"> </w:t>
      </w:r>
      <w:r w:rsidR="00FE5688">
        <w:rPr>
          <w:rFonts w:cs="Courier New"/>
          <w:bCs/>
        </w:rPr>
        <w:t xml:space="preserve">implementation of broad, evidence and practice-based </w:t>
      </w:r>
      <w:r w:rsidR="00FE5688" w:rsidRPr="00021EC7">
        <w:rPr>
          <w:rFonts w:cs="Courier New"/>
          <w:bCs/>
        </w:rPr>
        <w:t>policy</w:t>
      </w:r>
      <w:r w:rsidR="002B29AD">
        <w:rPr>
          <w:rFonts w:cs="Courier New"/>
          <w:bCs/>
        </w:rPr>
        <w:t xml:space="preserve"> and</w:t>
      </w:r>
      <w:r w:rsidR="00FE5688" w:rsidRPr="00021EC7">
        <w:rPr>
          <w:rFonts w:cs="Courier New"/>
          <w:bCs/>
        </w:rPr>
        <w:t xml:space="preserve"> environmental</w:t>
      </w:r>
      <w:r w:rsidR="00FE5688">
        <w:rPr>
          <w:rFonts w:cs="Courier New"/>
          <w:bCs/>
        </w:rPr>
        <w:t xml:space="preserve"> </w:t>
      </w:r>
      <w:r w:rsidR="00FE5688" w:rsidRPr="00021EC7">
        <w:rPr>
          <w:rFonts w:cs="Courier New"/>
          <w:bCs/>
        </w:rPr>
        <w:t>changes</w:t>
      </w:r>
      <w:r w:rsidR="00FE5688">
        <w:rPr>
          <w:rFonts w:cs="Courier New"/>
          <w:bCs/>
        </w:rPr>
        <w:t xml:space="preserve"> in states, large counties, tribes and territories</w:t>
      </w:r>
      <w:r w:rsidR="00FE5688" w:rsidRPr="00021EC7">
        <w:rPr>
          <w:rFonts w:cs="Courier New"/>
          <w:bCs/>
        </w:rPr>
        <w:t>.</w:t>
      </w:r>
      <w:r w:rsidR="00FE5688" w:rsidRPr="00906F33">
        <w:rPr>
          <w:rFonts w:cs="Courier New"/>
          <w:b/>
          <w:bCs/>
        </w:rPr>
        <w:t xml:space="preserve"> </w:t>
      </w:r>
      <w:r w:rsidR="00FE5688">
        <w:rPr>
          <w:rFonts w:cs="Courier New"/>
          <w:b/>
          <w:bCs/>
        </w:rPr>
        <w:t xml:space="preserve"> </w:t>
      </w:r>
      <w:r w:rsidR="00FE5688" w:rsidRPr="001A7F26">
        <w:rPr>
          <w:rFonts w:cs="Courier New"/>
          <w:bCs/>
        </w:rPr>
        <w:t xml:space="preserve">This program advances the </w:t>
      </w:r>
      <w:hyperlink r:id="rId13" w:history="1">
        <w:r w:rsidR="00FE5688" w:rsidRPr="009E42E4">
          <w:rPr>
            <w:rStyle w:val="Hyperlink"/>
            <w:rFonts w:cs="Courier New"/>
            <w:bCs/>
            <w:i/>
          </w:rPr>
          <w:t>National Prevention Strategy</w:t>
        </w:r>
      </w:hyperlink>
      <w:r w:rsidR="00FE5688" w:rsidRPr="001A7F26">
        <w:rPr>
          <w:rFonts w:cs="Courier New"/>
          <w:bCs/>
          <w:i/>
        </w:rPr>
        <w:t xml:space="preserve"> </w:t>
      </w:r>
      <w:r w:rsidR="00FE5688" w:rsidRPr="001A7F26">
        <w:rPr>
          <w:rFonts w:cs="Courier New"/>
          <w:bCs/>
        </w:rPr>
        <w:t xml:space="preserve">and </w:t>
      </w:r>
      <w:r w:rsidR="00FE5688">
        <w:rPr>
          <w:rFonts w:cs="Courier New"/>
          <w:bCs/>
        </w:rPr>
        <w:t xml:space="preserve">aligns with </w:t>
      </w:r>
      <w:r w:rsidR="00FE5688" w:rsidRPr="001A7F26">
        <w:rPr>
          <w:rFonts w:cs="Courier New"/>
          <w:bCs/>
        </w:rPr>
        <w:t xml:space="preserve">strategic directions from </w:t>
      </w:r>
      <w:r w:rsidR="00BF4300">
        <w:rPr>
          <w:rFonts w:cs="Courier New"/>
          <w:bCs/>
        </w:rPr>
        <w:t>it and</w:t>
      </w:r>
      <w:r w:rsidR="00FE5688">
        <w:rPr>
          <w:rFonts w:cs="Courier New"/>
          <w:bCs/>
        </w:rPr>
        <w:t xml:space="preserve"> </w:t>
      </w:r>
      <w:r w:rsidR="00FE5688" w:rsidRPr="004B5300">
        <w:rPr>
          <w:rFonts w:cs="Courier New"/>
        </w:rPr>
        <w:t>“Healthy People 20</w:t>
      </w:r>
      <w:r w:rsidR="00FE5688">
        <w:rPr>
          <w:rFonts w:cs="Courier New"/>
        </w:rPr>
        <w:t>2</w:t>
      </w:r>
      <w:r w:rsidR="00FE5688" w:rsidRPr="004B5300">
        <w:rPr>
          <w:rFonts w:cs="Courier New"/>
        </w:rPr>
        <w:t>0”</w:t>
      </w:r>
      <w:r w:rsidR="00FE5688">
        <w:rPr>
          <w:rFonts w:cs="Courier New"/>
        </w:rPr>
        <w:t xml:space="preserve"> focus areas.  </w:t>
      </w:r>
    </w:p>
    <w:p w:rsidR="00FE5688" w:rsidRDefault="00FE5688" w:rsidP="00B15A4B"/>
    <w:p w:rsidR="00B2373F" w:rsidRDefault="005338A6" w:rsidP="00B15A4B">
      <w:r>
        <w:t>The information collection</w:t>
      </w:r>
      <w:r w:rsidR="005D4CBF" w:rsidRPr="00450557">
        <w:t xml:space="preserve"> will </w:t>
      </w:r>
      <w:r>
        <w:t>enable</w:t>
      </w:r>
      <w:r w:rsidR="005D4CBF" w:rsidRPr="00450557">
        <w:t xml:space="preserve"> the accurate, reliable, uniform and timel</w:t>
      </w:r>
      <w:r w:rsidR="005D4CBF">
        <w:t>y submission</w:t>
      </w:r>
      <w:r>
        <w:t xml:space="preserve"> to CDC</w:t>
      </w:r>
      <w:r w:rsidR="005D4CBF">
        <w:t xml:space="preserve"> of </w:t>
      </w:r>
      <w:r w:rsidR="00C32768">
        <w:t xml:space="preserve">each </w:t>
      </w:r>
      <w:r w:rsidR="0029439A">
        <w:t>awardee</w:t>
      </w:r>
      <w:r>
        <w:t xml:space="preserve">’s </w:t>
      </w:r>
      <w:r w:rsidR="00BF4300">
        <w:t xml:space="preserve">work </w:t>
      </w:r>
      <w:r>
        <w:t>plans and progress reports</w:t>
      </w:r>
      <w:r w:rsidR="00BF4300">
        <w:t>, including objectives and milestones</w:t>
      </w:r>
      <w:r>
        <w:t xml:space="preserve">.  </w:t>
      </w:r>
      <w:r>
        <w:lastRenderedPageBreak/>
        <w:t xml:space="preserve">The </w:t>
      </w:r>
      <w:r w:rsidR="009311B5">
        <w:t>information collection and reporting requirements have</w:t>
      </w:r>
      <w:r>
        <w:t xml:space="preserve"> been carefully designed to align </w:t>
      </w:r>
      <w:r w:rsidR="009311B5">
        <w:t xml:space="preserve">with and support the goals outlined in the </w:t>
      </w:r>
      <w:r w:rsidR="008725AF">
        <w:t xml:space="preserve">CTG </w:t>
      </w:r>
      <w:r w:rsidR="009311B5">
        <w:t>cooperative agreement</w:t>
      </w:r>
      <w:r w:rsidR="008725AF">
        <w:t>s</w:t>
      </w:r>
      <w:r w:rsidR="00922ECD">
        <w:t xml:space="preserve">. </w:t>
      </w:r>
      <w:r w:rsidR="00B2373F">
        <w:t xml:space="preserve">The </w:t>
      </w:r>
      <w:r w:rsidR="00A067C8">
        <w:t>electronic MIS enable</w:t>
      </w:r>
      <w:r w:rsidR="00B2373F">
        <w:t xml:space="preserve">s collection and reporting of the information in an efficient, </w:t>
      </w:r>
      <w:r w:rsidR="00A067C8">
        <w:t xml:space="preserve">standardized, and </w:t>
      </w:r>
      <w:r w:rsidR="00B2373F">
        <w:t xml:space="preserve">user-friendly </w:t>
      </w:r>
      <w:r w:rsidR="00504132">
        <w:t>manner</w:t>
      </w:r>
      <w:r w:rsidR="00B2373F">
        <w:t>.</w:t>
      </w:r>
      <w:r w:rsidR="001D3AD2">
        <w:t xml:space="preserve">  </w:t>
      </w:r>
      <w:r w:rsidR="00B2373F">
        <w:t>The MIS will generat</w:t>
      </w:r>
      <w:r w:rsidR="00A067C8">
        <w:t xml:space="preserve">e a variety of </w:t>
      </w:r>
      <w:r w:rsidR="006A72CD">
        <w:t>routine</w:t>
      </w:r>
      <w:r w:rsidR="00B2373F">
        <w:t xml:space="preserve"> and customizable reports</w:t>
      </w:r>
      <w:r w:rsidR="001D3AD2">
        <w:t xml:space="preserve">.  Local level reports </w:t>
      </w:r>
      <w:r w:rsidR="00A22A6E">
        <w:t xml:space="preserve">will </w:t>
      </w:r>
      <w:r w:rsidR="001D3AD2">
        <w:t xml:space="preserve">allow each </w:t>
      </w:r>
      <w:r w:rsidR="008725AF">
        <w:t>awardee</w:t>
      </w:r>
      <w:r w:rsidR="001D3AD2">
        <w:t xml:space="preserve"> to summarize its activities</w:t>
      </w:r>
      <w:r w:rsidR="00A22A6E">
        <w:t xml:space="preserve"> and progress towards meeting work plan objectives</w:t>
      </w:r>
      <w:r w:rsidR="001D3AD2">
        <w:t xml:space="preserve">.  CDC will also have the capacity to generate reports that describe activities </w:t>
      </w:r>
      <w:r w:rsidR="00A22A6E">
        <w:t xml:space="preserve">across </w:t>
      </w:r>
      <w:r w:rsidR="00EB410E">
        <w:t>multiple</w:t>
      </w:r>
      <w:r w:rsidR="001D3AD2">
        <w:t xml:space="preserve"> </w:t>
      </w:r>
      <w:r w:rsidR="008725AF">
        <w:t>awardee</w:t>
      </w:r>
      <w:r w:rsidR="001D3AD2">
        <w:t>s.</w:t>
      </w:r>
      <w:r w:rsidR="00E327B2">
        <w:t xml:space="preserve">  CDC will also use the information collection to respond to </w:t>
      </w:r>
      <w:r w:rsidR="00134AA0">
        <w:t xml:space="preserve">inquiries from the HHS, the White House, </w:t>
      </w:r>
      <w:r w:rsidR="00E327B2">
        <w:t xml:space="preserve">Congress and </w:t>
      </w:r>
      <w:r w:rsidR="00134AA0">
        <w:t xml:space="preserve">other </w:t>
      </w:r>
      <w:r w:rsidR="00E327B2">
        <w:t xml:space="preserve">stakeholder inquiries about </w:t>
      </w:r>
      <w:r w:rsidR="008725AF">
        <w:t>CTG</w:t>
      </w:r>
      <w:r w:rsidR="00E327B2">
        <w:t xml:space="preserve"> activities</w:t>
      </w:r>
      <w:r w:rsidR="008725AF">
        <w:t xml:space="preserve"> and their</w:t>
      </w:r>
      <w:r w:rsidR="00E327B2">
        <w:t xml:space="preserve"> impact.  </w:t>
      </w:r>
    </w:p>
    <w:p w:rsidR="0092404C" w:rsidRDefault="0092404C" w:rsidP="004D2B27"/>
    <w:p w:rsidR="00EB410E" w:rsidRDefault="00A63025" w:rsidP="00C42A3F">
      <w:r>
        <w:t>CDC</w:t>
      </w:r>
      <w:r w:rsidR="00A563E0">
        <w:t xml:space="preserve"> will use the information collected in</w:t>
      </w:r>
      <w:r w:rsidR="00C32768">
        <w:t xml:space="preserve"> the MIS to monitor each </w:t>
      </w:r>
      <w:r w:rsidR="008725AF">
        <w:t>awardee</w:t>
      </w:r>
      <w:r w:rsidR="00A563E0">
        <w:t>’s progress</w:t>
      </w:r>
      <w:r w:rsidR="00CC2DB7">
        <w:t xml:space="preserve"> and to</w:t>
      </w:r>
      <w:r w:rsidR="00A563E0">
        <w:t xml:space="preserve"> </w:t>
      </w:r>
      <w:r w:rsidR="00CC2DB7">
        <w:t xml:space="preserve">identify its </w:t>
      </w:r>
      <w:r w:rsidR="00ED4396">
        <w:t xml:space="preserve">strengths and weaknesses.  Monitoring allows CDC to </w:t>
      </w:r>
      <w:r w:rsidR="004168C0">
        <w:t>determine whether a</w:t>
      </w:r>
      <w:r w:rsidR="008725AF">
        <w:t>n</w:t>
      </w:r>
      <w:r w:rsidR="004168C0">
        <w:t xml:space="preserve"> </w:t>
      </w:r>
      <w:r w:rsidR="008725AF">
        <w:t xml:space="preserve">awardee </w:t>
      </w:r>
      <w:r w:rsidR="004168C0">
        <w:t xml:space="preserve">is meeting performance </w:t>
      </w:r>
      <w:r w:rsidR="002627DC">
        <w:t>goal</w:t>
      </w:r>
      <w:r w:rsidR="004168C0">
        <w:t xml:space="preserve">s and to </w:t>
      </w:r>
      <w:r w:rsidR="00ED4396">
        <w:t xml:space="preserve">make adjustments in the type and level of </w:t>
      </w:r>
      <w:r w:rsidR="00ED4396" w:rsidRPr="007D6C51">
        <w:t>technical a</w:t>
      </w:r>
      <w:r w:rsidR="00ED4396">
        <w:t xml:space="preserve">ssistance provided to </w:t>
      </w:r>
      <w:r w:rsidR="00C32768">
        <w:t>them</w:t>
      </w:r>
      <w:r w:rsidR="00C42A3F">
        <w:t xml:space="preserve">, </w:t>
      </w:r>
      <w:r w:rsidR="004168C0">
        <w:t xml:space="preserve">as needed, </w:t>
      </w:r>
      <w:r w:rsidR="00C42A3F">
        <w:t>to</w:t>
      </w:r>
      <w:r w:rsidR="00EF0E37">
        <w:t xml:space="preserve"> support</w:t>
      </w:r>
      <w:r w:rsidR="00150107">
        <w:t xml:space="preserve"> </w:t>
      </w:r>
      <w:r w:rsidR="00EF0E37">
        <w:t xml:space="preserve">attainment of </w:t>
      </w:r>
      <w:r w:rsidR="00150107">
        <w:t xml:space="preserve">their </w:t>
      </w:r>
      <w:r w:rsidR="00EF0E37">
        <w:t>objectives</w:t>
      </w:r>
      <w:r w:rsidR="00EB410E">
        <w:t xml:space="preserve">.  </w:t>
      </w:r>
      <w:r w:rsidR="00DA19D6">
        <w:t>CDC’s monitor</w:t>
      </w:r>
      <w:r w:rsidR="00C42A3F">
        <w:t xml:space="preserve">ing and evaluation activities also </w:t>
      </w:r>
      <w:r w:rsidR="00DA19D6">
        <w:t xml:space="preserve">allow CDC to </w:t>
      </w:r>
      <w:r w:rsidR="00EB410E">
        <w:t>provide oversight of the use of federal funds</w:t>
      </w:r>
      <w:r w:rsidR="003D5B9A">
        <w:t>, and to</w:t>
      </w:r>
      <w:r w:rsidR="00EB410E">
        <w:t xml:space="preserve"> </w:t>
      </w:r>
      <w:r w:rsidR="00DA19D6">
        <w:t xml:space="preserve">identify </w:t>
      </w:r>
      <w:r w:rsidR="00150107">
        <w:t>and disseminate informat</w:t>
      </w:r>
      <w:r w:rsidR="00A067C8">
        <w:t xml:space="preserve">ion about successful </w:t>
      </w:r>
      <w:r w:rsidR="00C95C73">
        <w:t xml:space="preserve">prevention and control </w:t>
      </w:r>
      <w:r w:rsidR="00A067C8">
        <w:t>strategies implemented by awardees.</w:t>
      </w:r>
      <w:r w:rsidR="00C95C73">
        <w:t xml:space="preserve">  </w:t>
      </w:r>
      <w:r w:rsidR="00C42A3F">
        <w:t xml:space="preserve">These functions are </w:t>
      </w:r>
      <w:r w:rsidR="00C95C73">
        <w:t>central to the NCCDPHP’s broad</w:t>
      </w:r>
      <w:r w:rsidR="00C95C73" w:rsidRPr="007D6C51">
        <w:t xml:space="preserve"> mission</w:t>
      </w:r>
      <w:r w:rsidR="00C95C73">
        <w:t xml:space="preserve"> </w:t>
      </w:r>
      <w:r w:rsidR="00C95C73" w:rsidRPr="007D6C51">
        <w:t>of reducing the burden of chronic disease</w:t>
      </w:r>
      <w:r w:rsidR="00C95C73">
        <w:t>s.</w:t>
      </w:r>
      <w:r w:rsidR="00C42A3F">
        <w:t xml:space="preserve">  </w:t>
      </w:r>
      <w:r w:rsidR="00EB410E">
        <w:t xml:space="preserve">Finally, the information collection will allow CDC to </w:t>
      </w:r>
      <w:r w:rsidR="00C32768">
        <w:t>monitor the</w:t>
      </w:r>
      <w:r w:rsidR="00EB410E">
        <w:t xml:space="preserve"> </w:t>
      </w:r>
      <w:r w:rsidR="00EB410E" w:rsidRPr="00BF4442">
        <w:t xml:space="preserve">increased emphasis on partnerships and </w:t>
      </w:r>
      <w:r w:rsidR="00EB410E">
        <w:t xml:space="preserve">programmatic </w:t>
      </w:r>
      <w:r w:rsidR="00EB410E" w:rsidRPr="00BF4442">
        <w:t>collaboration</w:t>
      </w:r>
      <w:r w:rsidR="003F1A18">
        <w:t xml:space="preserve">, and is expected </w:t>
      </w:r>
      <w:r w:rsidR="00EB410E" w:rsidRPr="00450557">
        <w:t xml:space="preserve">to </w:t>
      </w:r>
      <w:r w:rsidR="00EB410E">
        <w:t>r</w:t>
      </w:r>
      <w:r w:rsidR="00EB410E" w:rsidRPr="00450557">
        <w:t>educe duplication</w:t>
      </w:r>
      <w:r w:rsidR="00EB410E">
        <w:t xml:space="preserve"> of effort, enhance program impact and </w:t>
      </w:r>
      <w:r w:rsidR="00EB410E" w:rsidRPr="00450557">
        <w:t>maximize the use of federal funds.</w:t>
      </w:r>
    </w:p>
    <w:p w:rsidR="005D4CBF" w:rsidRDefault="005D4CBF" w:rsidP="00643873"/>
    <w:p w:rsidR="004C46CF" w:rsidRDefault="00922ECD" w:rsidP="00745968">
      <w:r w:rsidRPr="009C48CA">
        <w:t>CTG awardees</w:t>
      </w:r>
      <w:r w:rsidR="00E3106B">
        <w:t xml:space="preserve"> will use the information</w:t>
      </w:r>
      <w:r w:rsidR="00B85EA4">
        <w:t xml:space="preserve"> collection </w:t>
      </w:r>
      <w:r w:rsidR="00E3106B">
        <w:t>to manage and coordinate t</w:t>
      </w:r>
      <w:r w:rsidR="00B85EA4">
        <w:t>heir activities</w:t>
      </w:r>
      <w:r w:rsidR="00E3106B">
        <w:t xml:space="preserve"> and to improve their efforts to prevent and control chronic diseases.  </w:t>
      </w:r>
      <w:r w:rsidR="00B85EA4">
        <w:t>The MIS will allow awardees to fulfill their</w:t>
      </w:r>
      <w:r w:rsidR="00BF4300">
        <w:t xml:space="preserve"> semi-annual</w:t>
      </w:r>
      <w:r w:rsidR="00B85EA4">
        <w:t xml:space="preserve"> reporting </w:t>
      </w:r>
      <w:r w:rsidR="00B85EA4" w:rsidRPr="007D6C51">
        <w:t>obligations under the cooperative agreements</w:t>
      </w:r>
      <w:r w:rsidR="00B85EA4">
        <w:t xml:space="preserve"> in an efficient manner</w:t>
      </w:r>
      <w:r w:rsidR="00265C18">
        <w:t xml:space="preserve"> by employing</w:t>
      </w:r>
      <w:r w:rsidR="00B85EA4">
        <w:t xml:space="preserve"> a single instrument to collect necessary information for both progress reports and continuation applications including work plan</w:t>
      </w:r>
      <w:r w:rsidR="001222AC">
        <w:t>s</w:t>
      </w:r>
      <w:r w:rsidR="00B85EA4">
        <w:t>.</w:t>
      </w:r>
      <w:r w:rsidR="00265C18">
        <w:t xml:space="preserve">  </w:t>
      </w:r>
      <w:r w:rsidR="0018742D">
        <w:t>This approach</w:t>
      </w:r>
      <w:r w:rsidR="00C32768">
        <w:t xml:space="preserve">, which enables </w:t>
      </w:r>
      <w:r w:rsidR="008725AF">
        <w:t xml:space="preserve">awardees </w:t>
      </w:r>
      <w:r w:rsidR="00A3468F">
        <w:t xml:space="preserve">to save pertinent information from one reporting period to the next, </w:t>
      </w:r>
      <w:r w:rsidR="0018742D">
        <w:t xml:space="preserve">will </w:t>
      </w:r>
      <w:r w:rsidR="0092404C">
        <w:t xml:space="preserve">reduce the administrative burden on the yearly continuation application and </w:t>
      </w:r>
      <w:r w:rsidR="001222AC">
        <w:t xml:space="preserve">the </w:t>
      </w:r>
      <w:r w:rsidR="0092404C">
        <w:t>progress review process</w:t>
      </w:r>
      <w:r w:rsidR="0018742D">
        <w:t xml:space="preserve">.  </w:t>
      </w:r>
      <w:r w:rsidR="00171D86">
        <w:t>Awardee program staff will be able to review the completeness of data necessary to submit required reports, enter basic summary data for reports</w:t>
      </w:r>
      <w:r w:rsidR="00BF4300">
        <w:t xml:space="preserve"> at least semi-annually</w:t>
      </w:r>
      <w:r w:rsidR="00171D86">
        <w:t>, and finalize and save required repor</w:t>
      </w:r>
      <w:r w:rsidR="0029439A">
        <w:t xml:space="preserve">ts for upload into Grants.gov. </w:t>
      </w:r>
    </w:p>
    <w:p w:rsidR="004C46CF" w:rsidRPr="00571A97" w:rsidRDefault="004C46CF" w:rsidP="00745968">
      <w:pPr>
        <w:rPr>
          <w:color w:val="FF0000"/>
        </w:rPr>
      </w:pPr>
    </w:p>
    <w:p w:rsidR="00745968" w:rsidRPr="00922ECD" w:rsidRDefault="004C46CF" w:rsidP="00745968">
      <w:pPr>
        <w:rPr>
          <w:color w:val="000000" w:themeColor="text1"/>
        </w:rPr>
      </w:pPr>
      <w:r w:rsidRPr="00922ECD">
        <w:rPr>
          <w:color w:val="000000" w:themeColor="text1"/>
        </w:rPr>
        <w:t xml:space="preserve">The information collection is designed to address specific objectives outlined in FOA </w:t>
      </w:r>
      <w:r w:rsidR="00B066BC" w:rsidRPr="00922ECD">
        <w:rPr>
          <w:color w:val="000000" w:themeColor="text1"/>
        </w:rPr>
        <w:t>CDC</w:t>
      </w:r>
      <w:r w:rsidR="00B066BC" w:rsidRPr="00922ECD">
        <w:rPr>
          <w:bCs/>
          <w:iCs/>
          <w:color w:val="000000" w:themeColor="text1"/>
        </w:rPr>
        <w:t>-</w:t>
      </w:r>
      <w:r w:rsidR="00B066BC" w:rsidRPr="00922ECD">
        <w:rPr>
          <w:color w:val="000000" w:themeColor="text1"/>
        </w:rPr>
        <w:t xml:space="preserve">RFA-DP11-1103PPHF11 </w:t>
      </w:r>
      <w:r w:rsidRPr="00922ECD">
        <w:rPr>
          <w:color w:val="000000" w:themeColor="text1"/>
        </w:rPr>
        <w:t>relating to</w:t>
      </w:r>
      <w:r w:rsidR="0029439A">
        <w:rPr>
          <w:color w:val="000000" w:themeColor="text1"/>
        </w:rPr>
        <w:t xml:space="preserve"> the</w:t>
      </w:r>
      <w:r w:rsidRPr="00922ECD">
        <w:rPr>
          <w:color w:val="000000" w:themeColor="text1"/>
        </w:rPr>
        <w:t xml:space="preserve"> </w:t>
      </w:r>
      <w:r w:rsidR="00B066BC" w:rsidRPr="00922ECD">
        <w:rPr>
          <w:color w:val="000000" w:themeColor="text1"/>
        </w:rPr>
        <w:t xml:space="preserve">Affordable Care Act Community Transformation Grants </w:t>
      </w:r>
      <w:r w:rsidR="00922ECD" w:rsidRPr="00922ECD">
        <w:rPr>
          <w:color w:val="000000" w:themeColor="text1"/>
        </w:rPr>
        <w:t xml:space="preserve">Program and FOA </w:t>
      </w:r>
      <w:r w:rsidR="00BF4300">
        <w:rPr>
          <w:color w:val="000000" w:themeColor="text1"/>
        </w:rPr>
        <w:t>CDC-RFA-DP11-1115PPHF11 relating to the</w:t>
      </w:r>
      <w:r w:rsidR="00BF4300" w:rsidRPr="00922ECD">
        <w:rPr>
          <w:color w:val="000000" w:themeColor="text1"/>
        </w:rPr>
        <w:t xml:space="preserve"> </w:t>
      </w:r>
      <w:r w:rsidR="00B066BC" w:rsidRPr="00922ECD">
        <w:rPr>
          <w:color w:val="000000" w:themeColor="text1"/>
        </w:rPr>
        <w:t>National Dissemination and Support for Community Transformation Grant</w:t>
      </w:r>
      <w:r w:rsidR="00B64D9E">
        <w:rPr>
          <w:color w:val="000000" w:themeColor="text1"/>
        </w:rPr>
        <w:t>s</w:t>
      </w:r>
      <w:r w:rsidR="00922ECD">
        <w:rPr>
          <w:bCs/>
          <w:color w:val="000000" w:themeColor="text1"/>
        </w:rPr>
        <w:t xml:space="preserve">. </w:t>
      </w:r>
      <w:r w:rsidR="00B64D9E">
        <w:rPr>
          <w:bCs/>
          <w:color w:val="000000" w:themeColor="text1"/>
        </w:rPr>
        <w:t xml:space="preserve"> </w:t>
      </w:r>
      <w:r w:rsidR="00887B44">
        <w:t xml:space="preserve">CDC will use the results of this information collection to evaluate the model for </w:t>
      </w:r>
      <w:r w:rsidR="003D5B9A">
        <w:t xml:space="preserve">future </w:t>
      </w:r>
      <w:r w:rsidR="00C32768">
        <w:t xml:space="preserve">program reporting </w:t>
      </w:r>
      <w:r w:rsidR="003D5B9A">
        <w:t>efforts</w:t>
      </w:r>
      <w:r w:rsidR="00C32768">
        <w:t>.</w:t>
      </w:r>
      <w:r w:rsidR="003D5B9A">
        <w:t xml:space="preserve"> </w:t>
      </w:r>
    </w:p>
    <w:p w:rsidR="00065BEA" w:rsidRDefault="00065BEA" w:rsidP="00745968"/>
    <w:p w:rsidR="00065BEA" w:rsidRPr="00FB44DA" w:rsidRDefault="00065BEA" w:rsidP="000D0F50">
      <w:pPr>
        <w:rPr>
          <w:b/>
        </w:rPr>
      </w:pPr>
      <w:r w:rsidRPr="000D0F50">
        <w:rPr>
          <w:i/>
        </w:rPr>
        <w:t xml:space="preserve">Privacy </w:t>
      </w:r>
      <w:r w:rsidR="00D84FE9" w:rsidRPr="000D0F50">
        <w:rPr>
          <w:i/>
        </w:rPr>
        <w:t xml:space="preserve">Impact </w:t>
      </w:r>
      <w:r w:rsidRPr="000D0F50">
        <w:rPr>
          <w:i/>
        </w:rPr>
        <w:t>Assessment</w:t>
      </w:r>
      <w:r w:rsidR="00D84FE9" w:rsidRPr="000D0F50">
        <w:rPr>
          <w:i/>
        </w:rPr>
        <w:t xml:space="preserve"> Information</w:t>
      </w:r>
    </w:p>
    <w:p w:rsidR="00065BEA" w:rsidRDefault="000D0F50" w:rsidP="000D0F50">
      <w:pPr>
        <w:tabs>
          <w:tab w:val="left" w:pos="780"/>
        </w:tabs>
        <w:ind w:left="360"/>
      </w:pPr>
      <w:r>
        <w:tab/>
      </w:r>
    </w:p>
    <w:p w:rsidR="00D30B24" w:rsidRDefault="00481BC9" w:rsidP="00CA7AD8">
      <w:r>
        <w:t>The MIS is a centralized, Web-based system that supports the collection and r</w:t>
      </w:r>
      <w:r w:rsidR="00F45426">
        <w:t>eporting of information that will</w:t>
      </w:r>
      <w:r>
        <w:t xml:space="preserve"> be used by CDC to help assess the impact </w:t>
      </w:r>
      <w:r w:rsidRPr="00922ECD">
        <w:rPr>
          <w:color w:val="000000" w:themeColor="text1"/>
        </w:rPr>
        <w:t xml:space="preserve">of </w:t>
      </w:r>
      <w:r w:rsidR="0029439A">
        <w:rPr>
          <w:color w:val="000000" w:themeColor="text1"/>
        </w:rPr>
        <w:t>Community Transformation Grant funding</w:t>
      </w:r>
      <w:r w:rsidR="00A57A19">
        <w:t xml:space="preserve">.  The MIS will be used to describe, evaluate and </w:t>
      </w:r>
      <w:r w:rsidR="00DC79B2">
        <w:t>enhance opportunities for</w:t>
      </w:r>
      <w:r w:rsidR="00312020">
        <w:t xml:space="preserve"> collaborative efforts and partnerships.  </w:t>
      </w:r>
      <w:r w:rsidR="00CF6884">
        <w:t>H</w:t>
      </w:r>
      <w:r w:rsidR="00CF6884" w:rsidRPr="00450557">
        <w:t xml:space="preserve">aving all this information in a single and secure database will allow CDC Project Officers to search across multiple programs, help ensure </w:t>
      </w:r>
      <w:r w:rsidR="00CF6884" w:rsidRPr="00450557">
        <w:lastRenderedPageBreak/>
        <w:t>consistency in documenting progress and technical assistance</w:t>
      </w:r>
      <w:r w:rsidR="00CF6884">
        <w:t>, enhance accountability of</w:t>
      </w:r>
      <w:r w:rsidR="00CF6884" w:rsidRPr="00450557">
        <w:t xml:space="preserve"> the use of federal funds</w:t>
      </w:r>
      <w:r w:rsidR="00AC6D1E">
        <w:t>, and provide timely reports as frequently requested by HHS, the White House, and Congress</w:t>
      </w:r>
      <w:r w:rsidR="00CF6884" w:rsidRPr="00450557">
        <w:t>.</w:t>
      </w:r>
    </w:p>
    <w:p w:rsidR="00B848D7" w:rsidRDefault="00B848D7" w:rsidP="004433BD">
      <w:pPr>
        <w:ind w:left="360"/>
      </w:pPr>
    </w:p>
    <w:p w:rsidR="00D30B24" w:rsidRDefault="00D30B24" w:rsidP="009C50D8">
      <w:pPr>
        <w:tabs>
          <w:tab w:val="left" w:pos="0"/>
        </w:tabs>
        <w:ind w:firstLine="360"/>
        <w:rPr>
          <w:b/>
        </w:rPr>
      </w:pPr>
      <w:r>
        <w:rPr>
          <w:b/>
        </w:rPr>
        <w:t>3. Use of Improved Information Technology</w:t>
      </w:r>
      <w:r w:rsidR="004E4ED3">
        <w:rPr>
          <w:b/>
        </w:rPr>
        <w:t xml:space="preserve"> and Burden Reduction</w:t>
      </w:r>
    </w:p>
    <w:p w:rsidR="00D30B24" w:rsidRDefault="00D30B24" w:rsidP="004433BD">
      <w:pPr>
        <w:ind w:left="360"/>
      </w:pPr>
    </w:p>
    <w:p w:rsidR="00372768" w:rsidRDefault="0076388E" w:rsidP="00372768">
      <w:pPr>
        <w:tabs>
          <w:tab w:val="num" w:pos="720"/>
        </w:tabs>
      </w:pPr>
      <w:r>
        <w:t xml:space="preserve">The MIS takes advantage of electronic database technology to improve information quality by minimizing errors and redundancy.  </w:t>
      </w:r>
      <w:r w:rsidR="00372768" w:rsidRPr="00450557">
        <w:t xml:space="preserve">The structure of the MIS will minimize or eliminate many elements that </w:t>
      </w:r>
      <w:r w:rsidR="00E7670D">
        <w:t>would otherwise be repeated within</w:t>
      </w:r>
      <w:r w:rsidR="00A85E23">
        <w:t xml:space="preserve"> </w:t>
      </w:r>
      <w:r w:rsidR="009F321F">
        <w:t xml:space="preserve">stand-alone systems.  </w:t>
      </w:r>
      <w:r w:rsidR="00372768" w:rsidRPr="00450557">
        <w:t xml:space="preserve">Having all </w:t>
      </w:r>
      <w:r w:rsidR="002627DC">
        <w:t xml:space="preserve">of the information </w:t>
      </w:r>
      <w:r w:rsidR="00372768" w:rsidRPr="00450557">
        <w:t xml:space="preserve">collected in the same place in the same manner will reduce </w:t>
      </w:r>
      <w:r w:rsidR="00372768">
        <w:t xml:space="preserve">the level of burden </w:t>
      </w:r>
      <w:r w:rsidR="00CD2145">
        <w:t>attributable to redundancy</w:t>
      </w:r>
      <w:r w:rsidR="00372768" w:rsidRPr="00450557">
        <w:t xml:space="preserve"> and reduce the workload to enter and maintain the data.</w:t>
      </w:r>
      <w:r w:rsidR="004E4F94">
        <w:t xml:space="preserve">  Programs will be able to transfer data from one year to another to minimize data re-entry.</w:t>
      </w:r>
    </w:p>
    <w:p w:rsidR="001E4B96" w:rsidRDefault="001E4B96" w:rsidP="00372768">
      <w:pPr>
        <w:tabs>
          <w:tab w:val="num" w:pos="720"/>
        </w:tabs>
      </w:pPr>
    </w:p>
    <w:p w:rsidR="00553185" w:rsidRDefault="001E4B96" w:rsidP="00CA7AD8">
      <w:r w:rsidRPr="00450557">
        <w:t xml:space="preserve">Other elements such as </w:t>
      </w:r>
      <w:r w:rsidR="000743F2">
        <w:t>awardee</w:t>
      </w:r>
      <w:r w:rsidR="000743F2" w:rsidRPr="00450557">
        <w:t xml:space="preserve"> </w:t>
      </w:r>
      <w:r w:rsidRPr="00450557">
        <w:t>plan requirements</w:t>
      </w:r>
      <w:r w:rsidR="000743F2">
        <w:t xml:space="preserve"> for the area of emphasis in each award type</w:t>
      </w:r>
      <w:r w:rsidRPr="00450557">
        <w:t>, data reporting and the terms that are used to define simi</w:t>
      </w:r>
      <w:r w:rsidR="009F321F">
        <w:t>lar data requirements often vary</w:t>
      </w:r>
      <w:r w:rsidRPr="00450557">
        <w:t xml:space="preserve"> greatly from one </w:t>
      </w:r>
      <w:r w:rsidR="000743F2">
        <w:t>awardee</w:t>
      </w:r>
      <w:r w:rsidR="000743F2" w:rsidRPr="00450557">
        <w:t xml:space="preserve"> </w:t>
      </w:r>
      <w:r w:rsidRPr="00450557">
        <w:t>to another</w:t>
      </w:r>
      <w:r w:rsidR="009F321F">
        <w:t>.  With the MIS, t</w:t>
      </w:r>
      <w:r w:rsidRPr="00450557">
        <w:t xml:space="preserve">he use of a standard set of data elements, definitions, and specifications at all levels will help to improve the quality </w:t>
      </w:r>
      <w:r w:rsidR="007C62B1">
        <w:t xml:space="preserve">and comparability </w:t>
      </w:r>
      <w:r w:rsidRPr="00450557">
        <w:t>of performance information that is received by CDC</w:t>
      </w:r>
      <w:r w:rsidR="009F321F">
        <w:t xml:space="preserve"> for multiple </w:t>
      </w:r>
      <w:r w:rsidR="008725AF">
        <w:t>awardees</w:t>
      </w:r>
      <w:r w:rsidR="000743F2">
        <w:t xml:space="preserve"> and multiple award types</w:t>
      </w:r>
      <w:r w:rsidRPr="00450557">
        <w:t>.  Further, standardization will enhance the consistency of work</w:t>
      </w:r>
      <w:r w:rsidR="00CF6884">
        <w:t xml:space="preserve"> </w:t>
      </w:r>
      <w:r w:rsidRPr="00450557">
        <w:t xml:space="preserve">plans and reports, enable cross-program </w:t>
      </w:r>
      <w:r w:rsidR="007C62B1">
        <w:t>analysis</w:t>
      </w:r>
      <w:r w:rsidRPr="00450557">
        <w:t>, and will facilitate a higher degree of reliability by ensuring that the same information is collected on all objectives and activities</w:t>
      </w:r>
      <w:r w:rsidR="000743F2">
        <w:t xml:space="preserve"> with slightly different areas of emphasis, depending on the awardee type (CTG Capacity Building, CTG Implementation, CTG National Network Dissemination, and CTG National Network Acceleration)</w:t>
      </w:r>
      <w:r w:rsidRPr="00450557">
        <w:t xml:space="preserve">. </w:t>
      </w:r>
      <w:r w:rsidR="00CB27DC">
        <w:t xml:space="preserve">Finally, the report generation capabilities of the electronic MIS will reduce the </w:t>
      </w:r>
      <w:r w:rsidR="00AA7032">
        <w:t xml:space="preserve">respondent </w:t>
      </w:r>
      <w:r w:rsidR="00CB27DC">
        <w:t>burden associated with paper-based reports</w:t>
      </w:r>
      <w:r w:rsidR="00AA7032">
        <w:t>.</w:t>
      </w:r>
      <w:r w:rsidR="002627DC">
        <w:t xml:space="preserve">  </w:t>
      </w:r>
      <w:r w:rsidR="00FC7B93">
        <w:t>Without the automated MIS</w:t>
      </w:r>
      <w:r w:rsidR="002627DC">
        <w:t xml:space="preserve"> and the integrated approach to information collection and reporting</w:t>
      </w:r>
      <w:r w:rsidR="00FC7B93">
        <w:t xml:space="preserve">, </w:t>
      </w:r>
      <w:r w:rsidR="008725AF">
        <w:t xml:space="preserve">awardees </w:t>
      </w:r>
      <w:r w:rsidR="002627DC">
        <w:t xml:space="preserve">and </w:t>
      </w:r>
      <w:r w:rsidR="00FC7B93">
        <w:t>CDC would need to continue to use time consuming, labor intensive procedures</w:t>
      </w:r>
      <w:r w:rsidR="002627DC">
        <w:t xml:space="preserve"> for information collection and reporting</w:t>
      </w:r>
      <w:r w:rsidR="00FC7B93">
        <w:t>.</w:t>
      </w:r>
    </w:p>
    <w:p w:rsidR="00B848D7" w:rsidRDefault="00B848D7" w:rsidP="00207287">
      <w:pPr>
        <w:ind w:left="360"/>
      </w:pPr>
    </w:p>
    <w:p w:rsidR="00553185" w:rsidRDefault="00553185" w:rsidP="00207287">
      <w:pPr>
        <w:ind w:left="360"/>
        <w:rPr>
          <w:b/>
        </w:rPr>
      </w:pPr>
      <w:r>
        <w:rPr>
          <w:b/>
        </w:rPr>
        <w:t>4. Efforts to Identify Duplication</w:t>
      </w:r>
      <w:r w:rsidR="004E4ED3">
        <w:rPr>
          <w:b/>
        </w:rPr>
        <w:t xml:space="preserve"> and Use of Similar Information</w:t>
      </w:r>
    </w:p>
    <w:p w:rsidR="00553185" w:rsidRDefault="00553185" w:rsidP="00207287">
      <w:pPr>
        <w:ind w:left="360"/>
        <w:rPr>
          <w:b/>
        </w:rPr>
      </w:pPr>
    </w:p>
    <w:p w:rsidR="00E21643" w:rsidRDefault="002D5889" w:rsidP="00CA7AD8">
      <w:r>
        <w:t xml:space="preserve">The collection of this information is part of a federal reporting requirement for funds received by </w:t>
      </w:r>
      <w:r w:rsidR="00E86E76">
        <w:t>awardees</w:t>
      </w:r>
      <w:r w:rsidR="00131F3F">
        <w:t>.</w:t>
      </w:r>
      <w:r>
        <w:t xml:space="preserve"> The MIS will consolidate information necessary for both continuation applications and progress reports so that information entered once can be used to generate </w:t>
      </w:r>
      <w:r w:rsidR="00A85E23">
        <w:t xml:space="preserve">multiple </w:t>
      </w:r>
      <w:r>
        <w:t xml:space="preserve">types of reports without having to duplicate efforts. </w:t>
      </w:r>
      <w:r w:rsidR="007C62B1">
        <w:t xml:space="preserve"> </w:t>
      </w:r>
      <w:r w:rsidR="00B92947">
        <w:t xml:space="preserve">The information collected from awardees is not available from other sources.  </w:t>
      </w:r>
    </w:p>
    <w:p w:rsidR="00B848D7" w:rsidRDefault="00B848D7" w:rsidP="00207287">
      <w:pPr>
        <w:ind w:left="360"/>
      </w:pPr>
    </w:p>
    <w:p w:rsidR="00E21643" w:rsidRDefault="00E21643" w:rsidP="00207287">
      <w:pPr>
        <w:ind w:left="360"/>
        <w:rPr>
          <w:b/>
        </w:rPr>
      </w:pPr>
      <w:r>
        <w:rPr>
          <w:b/>
        </w:rPr>
        <w:t>5. Impact o</w:t>
      </w:r>
      <w:r w:rsidR="004E4ED3">
        <w:rPr>
          <w:b/>
        </w:rPr>
        <w:t>n</w:t>
      </w:r>
      <w:r>
        <w:rPr>
          <w:b/>
        </w:rPr>
        <w:t xml:space="preserve"> Small Businesses or Other Small Entities</w:t>
      </w:r>
    </w:p>
    <w:p w:rsidR="00E21643" w:rsidRDefault="00E21643" w:rsidP="00207287">
      <w:pPr>
        <w:ind w:left="360"/>
        <w:rPr>
          <w:b/>
        </w:rPr>
      </w:pPr>
    </w:p>
    <w:p w:rsidR="00E21643" w:rsidRDefault="00E21643" w:rsidP="00CA7AD8">
      <w:r>
        <w:t>No small businesses will participate in the MIS data collection.</w:t>
      </w:r>
    </w:p>
    <w:p w:rsidR="00B848D7" w:rsidRDefault="00B848D7" w:rsidP="00207287">
      <w:pPr>
        <w:ind w:left="360"/>
      </w:pPr>
    </w:p>
    <w:p w:rsidR="00E21643" w:rsidRDefault="00E21643" w:rsidP="00207287">
      <w:pPr>
        <w:ind w:left="360"/>
        <w:rPr>
          <w:b/>
        </w:rPr>
      </w:pPr>
      <w:r>
        <w:rPr>
          <w:b/>
        </w:rPr>
        <w:t xml:space="preserve">6. Consequences </w:t>
      </w:r>
      <w:r w:rsidR="004E4ED3">
        <w:rPr>
          <w:b/>
        </w:rPr>
        <w:t>of Collecting the Information</w:t>
      </w:r>
      <w:r>
        <w:rPr>
          <w:b/>
        </w:rPr>
        <w:t xml:space="preserve"> Less Frequently</w:t>
      </w:r>
    </w:p>
    <w:p w:rsidR="00E21643" w:rsidRDefault="00E21643" w:rsidP="00207287">
      <w:pPr>
        <w:ind w:left="360"/>
        <w:rPr>
          <w:b/>
        </w:rPr>
      </w:pPr>
    </w:p>
    <w:p w:rsidR="00DE0163" w:rsidRPr="00CA7AD8" w:rsidRDefault="002C1349" w:rsidP="00CA7AD8">
      <w:pPr>
        <w:rPr>
          <w:color w:val="000000" w:themeColor="text1"/>
        </w:rPr>
      </w:pPr>
      <w:r w:rsidRPr="00922ECD">
        <w:rPr>
          <w:color w:val="000000" w:themeColor="text1"/>
        </w:rPr>
        <w:t xml:space="preserve">Reports </w:t>
      </w:r>
      <w:r w:rsidR="002627DC" w:rsidRPr="00922ECD">
        <w:rPr>
          <w:color w:val="000000" w:themeColor="text1"/>
        </w:rPr>
        <w:t>will be</w:t>
      </w:r>
      <w:r w:rsidRPr="00922ECD">
        <w:rPr>
          <w:color w:val="000000" w:themeColor="text1"/>
        </w:rPr>
        <w:t xml:space="preserve"> collected semi-annually. The </w:t>
      </w:r>
      <w:r w:rsidR="002B0B7C" w:rsidRPr="00922ECD">
        <w:rPr>
          <w:color w:val="000000" w:themeColor="text1"/>
        </w:rPr>
        <w:t xml:space="preserve">interim progress report is due </w:t>
      </w:r>
      <w:r w:rsidR="00D24814" w:rsidRPr="00922ECD">
        <w:rPr>
          <w:color w:val="000000" w:themeColor="text1"/>
        </w:rPr>
        <w:t>no less than 90 days before the end of the budget period</w:t>
      </w:r>
      <w:r w:rsidR="00DB08D9">
        <w:rPr>
          <w:color w:val="000000" w:themeColor="text1"/>
        </w:rPr>
        <w:t xml:space="preserve"> and also serves as a non-competing continuation application.</w:t>
      </w:r>
      <w:r w:rsidR="002B0B7C" w:rsidRPr="00922ECD">
        <w:rPr>
          <w:color w:val="000000" w:themeColor="text1"/>
        </w:rPr>
        <w:t xml:space="preserve"> </w:t>
      </w:r>
      <w:r w:rsidR="00DB08D9">
        <w:rPr>
          <w:color w:val="000000" w:themeColor="text1"/>
        </w:rPr>
        <w:t xml:space="preserve"> T</w:t>
      </w:r>
      <w:r w:rsidR="00E458CD" w:rsidRPr="00922ECD">
        <w:rPr>
          <w:color w:val="000000" w:themeColor="text1"/>
        </w:rPr>
        <w:t>he</w:t>
      </w:r>
      <w:r w:rsidR="002B0B7C" w:rsidRPr="00922ECD">
        <w:rPr>
          <w:color w:val="000000" w:themeColor="text1"/>
        </w:rPr>
        <w:t xml:space="preserve"> annual progress </w:t>
      </w:r>
      <w:r w:rsidR="00E458CD" w:rsidRPr="00922ECD">
        <w:rPr>
          <w:color w:val="000000" w:themeColor="text1"/>
        </w:rPr>
        <w:t xml:space="preserve">report is due </w:t>
      </w:r>
      <w:r w:rsidR="00D24814" w:rsidRPr="00922ECD">
        <w:rPr>
          <w:color w:val="000000" w:themeColor="text1"/>
        </w:rPr>
        <w:t>no more than 90 days after the end of the budget period</w:t>
      </w:r>
      <w:r w:rsidRPr="00922ECD">
        <w:rPr>
          <w:color w:val="000000" w:themeColor="text1"/>
        </w:rPr>
        <w:t>. Less frequent reporting w</w:t>
      </w:r>
      <w:r w:rsidR="00E86E76" w:rsidRPr="00922ECD">
        <w:rPr>
          <w:color w:val="000000" w:themeColor="text1"/>
        </w:rPr>
        <w:t>ould</w:t>
      </w:r>
      <w:r w:rsidRPr="00922ECD">
        <w:rPr>
          <w:color w:val="000000" w:themeColor="text1"/>
        </w:rPr>
        <w:t xml:space="preserve"> </w:t>
      </w:r>
      <w:r w:rsidR="00D24814" w:rsidRPr="00922ECD">
        <w:rPr>
          <w:color w:val="000000" w:themeColor="text1"/>
        </w:rPr>
        <w:t xml:space="preserve">undermine accountability efforts at all levels and </w:t>
      </w:r>
      <w:r w:rsidRPr="00922ECD">
        <w:rPr>
          <w:color w:val="000000" w:themeColor="text1"/>
        </w:rPr>
        <w:t xml:space="preserve">negatively impact </w:t>
      </w:r>
      <w:r w:rsidRPr="00922ECD">
        <w:rPr>
          <w:color w:val="000000" w:themeColor="text1"/>
        </w:rPr>
        <w:lastRenderedPageBreak/>
        <w:t xml:space="preserve">monitoring </w:t>
      </w:r>
      <w:r w:rsidR="008725AF">
        <w:rPr>
          <w:color w:val="000000" w:themeColor="text1"/>
        </w:rPr>
        <w:t xml:space="preserve">awardee </w:t>
      </w:r>
      <w:r w:rsidRPr="00922ECD">
        <w:rPr>
          <w:color w:val="000000" w:themeColor="text1"/>
        </w:rPr>
        <w:t>progress</w:t>
      </w:r>
      <w:r w:rsidR="00D24814" w:rsidRPr="00922ECD">
        <w:rPr>
          <w:color w:val="000000" w:themeColor="text1"/>
        </w:rPr>
        <w:t>.</w:t>
      </w:r>
      <w:r w:rsidR="00DB5FA2" w:rsidRPr="00922ECD">
        <w:rPr>
          <w:color w:val="000000" w:themeColor="text1"/>
        </w:rPr>
        <w:t xml:space="preserve"> The </w:t>
      </w:r>
      <w:r w:rsidR="00377AA9" w:rsidRPr="00922ECD">
        <w:rPr>
          <w:color w:val="000000" w:themeColor="text1"/>
        </w:rPr>
        <w:t>semi-annual reporting schedule</w:t>
      </w:r>
      <w:r w:rsidR="00DB5FA2" w:rsidRPr="00922ECD">
        <w:rPr>
          <w:color w:val="000000" w:themeColor="text1"/>
        </w:rPr>
        <w:t xml:space="preserve"> </w:t>
      </w:r>
      <w:r w:rsidR="00377AA9" w:rsidRPr="00922ECD">
        <w:rPr>
          <w:color w:val="000000" w:themeColor="text1"/>
        </w:rPr>
        <w:t>ensure</w:t>
      </w:r>
      <w:r w:rsidR="00E86E76" w:rsidRPr="00922ECD">
        <w:rPr>
          <w:color w:val="000000" w:themeColor="text1"/>
        </w:rPr>
        <w:t>s</w:t>
      </w:r>
      <w:r w:rsidR="00DB5FA2" w:rsidRPr="00922ECD">
        <w:rPr>
          <w:color w:val="000000" w:themeColor="text1"/>
        </w:rPr>
        <w:t xml:space="preserve"> th</w:t>
      </w:r>
      <w:r w:rsidR="00377AA9" w:rsidRPr="00922ECD">
        <w:rPr>
          <w:color w:val="000000" w:themeColor="text1"/>
        </w:rPr>
        <w:t>at CDC responses to</w:t>
      </w:r>
      <w:r w:rsidR="00BF1CA3" w:rsidRPr="00922ECD">
        <w:rPr>
          <w:color w:val="000000" w:themeColor="text1"/>
        </w:rPr>
        <w:t xml:space="preserve"> inquiries from </w:t>
      </w:r>
      <w:r w:rsidR="00453DD5">
        <w:rPr>
          <w:color w:val="000000" w:themeColor="text1"/>
        </w:rPr>
        <w:t xml:space="preserve">HHS, the White House, </w:t>
      </w:r>
      <w:r w:rsidR="00BF1CA3" w:rsidRPr="00922ECD">
        <w:rPr>
          <w:color w:val="000000" w:themeColor="text1"/>
        </w:rPr>
        <w:t xml:space="preserve">Congress and other stakeholders </w:t>
      </w:r>
      <w:r w:rsidR="00377AA9" w:rsidRPr="00922ECD">
        <w:rPr>
          <w:color w:val="000000" w:themeColor="text1"/>
        </w:rPr>
        <w:t>are based on</w:t>
      </w:r>
      <w:r w:rsidR="00DB5FA2" w:rsidRPr="00922ECD">
        <w:rPr>
          <w:color w:val="000000" w:themeColor="text1"/>
        </w:rPr>
        <w:t xml:space="preserve"> timely </w:t>
      </w:r>
      <w:r w:rsidR="00377AA9" w:rsidRPr="00922ECD">
        <w:rPr>
          <w:color w:val="000000" w:themeColor="text1"/>
        </w:rPr>
        <w:t xml:space="preserve">and </w:t>
      </w:r>
      <w:r w:rsidR="00DB5FA2" w:rsidRPr="00922ECD">
        <w:rPr>
          <w:color w:val="000000" w:themeColor="text1"/>
        </w:rPr>
        <w:t>up-to-date information.</w:t>
      </w:r>
    </w:p>
    <w:p w:rsidR="00B848D7" w:rsidRDefault="00B848D7" w:rsidP="00207287">
      <w:pPr>
        <w:ind w:left="360"/>
      </w:pPr>
    </w:p>
    <w:p w:rsidR="00DE0163" w:rsidRDefault="00DE0163" w:rsidP="00207287">
      <w:pPr>
        <w:ind w:left="360"/>
        <w:rPr>
          <w:b/>
        </w:rPr>
      </w:pPr>
      <w:r>
        <w:rPr>
          <w:b/>
        </w:rPr>
        <w:t>7. Special Circumstances</w:t>
      </w:r>
      <w:r w:rsidR="004E4ED3">
        <w:rPr>
          <w:b/>
        </w:rPr>
        <w:t xml:space="preserve"> Relating to the Guidelines of 5 CFR 1320.5</w:t>
      </w:r>
    </w:p>
    <w:p w:rsidR="00DE0163" w:rsidRDefault="00DE0163" w:rsidP="00207287">
      <w:pPr>
        <w:ind w:left="360"/>
        <w:rPr>
          <w:b/>
        </w:rPr>
      </w:pPr>
    </w:p>
    <w:p w:rsidR="00DE0163" w:rsidRDefault="00DE0163" w:rsidP="00CA7AD8">
      <w:r>
        <w:t>There are no special circumstances related to the MIS, and the request fully complies with the regulation.</w:t>
      </w:r>
    </w:p>
    <w:p w:rsidR="00B848D7" w:rsidRDefault="00B848D7" w:rsidP="00207287">
      <w:pPr>
        <w:ind w:left="360"/>
      </w:pPr>
    </w:p>
    <w:p w:rsidR="00DE0163" w:rsidRDefault="00DE0163" w:rsidP="00207287">
      <w:pPr>
        <w:ind w:left="360"/>
        <w:rPr>
          <w:b/>
        </w:rPr>
      </w:pPr>
      <w:r>
        <w:rPr>
          <w:b/>
        </w:rPr>
        <w:t xml:space="preserve">8. </w:t>
      </w:r>
      <w:r w:rsidR="004E4ED3">
        <w:rPr>
          <w:b/>
        </w:rPr>
        <w:t>Comments in Response to the Federal Register Notice and Efforts to Consult Outside Agency</w:t>
      </w:r>
    </w:p>
    <w:p w:rsidR="00377281" w:rsidRDefault="00377281" w:rsidP="00207287">
      <w:pPr>
        <w:ind w:left="360"/>
        <w:rPr>
          <w:b/>
        </w:rPr>
      </w:pPr>
    </w:p>
    <w:p w:rsidR="00377281" w:rsidRDefault="00D720BD" w:rsidP="00207287">
      <w:pPr>
        <w:ind w:left="360"/>
        <w:rPr>
          <w:b/>
        </w:rPr>
      </w:pPr>
      <w:r>
        <w:rPr>
          <w:b/>
        </w:rPr>
        <w:t>A</w:t>
      </w:r>
      <w:r w:rsidR="00377281">
        <w:rPr>
          <w:b/>
        </w:rPr>
        <w:t>. Federal Register Noti</w:t>
      </w:r>
      <w:r w:rsidR="00C6557E">
        <w:rPr>
          <w:b/>
        </w:rPr>
        <w:t>ce</w:t>
      </w:r>
    </w:p>
    <w:p w:rsidR="00377281" w:rsidRDefault="00377281" w:rsidP="00207287">
      <w:pPr>
        <w:ind w:left="360"/>
        <w:rPr>
          <w:b/>
        </w:rPr>
      </w:pPr>
    </w:p>
    <w:p w:rsidR="002E10E3" w:rsidRPr="002E10E3" w:rsidRDefault="00511D65" w:rsidP="002E10E3">
      <w:r>
        <w:t xml:space="preserve">A Notice was published in the Federal Register on </w:t>
      </w:r>
      <w:r w:rsidR="007D3A9D">
        <w:t>December 6, 2011 (Vol. 76, No. 234, pp. 76165-76166</w:t>
      </w:r>
      <w:r w:rsidR="006578CE">
        <w:t xml:space="preserve">; see </w:t>
      </w:r>
      <w:r w:rsidR="006578CE" w:rsidRPr="006578CE">
        <w:rPr>
          <w:b/>
        </w:rPr>
        <w:t>Attachment 2a</w:t>
      </w:r>
      <w:r w:rsidR="007D3A9D">
        <w:t>).</w:t>
      </w:r>
      <w:r>
        <w:t xml:space="preserve">  </w:t>
      </w:r>
      <w:r w:rsidR="007D3A9D">
        <w:t>One</w:t>
      </w:r>
      <w:r>
        <w:t xml:space="preserve"> public </w:t>
      </w:r>
      <w:r w:rsidR="007D3A9D">
        <w:t>comment was received and acknowledged</w:t>
      </w:r>
      <w:r w:rsidR="006578CE">
        <w:t xml:space="preserve"> (see </w:t>
      </w:r>
      <w:r w:rsidR="006578CE" w:rsidRPr="006578CE">
        <w:rPr>
          <w:b/>
        </w:rPr>
        <w:t>Attachment 2b</w:t>
      </w:r>
      <w:r w:rsidR="006578CE">
        <w:t>)</w:t>
      </w:r>
      <w:r w:rsidR="007D3A9D">
        <w:t>.</w:t>
      </w:r>
    </w:p>
    <w:p w:rsidR="00E86E76" w:rsidRDefault="00E86E76" w:rsidP="00207287">
      <w:pPr>
        <w:ind w:left="360"/>
      </w:pPr>
    </w:p>
    <w:p w:rsidR="00377281" w:rsidRDefault="00D720BD" w:rsidP="00207287">
      <w:pPr>
        <w:ind w:left="360"/>
        <w:rPr>
          <w:b/>
        </w:rPr>
      </w:pPr>
      <w:r>
        <w:rPr>
          <w:b/>
        </w:rPr>
        <w:t>B</w:t>
      </w:r>
      <w:r w:rsidR="00377281">
        <w:rPr>
          <w:b/>
        </w:rPr>
        <w:t>. Other Consultations</w:t>
      </w:r>
    </w:p>
    <w:p w:rsidR="00377281" w:rsidRDefault="00377281" w:rsidP="00207287">
      <w:pPr>
        <w:ind w:left="360"/>
        <w:rPr>
          <w:b/>
        </w:rPr>
      </w:pPr>
    </w:p>
    <w:p w:rsidR="00993A69" w:rsidRPr="00CA7AD8" w:rsidRDefault="00E86E76" w:rsidP="00CA7AD8">
      <w:r>
        <w:t>The MIS was designed collaboratively by CDC staff</w:t>
      </w:r>
      <w:r w:rsidR="003D5B9A">
        <w:t xml:space="preserve"> </w:t>
      </w:r>
      <w:r>
        <w:t xml:space="preserve">and the data collection contractor.  </w:t>
      </w:r>
      <w:r w:rsidR="00377281">
        <w:t>Consultation</w:t>
      </w:r>
      <w:r w:rsidR="00790257">
        <w:t xml:space="preserve"> will </w:t>
      </w:r>
      <w:r>
        <w:t xml:space="preserve">continue </w:t>
      </w:r>
      <w:r w:rsidR="00790257">
        <w:t xml:space="preserve">throughout the </w:t>
      </w:r>
      <w:r>
        <w:t xml:space="preserve">implementation </w:t>
      </w:r>
      <w:r w:rsidR="00790257">
        <w:t>process</w:t>
      </w:r>
      <w:r w:rsidR="00993A69">
        <w:t>.</w:t>
      </w:r>
    </w:p>
    <w:p w:rsidR="00B848D7" w:rsidRDefault="00B848D7" w:rsidP="00207287">
      <w:pPr>
        <w:ind w:left="360"/>
        <w:rPr>
          <w:b/>
        </w:rPr>
      </w:pPr>
    </w:p>
    <w:p w:rsidR="00436DD4" w:rsidRDefault="00436DD4" w:rsidP="00207287">
      <w:pPr>
        <w:ind w:left="360"/>
        <w:rPr>
          <w:b/>
        </w:rPr>
      </w:pPr>
      <w:r>
        <w:rPr>
          <w:b/>
        </w:rPr>
        <w:t xml:space="preserve">9. </w:t>
      </w:r>
      <w:r w:rsidR="004E4ED3">
        <w:rPr>
          <w:b/>
        </w:rPr>
        <w:t>Explanation of Any Payment or Gift</w:t>
      </w:r>
      <w:r>
        <w:rPr>
          <w:b/>
        </w:rPr>
        <w:t xml:space="preserve"> to Respondents</w:t>
      </w:r>
    </w:p>
    <w:p w:rsidR="00436DD4" w:rsidRDefault="00436DD4" w:rsidP="00207287">
      <w:pPr>
        <w:ind w:left="360"/>
        <w:rPr>
          <w:b/>
        </w:rPr>
      </w:pPr>
    </w:p>
    <w:p w:rsidR="00436DD4" w:rsidRDefault="00B92947" w:rsidP="00CA7AD8">
      <w:r>
        <w:t>Respondents</w:t>
      </w:r>
      <w:r w:rsidR="00436DD4">
        <w:t xml:space="preserve"> </w:t>
      </w:r>
      <w:r w:rsidR="002627DC">
        <w:t>will</w:t>
      </w:r>
      <w:r w:rsidR="00436DD4">
        <w:t xml:space="preserve"> not receive payments or gifts for providing information.</w:t>
      </w:r>
      <w:r w:rsidR="00E86E76">
        <w:t xml:space="preserve">  </w:t>
      </w:r>
    </w:p>
    <w:p w:rsidR="00B848D7" w:rsidRDefault="00B848D7" w:rsidP="00207287">
      <w:pPr>
        <w:ind w:left="360"/>
      </w:pPr>
    </w:p>
    <w:p w:rsidR="00436DD4" w:rsidRDefault="00436DD4" w:rsidP="00207287">
      <w:pPr>
        <w:ind w:left="360"/>
        <w:rPr>
          <w:b/>
        </w:rPr>
      </w:pPr>
      <w:r>
        <w:rPr>
          <w:b/>
        </w:rPr>
        <w:t>10. Assurance of Confidentiality</w:t>
      </w:r>
      <w:r w:rsidR="004E4ED3">
        <w:rPr>
          <w:b/>
        </w:rPr>
        <w:t xml:space="preserve"> Provided to Respondents</w:t>
      </w:r>
    </w:p>
    <w:p w:rsidR="009A7DB0" w:rsidRDefault="009A7DB0" w:rsidP="009A7DB0">
      <w:pPr>
        <w:tabs>
          <w:tab w:val="left" w:pos="720"/>
        </w:tabs>
      </w:pPr>
    </w:p>
    <w:p w:rsidR="00CD1716" w:rsidRPr="00FF29E1" w:rsidRDefault="009A7DB0" w:rsidP="00CD1716">
      <w:pPr>
        <w:numPr>
          <w:ilvl w:val="0"/>
          <w:numId w:val="20"/>
        </w:numPr>
        <w:tabs>
          <w:tab w:val="clear" w:pos="540"/>
          <w:tab w:val="num" w:pos="360"/>
          <w:tab w:val="left" w:pos="810"/>
        </w:tabs>
        <w:ind w:left="360" w:firstLine="0"/>
      </w:pPr>
      <w:r w:rsidRPr="00FF29E1">
        <w:t>Privacy Act Assessment</w:t>
      </w:r>
    </w:p>
    <w:p w:rsidR="00CD1716" w:rsidRDefault="00CD1716" w:rsidP="00CD1716">
      <w:pPr>
        <w:tabs>
          <w:tab w:val="left" w:pos="810"/>
        </w:tabs>
        <w:ind w:left="360"/>
      </w:pPr>
    </w:p>
    <w:p w:rsidR="00A97D20" w:rsidRDefault="00A97D20" w:rsidP="00CD1716">
      <w:pPr>
        <w:tabs>
          <w:tab w:val="left" w:pos="810"/>
        </w:tabs>
      </w:pPr>
      <w:r>
        <w:t>Staff in t</w:t>
      </w:r>
      <w:r w:rsidR="009A7DB0">
        <w:t xml:space="preserve">he CDC </w:t>
      </w:r>
      <w:r>
        <w:t>Information Collection Review Office have</w:t>
      </w:r>
      <w:r w:rsidR="009A7DB0">
        <w:t xml:space="preserve"> reviewed this </w:t>
      </w:r>
      <w:r>
        <w:t xml:space="preserve">Information Collection Request and have </w:t>
      </w:r>
      <w:r w:rsidR="009A7DB0">
        <w:t xml:space="preserve">determined that the Privacy Act is not applicable. The data collection does not involve collection of sensitive or </w:t>
      </w:r>
      <w:r w:rsidR="007C5F75">
        <w:t xml:space="preserve">identifiable </w:t>
      </w:r>
      <w:r w:rsidR="007C62B1">
        <w:t xml:space="preserve">personal </w:t>
      </w:r>
      <w:r w:rsidR="007C5F75">
        <w:t xml:space="preserve">information.  Respondents </w:t>
      </w:r>
      <w:r w:rsidR="002E10E3">
        <w:t xml:space="preserve">are </w:t>
      </w:r>
      <w:r w:rsidR="002E10E3" w:rsidRPr="005C548B">
        <w:rPr>
          <w:color w:val="000000" w:themeColor="text1"/>
        </w:rPr>
        <w:t>state and local governmental agencies, tribes and territories, state or local non-profit organizations, and national networks of community-based organizations</w:t>
      </w:r>
      <w:r w:rsidR="007C5F75">
        <w:t>.  Although contact informat</w:t>
      </w:r>
      <w:r w:rsidR="002E10E3">
        <w:t>ion is obtained for each awardee</w:t>
      </w:r>
      <w:r w:rsidR="007C5F75">
        <w:t>, the contact person provides inf</w:t>
      </w:r>
      <w:r w:rsidR="002E10E3">
        <w:t>ormation about the organization</w:t>
      </w:r>
      <w:r w:rsidR="007C5F75">
        <w:t>, not personal information.</w:t>
      </w:r>
    </w:p>
    <w:p w:rsidR="00B92947" w:rsidRDefault="00B92947" w:rsidP="00FE1590">
      <w:pPr>
        <w:tabs>
          <w:tab w:val="num" w:pos="360"/>
          <w:tab w:val="left" w:pos="810"/>
        </w:tabs>
        <w:ind w:left="360" w:hanging="360"/>
      </w:pPr>
    </w:p>
    <w:p w:rsidR="00CD1716" w:rsidRPr="00FF29E1" w:rsidRDefault="009A7DB0" w:rsidP="00CD1716">
      <w:pPr>
        <w:numPr>
          <w:ilvl w:val="0"/>
          <w:numId w:val="20"/>
        </w:numPr>
        <w:tabs>
          <w:tab w:val="clear" w:pos="540"/>
          <w:tab w:val="num" w:pos="360"/>
          <w:tab w:val="left" w:pos="810"/>
        </w:tabs>
        <w:ind w:left="360" w:firstLine="0"/>
      </w:pPr>
      <w:r w:rsidRPr="00FF29E1">
        <w:t>Security</w:t>
      </w:r>
    </w:p>
    <w:p w:rsidR="00CD1716" w:rsidRDefault="00CD1716" w:rsidP="00B848D7">
      <w:pPr>
        <w:tabs>
          <w:tab w:val="left" w:pos="810"/>
        </w:tabs>
        <w:ind w:left="360"/>
      </w:pPr>
    </w:p>
    <w:p w:rsidR="009A7DB0" w:rsidRDefault="00A97D20" w:rsidP="00B848D7">
      <w:pPr>
        <w:tabs>
          <w:tab w:val="left" w:pos="810"/>
        </w:tabs>
      </w:pPr>
      <w:r>
        <w:t xml:space="preserve">Access to the MIS will be controlled by a password-protected login. Access levels vary from read-only to read-write, based on the user’s role and needs. Each </w:t>
      </w:r>
      <w:r w:rsidR="002E10E3">
        <w:t>awardee</w:t>
      </w:r>
      <w:r w:rsidR="00D81E3C">
        <w:t xml:space="preserve"> </w:t>
      </w:r>
      <w:r>
        <w:t xml:space="preserve">will have access to its own information and decide the level of access for each </w:t>
      </w:r>
      <w:r w:rsidR="0084799E">
        <w:t xml:space="preserve">of its authorized </w:t>
      </w:r>
      <w:r>
        <w:t>user</w:t>
      </w:r>
      <w:r w:rsidR="0084799E">
        <w:t>s</w:t>
      </w:r>
      <w:r>
        <w:t>. The extent to which local partners may access a</w:t>
      </w:r>
      <w:r w:rsidR="00DB5D9A">
        <w:t>n</w:t>
      </w:r>
      <w:r>
        <w:t xml:space="preserve"> </w:t>
      </w:r>
      <w:r w:rsidR="002E10E3">
        <w:t>awardee</w:t>
      </w:r>
      <w:r w:rsidR="00D81E3C">
        <w:t xml:space="preserve">’s </w:t>
      </w:r>
      <w:r>
        <w:t xml:space="preserve">information will be decided by that </w:t>
      </w:r>
      <w:r w:rsidR="002E10E3">
        <w:t>awardee</w:t>
      </w:r>
      <w:r>
        <w:t>.</w:t>
      </w:r>
      <w:r w:rsidR="00B12648">
        <w:t xml:space="preserve"> </w:t>
      </w:r>
      <w:r w:rsidR="00B848D7">
        <w:t xml:space="preserve">CDC staff, </w:t>
      </w:r>
      <w:r w:rsidR="001222AC">
        <w:t xml:space="preserve">and </w:t>
      </w:r>
      <w:r w:rsidR="00B848D7">
        <w:t xml:space="preserve">evaluation, and technical assistance and training contractors will have varying levels of </w:t>
      </w:r>
      <w:r w:rsidR="00B848D7">
        <w:lastRenderedPageBreak/>
        <w:t>access to the system with role-appropriate security training, based on the requirements of their position(s</w:t>
      </w:r>
      <w:r w:rsidR="00B848D7" w:rsidRPr="00511D65">
        <w:t xml:space="preserve">). </w:t>
      </w:r>
      <w:r w:rsidR="00B848D7">
        <w:t xml:space="preserve"> </w:t>
      </w:r>
      <w:r w:rsidR="00B92947">
        <w:t xml:space="preserve">Aggregated information will be stored </w:t>
      </w:r>
      <w:r w:rsidR="00D81E3C">
        <w:t xml:space="preserve">on an internal </w:t>
      </w:r>
      <w:r w:rsidR="00B92947">
        <w:t>CDC</w:t>
      </w:r>
      <w:r w:rsidR="00321985">
        <w:t xml:space="preserve"> </w:t>
      </w:r>
      <w:r w:rsidR="00D81E3C">
        <w:t xml:space="preserve">SQL server </w:t>
      </w:r>
      <w:r w:rsidR="00B92947">
        <w:t xml:space="preserve">subject to CDC’s information security guidelines.  The MIS will </w:t>
      </w:r>
      <w:r w:rsidR="00D81E3C">
        <w:t xml:space="preserve">be hosted on NCCDPHP’s Intranet and Internet Application platforms, which </w:t>
      </w:r>
      <w:r w:rsidR="00B92947">
        <w:t>undergo security certification and accreditation through CDC’s Office of the Chief Information Security Officer.</w:t>
      </w:r>
      <w:r w:rsidR="00D81E3C">
        <w:t xml:space="preserve"> </w:t>
      </w:r>
    </w:p>
    <w:p w:rsidR="00B92947" w:rsidRDefault="00B92947" w:rsidP="00CD1716">
      <w:pPr>
        <w:tabs>
          <w:tab w:val="num" w:pos="360"/>
          <w:tab w:val="left" w:pos="810"/>
        </w:tabs>
      </w:pPr>
    </w:p>
    <w:p w:rsidR="00CD1716" w:rsidRPr="002143ED" w:rsidRDefault="009A7DB0" w:rsidP="00B848D7">
      <w:pPr>
        <w:numPr>
          <w:ilvl w:val="0"/>
          <w:numId w:val="20"/>
        </w:numPr>
        <w:tabs>
          <w:tab w:val="clear" w:pos="540"/>
          <w:tab w:val="num" w:pos="360"/>
          <w:tab w:val="left" w:pos="810"/>
        </w:tabs>
        <w:ind w:left="360" w:firstLine="0"/>
      </w:pPr>
      <w:r w:rsidRPr="002143ED">
        <w:t>Consent</w:t>
      </w:r>
    </w:p>
    <w:p w:rsidR="00CD1716" w:rsidRDefault="00CD1716" w:rsidP="00B848D7">
      <w:pPr>
        <w:tabs>
          <w:tab w:val="left" w:pos="810"/>
        </w:tabs>
      </w:pPr>
    </w:p>
    <w:p w:rsidR="009A7DB0" w:rsidRDefault="007C5F75" w:rsidP="00B848D7">
      <w:pPr>
        <w:tabs>
          <w:tab w:val="left" w:pos="810"/>
        </w:tabs>
      </w:pPr>
      <w:r>
        <w:t xml:space="preserve">The MIS data collection </w:t>
      </w:r>
      <w:r w:rsidR="00E327B2">
        <w:t>does not involve research with</w:t>
      </w:r>
      <w:r w:rsidR="007C62B1">
        <w:t xml:space="preserve"> human subjects</w:t>
      </w:r>
      <w:r>
        <w:t xml:space="preserve">.  </w:t>
      </w:r>
      <w:r w:rsidR="007C62B1">
        <w:t xml:space="preserve">Awardees are cooperative agreement awardees.  </w:t>
      </w:r>
      <w:r w:rsidR="00C222A1">
        <w:t>The information collection does not require consent from individuals</w:t>
      </w:r>
      <w:r w:rsidR="00B92947">
        <w:t>,</w:t>
      </w:r>
      <w:r w:rsidR="00C222A1">
        <w:t xml:space="preserve"> or IRB approval</w:t>
      </w:r>
      <w:r>
        <w:t>.</w:t>
      </w:r>
    </w:p>
    <w:p w:rsidR="00B92947" w:rsidRDefault="00B92947" w:rsidP="00FE1590">
      <w:pPr>
        <w:tabs>
          <w:tab w:val="num" w:pos="360"/>
          <w:tab w:val="left" w:pos="810"/>
        </w:tabs>
        <w:ind w:left="360" w:hanging="360"/>
      </w:pPr>
    </w:p>
    <w:p w:rsidR="005E01ED" w:rsidRPr="002143ED" w:rsidRDefault="009A7DB0" w:rsidP="00B848D7">
      <w:pPr>
        <w:numPr>
          <w:ilvl w:val="0"/>
          <w:numId w:val="20"/>
        </w:numPr>
        <w:tabs>
          <w:tab w:val="clear" w:pos="540"/>
          <w:tab w:val="num" w:pos="360"/>
          <w:tab w:val="left" w:pos="810"/>
        </w:tabs>
        <w:ind w:left="360" w:firstLine="0"/>
      </w:pPr>
      <w:r w:rsidRPr="002143ED">
        <w:t>Requirement to Respond</w:t>
      </w:r>
    </w:p>
    <w:p w:rsidR="005E01ED" w:rsidRDefault="005E01ED" w:rsidP="00B848D7">
      <w:pPr>
        <w:tabs>
          <w:tab w:val="left" w:pos="810"/>
        </w:tabs>
        <w:ind w:left="360"/>
      </w:pPr>
    </w:p>
    <w:p w:rsidR="00001C27" w:rsidRDefault="007C5F75" w:rsidP="00CA7AD8">
      <w:pPr>
        <w:tabs>
          <w:tab w:val="left" w:pos="810"/>
        </w:tabs>
      </w:pPr>
      <w:r>
        <w:t>Awardees are required to respond as a condition of cooperative agreement funding.</w:t>
      </w:r>
    </w:p>
    <w:p w:rsidR="00B848D7" w:rsidRDefault="00B848D7" w:rsidP="009A7DB0">
      <w:pPr>
        <w:tabs>
          <w:tab w:val="left" w:pos="720"/>
        </w:tabs>
      </w:pPr>
    </w:p>
    <w:p w:rsidR="00001C27" w:rsidRDefault="00001C27" w:rsidP="00207287">
      <w:pPr>
        <w:ind w:left="360"/>
        <w:rPr>
          <w:b/>
        </w:rPr>
      </w:pPr>
      <w:r>
        <w:rPr>
          <w:b/>
        </w:rPr>
        <w:t xml:space="preserve">11. </w:t>
      </w:r>
      <w:r w:rsidR="004E4ED3">
        <w:rPr>
          <w:b/>
        </w:rPr>
        <w:t>Justification for Sensitive Questions</w:t>
      </w:r>
    </w:p>
    <w:p w:rsidR="00001C27" w:rsidRDefault="00001C27" w:rsidP="00207287">
      <w:pPr>
        <w:ind w:left="360"/>
        <w:rPr>
          <w:b/>
        </w:rPr>
      </w:pPr>
    </w:p>
    <w:p w:rsidR="00D720BD" w:rsidRDefault="00001C27" w:rsidP="00CA7AD8">
      <w:r>
        <w:t xml:space="preserve">The MIS instrument does not collect </w:t>
      </w:r>
      <w:r w:rsidR="00D720BD">
        <w:t xml:space="preserve">sensitive </w:t>
      </w:r>
      <w:r>
        <w:t>information</w:t>
      </w:r>
      <w:r w:rsidR="00D720BD">
        <w:t>. No personal information is requested</w:t>
      </w:r>
      <w:r w:rsidR="00E045DF">
        <w:t xml:space="preserve">. The MIS will collect a limited amount of information in identifiable form (IIF) for key program staff (e.g., Program Director). Each awardee will provide the names of these individuals as well as their professional contact information.  The contact person will only provide information about </w:t>
      </w:r>
      <w:r w:rsidR="002627DC">
        <w:t xml:space="preserve">activities conducted under </w:t>
      </w:r>
      <w:r w:rsidR="00E045DF">
        <w:t xml:space="preserve">the </w:t>
      </w:r>
      <w:r w:rsidR="002627DC">
        <w:t>collaborative award</w:t>
      </w:r>
      <w:r w:rsidR="00E045DF">
        <w:t>, not personal information.</w:t>
      </w:r>
    </w:p>
    <w:p w:rsidR="00B848D7" w:rsidRDefault="00B848D7" w:rsidP="00207287">
      <w:pPr>
        <w:ind w:left="360"/>
      </w:pPr>
    </w:p>
    <w:p w:rsidR="00D720BD" w:rsidRDefault="00D720BD" w:rsidP="00207287">
      <w:pPr>
        <w:ind w:left="360"/>
        <w:rPr>
          <w:b/>
        </w:rPr>
      </w:pPr>
      <w:r>
        <w:rPr>
          <w:b/>
        </w:rPr>
        <w:t>12. Estimates of Annualized Burden Hours and Costs</w:t>
      </w:r>
    </w:p>
    <w:p w:rsidR="003B6135" w:rsidRDefault="003B6135" w:rsidP="00207287">
      <w:pPr>
        <w:ind w:left="360"/>
        <w:rPr>
          <w:b/>
        </w:rPr>
      </w:pPr>
    </w:p>
    <w:p w:rsidR="00D720BD" w:rsidRDefault="00D720BD" w:rsidP="00207287">
      <w:pPr>
        <w:ind w:left="360"/>
        <w:rPr>
          <w:b/>
        </w:rPr>
      </w:pPr>
      <w:r>
        <w:rPr>
          <w:b/>
        </w:rPr>
        <w:t>A. Estimated Annualized Burden Hours</w:t>
      </w:r>
    </w:p>
    <w:p w:rsidR="003B6135" w:rsidRDefault="003B6135" w:rsidP="00207287">
      <w:pPr>
        <w:ind w:left="360"/>
        <w:rPr>
          <w:b/>
        </w:rPr>
      </w:pPr>
    </w:p>
    <w:p w:rsidR="00511D65" w:rsidRDefault="00FD6634" w:rsidP="00EE5425">
      <w:r>
        <w:t xml:space="preserve">Awardees will report information to CDC about their objectives and activities (see </w:t>
      </w:r>
      <w:r w:rsidRPr="00A05820">
        <w:rPr>
          <w:b/>
        </w:rPr>
        <w:t>Attachment 4</w:t>
      </w:r>
      <w:r>
        <w:t xml:space="preserve">).  </w:t>
      </w:r>
      <w:r w:rsidR="00AF066F" w:rsidRPr="009C48CA">
        <w:t>Current r</w:t>
      </w:r>
      <w:r w:rsidR="00E47E27" w:rsidRPr="009C48CA">
        <w:t xml:space="preserve">espondents are the </w:t>
      </w:r>
      <w:r w:rsidR="00DB5D9A">
        <w:t>61</w:t>
      </w:r>
      <w:r w:rsidR="00C6557E" w:rsidRPr="009C48CA">
        <w:t xml:space="preserve"> awardees</w:t>
      </w:r>
      <w:r w:rsidR="00DB5D9A">
        <w:t xml:space="preserve"> </w:t>
      </w:r>
      <w:r w:rsidR="001328C7" w:rsidRPr="009C48CA">
        <w:t xml:space="preserve">for </w:t>
      </w:r>
      <w:r w:rsidR="00922ECD" w:rsidRPr="009C48CA">
        <w:t>the Community</w:t>
      </w:r>
      <w:r w:rsidR="00D33113">
        <w:t xml:space="preserve"> </w:t>
      </w:r>
      <w:r w:rsidR="00922ECD" w:rsidRPr="009C48CA">
        <w:t>Transformation Grant Program</w:t>
      </w:r>
      <w:r w:rsidR="00DB5D9A">
        <w:t>,</w:t>
      </w:r>
      <w:r w:rsidR="00922ECD" w:rsidRPr="009C48CA">
        <w:t xml:space="preserve"> </w:t>
      </w:r>
      <w:r w:rsidR="00D24814" w:rsidRPr="009C48CA">
        <w:t>CDC</w:t>
      </w:r>
      <w:r w:rsidR="00D24814" w:rsidRPr="009C48CA">
        <w:rPr>
          <w:bCs/>
          <w:iCs/>
        </w:rPr>
        <w:t>-</w:t>
      </w:r>
      <w:r w:rsidR="001328C7" w:rsidRPr="009C48CA">
        <w:t>RFA-DP11-1103PPHF11</w:t>
      </w:r>
      <w:r w:rsidR="00BE41B4">
        <w:t xml:space="preserve"> and seven National Network awardees funded under </w:t>
      </w:r>
      <w:r w:rsidR="00A05734">
        <w:rPr>
          <w:color w:val="000000" w:themeColor="text1"/>
        </w:rPr>
        <w:t xml:space="preserve">CDC-RFA-DP11-1115PPHF11.  </w:t>
      </w:r>
      <w:r w:rsidR="007D7E73">
        <w:t>Fifty-four awardees are from the state, local and tribal government sector, and 14 awardees are from the private, non-profit sector.</w:t>
      </w:r>
      <w:r w:rsidR="00BB0202">
        <w:t xml:space="preserve"> </w:t>
      </w:r>
    </w:p>
    <w:p w:rsidR="00511D65" w:rsidRDefault="00511D65" w:rsidP="00DB5D9A">
      <w:pPr>
        <w:ind w:left="360"/>
      </w:pPr>
    </w:p>
    <w:p w:rsidR="00197A35" w:rsidRDefault="00511D65" w:rsidP="00EE5425">
      <w:r>
        <w:t xml:space="preserve">CDC anticipates that burden to respondents will vary substantially over the CTG award period.  The time commitments for data entry and training are greatest during the initial population of the MIS, typically in the first six months of funding.  </w:t>
      </w:r>
      <w:r w:rsidR="00777CFF">
        <w:t>E</w:t>
      </w:r>
      <w:r w:rsidR="00197A35">
        <w:t xml:space="preserve">stimated burden for </w:t>
      </w:r>
      <w:proofErr w:type="spellStart"/>
      <w:r w:rsidR="00197A35">
        <w:t>theone</w:t>
      </w:r>
      <w:proofErr w:type="spellEnd"/>
      <w:r w:rsidR="00197A35">
        <w:t xml:space="preserve">-time population of the MIS is </w:t>
      </w:r>
      <w:r w:rsidR="00995B77">
        <w:t>fifteen</w:t>
      </w:r>
      <w:r w:rsidR="00197A35">
        <w:t xml:space="preserve"> hours.</w:t>
      </w:r>
    </w:p>
    <w:p w:rsidR="00197A35" w:rsidRDefault="00197A35" w:rsidP="00197A35">
      <w:pPr>
        <w:ind w:left="360"/>
      </w:pPr>
    </w:p>
    <w:p w:rsidR="00AD217D" w:rsidRDefault="00511D65" w:rsidP="007C474B">
      <w:r>
        <w:t>The efficiencies of the electronic MIS are realized in subsequent reporting periods.  After the initial population of the MIS has been completed, ongoing maintenance of the system is limited to entering changes, progress information, and new activities.</w:t>
      </w:r>
      <w:r w:rsidR="00197A35">
        <w:t xml:space="preserve">  </w:t>
      </w:r>
      <w:r w:rsidR="00197A35" w:rsidRPr="00197A35">
        <w:t>The estimated burden for routine semi-annual reporting is three hours per response</w:t>
      </w:r>
      <w:r w:rsidR="000E563D">
        <w:t>.</w:t>
      </w:r>
    </w:p>
    <w:p w:rsidR="00AD217D" w:rsidRDefault="00AD217D" w:rsidP="007C474B"/>
    <w:p w:rsidR="00AD217D" w:rsidRDefault="00AD217D" w:rsidP="007C474B">
      <w:r>
        <w:t>For the current 68 CTG awardees, initial population of the CTG MIS is being managed by CDC.  Burden for these awardees is estimated solely on the basis of the required semi-annual reports.</w:t>
      </w:r>
    </w:p>
    <w:p w:rsidR="00AD217D" w:rsidRDefault="00AD217D" w:rsidP="007C474B"/>
    <w:p w:rsidR="00AD217D" w:rsidRDefault="000E4A2C" w:rsidP="007C474B">
      <w:r>
        <w:t>If CDC receives funding to support additional awards through the CTG program, new awardees will incur the burden associated with initial population of the CTG MIS as well as the burden associated with semi-annual reporting (</w:t>
      </w:r>
      <w:r w:rsidR="003040AE">
        <w:t xml:space="preserve">one-time allocation of 15 hours per awardee, plus </w:t>
      </w:r>
      <w:r>
        <w:t xml:space="preserve">ongoing </w:t>
      </w:r>
      <w:r w:rsidR="003040AE">
        <w:t>semi-annual burden of three hours per response</w:t>
      </w:r>
      <w:r w:rsidR="00DB757F">
        <w:t xml:space="preserve">).  </w:t>
      </w:r>
      <w:r w:rsidR="00247688">
        <w:t xml:space="preserve">The burden table </w:t>
      </w:r>
      <w:r w:rsidR="003040AE">
        <w:t>presented below is structured to allow for the</w:t>
      </w:r>
      <w:r w:rsidR="00247688">
        <w:t xml:space="preserve"> possibility</w:t>
      </w:r>
      <w:r w:rsidR="009C275D">
        <w:t xml:space="preserve"> of CTG program expansion</w:t>
      </w:r>
      <w:r w:rsidR="00D76EB1">
        <w:t xml:space="preserve">.  If additional awards are made, CDC will </w:t>
      </w:r>
      <w:r w:rsidR="000548B6">
        <w:t xml:space="preserve">process a Change Request to update </w:t>
      </w:r>
      <w:r w:rsidR="005F1211">
        <w:t>the list</w:t>
      </w:r>
      <w:r w:rsidR="003040AE">
        <w:t xml:space="preserve"> of CTG awardees (</w:t>
      </w:r>
      <w:r w:rsidR="003040AE" w:rsidRPr="007D1625">
        <w:rPr>
          <w:b/>
        </w:rPr>
        <w:t>Attachment 3</w:t>
      </w:r>
      <w:r w:rsidR="003040AE">
        <w:t>)</w:t>
      </w:r>
      <w:r w:rsidR="00531C2B">
        <w:t xml:space="preserve"> and </w:t>
      </w:r>
      <w:r w:rsidR="003040AE">
        <w:t xml:space="preserve">the </w:t>
      </w:r>
      <w:r w:rsidR="005F1211">
        <w:t xml:space="preserve">total </w:t>
      </w:r>
      <w:r w:rsidR="000548B6">
        <w:t>es</w:t>
      </w:r>
      <w:r w:rsidR="00EF1105">
        <w:t xml:space="preserve">timated burden for </w:t>
      </w:r>
      <w:r w:rsidR="00D849C0">
        <w:t>the CTG MIS</w:t>
      </w:r>
      <w:r w:rsidR="00EF1105">
        <w:t xml:space="preserve"> information collection.</w:t>
      </w:r>
    </w:p>
    <w:p w:rsidR="00AD217D" w:rsidRDefault="00AD217D" w:rsidP="007C474B"/>
    <w:p w:rsidR="00A56E53" w:rsidRDefault="000234F5" w:rsidP="007C474B">
      <w:r>
        <w:t>Over the three-year period of this information collection request, t</w:t>
      </w:r>
      <w:r w:rsidR="000E563D">
        <w:t xml:space="preserve">he total estimated annualized burden for the </w:t>
      </w:r>
      <w:r w:rsidR="00CF4361">
        <w:t xml:space="preserve">current </w:t>
      </w:r>
      <w:r w:rsidR="000E563D">
        <w:t>6</w:t>
      </w:r>
      <w:r>
        <w:t>8</w:t>
      </w:r>
      <w:r w:rsidR="000E563D">
        <w:t xml:space="preserve"> current awardees is 408 hour</w:t>
      </w:r>
      <w:r w:rsidR="00C576B2">
        <w:t>s, as summarized in Table A.12-A</w:t>
      </w:r>
      <w:r w:rsidR="0035348B">
        <w:t>.</w:t>
      </w:r>
      <w:bookmarkStart w:id="0" w:name="_GoBack"/>
      <w:bookmarkEnd w:id="0"/>
    </w:p>
    <w:p w:rsidR="009C48CA" w:rsidRDefault="009C48CA" w:rsidP="003E08CD">
      <w:pPr>
        <w:rPr>
          <w:b/>
        </w:rPr>
      </w:pPr>
    </w:p>
    <w:p w:rsidR="00497997" w:rsidRPr="00C6557E" w:rsidRDefault="00497997" w:rsidP="00D33113">
      <w:pPr>
        <w:rPr>
          <w:b/>
        </w:rPr>
      </w:pPr>
      <w:r w:rsidRPr="00C6557E">
        <w:rPr>
          <w:b/>
        </w:rPr>
        <w:t xml:space="preserve">Table </w:t>
      </w:r>
      <w:r w:rsidR="00C6557E" w:rsidRPr="00C6557E">
        <w:rPr>
          <w:b/>
        </w:rPr>
        <w:t>A.12-</w:t>
      </w:r>
      <w:r w:rsidR="00C576B2">
        <w:rPr>
          <w:b/>
        </w:rPr>
        <w:t>A</w:t>
      </w:r>
      <w:r w:rsidR="00C6557E" w:rsidRPr="00C6557E">
        <w:rPr>
          <w:b/>
        </w:rPr>
        <w:t>.  Estimated Annualized Burden to Respondents</w:t>
      </w:r>
    </w:p>
    <w:p w:rsidR="003B651B" w:rsidRDefault="003B651B" w:rsidP="006B730B"/>
    <w:tbl>
      <w:tblPr>
        <w:tblStyle w:val="TableGrid"/>
        <w:tblW w:w="0" w:type="auto"/>
        <w:tblLook w:val="04A0" w:firstRow="1" w:lastRow="0" w:firstColumn="1" w:lastColumn="0" w:noHBand="0" w:noVBand="1"/>
      </w:tblPr>
      <w:tblGrid>
        <w:gridCol w:w="2301"/>
        <w:gridCol w:w="1767"/>
        <w:gridCol w:w="1440"/>
        <w:gridCol w:w="1620"/>
        <w:gridCol w:w="1440"/>
        <w:gridCol w:w="1008"/>
      </w:tblGrid>
      <w:tr w:rsidR="00CF4361" w:rsidTr="006362DF">
        <w:tc>
          <w:tcPr>
            <w:tcW w:w="2301" w:type="dxa"/>
          </w:tcPr>
          <w:p w:rsidR="00CF4361" w:rsidRDefault="00CF4361" w:rsidP="004D208D">
            <w:r>
              <w:t>Type of respondents</w:t>
            </w:r>
          </w:p>
        </w:tc>
        <w:tc>
          <w:tcPr>
            <w:tcW w:w="1767" w:type="dxa"/>
          </w:tcPr>
          <w:p w:rsidR="00CF4361" w:rsidRDefault="00CF4361" w:rsidP="004D208D">
            <w:pPr>
              <w:jc w:val="center"/>
            </w:pPr>
            <w:r>
              <w:t>Form Name</w:t>
            </w:r>
          </w:p>
        </w:tc>
        <w:tc>
          <w:tcPr>
            <w:tcW w:w="1440" w:type="dxa"/>
          </w:tcPr>
          <w:p w:rsidR="00CF4361" w:rsidRDefault="00CF4361" w:rsidP="004D208D">
            <w:pPr>
              <w:jc w:val="center"/>
            </w:pPr>
            <w:r>
              <w:t>Number of respondents</w:t>
            </w:r>
          </w:p>
        </w:tc>
        <w:tc>
          <w:tcPr>
            <w:tcW w:w="1620" w:type="dxa"/>
          </w:tcPr>
          <w:p w:rsidR="00CF4361" w:rsidRDefault="00CF4361" w:rsidP="004D208D">
            <w:pPr>
              <w:jc w:val="center"/>
            </w:pPr>
            <w:r>
              <w:t>Number of responses per respondent</w:t>
            </w:r>
          </w:p>
        </w:tc>
        <w:tc>
          <w:tcPr>
            <w:tcW w:w="1440" w:type="dxa"/>
          </w:tcPr>
          <w:p w:rsidR="00CF4361" w:rsidRDefault="00CF4361" w:rsidP="004D208D">
            <w:pPr>
              <w:jc w:val="center"/>
            </w:pPr>
            <w:r>
              <w:t>Average burden per response (in hours)</w:t>
            </w:r>
          </w:p>
        </w:tc>
        <w:tc>
          <w:tcPr>
            <w:tcW w:w="1008" w:type="dxa"/>
          </w:tcPr>
          <w:p w:rsidR="00CF4361" w:rsidRDefault="00CF4361" w:rsidP="004D208D">
            <w:pPr>
              <w:jc w:val="center"/>
            </w:pPr>
            <w:r>
              <w:t>Total burden (in hours)</w:t>
            </w:r>
          </w:p>
        </w:tc>
      </w:tr>
      <w:tr w:rsidR="005C523D" w:rsidRPr="001B696F" w:rsidTr="006362DF">
        <w:tc>
          <w:tcPr>
            <w:tcW w:w="2301" w:type="dxa"/>
            <w:vMerge w:val="restart"/>
            <w:vAlign w:val="center"/>
          </w:tcPr>
          <w:p w:rsidR="005C523D" w:rsidRPr="001B696F" w:rsidRDefault="005C523D" w:rsidP="006362DF">
            <w:pPr>
              <w:jc w:val="center"/>
              <w:rPr>
                <w:color w:val="000000" w:themeColor="text1"/>
              </w:rPr>
            </w:pPr>
            <w:r w:rsidRPr="001B696F">
              <w:rPr>
                <w:color w:val="000000" w:themeColor="text1"/>
              </w:rPr>
              <w:t>Community Transformation Grant Program</w:t>
            </w:r>
            <w:r>
              <w:rPr>
                <w:color w:val="000000" w:themeColor="text1"/>
              </w:rPr>
              <w:t xml:space="preserve"> Awardees (state, local and tribal government sector)</w:t>
            </w:r>
          </w:p>
        </w:tc>
        <w:tc>
          <w:tcPr>
            <w:tcW w:w="1767" w:type="dxa"/>
            <w:vAlign w:val="center"/>
          </w:tcPr>
          <w:p w:rsidR="005C523D" w:rsidRDefault="006E308A" w:rsidP="005C523D">
            <w:pPr>
              <w:jc w:val="center"/>
              <w:rPr>
                <w:color w:val="000000" w:themeColor="text1"/>
              </w:rPr>
            </w:pPr>
            <w:r>
              <w:rPr>
                <w:color w:val="000000" w:themeColor="text1"/>
              </w:rPr>
              <w:t>CTG MIS: I</w:t>
            </w:r>
            <w:r w:rsidR="005C523D">
              <w:rPr>
                <w:color w:val="000000" w:themeColor="text1"/>
              </w:rPr>
              <w:t>nitial population</w:t>
            </w:r>
          </w:p>
        </w:tc>
        <w:tc>
          <w:tcPr>
            <w:tcW w:w="1440" w:type="dxa"/>
            <w:vAlign w:val="center"/>
          </w:tcPr>
          <w:p w:rsidR="005C523D" w:rsidRDefault="005C523D">
            <w:pPr>
              <w:jc w:val="center"/>
              <w:rPr>
                <w:color w:val="000000" w:themeColor="text1"/>
              </w:rPr>
            </w:pPr>
            <w:r>
              <w:rPr>
                <w:color w:val="000000" w:themeColor="text1"/>
              </w:rPr>
              <w:t>0</w:t>
            </w:r>
          </w:p>
        </w:tc>
        <w:tc>
          <w:tcPr>
            <w:tcW w:w="1620" w:type="dxa"/>
            <w:vAlign w:val="center"/>
          </w:tcPr>
          <w:p w:rsidR="005C523D" w:rsidRDefault="005C523D">
            <w:pPr>
              <w:jc w:val="center"/>
              <w:rPr>
                <w:color w:val="000000" w:themeColor="text1"/>
              </w:rPr>
            </w:pPr>
            <w:r>
              <w:rPr>
                <w:color w:val="000000" w:themeColor="text1"/>
              </w:rPr>
              <w:t>1</w:t>
            </w:r>
          </w:p>
        </w:tc>
        <w:tc>
          <w:tcPr>
            <w:tcW w:w="1440" w:type="dxa"/>
            <w:vAlign w:val="center"/>
          </w:tcPr>
          <w:p w:rsidR="005C523D" w:rsidRDefault="005C523D">
            <w:pPr>
              <w:jc w:val="center"/>
              <w:rPr>
                <w:color w:val="000000" w:themeColor="text1"/>
              </w:rPr>
            </w:pPr>
            <w:r>
              <w:rPr>
                <w:color w:val="000000" w:themeColor="text1"/>
              </w:rPr>
              <w:t>15</w:t>
            </w:r>
          </w:p>
        </w:tc>
        <w:tc>
          <w:tcPr>
            <w:tcW w:w="1008" w:type="dxa"/>
            <w:vAlign w:val="center"/>
          </w:tcPr>
          <w:p w:rsidR="005C523D" w:rsidRDefault="005C523D">
            <w:pPr>
              <w:jc w:val="center"/>
              <w:rPr>
                <w:color w:val="000000" w:themeColor="text1"/>
              </w:rPr>
            </w:pPr>
            <w:r>
              <w:rPr>
                <w:color w:val="000000" w:themeColor="text1"/>
              </w:rPr>
              <w:t>0</w:t>
            </w:r>
          </w:p>
        </w:tc>
      </w:tr>
      <w:tr w:rsidR="005C523D" w:rsidRPr="001B696F" w:rsidTr="006362DF">
        <w:tc>
          <w:tcPr>
            <w:tcW w:w="2301" w:type="dxa"/>
            <w:vMerge/>
            <w:vAlign w:val="center"/>
          </w:tcPr>
          <w:p w:rsidR="005C523D" w:rsidRPr="001B696F" w:rsidRDefault="005C523D" w:rsidP="006362DF">
            <w:pPr>
              <w:jc w:val="center"/>
              <w:rPr>
                <w:color w:val="000000" w:themeColor="text1"/>
              </w:rPr>
            </w:pPr>
          </w:p>
        </w:tc>
        <w:tc>
          <w:tcPr>
            <w:tcW w:w="1767" w:type="dxa"/>
            <w:vAlign w:val="center"/>
          </w:tcPr>
          <w:p w:rsidR="005C523D" w:rsidRDefault="006E308A" w:rsidP="005C523D">
            <w:pPr>
              <w:jc w:val="center"/>
              <w:rPr>
                <w:color w:val="000000" w:themeColor="text1"/>
              </w:rPr>
            </w:pPr>
            <w:r>
              <w:rPr>
                <w:color w:val="000000" w:themeColor="text1"/>
              </w:rPr>
              <w:t>CTG MIS: S</w:t>
            </w:r>
            <w:r w:rsidR="005C523D">
              <w:rPr>
                <w:color w:val="000000" w:themeColor="text1"/>
              </w:rPr>
              <w:t>emi-annual reporting</w:t>
            </w:r>
          </w:p>
        </w:tc>
        <w:tc>
          <w:tcPr>
            <w:tcW w:w="1440" w:type="dxa"/>
            <w:vAlign w:val="center"/>
          </w:tcPr>
          <w:p w:rsidR="005C523D" w:rsidRDefault="005C523D">
            <w:pPr>
              <w:jc w:val="center"/>
              <w:rPr>
                <w:color w:val="000000" w:themeColor="text1"/>
              </w:rPr>
            </w:pPr>
            <w:r>
              <w:rPr>
                <w:color w:val="000000" w:themeColor="text1"/>
              </w:rPr>
              <w:t>54</w:t>
            </w:r>
          </w:p>
        </w:tc>
        <w:tc>
          <w:tcPr>
            <w:tcW w:w="1620" w:type="dxa"/>
            <w:vAlign w:val="center"/>
          </w:tcPr>
          <w:p w:rsidR="005C523D" w:rsidRDefault="005C523D">
            <w:pPr>
              <w:jc w:val="center"/>
              <w:rPr>
                <w:color w:val="000000" w:themeColor="text1"/>
              </w:rPr>
            </w:pPr>
            <w:r>
              <w:rPr>
                <w:color w:val="000000" w:themeColor="text1"/>
              </w:rPr>
              <w:t>2</w:t>
            </w:r>
          </w:p>
        </w:tc>
        <w:tc>
          <w:tcPr>
            <w:tcW w:w="1440" w:type="dxa"/>
            <w:vAlign w:val="center"/>
          </w:tcPr>
          <w:p w:rsidR="005C523D" w:rsidRDefault="005C523D">
            <w:pPr>
              <w:jc w:val="center"/>
              <w:rPr>
                <w:color w:val="000000" w:themeColor="text1"/>
              </w:rPr>
            </w:pPr>
            <w:r>
              <w:rPr>
                <w:color w:val="000000" w:themeColor="text1"/>
              </w:rPr>
              <w:t>3</w:t>
            </w:r>
          </w:p>
        </w:tc>
        <w:tc>
          <w:tcPr>
            <w:tcW w:w="1008" w:type="dxa"/>
            <w:vAlign w:val="center"/>
          </w:tcPr>
          <w:p w:rsidR="005C523D" w:rsidRDefault="005C523D">
            <w:pPr>
              <w:jc w:val="center"/>
              <w:rPr>
                <w:color w:val="000000" w:themeColor="text1"/>
              </w:rPr>
            </w:pPr>
            <w:r>
              <w:rPr>
                <w:color w:val="000000" w:themeColor="text1"/>
              </w:rPr>
              <w:t>324</w:t>
            </w:r>
          </w:p>
        </w:tc>
      </w:tr>
      <w:tr w:rsidR="005C523D" w:rsidRPr="001B696F" w:rsidTr="006362DF">
        <w:tc>
          <w:tcPr>
            <w:tcW w:w="2301" w:type="dxa"/>
            <w:vMerge w:val="restart"/>
            <w:vAlign w:val="center"/>
          </w:tcPr>
          <w:p w:rsidR="005C523D" w:rsidRDefault="005C523D" w:rsidP="006362DF">
            <w:pPr>
              <w:jc w:val="center"/>
              <w:rPr>
                <w:color w:val="000000" w:themeColor="text1"/>
              </w:rPr>
            </w:pPr>
            <w:r>
              <w:rPr>
                <w:color w:val="000000" w:themeColor="text1"/>
              </w:rPr>
              <w:t>CTG Program Awardees (private sector)</w:t>
            </w:r>
          </w:p>
        </w:tc>
        <w:tc>
          <w:tcPr>
            <w:tcW w:w="1767" w:type="dxa"/>
            <w:vAlign w:val="center"/>
          </w:tcPr>
          <w:p w:rsidR="005C523D" w:rsidRDefault="006E308A" w:rsidP="005C523D">
            <w:pPr>
              <w:jc w:val="center"/>
              <w:rPr>
                <w:color w:val="000000" w:themeColor="text1"/>
              </w:rPr>
            </w:pPr>
            <w:r>
              <w:rPr>
                <w:color w:val="000000" w:themeColor="text1"/>
              </w:rPr>
              <w:t>CTG MIS: I</w:t>
            </w:r>
            <w:r w:rsidR="005C523D">
              <w:rPr>
                <w:color w:val="000000" w:themeColor="text1"/>
              </w:rPr>
              <w:t>nitial population</w:t>
            </w:r>
          </w:p>
        </w:tc>
        <w:tc>
          <w:tcPr>
            <w:tcW w:w="1440" w:type="dxa"/>
            <w:vAlign w:val="center"/>
          </w:tcPr>
          <w:p w:rsidR="005C523D" w:rsidRDefault="005C523D">
            <w:pPr>
              <w:jc w:val="center"/>
              <w:rPr>
                <w:color w:val="000000" w:themeColor="text1"/>
              </w:rPr>
            </w:pPr>
            <w:r>
              <w:rPr>
                <w:color w:val="000000" w:themeColor="text1"/>
              </w:rPr>
              <w:t>0</w:t>
            </w:r>
          </w:p>
        </w:tc>
        <w:tc>
          <w:tcPr>
            <w:tcW w:w="1620" w:type="dxa"/>
            <w:vAlign w:val="center"/>
          </w:tcPr>
          <w:p w:rsidR="005C523D" w:rsidRDefault="005C523D">
            <w:pPr>
              <w:jc w:val="center"/>
              <w:rPr>
                <w:color w:val="000000" w:themeColor="text1"/>
              </w:rPr>
            </w:pPr>
            <w:r>
              <w:rPr>
                <w:color w:val="000000" w:themeColor="text1"/>
              </w:rPr>
              <w:t>1</w:t>
            </w:r>
          </w:p>
        </w:tc>
        <w:tc>
          <w:tcPr>
            <w:tcW w:w="1440" w:type="dxa"/>
            <w:vAlign w:val="center"/>
          </w:tcPr>
          <w:p w:rsidR="005C523D" w:rsidRDefault="005C523D">
            <w:pPr>
              <w:jc w:val="center"/>
              <w:rPr>
                <w:color w:val="000000" w:themeColor="text1"/>
              </w:rPr>
            </w:pPr>
            <w:r>
              <w:rPr>
                <w:color w:val="000000" w:themeColor="text1"/>
              </w:rPr>
              <w:t>15</w:t>
            </w:r>
          </w:p>
        </w:tc>
        <w:tc>
          <w:tcPr>
            <w:tcW w:w="1008" w:type="dxa"/>
            <w:vAlign w:val="center"/>
          </w:tcPr>
          <w:p w:rsidR="005C523D" w:rsidRDefault="005C523D">
            <w:pPr>
              <w:jc w:val="center"/>
              <w:rPr>
                <w:color w:val="000000" w:themeColor="text1"/>
              </w:rPr>
            </w:pPr>
            <w:r>
              <w:rPr>
                <w:color w:val="000000" w:themeColor="text1"/>
              </w:rPr>
              <w:t>0</w:t>
            </w:r>
          </w:p>
        </w:tc>
      </w:tr>
      <w:tr w:rsidR="005C523D" w:rsidRPr="001B696F" w:rsidTr="006362DF">
        <w:tc>
          <w:tcPr>
            <w:tcW w:w="2301" w:type="dxa"/>
            <w:vMerge/>
            <w:vAlign w:val="center"/>
          </w:tcPr>
          <w:p w:rsidR="005C523D" w:rsidRPr="001B696F" w:rsidRDefault="005C523D" w:rsidP="006362DF">
            <w:pPr>
              <w:jc w:val="center"/>
              <w:rPr>
                <w:color w:val="000000" w:themeColor="text1"/>
              </w:rPr>
            </w:pPr>
          </w:p>
        </w:tc>
        <w:tc>
          <w:tcPr>
            <w:tcW w:w="1767" w:type="dxa"/>
            <w:vAlign w:val="center"/>
          </w:tcPr>
          <w:p w:rsidR="005C523D" w:rsidRDefault="006E308A" w:rsidP="005C523D">
            <w:pPr>
              <w:jc w:val="center"/>
              <w:rPr>
                <w:color w:val="000000" w:themeColor="text1"/>
              </w:rPr>
            </w:pPr>
            <w:r>
              <w:rPr>
                <w:color w:val="000000" w:themeColor="text1"/>
              </w:rPr>
              <w:t>CTG MIS: S</w:t>
            </w:r>
            <w:r w:rsidR="005C523D">
              <w:rPr>
                <w:color w:val="000000" w:themeColor="text1"/>
              </w:rPr>
              <w:t>emi-annual reporting</w:t>
            </w:r>
          </w:p>
        </w:tc>
        <w:tc>
          <w:tcPr>
            <w:tcW w:w="1440" w:type="dxa"/>
            <w:vAlign w:val="center"/>
          </w:tcPr>
          <w:p w:rsidR="005C523D" w:rsidRDefault="005C523D">
            <w:pPr>
              <w:jc w:val="center"/>
              <w:rPr>
                <w:color w:val="000000" w:themeColor="text1"/>
              </w:rPr>
            </w:pPr>
            <w:r>
              <w:rPr>
                <w:color w:val="000000" w:themeColor="text1"/>
              </w:rPr>
              <w:t>14</w:t>
            </w:r>
          </w:p>
        </w:tc>
        <w:tc>
          <w:tcPr>
            <w:tcW w:w="1620" w:type="dxa"/>
            <w:vAlign w:val="center"/>
          </w:tcPr>
          <w:p w:rsidR="005C523D" w:rsidRPr="001B696F" w:rsidRDefault="005C523D">
            <w:pPr>
              <w:jc w:val="center"/>
              <w:rPr>
                <w:color w:val="000000" w:themeColor="text1"/>
              </w:rPr>
            </w:pPr>
            <w:r>
              <w:rPr>
                <w:color w:val="000000" w:themeColor="text1"/>
              </w:rPr>
              <w:t>2</w:t>
            </w:r>
          </w:p>
        </w:tc>
        <w:tc>
          <w:tcPr>
            <w:tcW w:w="1440" w:type="dxa"/>
            <w:vAlign w:val="center"/>
          </w:tcPr>
          <w:p w:rsidR="005C523D" w:rsidRPr="001B696F" w:rsidRDefault="005C523D">
            <w:pPr>
              <w:jc w:val="center"/>
              <w:rPr>
                <w:color w:val="000000" w:themeColor="text1"/>
              </w:rPr>
            </w:pPr>
            <w:r>
              <w:rPr>
                <w:color w:val="000000" w:themeColor="text1"/>
              </w:rPr>
              <w:t>3</w:t>
            </w:r>
          </w:p>
        </w:tc>
        <w:tc>
          <w:tcPr>
            <w:tcW w:w="1008" w:type="dxa"/>
            <w:vAlign w:val="center"/>
          </w:tcPr>
          <w:p w:rsidR="005C523D" w:rsidRDefault="005C523D">
            <w:pPr>
              <w:jc w:val="center"/>
              <w:rPr>
                <w:color w:val="000000" w:themeColor="text1"/>
              </w:rPr>
            </w:pPr>
            <w:r>
              <w:rPr>
                <w:color w:val="000000" w:themeColor="text1"/>
              </w:rPr>
              <w:t>84</w:t>
            </w:r>
          </w:p>
        </w:tc>
      </w:tr>
      <w:tr w:rsidR="000C5CD7" w:rsidRPr="001B696F" w:rsidTr="009A486E">
        <w:tc>
          <w:tcPr>
            <w:tcW w:w="2301" w:type="dxa"/>
          </w:tcPr>
          <w:p w:rsidR="000C5CD7" w:rsidRDefault="000C5CD7" w:rsidP="004D208D">
            <w:pPr>
              <w:rPr>
                <w:color w:val="000000" w:themeColor="text1"/>
              </w:rPr>
            </w:pPr>
          </w:p>
        </w:tc>
        <w:tc>
          <w:tcPr>
            <w:tcW w:w="6267" w:type="dxa"/>
            <w:gridSpan w:val="4"/>
          </w:tcPr>
          <w:p w:rsidR="000C5CD7" w:rsidRDefault="000C5CD7" w:rsidP="00AD048F">
            <w:pPr>
              <w:jc w:val="right"/>
              <w:rPr>
                <w:color w:val="000000" w:themeColor="text1"/>
              </w:rPr>
            </w:pPr>
            <w:r>
              <w:rPr>
                <w:color w:val="000000" w:themeColor="text1"/>
              </w:rPr>
              <w:t>Total</w:t>
            </w:r>
          </w:p>
        </w:tc>
        <w:tc>
          <w:tcPr>
            <w:tcW w:w="1008" w:type="dxa"/>
          </w:tcPr>
          <w:p w:rsidR="000C5CD7" w:rsidRDefault="000C5CD7" w:rsidP="00351661">
            <w:pPr>
              <w:jc w:val="center"/>
              <w:rPr>
                <w:color w:val="000000" w:themeColor="text1"/>
              </w:rPr>
            </w:pPr>
            <w:r>
              <w:rPr>
                <w:color w:val="000000" w:themeColor="text1"/>
              </w:rPr>
              <w:t>408</w:t>
            </w:r>
          </w:p>
        </w:tc>
      </w:tr>
    </w:tbl>
    <w:p w:rsidR="00591BA9" w:rsidRDefault="00591BA9" w:rsidP="00207287">
      <w:pPr>
        <w:ind w:left="360"/>
      </w:pPr>
    </w:p>
    <w:p w:rsidR="00AF5071" w:rsidRPr="006B730B" w:rsidRDefault="00AF5071" w:rsidP="009D71CD"/>
    <w:p w:rsidR="00E67FA7" w:rsidRDefault="00497997" w:rsidP="00207287">
      <w:pPr>
        <w:ind w:left="360"/>
        <w:rPr>
          <w:b/>
        </w:rPr>
      </w:pPr>
      <w:r>
        <w:rPr>
          <w:b/>
        </w:rPr>
        <w:t>B.  Estimated Annualized Cost to Respondents</w:t>
      </w:r>
    </w:p>
    <w:p w:rsidR="00A4788E" w:rsidRDefault="00A4788E" w:rsidP="00207287">
      <w:pPr>
        <w:ind w:left="360"/>
      </w:pPr>
    </w:p>
    <w:p w:rsidR="002773D8" w:rsidRPr="009C48CA" w:rsidRDefault="00DD67BE" w:rsidP="002773D8">
      <w:pPr>
        <w:tabs>
          <w:tab w:val="left" w:pos="0"/>
        </w:tabs>
      </w:pPr>
      <w:r w:rsidRPr="009C48CA">
        <w:t xml:space="preserve">A program manager </w:t>
      </w:r>
      <w:r w:rsidR="0035762B" w:rsidRPr="009C48CA">
        <w:t>will prepare</w:t>
      </w:r>
      <w:r w:rsidR="00E6280D" w:rsidRPr="009C48CA">
        <w:t xml:space="preserve"> the progress report for</w:t>
      </w:r>
      <w:r w:rsidRPr="009C48CA">
        <w:t xml:space="preserve"> each </w:t>
      </w:r>
      <w:r w:rsidR="0035762B" w:rsidRPr="009C48CA">
        <w:t>area</w:t>
      </w:r>
      <w:r w:rsidRPr="009C48CA">
        <w:t>.  The average hourly wage for a program manager is $</w:t>
      </w:r>
      <w:r w:rsidR="009D48E3" w:rsidRPr="009C48CA">
        <w:t>30.65.</w:t>
      </w:r>
      <w:r w:rsidR="002773D8" w:rsidRPr="009C48CA">
        <w:t xml:space="preserve">  </w:t>
      </w:r>
      <w:r w:rsidR="000117EC" w:rsidRPr="009C48CA">
        <w:t>The hourly wage rates for program managers are based on wages for similar mid-to-high level positions in the public sector.  The total estimated annualized cost to respondents is $</w:t>
      </w:r>
      <w:r w:rsidR="006704BE">
        <w:t>12,506</w:t>
      </w:r>
      <w:r w:rsidR="000117EC" w:rsidRPr="009C48CA">
        <w:t xml:space="preserve">, as summarized in </w:t>
      </w:r>
      <w:r w:rsidR="00C576B2">
        <w:t>Table A.12-B</w:t>
      </w:r>
      <w:r w:rsidR="002773D8" w:rsidRPr="009C48CA">
        <w:t xml:space="preserve">. </w:t>
      </w:r>
    </w:p>
    <w:p w:rsidR="00B54A1F" w:rsidRDefault="00B54A1F" w:rsidP="00207287">
      <w:pPr>
        <w:ind w:left="360"/>
      </w:pPr>
    </w:p>
    <w:p w:rsidR="00953D4E" w:rsidRDefault="00953D4E" w:rsidP="00CE4243">
      <w:pPr>
        <w:rPr>
          <w:b/>
        </w:rPr>
      </w:pPr>
      <w:r>
        <w:rPr>
          <w:b/>
        </w:rPr>
        <w:br w:type="page"/>
      </w:r>
    </w:p>
    <w:p w:rsidR="00CE4243" w:rsidRDefault="00CE4243" w:rsidP="00CE4243">
      <w:pPr>
        <w:rPr>
          <w:b/>
        </w:rPr>
      </w:pPr>
      <w:proofErr w:type="gramStart"/>
      <w:r w:rsidRPr="00A4788E">
        <w:rPr>
          <w:b/>
        </w:rPr>
        <w:lastRenderedPageBreak/>
        <w:t xml:space="preserve">Table </w:t>
      </w:r>
      <w:r w:rsidR="00C576B2">
        <w:rPr>
          <w:b/>
        </w:rPr>
        <w:t>A</w:t>
      </w:r>
      <w:r w:rsidRPr="00A4788E">
        <w:rPr>
          <w:b/>
        </w:rPr>
        <w:t>.12-</w:t>
      </w:r>
      <w:r w:rsidR="00C576B2">
        <w:rPr>
          <w:b/>
        </w:rPr>
        <w:t>B</w:t>
      </w:r>
      <w:r w:rsidRPr="00A4788E">
        <w:rPr>
          <w:b/>
        </w:rPr>
        <w:t>.</w:t>
      </w:r>
      <w:proofErr w:type="gramEnd"/>
      <w:r w:rsidRPr="00A4788E">
        <w:rPr>
          <w:b/>
        </w:rPr>
        <w:t xml:space="preserve">  Estimated Annualized Cost to Respondents</w:t>
      </w:r>
    </w:p>
    <w:p w:rsidR="00DD67BE" w:rsidRDefault="00DD67BE" w:rsidP="00207287">
      <w:pPr>
        <w:ind w:left="360"/>
      </w:pPr>
    </w:p>
    <w:tbl>
      <w:tblPr>
        <w:tblStyle w:val="TableGrid"/>
        <w:tblW w:w="0" w:type="auto"/>
        <w:tblLayout w:type="fixed"/>
        <w:tblLook w:val="04A0" w:firstRow="1" w:lastRow="0" w:firstColumn="1" w:lastColumn="0" w:noHBand="0" w:noVBand="1"/>
      </w:tblPr>
      <w:tblGrid>
        <w:gridCol w:w="2019"/>
        <w:gridCol w:w="1329"/>
        <w:gridCol w:w="1440"/>
        <w:gridCol w:w="1440"/>
        <w:gridCol w:w="1170"/>
        <w:gridCol w:w="1170"/>
        <w:gridCol w:w="1008"/>
      </w:tblGrid>
      <w:tr w:rsidR="00E74E8D" w:rsidTr="006362DF">
        <w:tc>
          <w:tcPr>
            <w:tcW w:w="2019" w:type="dxa"/>
            <w:vAlign w:val="center"/>
          </w:tcPr>
          <w:p w:rsidR="00E74E8D" w:rsidRDefault="00E74E8D" w:rsidP="006362DF">
            <w:pPr>
              <w:jc w:val="center"/>
            </w:pPr>
            <w:r>
              <w:t>Type of respondents</w:t>
            </w:r>
          </w:p>
        </w:tc>
        <w:tc>
          <w:tcPr>
            <w:tcW w:w="1329" w:type="dxa"/>
            <w:vAlign w:val="center"/>
          </w:tcPr>
          <w:p w:rsidR="00E74E8D" w:rsidRDefault="00E74E8D" w:rsidP="006362DF">
            <w:pPr>
              <w:jc w:val="center"/>
            </w:pPr>
            <w:r>
              <w:t>Form Name</w:t>
            </w:r>
          </w:p>
        </w:tc>
        <w:tc>
          <w:tcPr>
            <w:tcW w:w="1440" w:type="dxa"/>
            <w:vAlign w:val="center"/>
          </w:tcPr>
          <w:p w:rsidR="00E74E8D" w:rsidRDefault="00E74E8D" w:rsidP="006362DF">
            <w:pPr>
              <w:jc w:val="center"/>
            </w:pPr>
            <w:r>
              <w:t>Number of respondents</w:t>
            </w:r>
          </w:p>
        </w:tc>
        <w:tc>
          <w:tcPr>
            <w:tcW w:w="1440" w:type="dxa"/>
            <w:vAlign w:val="center"/>
          </w:tcPr>
          <w:p w:rsidR="00E74E8D" w:rsidRDefault="00E74E8D" w:rsidP="006362DF">
            <w:pPr>
              <w:jc w:val="center"/>
            </w:pPr>
            <w:r>
              <w:t>Number of responses per respondent</w:t>
            </w:r>
          </w:p>
        </w:tc>
        <w:tc>
          <w:tcPr>
            <w:tcW w:w="1170" w:type="dxa"/>
            <w:vAlign w:val="center"/>
          </w:tcPr>
          <w:p w:rsidR="00E74E8D" w:rsidRDefault="00E74E8D" w:rsidP="006362DF">
            <w:pPr>
              <w:jc w:val="center"/>
            </w:pPr>
            <w:r>
              <w:t>Average burden per response</w:t>
            </w:r>
          </w:p>
        </w:tc>
        <w:tc>
          <w:tcPr>
            <w:tcW w:w="1170" w:type="dxa"/>
            <w:vAlign w:val="center"/>
          </w:tcPr>
          <w:p w:rsidR="00E74E8D" w:rsidRDefault="00E74E8D" w:rsidP="006362DF">
            <w:pPr>
              <w:jc w:val="center"/>
            </w:pPr>
            <w:r>
              <w:t>Average hourly wage</w:t>
            </w:r>
          </w:p>
        </w:tc>
        <w:tc>
          <w:tcPr>
            <w:tcW w:w="1008" w:type="dxa"/>
            <w:vAlign w:val="center"/>
          </w:tcPr>
          <w:p w:rsidR="00E74E8D" w:rsidRDefault="00E74E8D" w:rsidP="006362DF">
            <w:pPr>
              <w:jc w:val="center"/>
            </w:pPr>
            <w:r>
              <w:t>Total cost</w:t>
            </w:r>
          </w:p>
        </w:tc>
      </w:tr>
      <w:tr w:rsidR="00E74E8D" w:rsidTr="006362DF">
        <w:tc>
          <w:tcPr>
            <w:tcW w:w="2019" w:type="dxa"/>
            <w:vMerge w:val="restart"/>
            <w:vAlign w:val="center"/>
          </w:tcPr>
          <w:p w:rsidR="00E74E8D" w:rsidRPr="001B696F" w:rsidRDefault="00E74E8D" w:rsidP="006362DF">
            <w:pPr>
              <w:jc w:val="center"/>
              <w:rPr>
                <w:color w:val="000000" w:themeColor="text1"/>
              </w:rPr>
            </w:pPr>
            <w:r w:rsidRPr="001B696F">
              <w:rPr>
                <w:color w:val="000000" w:themeColor="text1"/>
              </w:rPr>
              <w:t>Community Transformation Grant</w:t>
            </w:r>
            <w:r>
              <w:rPr>
                <w:color w:val="000000" w:themeColor="text1"/>
              </w:rPr>
              <w:t xml:space="preserve"> Program Awardees (state, local and tribal government sector</w:t>
            </w:r>
          </w:p>
        </w:tc>
        <w:tc>
          <w:tcPr>
            <w:tcW w:w="1329" w:type="dxa"/>
            <w:vAlign w:val="center"/>
          </w:tcPr>
          <w:p w:rsidR="00E74E8D" w:rsidRDefault="00E74E8D" w:rsidP="006362DF">
            <w:pPr>
              <w:jc w:val="center"/>
              <w:rPr>
                <w:color w:val="000000" w:themeColor="text1"/>
              </w:rPr>
            </w:pPr>
            <w:r>
              <w:rPr>
                <w:color w:val="000000" w:themeColor="text1"/>
              </w:rPr>
              <w:t>CTG MIS: Initial population</w:t>
            </w:r>
          </w:p>
        </w:tc>
        <w:tc>
          <w:tcPr>
            <w:tcW w:w="1440" w:type="dxa"/>
            <w:vAlign w:val="center"/>
          </w:tcPr>
          <w:p w:rsidR="00E74E8D" w:rsidRDefault="00E74E8D" w:rsidP="006362DF">
            <w:pPr>
              <w:jc w:val="center"/>
              <w:rPr>
                <w:color w:val="000000" w:themeColor="text1"/>
              </w:rPr>
            </w:pPr>
            <w:r>
              <w:rPr>
                <w:color w:val="000000" w:themeColor="text1"/>
              </w:rPr>
              <w:t>0</w:t>
            </w:r>
          </w:p>
        </w:tc>
        <w:tc>
          <w:tcPr>
            <w:tcW w:w="1440" w:type="dxa"/>
            <w:vAlign w:val="center"/>
          </w:tcPr>
          <w:p w:rsidR="00E74E8D" w:rsidRDefault="00E74E8D" w:rsidP="006362DF">
            <w:pPr>
              <w:jc w:val="center"/>
              <w:rPr>
                <w:color w:val="000000" w:themeColor="text1"/>
              </w:rPr>
            </w:pPr>
            <w:r>
              <w:rPr>
                <w:color w:val="000000" w:themeColor="text1"/>
              </w:rPr>
              <w:t>1</w:t>
            </w:r>
          </w:p>
        </w:tc>
        <w:tc>
          <w:tcPr>
            <w:tcW w:w="1170" w:type="dxa"/>
            <w:vAlign w:val="center"/>
          </w:tcPr>
          <w:p w:rsidR="00E74E8D" w:rsidRDefault="00E74E8D" w:rsidP="006362DF">
            <w:pPr>
              <w:jc w:val="center"/>
              <w:rPr>
                <w:color w:val="000000" w:themeColor="text1"/>
              </w:rPr>
            </w:pPr>
            <w:r>
              <w:rPr>
                <w:color w:val="000000" w:themeColor="text1"/>
              </w:rPr>
              <w:t>15</w:t>
            </w:r>
          </w:p>
        </w:tc>
        <w:tc>
          <w:tcPr>
            <w:tcW w:w="1170" w:type="dxa"/>
            <w:vAlign w:val="center"/>
          </w:tcPr>
          <w:p w:rsidR="00E74E8D" w:rsidRPr="001B696F" w:rsidRDefault="00E74E8D" w:rsidP="006362DF">
            <w:pPr>
              <w:jc w:val="center"/>
              <w:rPr>
                <w:color w:val="000000" w:themeColor="text1"/>
              </w:rPr>
            </w:pPr>
            <w:r>
              <w:rPr>
                <w:color w:val="000000" w:themeColor="text1"/>
              </w:rPr>
              <w:t>$30.65</w:t>
            </w:r>
          </w:p>
        </w:tc>
        <w:tc>
          <w:tcPr>
            <w:tcW w:w="1008" w:type="dxa"/>
            <w:vAlign w:val="center"/>
          </w:tcPr>
          <w:p w:rsidR="00E74E8D" w:rsidRPr="001B696F" w:rsidRDefault="00E74E8D" w:rsidP="006362DF">
            <w:pPr>
              <w:jc w:val="center"/>
              <w:rPr>
                <w:color w:val="000000" w:themeColor="text1"/>
              </w:rPr>
            </w:pPr>
            <w:r>
              <w:rPr>
                <w:color w:val="000000" w:themeColor="text1"/>
              </w:rPr>
              <w:t>$0</w:t>
            </w:r>
          </w:p>
        </w:tc>
      </w:tr>
      <w:tr w:rsidR="00E74E8D" w:rsidTr="006362DF">
        <w:tc>
          <w:tcPr>
            <w:tcW w:w="2019" w:type="dxa"/>
            <w:vMerge/>
            <w:vAlign w:val="center"/>
          </w:tcPr>
          <w:p w:rsidR="00E74E8D" w:rsidRPr="001B696F" w:rsidRDefault="00E74E8D" w:rsidP="006362DF">
            <w:pPr>
              <w:jc w:val="center"/>
              <w:rPr>
                <w:color w:val="000000" w:themeColor="text1"/>
              </w:rPr>
            </w:pPr>
          </w:p>
        </w:tc>
        <w:tc>
          <w:tcPr>
            <w:tcW w:w="1329" w:type="dxa"/>
            <w:vAlign w:val="center"/>
          </w:tcPr>
          <w:p w:rsidR="00E74E8D" w:rsidRDefault="00E74E8D" w:rsidP="006362DF">
            <w:pPr>
              <w:jc w:val="center"/>
              <w:rPr>
                <w:color w:val="000000" w:themeColor="text1"/>
              </w:rPr>
            </w:pPr>
            <w:r>
              <w:rPr>
                <w:color w:val="000000" w:themeColor="text1"/>
              </w:rPr>
              <w:t>CTG MIS: Semi-annual reporting</w:t>
            </w:r>
          </w:p>
        </w:tc>
        <w:tc>
          <w:tcPr>
            <w:tcW w:w="1440" w:type="dxa"/>
            <w:vAlign w:val="center"/>
          </w:tcPr>
          <w:p w:rsidR="00E74E8D" w:rsidRDefault="00E74E8D" w:rsidP="006362DF">
            <w:pPr>
              <w:jc w:val="center"/>
              <w:rPr>
                <w:color w:val="000000" w:themeColor="text1"/>
              </w:rPr>
            </w:pPr>
            <w:r>
              <w:rPr>
                <w:color w:val="000000" w:themeColor="text1"/>
              </w:rPr>
              <w:t>54</w:t>
            </w:r>
          </w:p>
        </w:tc>
        <w:tc>
          <w:tcPr>
            <w:tcW w:w="1440" w:type="dxa"/>
            <w:vAlign w:val="center"/>
          </w:tcPr>
          <w:p w:rsidR="00E74E8D" w:rsidRDefault="00E74E8D" w:rsidP="006362DF">
            <w:pPr>
              <w:jc w:val="center"/>
              <w:rPr>
                <w:color w:val="000000" w:themeColor="text1"/>
              </w:rPr>
            </w:pPr>
            <w:r>
              <w:rPr>
                <w:color w:val="000000" w:themeColor="text1"/>
              </w:rPr>
              <w:t>2</w:t>
            </w:r>
          </w:p>
        </w:tc>
        <w:tc>
          <w:tcPr>
            <w:tcW w:w="1170" w:type="dxa"/>
            <w:vAlign w:val="center"/>
          </w:tcPr>
          <w:p w:rsidR="00E74E8D" w:rsidRDefault="00E74E8D" w:rsidP="006362DF">
            <w:pPr>
              <w:jc w:val="center"/>
              <w:rPr>
                <w:color w:val="000000" w:themeColor="text1"/>
              </w:rPr>
            </w:pPr>
            <w:r>
              <w:rPr>
                <w:color w:val="000000" w:themeColor="text1"/>
              </w:rPr>
              <w:t>3</w:t>
            </w:r>
          </w:p>
        </w:tc>
        <w:tc>
          <w:tcPr>
            <w:tcW w:w="1170" w:type="dxa"/>
            <w:vAlign w:val="center"/>
          </w:tcPr>
          <w:p w:rsidR="00E74E8D" w:rsidRPr="001B696F" w:rsidRDefault="00E74E8D" w:rsidP="006362DF">
            <w:pPr>
              <w:jc w:val="center"/>
              <w:rPr>
                <w:color w:val="000000" w:themeColor="text1"/>
              </w:rPr>
            </w:pPr>
            <w:r w:rsidRPr="001B696F">
              <w:rPr>
                <w:color w:val="000000" w:themeColor="text1"/>
              </w:rPr>
              <w:t>$30.65</w:t>
            </w:r>
          </w:p>
        </w:tc>
        <w:tc>
          <w:tcPr>
            <w:tcW w:w="1008" w:type="dxa"/>
            <w:vAlign w:val="center"/>
          </w:tcPr>
          <w:p w:rsidR="00E74E8D" w:rsidRPr="001B696F" w:rsidRDefault="00E74E8D" w:rsidP="006362DF">
            <w:pPr>
              <w:jc w:val="center"/>
              <w:rPr>
                <w:color w:val="000000" w:themeColor="text1"/>
              </w:rPr>
            </w:pPr>
            <w:r w:rsidRPr="001B696F">
              <w:rPr>
                <w:color w:val="000000" w:themeColor="text1"/>
              </w:rPr>
              <w:t>$</w:t>
            </w:r>
            <w:r>
              <w:rPr>
                <w:color w:val="000000" w:themeColor="text1"/>
              </w:rPr>
              <w:t>9,931</w:t>
            </w:r>
          </w:p>
        </w:tc>
      </w:tr>
      <w:tr w:rsidR="00E74E8D" w:rsidTr="006362DF">
        <w:tc>
          <w:tcPr>
            <w:tcW w:w="2019" w:type="dxa"/>
            <w:vMerge w:val="restart"/>
            <w:vAlign w:val="center"/>
          </w:tcPr>
          <w:p w:rsidR="00E74E8D" w:rsidRDefault="00E74E8D" w:rsidP="006362DF">
            <w:pPr>
              <w:jc w:val="center"/>
              <w:rPr>
                <w:color w:val="000000" w:themeColor="text1"/>
              </w:rPr>
            </w:pPr>
            <w:r>
              <w:rPr>
                <w:color w:val="000000" w:themeColor="text1"/>
              </w:rPr>
              <w:t>CTG Program Awardees (private sector)</w:t>
            </w:r>
          </w:p>
        </w:tc>
        <w:tc>
          <w:tcPr>
            <w:tcW w:w="1329" w:type="dxa"/>
            <w:vAlign w:val="center"/>
          </w:tcPr>
          <w:p w:rsidR="00E74E8D" w:rsidRDefault="00E74E8D" w:rsidP="006362DF">
            <w:pPr>
              <w:jc w:val="center"/>
              <w:rPr>
                <w:color w:val="000000" w:themeColor="text1"/>
              </w:rPr>
            </w:pPr>
            <w:r>
              <w:rPr>
                <w:color w:val="000000" w:themeColor="text1"/>
              </w:rPr>
              <w:t>CTG MIS: Initial population</w:t>
            </w:r>
          </w:p>
        </w:tc>
        <w:tc>
          <w:tcPr>
            <w:tcW w:w="1440" w:type="dxa"/>
            <w:vAlign w:val="center"/>
          </w:tcPr>
          <w:p w:rsidR="00E74E8D" w:rsidRDefault="00E74E8D" w:rsidP="006362DF">
            <w:pPr>
              <w:jc w:val="center"/>
              <w:rPr>
                <w:color w:val="000000" w:themeColor="text1"/>
              </w:rPr>
            </w:pPr>
            <w:r>
              <w:rPr>
                <w:color w:val="000000" w:themeColor="text1"/>
              </w:rPr>
              <w:t>0</w:t>
            </w:r>
          </w:p>
        </w:tc>
        <w:tc>
          <w:tcPr>
            <w:tcW w:w="1440" w:type="dxa"/>
            <w:vAlign w:val="center"/>
          </w:tcPr>
          <w:p w:rsidR="00E74E8D" w:rsidRDefault="00E74E8D" w:rsidP="006362DF">
            <w:pPr>
              <w:jc w:val="center"/>
              <w:rPr>
                <w:color w:val="000000" w:themeColor="text1"/>
              </w:rPr>
            </w:pPr>
            <w:r>
              <w:rPr>
                <w:color w:val="000000" w:themeColor="text1"/>
              </w:rPr>
              <w:t>1</w:t>
            </w:r>
          </w:p>
        </w:tc>
        <w:tc>
          <w:tcPr>
            <w:tcW w:w="1170" w:type="dxa"/>
            <w:vAlign w:val="center"/>
          </w:tcPr>
          <w:p w:rsidR="00E74E8D" w:rsidRDefault="00E74E8D" w:rsidP="006362DF">
            <w:pPr>
              <w:jc w:val="center"/>
              <w:rPr>
                <w:color w:val="000000" w:themeColor="text1"/>
              </w:rPr>
            </w:pPr>
            <w:r>
              <w:rPr>
                <w:color w:val="000000" w:themeColor="text1"/>
              </w:rPr>
              <w:t>15</w:t>
            </w:r>
          </w:p>
        </w:tc>
        <w:tc>
          <w:tcPr>
            <w:tcW w:w="1170" w:type="dxa"/>
            <w:vAlign w:val="center"/>
          </w:tcPr>
          <w:p w:rsidR="00E74E8D" w:rsidRDefault="00E74E8D" w:rsidP="006362DF">
            <w:pPr>
              <w:jc w:val="center"/>
              <w:rPr>
                <w:color w:val="000000" w:themeColor="text1"/>
              </w:rPr>
            </w:pPr>
            <w:r>
              <w:rPr>
                <w:color w:val="000000" w:themeColor="text1"/>
              </w:rPr>
              <w:t>$30.65</w:t>
            </w:r>
          </w:p>
        </w:tc>
        <w:tc>
          <w:tcPr>
            <w:tcW w:w="1008" w:type="dxa"/>
            <w:vAlign w:val="center"/>
          </w:tcPr>
          <w:p w:rsidR="00E74E8D" w:rsidRDefault="00E74E8D" w:rsidP="006362DF">
            <w:pPr>
              <w:jc w:val="center"/>
              <w:rPr>
                <w:color w:val="000000" w:themeColor="text1"/>
              </w:rPr>
            </w:pPr>
            <w:r>
              <w:rPr>
                <w:color w:val="000000" w:themeColor="text1"/>
              </w:rPr>
              <w:t>$0</w:t>
            </w:r>
          </w:p>
        </w:tc>
      </w:tr>
      <w:tr w:rsidR="00E74E8D" w:rsidTr="006362DF">
        <w:tc>
          <w:tcPr>
            <w:tcW w:w="2019" w:type="dxa"/>
            <w:vMerge/>
            <w:vAlign w:val="center"/>
          </w:tcPr>
          <w:p w:rsidR="00E74E8D" w:rsidRPr="001B696F" w:rsidRDefault="00E74E8D" w:rsidP="006362DF">
            <w:pPr>
              <w:jc w:val="center"/>
              <w:rPr>
                <w:color w:val="000000" w:themeColor="text1"/>
              </w:rPr>
            </w:pPr>
          </w:p>
        </w:tc>
        <w:tc>
          <w:tcPr>
            <w:tcW w:w="1329" w:type="dxa"/>
            <w:vAlign w:val="center"/>
          </w:tcPr>
          <w:p w:rsidR="00E74E8D" w:rsidRDefault="00E74E8D" w:rsidP="006362DF">
            <w:pPr>
              <w:jc w:val="center"/>
              <w:rPr>
                <w:color w:val="000000" w:themeColor="text1"/>
              </w:rPr>
            </w:pPr>
            <w:r>
              <w:rPr>
                <w:color w:val="000000" w:themeColor="text1"/>
              </w:rPr>
              <w:t>CTG MIS: Semi-annual reporting</w:t>
            </w:r>
          </w:p>
        </w:tc>
        <w:tc>
          <w:tcPr>
            <w:tcW w:w="1440" w:type="dxa"/>
            <w:vAlign w:val="center"/>
          </w:tcPr>
          <w:p w:rsidR="00E74E8D" w:rsidRDefault="00E74E8D" w:rsidP="006362DF">
            <w:pPr>
              <w:jc w:val="center"/>
              <w:rPr>
                <w:color w:val="000000" w:themeColor="text1"/>
              </w:rPr>
            </w:pPr>
            <w:r>
              <w:rPr>
                <w:color w:val="000000" w:themeColor="text1"/>
              </w:rPr>
              <w:t>14</w:t>
            </w:r>
          </w:p>
        </w:tc>
        <w:tc>
          <w:tcPr>
            <w:tcW w:w="1440" w:type="dxa"/>
            <w:vAlign w:val="center"/>
          </w:tcPr>
          <w:p w:rsidR="00E74E8D" w:rsidRPr="001B696F" w:rsidRDefault="00E74E8D" w:rsidP="006362DF">
            <w:pPr>
              <w:jc w:val="center"/>
              <w:rPr>
                <w:color w:val="000000" w:themeColor="text1"/>
              </w:rPr>
            </w:pPr>
            <w:r>
              <w:rPr>
                <w:color w:val="000000" w:themeColor="text1"/>
              </w:rPr>
              <w:t>2</w:t>
            </w:r>
          </w:p>
        </w:tc>
        <w:tc>
          <w:tcPr>
            <w:tcW w:w="1170" w:type="dxa"/>
            <w:vAlign w:val="center"/>
          </w:tcPr>
          <w:p w:rsidR="00E74E8D" w:rsidRPr="001B696F" w:rsidRDefault="00E74E8D" w:rsidP="006362DF">
            <w:pPr>
              <w:jc w:val="center"/>
              <w:rPr>
                <w:color w:val="000000" w:themeColor="text1"/>
              </w:rPr>
            </w:pPr>
            <w:r>
              <w:rPr>
                <w:color w:val="000000" w:themeColor="text1"/>
              </w:rPr>
              <w:t>3</w:t>
            </w:r>
          </w:p>
        </w:tc>
        <w:tc>
          <w:tcPr>
            <w:tcW w:w="1170" w:type="dxa"/>
            <w:vAlign w:val="center"/>
          </w:tcPr>
          <w:p w:rsidR="00E74E8D" w:rsidRPr="001B696F" w:rsidRDefault="00E74E8D" w:rsidP="006362DF">
            <w:pPr>
              <w:jc w:val="center"/>
              <w:rPr>
                <w:color w:val="000000" w:themeColor="text1"/>
              </w:rPr>
            </w:pPr>
            <w:r>
              <w:rPr>
                <w:color w:val="000000" w:themeColor="text1"/>
              </w:rPr>
              <w:t>$30.65</w:t>
            </w:r>
          </w:p>
        </w:tc>
        <w:tc>
          <w:tcPr>
            <w:tcW w:w="1008" w:type="dxa"/>
            <w:vAlign w:val="center"/>
          </w:tcPr>
          <w:p w:rsidR="00E74E8D" w:rsidRPr="001B696F" w:rsidRDefault="00E74E8D" w:rsidP="006362DF">
            <w:pPr>
              <w:jc w:val="center"/>
              <w:rPr>
                <w:color w:val="000000" w:themeColor="text1"/>
              </w:rPr>
            </w:pPr>
            <w:r>
              <w:rPr>
                <w:color w:val="000000" w:themeColor="text1"/>
              </w:rPr>
              <w:t>$2,575</w:t>
            </w:r>
          </w:p>
        </w:tc>
      </w:tr>
      <w:tr w:rsidR="000C5CD7" w:rsidTr="00DC2339">
        <w:tc>
          <w:tcPr>
            <w:tcW w:w="2019" w:type="dxa"/>
            <w:vAlign w:val="center"/>
          </w:tcPr>
          <w:p w:rsidR="000C5CD7" w:rsidRPr="001B696F" w:rsidRDefault="000C5CD7" w:rsidP="006362DF">
            <w:pPr>
              <w:jc w:val="center"/>
              <w:rPr>
                <w:color w:val="000000" w:themeColor="text1"/>
              </w:rPr>
            </w:pPr>
          </w:p>
        </w:tc>
        <w:tc>
          <w:tcPr>
            <w:tcW w:w="6549" w:type="dxa"/>
            <w:gridSpan w:val="5"/>
            <w:vAlign w:val="center"/>
          </w:tcPr>
          <w:p w:rsidR="000C5CD7" w:rsidRPr="001B696F" w:rsidRDefault="000C5CD7" w:rsidP="000C5CD7">
            <w:pPr>
              <w:jc w:val="right"/>
              <w:rPr>
                <w:color w:val="000000" w:themeColor="text1"/>
              </w:rPr>
            </w:pPr>
            <w:r>
              <w:rPr>
                <w:color w:val="000000" w:themeColor="text1"/>
              </w:rPr>
              <w:t>Total</w:t>
            </w:r>
          </w:p>
        </w:tc>
        <w:tc>
          <w:tcPr>
            <w:tcW w:w="1008" w:type="dxa"/>
            <w:vAlign w:val="center"/>
          </w:tcPr>
          <w:p w:rsidR="000C5CD7" w:rsidRPr="001B696F" w:rsidRDefault="000C5CD7" w:rsidP="006362DF">
            <w:pPr>
              <w:jc w:val="center"/>
              <w:rPr>
                <w:color w:val="000000" w:themeColor="text1"/>
              </w:rPr>
            </w:pPr>
            <w:r>
              <w:rPr>
                <w:color w:val="000000" w:themeColor="text1"/>
              </w:rPr>
              <w:t>$12,506</w:t>
            </w:r>
          </w:p>
        </w:tc>
      </w:tr>
    </w:tbl>
    <w:p w:rsidR="0053658F" w:rsidRDefault="0053658F" w:rsidP="00CA7AD8">
      <w:pPr>
        <w:rPr>
          <w:b/>
        </w:rPr>
      </w:pPr>
    </w:p>
    <w:p w:rsidR="003E57D1" w:rsidRDefault="003E57D1" w:rsidP="00CA7AD8">
      <w:pPr>
        <w:rPr>
          <w:b/>
        </w:rPr>
      </w:pPr>
    </w:p>
    <w:p w:rsidR="003E57D1" w:rsidRDefault="003E57D1" w:rsidP="00CA7AD8">
      <w:pPr>
        <w:rPr>
          <w:b/>
        </w:rPr>
      </w:pPr>
    </w:p>
    <w:p w:rsidR="00E67FA7" w:rsidRDefault="00E67FA7" w:rsidP="00CA7AD8">
      <w:pPr>
        <w:ind w:left="1080" w:hanging="360"/>
        <w:rPr>
          <w:b/>
        </w:rPr>
      </w:pPr>
      <w:r>
        <w:rPr>
          <w:b/>
        </w:rPr>
        <w:t xml:space="preserve">13. Estimates of </w:t>
      </w:r>
      <w:r w:rsidR="004E4ED3">
        <w:rPr>
          <w:b/>
        </w:rPr>
        <w:t xml:space="preserve">Other Total Annual </w:t>
      </w:r>
      <w:r w:rsidR="00594A0E">
        <w:rPr>
          <w:b/>
        </w:rPr>
        <w:t>Cost Burden to</w:t>
      </w:r>
      <w:r>
        <w:rPr>
          <w:b/>
        </w:rPr>
        <w:t xml:space="preserve"> Respondent</w:t>
      </w:r>
      <w:r w:rsidR="00594A0E">
        <w:rPr>
          <w:b/>
        </w:rPr>
        <w:t xml:space="preserve">s </w:t>
      </w:r>
      <w:r>
        <w:rPr>
          <w:b/>
        </w:rPr>
        <w:t xml:space="preserve">and </w:t>
      </w:r>
      <w:r w:rsidR="00D13DBA">
        <w:rPr>
          <w:b/>
        </w:rPr>
        <w:t>Record Keepers</w:t>
      </w:r>
    </w:p>
    <w:p w:rsidR="00E67FA7" w:rsidRDefault="00E67FA7" w:rsidP="00207287">
      <w:pPr>
        <w:ind w:left="360"/>
      </w:pPr>
    </w:p>
    <w:p w:rsidR="00E67FA7" w:rsidRDefault="00C1533F" w:rsidP="004201B9">
      <w:r>
        <w:t xml:space="preserve">The </w:t>
      </w:r>
      <w:r w:rsidR="004D6EC7">
        <w:t>MIS</w:t>
      </w:r>
      <w:r>
        <w:t xml:space="preserve"> </w:t>
      </w:r>
      <w:r w:rsidR="004D6EC7">
        <w:t>is</w:t>
      </w:r>
      <w:r>
        <w:t xml:space="preserve"> designed to use existing hardware within funded sites, and all respondent</w:t>
      </w:r>
      <w:r w:rsidR="00183515">
        <w:t>s currently have access to the I</w:t>
      </w:r>
      <w:r>
        <w:t>nternet to use the information system. No capital or maintenance costs are expected. Additionally, there are no start-up, hardware or software costs.</w:t>
      </w:r>
    </w:p>
    <w:p w:rsidR="0073418E" w:rsidRDefault="0073418E" w:rsidP="00754B25"/>
    <w:p w:rsidR="00E67FA7" w:rsidRDefault="00E67FA7" w:rsidP="00207287">
      <w:pPr>
        <w:ind w:left="360"/>
        <w:rPr>
          <w:b/>
        </w:rPr>
      </w:pPr>
      <w:r>
        <w:rPr>
          <w:b/>
        </w:rPr>
        <w:t xml:space="preserve">14. Estimates of Annualized Cost to the </w:t>
      </w:r>
      <w:r w:rsidR="00DF6AA4">
        <w:rPr>
          <w:b/>
        </w:rPr>
        <w:t xml:space="preserve">Federal </w:t>
      </w:r>
      <w:r>
        <w:rPr>
          <w:b/>
        </w:rPr>
        <w:t>Government</w:t>
      </w:r>
    </w:p>
    <w:p w:rsidR="00E67FA7" w:rsidRDefault="00E67FA7" w:rsidP="00207287">
      <w:pPr>
        <w:ind w:left="360"/>
        <w:rPr>
          <w:b/>
        </w:rPr>
      </w:pPr>
    </w:p>
    <w:p w:rsidR="00263F6A" w:rsidRPr="00E0662F" w:rsidRDefault="00FB44DA" w:rsidP="00263F6A">
      <w:pPr>
        <w:ind w:left="360"/>
        <w:rPr>
          <w:b/>
        </w:rPr>
      </w:pPr>
      <w:r>
        <w:rPr>
          <w:b/>
        </w:rPr>
        <w:t xml:space="preserve">A. </w:t>
      </w:r>
      <w:r w:rsidR="00E0662F">
        <w:rPr>
          <w:b/>
        </w:rPr>
        <w:t>Development, Implementation, and Maintenance</w:t>
      </w:r>
    </w:p>
    <w:p w:rsidR="004E7894" w:rsidRDefault="004E7894" w:rsidP="00263F6A">
      <w:pPr>
        <w:ind w:left="360"/>
      </w:pPr>
    </w:p>
    <w:p w:rsidR="0075721C" w:rsidRDefault="00FE4674" w:rsidP="00343E36">
      <w:r>
        <w:t xml:space="preserve">The average annualized cost to the federal government is $178,613, as summarized in Table A.14-A.  </w:t>
      </w:r>
      <w:r w:rsidR="00E0662F">
        <w:t xml:space="preserve">Major cost factors for the </w:t>
      </w:r>
      <w:r w:rsidR="004D6EC7">
        <w:t>MIS</w:t>
      </w:r>
      <w:r w:rsidR="00E0662F">
        <w:t xml:space="preserve"> include application design and development costs and system m</w:t>
      </w:r>
      <w:r w:rsidR="006D6538">
        <w:t>aintenance</w:t>
      </w:r>
      <w:r w:rsidR="00E0662F">
        <w:t xml:space="preserve"> costs. </w:t>
      </w:r>
      <w:r w:rsidR="006D6538">
        <w:t xml:space="preserve"> </w:t>
      </w:r>
      <w:r w:rsidR="00C758EF">
        <w:t xml:space="preserve">The MIS developer and data collection contractor is Northrup-Grumman.  </w:t>
      </w:r>
    </w:p>
    <w:p w:rsidR="00C72C3A" w:rsidRDefault="00C72C3A" w:rsidP="00343E36"/>
    <w:tbl>
      <w:tblPr>
        <w:tblStyle w:val="TableGrid"/>
        <w:tblW w:w="0" w:type="auto"/>
        <w:jc w:val="center"/>
        <w:tblLook w:val="04A0" w:firstRow="1" w:lastRow="0" w:firstColumn="1" w:lastColumn="0" w:noHBand="0" w:noVBand="1"/>
      </w:tblPr>
      <w:tblGrid>
        <w:gridCol w:w="6138"/>
        <w:gridCol w:w="1292"/>
      </w:tblGrid>
      <w:tr w:rsidR="002A1EAF" w:rsidTr="00227082">
        <w:trPr>
          <w:jc w:val="center"/>
        </w:trPr>
        <w:tc>
          <w:tcPr>
            <w:tcW w:w="7430" w:type="dxa"/>
            <w:gridSpan w:val="2"/>
          </w:tcPr>
          <w:p w:rsidR="002A1EAF" w:rsidRPr="008B6C04" w:rsidRDefault="002A1EAF" w:rsidP="002A1EAF">
            <w:pPr>
              <w:spacing w:before="120" w:after="120"/>
              <w:jc w:val="center"/>
              <w:rPr>
                <w:b/>
              </w:rPr>
            </w:pPr>
            <w:r w:rsidRPr="008B6C04">
              <w:rPr>
                <w:b/>
              </w:rPr>
              <w:t>Table A.14-A. Annualized Cost to the Federal Government</w:t>
            </w:r>
          </w:p>
        </w:tc>
      </w:tr>
      <w:tr w:rsidR="00C72C3A" w:rsidTr="00227082">
        <w:trPr>
          <w:jc w:val="center"/>
        </w:trPr>
        <w:tc>
          <w:tcPr>
            <w:tcW w:w="6138" w:type="dxa"/>
          </w:tcPr>
          <w:p w:rsidR="00C72C3A" w:rsidRPr="008B6C04" w:rsidRDefault="000C6940" w:rsidP="00343E36">
            <w:r w:rsidRPr="008B6C04">
              <w:t>Cost Category</w:t>
            </w:r>
          </w:p>
        </w:tc>
        <w:tc>
          <w:tcPr>
            <w:tcW w:w="1292" w:type="dxa"/>
          </w:tcPr>
          <w:p w:rsidR="00C72C3A" w:rsidRPr="00227082" w:rsidRDefault="00C72C3A" w:rsidP="00227082">
            <w:pPr>
              <w:jc w:val="center"/>
              <w:rPr>
                <w:b/>
              </w:rPr>
            </w:pPr>
            <w:r w:rsidRPr="00227082">
              <w:rPr>
                <w:b/>
              </w:rPr>
              <w:t>Total</w:t>
            </w:r>
          </w:p>
        </w:tc>
      </w:tr>
      <w:tr w:rsidR="00C72C3A" w:rsidTr="00227082">
        <w:trPr>
          <w:trHeight w:val="1432"/>
          <w:jc w:val="center"/>
        </w:trPr>
        <w:tc>
          <w:tcPr>
            <w:tcW w:w="6138" w:type="dxa"/>
          </w:tcPr>
          <w:p w:rsidR="00C72C3A" w:rsidRPr="008B6C04" w:rsidRDefault="00C72C3A" w:rsidP="00343E36">
            <w:r w:rsidRPr="008B6C04">
              <w:lastRenderedPageBreak/>
              <w:t>CDC Personnel</w:t>
            </w:r>
          </w:p>
          <w:p w:rsidR="00C72C3A" w:rsidRPr="008B6C04" w:rsidRDefault="00C72C3A" w:rsidP="00C72C3A">
            <w:pPr>
              <w:pStyle w:val="ListParagraph"/>
              <w:numPr>
                <w:ilvl w:val="0"/>
                <w:numId w:val="33"/>
              </w:numPr>
            </w:pPr>
            <w:r w:rsidRPr="008B6C04">
              <w:t>100% GS-12@$71,901/year = $71,901</w:t>
            </w:r>
          </w:p>
          <w:p w:rsidR="00C72C3A" w:rsidRPr="008B6C04" w:rsidRDefault="00C72C3A" w:rsidP="00C72C3A">
            <w:pPr>
              <w:pStyle w:val="ListParagraph"/>
              <w:numPr>
                <w:ilvl w:val="0"/>
                <w:numId w:val="32"/>
              </w:numPr>
            </w:pPr>
            <w:r w:rsidRPr="008B6C04">
              <w:t>50% GS-13 @ $85,500/year = $42,500</w:t>
            </w:r>
          </w:p>
          <w:p w:rsidR="00C72C3A" w:rsidRPr="008B6C04" w:rsidRDefault="00C72C3A" w:rsidP="00C72C3A">
            <w:pPr>
              <w:pStyle w:val="ListParagraph"/>
              <w:numPr>
                <w:ilvl w:val="0"/>
                <w:numId w:val="32"/>
              </w:numPr>
            </w:pPr>
            <w:r w:rsidRPr="008B6C04">
              <w:t>25% GS-14 @ $101,035/year = 25,258</w:t>
            </w:r>
          </w:p>
          <w:p w:rsidR="00C72C3A" w:rsidRPr="008B6C04" w:rsidRDefault="00C72C3A" w:rsidP="00C72C3A">
            <w:pPr>
              <w:jc w:val="right"/>
            </w:pPr>
            <w:r w:rsidRPr="008B6C04">
              <w:t>Subtotal, CDC Personnel</w:t>
            </w:r>
          </w:p>
        </w:tc>
        <w:tc>
          <w:tcPr>
            <w:tcW w:w="1292" w:type="dxa"/>
          </w:tcPr>
          <w:p w:rsidR="00C72C3A" w:rsidRPr="008B6C04" w:rsidRDefault="00C72C3A" w:rsidP="00C72C3A">
            <w:pPr>
              <w:jc w:val="right"/>
            </w:pPr>
          </w:p>
          <w:p w:rsidR="00C72C3A" w:rsidRPr="008B6C04" w:rsidRDefault="00C72C3A" w:rsidP="00C72C3A">
            <w:pPr>
              <w:jc w:val="right"/>
            </w:pPr>
          </w:p>
          <w:p w:rsidR="00C72C3A" w:rsidRPr="008B6C04" w:rsidRDefault="00C72C3A" w:rsidP="00C72C3A">
            <w:pPr>
              <w:jc w:val="right"/>
            </w:pPr>
          </w:p>
          <w:p w:rsidR="00C72C3A" w:rsidRPr="008B6C04" w:rsidRDefault="00C72C3A" w:rsidP="00C72C3A">
            <w:pPr>
              <w:jc w:val="right"/>
            </w:pPr>
          </w:p>
          <w:p w:rsidR="00C72C3A" w:rsidRPr="008B6C04" w:rsidRDefault="00C72C3A" w:rsidP="00C72C3A">
            <w:pPr>
              <w:jc w:val="right"/>
            </w:pPr>
            <w:r w:rsidRPr="008B6C04">
              <w:t xml:space="preserve">$ </w:t>
            </w:r>
            <w:r w:rsidR="004E1872">
              <w:t>139,659</w:t>
            </w:r>
          </w:p>
        </w:tc>
      </w:tr>
      <w:tr w:rsidR="00C72C3A" w:rsidTr="00227082">
        <w:trPr>
          <w:jc w:val="center"/>
        </w:trPr>
        <w:tc>
          <w:tcPr>
            <w:tcW w:w="6138" w:type="dxa"/>
          </w:tcPr>
          <w:p w:rsidR="00C72C3A" w:rsidRPr="008B6C04" w:rsidRDefault="00C72C3A" w:rsidP="00343E36">
            <w:r w:rsidRPr="008B6C04">
              <w:t>Data Collection Contractor</w:t>
            </w:r>
          </w:p>
        </w:tc>
        <w:tc>
          <w:tcPr>
            <w:tcW w:w="1292" w:type="dxa"/>
          </w:tcPr>
          <w:p w:rsidR="00C72C3A" w:rsidRPr="008B6C04" w:rsidRDefault="004E1872" w:rsidP="00C72C3A">
            <w:pPr>
              <w:jc w:val="right"/>
            </w:pPr>
            <w:r>
              <w:t>$ 38,</w:t>
            </w:r>
            <w:r w:rsidR="00C72C3A" w:rsidRPr="008B6C04">
              <w:t>954</w:t>
            </w:r>
          </w:p>
        </w:tc>
      </w:tr>
      <w:tr w:rsidR="00C72C3A" w:rsidTr="00227082">
        <w:trPr>
          <w:jc w:val="center"/>
        </w:trPr>
        <w:tc>
          <w:tcPr>
            <w:tcW w:w="6138" w:type="dxa"/>
          </w:tcPr>
          <w:p w:rsidR="00C72C3A" w:rsidRPr="008B6C04" w:rsidRDefault="008B6C04" w:rsidP="008B6C04">
            <w:pPr>
              <w:jc w:val="right"/>
            </w:pPr>
            <w:r w:rsidRPr="008B6C04">
              <w:t>Total</w:t>
            </w:r>
          </w:p>
        </w:tc>
        <w:tc>
          <w:tcPr>
            <w:tcW w:w="1292" w:type="dxa"/>
          </w:tcPr>
          <w:p w:rsidR="00C72C3A" w:rsidRPr="008B6C04" w:rsidRDefault="004E1872" w:rsidP="00C72C3A">
            <w:pPr>
              <w:jc w:val="right"/>
            </w:pPr>
            <w:r>
              <w:t>$</w:t>
            </w:r>
            <w:r w:rsidR="00227082">
              <w:t xml:space="preserve"> </w:t>
            </w:r>
            <w:r>
              <w:t>178,613</w:t>
            </w:r>
          </w:p>
        </w:tc>
      </w:tr>
    </w:tbl>
    <w:p w:rsidR="00C72C3A" w:rsidRDefault="00C72C3A" w:rsidP="00343E36"/>
    <w:p w:rsidR="004309C8" w:rsidRDefault="004309C8" w:rsidP="007C62B1">
      <w:pPr>
        <w:rPr>
          <w:b/>
        </w:rPr>
      </w:pPr>
    </w:p>
    <w:p w:rsidR="0073418E" w:rsidRDefault="0073418E" w:rsidP="007C62B1">
      <w:pPr>
        <w:rPr>
          <w:b/>
        </w:rPr>
      </w:pPr>
    </w:p>
    <w:p w:rsidR="00263F6A" w:rsidRDefault="00263F6A" w:rsidP="00263F6A">
      <w:pPr>
        <w:ind w:left="360"/>
      </w:pPr>
      <w:r>
        <w:rPr>
          <w:b/>
        </w:rPr>
        <w:t xml:space="preserve">15. </w:t>
      </w:r>
      <w:r w:rsidR="00594A0E">
        <w:rPr>
          <w:b/>
        </w:rPr>
        <w:t>Explanation for Program Changes or Adjustments</w:t>
      </w:r>
    </w:p>
    <w:p w:rsidR="00263F6A" w:rsidRDefault="00263F6A" w:rsidP="00263F6A">
      <w:pPr>
        <w:ind w:left="360"/>
      </w:pPr>
    </w:p>
    <w:p w:rsidR="00263F6A" w:rsidRPr="009C48CA" w:rsidRDefault="00AA3989" w:rsidP="0073418E">
      <w:pPr>
        <w:tabs>
          <w:tab w:val="left" w:pos="0"/>
        </w:tabs>
        <w:ind w:hanging="90"/>
      </w:pPr>
      <w:r w:rsidRPr="009C48CA">
        <w:t>T</w:t>
      </w:r>
      <w:r w:rsidR="00263F6A" w:rsidRPr="009C48CA">
        <w:t>his is a</w:t>
      </w:r>
      <w:r w:rsidR="00B02B40" w:rsidRPr="009C48CA">
        <w:t xml:space="preserve"> new</w:t>
      </w:r>
      <w:r w:rsidR="0047316F" w:rsidRPr="009C48CA">
        <w:t xml:space="preserve"> collection.</w:t>
      </w:r>
      <w:r w:rsidR="00B02B40" w:rsidRPr="009C48CA">
        <w:t xml:space="preserve">  </w:t>
      </w:r>
    </w:p>
    <w:p w:rsidR="0073418E" w:rsidRPr="009C48CA" w:rsidRDefault="0073418E" w:rsidP="00754B25"/>
    <w:p w:rsidR="00BC3D4D" w:rsidRDefault="00263F6A" w:rsidP="00754B25">
      <w:pPr>
        <w:spacing w:line="360" w:lineRule="auto"/>
        <w:ind w:left="360"/>
        <w:rPr>
          <w:b/>
        </w:rPr>
      </w:pPr>
      <w:r>
        <w:rPr>
          <w:b/>
        </w:rPr>
        <w:t xml:space="preserve">16. </w:t>
      </w:r>
      <w:r w:rsidR="00594A0E">
        <w:rPr>
          <w:b/>
        </w:rPr>
        <w:t xml:space="preserve"> </w:t>
      </w:r>
      <w:r w:rsidR="00850F77" w:rsidRPr="00B848D7">
        <w:rPr>
          <w:b/>
        </w:rPr>
        <w:t>Plans for Tabulation and Publication and Project Time Schedule</w:t>
      </w:r>
    </w:p>
    <w:p w:rsidR="00207287" w:rsidRDefault="000B2405" w:rsidP="00E13F18">
      <w:pPr>
        <w:ind w:left="360"/>
      </w:pPr>
      <w:r>
        <w:rPr>
          <w:b/>
        </w:rPr>
        <w:t>A. Time schedule for the entire project</w:t>
      </w:r>
    </w:p>
    <w:p w:rsidR="000B2405" w:rsidRDefault="000B2405" w:rsidP="00E13F18">
      <w:pPr>
        <w:ind w:left="360"/>
      </w:pPr>
    </w:p>
    <w:p w:rsidR="007C62B1" w:rsidRDefault="00476976" w:rsidP="00EE5425">
      <w:r>
        <w:t>T</w:t>
      </w:r>
      <w:r w:rsidR="00847B28">
        <w:t xml:space="preserve">he </w:t>
      </w:r>
      <w:r w:rsidR="00537C04">
        <w:t>cooperative agreement cycle is five</w:t>
      </w:r>
      <w:r w:rsidR="00847B28">
        <w:t xml:space="preserve"> years</w:t>
      </w:r>
      <w:r>
        <w:t xml:space="preserve">.  </w:t>
      </w:r>
      <w:r w:rsidR="00864BD4">
        <w:t xml:space="preserve">OMB approval is being requested for three years.  </w:t>
      </w:r>
      <w:r w:rsidR="00925E69">
        <w:t xml:space="preserve">Reports will be generated by the </w:t>
      </w:r>
      <w:r w:rsidR="002E10E3">
        <w:t>awardee</w:t>
      </w:r>
      <w:r w:rsidR="00925E69">
        <w:t>s per the FOA requirements twice a year, in April and November.  Data collection began with the awarding of the grants and will continue</w:t>
      </w:r>
      <w:r w:rsidR="00537C04">
        <w:t xml:space="preserve"> throughout the funding cycle</w:t>
      </w:r>
      <w:r w:rsidR="00925E69">
        <w:t xml:space="preserve">. </w:t>
      </w:r>
    </w:p>
    <w:p w:rsidR="000B2405" w:rsidRDefault="000B2405" w:rsidP="00E13F18">
      <w:pPr>
        <w:ind w:left="360"/>
      </w:pPr>
    </w:p>
    <w:p w:rsidR="000B2405" w:rsidRDefault="000B2405" w:rsidP="00E13F18">
      <w:pPr>
        <w:ind w:left="360"/>
      </w:pPr>
      <w:r>
        <w:rPr>
          <w:b/>
        </w:rPr>
        <w:t>B. Publication plan</w:t>
      </w:r>
    </w:p>
    <w:p w:rsidR="000B2405" w:rsidRDefault="000B2405" w:rsidP="00E13F18">
      <w:pPr>
        <w:ind w:left="360"/>
      </w:pPr>
    </w:p>
    <w:p w:rsidR="000B2405" w:rsidRDefault="000B2405" w:rsidP="00EE5425">
      <w:r>
        <w:t xml:space="preserve">Information collected through the MIS will be reported in internal CDC documents and shared with </w:t>
      </w:r>
      <w:r w:rsidR="0031436D">
        <w:t>state</w:t>
      </w:r>
      <w:r w:rsidR="003D5B9A">
        <w:t>-</w:t>
      </w:r>
      <w:r w:rsidR="0031436D">
        <w:t>based</w:t>
      </w:r>
      <w:r w:rsidR="0050728C">
        <w:t xml:space="preserve"> programs</w:t>
      </w:r>
      <w:r>
        <w:t>.</w:t>
      </w:r>
    </w:p>
    <w:p w:rsidR="000B2405" w:rsidRDefault="000B2405" w:rsidP="00E13F18">
      <w:pPr>
        <w:ind w:left="360"/>
      </w:pPr>
    </w:p>
    <w:p w:rsidR="000B2405" w:rsidRDefault="000B2405" w:rsidP="00E13F18">
      <w:pPr>
        <w:ind w:left="360"/>
        <w:rPr>
          <w:b/>
        </w:rPr>
      </w:pPr>
      <w:r>
        <w:rPr>
          <w:b/>
        </w:rPr>
        <w:t>C. Analysis plan</w:t>
      </w:r>
    </w:p>
    <w:p w:rsidR="000B2405" w:rsidRDefault="000B2405" w:rsidP="00E13F18">
      <w:pPr>
        <w:ind w:left="360"/>
        <w:rPr>
          <w:b/>
        </w:rPr>
      </w:pPr>
    </w:p>
    <w:p w:rsidR="007A1C2F" w:rsidRDefault="000B2405" w:rsidP="00B02B40">
      <w:r>
        <w:t xml:space="preserve">CDC will not use complex statistical methods for analyzing information. All information will be aggregated and reported </w:t>
      </w:r>
      <w:r w:rsidR="00523D15">
        <w:t>with no program identifiers present in external documents</w:t>
      </w:r>
      <w:r>
        <w:t xml:space="preserve">. </w:t>
      </w:r>
      <w:r w:rsidR="00523D15">
        <w:t>Most s</w:t>
      </w:r>
      <w:r>
        <w:t>tatistical analyses</w:t>
      </w:r>
      <w:r w:rsidR="007A1C2F">
        <w:t xml:space="preserve"> will be </w:t>
      </w:r>
      <w:r w:rsidR="00523D15">
        <w:t>descriptive</w:t>
      </w:r>
      <w:r w:rsidR="007A1C2F">
        <w:t>.</w:t>
      </w:r>
      <w:r w:rsidR="0050728C">
        <w:t xml:space="preserve"> </w:t>
      </w:r>
      <w:r w:rsidR="00523D15">
        <w:t>Statistical modeling may be included to examine predictors of specified outcomes.</w:t>
      </w:r>
    </w:p>
    <w:p w:rsidR="00ED686D" w:rsidRPr="00EF181A" w:rsidRDefault="00ED686D" w:rsidP="00B02B40"/>
    <w:p w:rsidR="00ED686D" w:rsidRPr="00EF181A" w:rsidRDefault="009C74E7" w:rsidP="00ED686D">
      <w:pPr>
        <w:autoSpaceDE w:val="0"/>
        <w:autoSpaceDN w:val="0"/>
        <w:adjustRightInd w:val="0"/>
        <w:rPr>
          <w:b/>
          <w:bCs/>
        </w:rPr>
      </w:pPr>
      <w:r w:rsidRPr="009C74E7">
        <w:rPr>
          <w:b/>
          <w:bCs/>
        </w:rPr>
        <w:t>A.16 - 1 Project Time Schedule</w:t>
      </w:r>
    </w:p>
    <w:tbl>
      <w:tblPr>
        <w:tblStyle w:val="TableGrid"/>
        <w:tblW w:w="0" w:type="auto"/>
        <w:tblInd w:w="360" w:type="dxa"/>
        <w:tblLook w:val="04A0" w:firstRow="1" w:lastRow="0" w:firstColumn="1" w:lastColumn="0" w:noHBand="0" w:noVBand="1"/>
      </w:tblPr>
      <w:tblGrid>
        <w:gridCol w:w="4607"/>
        <w:gridCol w:w="4609"/>
      </w:tblGrid>
      <w:tr w:rsidR="00ED686D" w:rsidRPr="00EF181A" w:rsidTr="00ED686D">
        <w:tc>
          <w:tcPr>
            <w:tcW w:w="4607" w:type="dxa"/>
          </w:tcPr>
          <w:p w:rsidR="00ED686D" w:rsidRPr="00EF181A" w:rsidRDefault="009C74E7" w:rsidP="00ED686D">
            <w:pPr>
              <w:autoSpaceDE w:val="0"/>
              <w:autoSpaceDN w:val="0"/>
              <w:adjustRightInd w:val="0"/>
              <w:rPr>
                <w:b/>
                <w:bCs/>
              </w:rPr>
            </w:pPr>
            <w:r w:rsidRPr="009C74E7">
              <w:rPr>
                <w:b/>
                <w:bCs/>
              </w:rPr>
              <w:t>Activity Time Schedule</w:t>
            </w:r>
          </w:p>
        </w:tc>
        <w:tc>
          <w:tcPr>
            <w:tcW w:w="4609" w:type="dxa"/>
          </w:tcPr>
          <w:p w:rsidR="00ED686D" w:rsidRPr="00EF181A" w:rsidRDefault="00ED686D" w:rsidP="007A1C2F">
            <w:pPr>
              <w:rPr>
                <w:b/>
              </w:rPr>
            </w:pPr>
          </w:p>
        </w:tc>
      </w:tr>
      <w:tr w:rsidR="00ED686D" w:rsidTr="00ED686D">
        <w:tc>
          <w:tcPr>
            <w:tcW w:w="4607" w:type="dxa"/>
          </w:tcPr>
          <w:p w:rsidR="00ED686D" w:rsidRPr="00ED686D" w:rsidRDefault="00ED686D" w:rsidP="007A1C2F">
            <w:r w:rsidRPr="00ED686D">
              <w:t>Notification of Electronic Tool Availability</w:t>
            </w:r>
          </w:p>
        </w:tc>
        <w:tc>
          <w:tcPr>
            <w:tcW w:w="4609" w:type="dxa"/>
          </w:tcPr>
          <w:p w:rsidR="00ED686D" w:rsidRPr="00ED686D" w:rsidRDefault="00ED686D" w:rsidP="007A1C2F">
            <w:r w:rsidRPr="00ED686D">
              <w:t>Immediately upon OMB approval</w:t>
            </w:r>
          </w:p>
        </w:tc>
      </w:tr>
      <w:tr w:rsidR="00ED686D" w:rsidTr="00ED686D">
        <w:tc>
          <w:tcPr>
            <w:tcW w:w="4607" w:type="dxa"/>
          </w:tcPr>
          <w:p w:rsidR="00ED686D" w:rsidRPr="00ED686D" w:rsidRDefault="00ED686D" w:rsidP="007A1C2F">
            <w:r>
              <w:t>User Training</w:t>
            </w:r>
          </w:p>
        </w:tc>
        <w:tc>
          <w:tcPr>
            <w:tcW w:w="4609" w:type="dxa"/>
          </w:tcPr>
          <w:p w:rsidR="00ED686D" w:rsidRPr="00ED686D" w:rsidRDefault="00ED686D" w:rsidP="007A1C2F">
            <w:r>
              <w:t>Immediately upon OMB approval and ongoing through expiration date</w:t>
            </w:r>
          </w:p>
        </w:tc>
      </w:tr>
      <w:tr w:rsidR="00ED686D" w:rsidTr="00ED686D">
        <w:tc>
          <w:tcPr>
            <w:tcW w:w="4607" w:type="dxa"/>
          </w:tcPr>
          <w:p w:rsidR="00ED686D" w:rsidRPr="00ED686D" w:rsidRDefault="00ED686D" w:rsidP="007A1C2F">
            <w:r w:rsidRPr="00ED686D">
              <w:t>Data Collection</w:t>
            </w:r>
          </w:p>
        </w:tc>
        <w:tc>
          <w:tcPr>
            <w:tcW w:w="4609" w:type="dxa"/>
          </w:tcPr>
          <w:p w:rsidR="00ED686D" w:rsidRPr="00ED686D" w:rsidRDefault="00ED686D" w:rsidP="007A1C2F">
            <w:r>
              <w:t>1-36 months after OMB approval</w:t>
            </w:r>
          </w:p>
        </w:tc>
      </w:tr>
      <w:tr w:rsidR="00ED686D" w:rsidTr="00ED686D">
        <w:tc>
          <w:tcPr>
            <w:tcW w:w="4607" w:type="dxa"/>
          </w:tcPr>
          <w:p w:rsidR="00ED686D" w:rsidRPr="00ED686D" w:rsidRDefault="00ED686D" w:rsidP="007A1C2F">
            <w:r>
              <w:t>Data Publication</w:t>
            </w:r>
          </w:p>
        </w:tc>
        <w:tc>
          <w:tcPr>
            <w:tcW w:w="4609" w:type="dxa"/>
          </w:tcPr>
          <w:p w:rsidR="00ED686D" w:rsidRDefault="00ED686D" w:rsidP="007A1C2F">
            <w:r>
              <w:t xml:space="preserve">Twice annually </w:t>
            </w:r>
          </w:p>
        </w:tc>
      </w:tr>
      <w:tr w:rsidR="00ED686D" w:rsidTr="00ED686D">
        <w:tc>
          <w:tcPr>
            <w:tcW w:w="4607" w:type="dxa"/>
          </w:tcPr>
          <w:p w:rsidR="00ED686D" w:rsidRDefault="00ED686D" w:rsidP="007A1C2F">
            <w:r>
              <w:t>Data Analysis</w:t>
            </w:r>
          </w:p>
        </w:tc>
        <w:tc>
          <w:tcPr>
            <w:tcW w:w="4609" w:type="dxa"/>
          </w:tcPr>
          <w:p w:rsidR="00ED686D" w:rsidRDefault="00ED686D" w:rsidP="007A1C2F">
            <w:r>
              <w:t>1-36 months after OMB approval</w:t>
            </w:r>
          </w:p>
        </w:tc>
      </w:tr>
    </w:tbl>
    <w:p w:rsidR="004309C8" w:rsidRDefault="004309C8" w:rsidP="007A1C2F">
      <w:pPr>
        <w:ind w:left="360"/>
        <w:rPr>
          <w:b/>
        </w:rPr>
      </w:pPr>
    </w:p>
    <w:p w:rsidR="007C62B1" w:rsidRDefault="007C62B1" w:rsidP="007A1C2F">
      <w:pPr>
        <w:ind w:left="360"/>
        <w:rPr>
          <w:b/>
        </w:rPr>
      </w:pPr>
    </w:p>
    <w:p w:rsidR="007A1C2F" w:rsidRDefault="007A1C2F" w:rsidP="007A1C2F">
      <w:pPr>
        <w:ind w:left="360"/>
        <w:rPr>
          <w:b/>
        </w:rPr>
      </w:pPr>
      <w:r>
        <w:rPr>
          <w:b/>
        </w:rPr>
        <w:t xml:space="preserve">17. </w:t>
      </w:r>
      <w:r w:rsidR="00594A0E">
        <w:rPr>
          <w:b/>
        </w:rPr>
        <w:t>Reason</w:t>
      </w:r>
      <w:r w:rsidR="00DF6AA4">
        <w:rPr>
          <w:b/>
        </w:rPr>
        <w:t>(s)</w:t>
      </w:r>
      <w:r w:rsidR="00594A0E">
        <w:rPr>
          <w:b/>
        </w:rPr>
        <w:t xml:space="preserve"> Display of OMB Expiration Date is Inappropriate</w:t>
      </w:r>
    </w:p>
    <w:p w:rsidR="007A1C2F" w:rsidRDefault="007A1C2F" w:rsidP="007A1C2F">
      <w:pPr>
        <w:ind w:left="360"/>
        <w:rPr>
          <w:b/>
        </w:rPr>
      </w:pPr>
    </w:p>
    <w:p w:rsidR="004309C8" w:rsidRPr="00754B25" w:rsidRDefault="007A1C2F" w:rsidP="00754B25">
      <w:r>
        <w:t xml:space="preserve">The </w:t>
      </w:r>
      <w:r w:rsidR="0050728C">
        <w:t>C</w:t>
      </w:r>
      <w:r w:rsidR="00CA7B52">
        <w:t>TG</w:t>
      </w:r>
      <w:r>
        <w:t xml:space="preserve"> MIS program will display the expiration date for OMB approval of the information system data collection on its Internet home page.</w:t>
      </w:r>
    </w:p>
    <w:p w:rsidR="007C62B1" w:rsidRDefault="007C62B1" w:rsidP="007A1C2F">
      <w:pPr>
        <w:ind w:left="360"/>
        <w:rPr>
          <w:b/>
        </w:rPr>
      </w:pPr>
    </w:p>
    <w:p w:rsidR="007A1C2F" w:rsidRDefault="007A1C2F" w:rsidP="007A1C2F">
      <w:pPr>
        <w:ind w:left="360"/>
        <w:rPr>
          <w:b/>
        </w:rPr>
      </w:pPr>
      <w:r>
        <w:rPr>
          <w:b/>
        </w:rPr>
        <w:t>18. Exceptions to Certification</w:t>
      </w:r>
      <w:r w:rsidR="00594A0E">
        <w:rPr>
          <w:b/>
        </w:rPr>
        <w:t xml:space="preserve"> for Paperwork Reduction Act Submissions</w:t>
      </w:r>
    </w:p>
    <w:p w:rsidR="007A1C2F" w:rsidRDefault="007A1C2F" w:rsidP="007A1C2F">
      <w:pPr>
        <w:ind w:left="360"/>
        <w:rPr>
          <w:b/>
        </w:rPr>
      </w:pPr>
    </w:p>
    <w:p w:rsidR="00C96619" w:rsidRPr="00C96619" w:rsidRDefault="00585FE6" w:rsidP="007B318D">
      <w:r>
        <w:t>There are n</w:t>
      </w:r>
      <w:r w:rsidR="007A1C2F">
        <w:t>o exceptions to the certification statement</w:t>
      </w:r>
      <w:r w:rsidR="007B318D">
        <w:t>.</w:t>
      </w:r>
    </w:p>
    <w:sectPr w:rsidR="00C96619" w:rsidRPr="00C96619" w:rsidSect="00F3064C">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0B" w:rsidRDefault="006B730B">
      <w:r>
        <w:separator/>
      </w:r>
    </w:p>
  </w:endnote>
  <w:endnote w:type="continuationSeparator" w:id="0">
    <w:p w:rsidR="006B730B" w:rsidRDefault="006B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0B" w:rsidRDefault="0063509E" w:rsidP="00107D3E">
    <w:pPr>
      <w:pStyle w:val="Footer"/>
      <w:framePr w:wrap="around" w:vAnchor="text" w:hAnchor="margin" w:xAlign="center" w:y="1"/>
      <w:rPr>
        <w:rStyle w:val="PageNumber"/>
      </w:rPr>
    </w:pPr>
    <w:r>
      <w:rPr>
        <w:rStyle w:val="PageNumber"/>
      </w:rPr>
      <w:fldChar w:fldCharType="begin"/>
    </w:r>
    <w:r w:rsidR="006B730B">
      <w:rPr>
        <w:rStyle w:val="PageNumber"/>
      </w:rPr>
      <w:instrText xml:space="preserve">PAGE  </w:instrText>
    </w:r>
    <w:r>
      <w:rPr>
        <w:rStyle w:val="PageNumber"/>
      </w:rPr>
      <w:fldChar w:fldCharType="end"/>
    </w:r>
  </w:p>
  <w:p w:rsidR="006B730B" w:rsidRDefault="006B7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0B" w:rsidRDefault="006B730B">
    <w:pPr>
      <w:pStyle w:val="Footer"/>
      <w:rPr>
        <w:rStyle w:val="PageNumber"/>
      </w:rPr>
    </w:pPr>
  </w:p>
  <w:p w:rsidR="006B730B" w:rsidRDefault="006B730B" w:rsidP="009111B3">
    <w:pPr>
      <w:pStyle w:val="Footer"/>
      <w:jc w:val="center"/>
      <w:rPr>
        <w:rStyle w:val="PageNumber"/>
      </w:rPr>
    </w:pPr>
    <w:r>
      <w:rPr>
        <w:rStyle w:val="PageNumber"/>
      </w:rPr>
      <w:t xml:space="preserve">- </w:t>
    </w:r>
    <w:r w:rsidR="0063509E">
      <w:rPr>
        <w:rStyle w:val="PageNumber"/>
      </w:rPr>
      <w:fldChar w:fldCharType="begin"/>
    </w:r>
    <w:r>
      <w:rPr>
        <w:rStyle w:val="PageNumber"/>
      </w:rPr>
      <w:instrText xml:space="preserve"> PAGE </w:instrText>
    </w:r>
    <w:r w:rsidR="0063509E">
      <w:rPr>
        <w:rStyle w:val="PageNumber"/>
      </w:rPr>
      <w:fldChar w:fldCharType="separate"/>
    </w:r>
    <w:r w:rsidR="0035348B">
      <w:rPr>
        <w:rStyle w:val="PageNumber"/>
        <w:noProof/>
      </w:rPr>
      <w:t>9</w:t>
    </w:r>
    <w:r w:rsidR="0063509E">
      <w:rPr>
        <w:rStyle w:val="PageNumber"/>
      </w:rPr>
      <w:fldChar w:fldCharType="end"/>
    </w:r>
    <w:r>
      <w:rPr>
        <w:rStyle w:val="PageNumber"/>
      </w:rPr>
      <w:t xml:space="preserve"> -</w:t>
    </w:r>
  </w:p>
  <w:p w:rsidR="006B730B" w:rsidRDefault="006B730B"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0B" w:rsidRDefault="006B730B">
      <w:r>
        <w:separator/>
      </w:r>
    </w:p>
  </w:footnote>
  <w:footnote w:type="continuationSeparator" w:id="0">
    <w:p w:rsidR="006B730B" w:rsidRDefault="006B7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0B" w:rsidRDefault="006B730B"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8"/>
  </w:num>
  <w:num w:numId="4">
    <w:abstractNumId w:val="2"/>
  </w:num>
  <w:num w:numId="5">
    <w:abstractNumId w:val="6"/>
  </w:num>
  <w:num w:numId="6">
    <w:abstractNumId w:val="10"/>
  </w:num>
  <w:num w:numId="7">
    <w:abstractNumId w:val="1"/>
  </w:num>
  <w:num w:numId="8">
    <w:abstractNumId w:val="29"/>
  </w:num>
  <w:num w:numId="9">
    <w:abstractNumId w:val="27"/>
  </w:num>
  <w:num w:numId="10">
    <w:abstractNumId w:val="15"/>
  </w:num>
  <w:num w:numId="11">
    <w:abstractNumId w:val="23"/>
  </w:num>
  <w:num w:numId="12">
    <w:abstractNumId w:val="25"/>
  </w:num>
  <w:num w:numId="13">
    <w:abstractNumId w:val="14"/>
  </w:num>
  <w:num w:numId="14">
    <w:abstractNumId w:val="26"/>
  </w:num>
  <w:num w:numId="15">
    <w:abstractNumId w:val="5"/>
  </w:num>
  <w:num w:numId="16">
    <w:abstractNumId w:val="22"/>
  </w:num>
  <w:num w:numId="17">
    <w:abstractNumId w:val="17"/>
  </w:num>
  <w:num w:numId="18">
    <w:abstractNumId w:val="30"/>
  </w:num>
  <w:num w:numId="19">
    <w:abstractNumId w:val="19"/>
  </w:num>
  <w:num w:numId="20">
    <w:abstractNumId w:val="9"/>
  </w:num>
  <w:num w:numId="21">
    <w:abstractNumId w:val="31"/>
  </w:num>
  <w:num w:numId="22">
    <w:abstractNumId w:val="0"/>
  </w:num>
  <w:num w:numId="23">
    <w:abstractNumId w:val="4"/>
  </w:num>
  <w:num w:numId="24">
    <w:abstractNumId w:val="12"/>
  </w:num>
  <w:num w:numId="25">
    <w:abstractNumId w:val="28"/>
  </w:num>
  <w:num w:numId="26">
    <w:abstractNumId w:val="3"/>
  </w:num>
  <w:num w:numId="27">
    <w:abstractNumId w:val="7"/>
  </w:num>
  <w:num w:numId="28">
    <w:abstractNumId w:val="11"/>
  </w:num>
  <w:num w:numId="29">
    <w:abstractNumId w:val="13"/>
  </w:num>
  <w:num w:numId="30">
    <w:abstractNumId w:val="32"/>
  </w:num>
  <w:num w:numId="31">
    <w:abstractNumId w:val="20"/>
  </w:num>
  <w:num w:numId="32">
    <w:abstractNumId w:val="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77AA"/>
    <w:rsid w:val="00010E9A"/>
    <w:rsid w:val="000117EC"/>
    <w:rsid w:val="00014C89"/>
    <w:rsid w:val="000164AF"/>
    <w:rsid w:val="00021C45"/>
    <w:rsid w:val="000234F5"/>
    <w:rsid w:val="00025FB6"/>
    <w:rsid w:val="00027202"/>
    <w:rsid w:val="000326DB"/>
    <w:rsid w:val="0003277F"/>
    <w:rsid w:val="00036143"/>
    <w:rsid w:val="0004540B"/>
    <w:rsid w:val="00045D51"/>
    <w:rsid w:val="00050348"/>
    <w:rsid w:val="00050F55"/>
    <w:rsid w:val="000527A8"/>
    <w:rsid w:val="000548B6"/>
    <w:rsid w:val="00054962"/>
    <w:rsid w:val="00057063"/>
    <w:rsid w:val="00061AAC"/>
    <w:rsid w:val="00061E8C"/>
    <w:rsid w:val="0006397F"/>
    <w:rsid w:val="00065BEA"/>
    <w:rsid w:val="00066D3B"/>
    <w:rsid w:val="0007175B"/>
    <w:rsid w:val="00072E30"/>
    <w:rsid w:val="000731C9"/>
    <w:rsid w:val="00074103"/>
    <w:rsid w:val="000743F2"/>
    <w:rsid w:val="000760D3"/>
    <w:rsid w:val="00076F8B"/>
    <w:rsid w:val="000777CE"/>
    <w:rsid w:val="0008306D"/>
    <w:rsid w:val="0009270E"/>
    <w:rsid w:val="00092E40"/>
    <w:rsid w:val="00096223"/>
    <w:rsid w:val="00096E21"/>
    <w:rsid w:val="000A0DBD"/>
    <w:rsid w:val="000A10E2"/>
    <w:rsid w:val="000A65F9"/>
    <w:rsid w:val="000B03CC"/>
    <w:rsid w:val="000B0782"/>
    <w:rsid w:val="000B213D"/>
    <w:rsid w:val="000B2405"/>
    <w:rsid w:val="000B25E2"/>
    <w:rsid w:val="000B3692"/>
    <w:rsid w:val="000B699C"/>
    <w:rsid w:val="000C45ED"/>
    <w:rsid w:val="000C5BA7"/>
    <w:rsid w:val="000C5CD7"/>
    <w:rsid w:val="000C6940"/>
    <w:rsid w:val="000C6C4C"/>
    <w:rsid w:val="000D0F50"/>
    <w:rsid w:val="000D4FBE"/>
    <w:rsid w:val="000D61A5"/>
    <w:rsid w:val="000D61D1"/>
    <w:rsid w:val="000D631F"/>
    <w:rsid w:val="000D73AC"/>
    <w:rsid w:val="000E162F"/>
    <w:rsid w:val="000E4A2C"/>
    <w:rsid w:val="000E4B5D"/>
    <w:rsid w:val="000E563D"/>
    <w:rsid w:val="000E5A61"/>
    <w:rsid w:val="000F32AC"/>
    <w:rsid w:val="000F66D5"/>
    <w:rsid w:val="000F7C91"/>
    <w:rsid w:val="00100405"/>
    <w:rsid w:val="0010228C"/>
    <w:rsid w:val="00103679"/>
    <w:rsid w:val="00107D3E"/>
    <w:rsid w:val="00111215"/>
    <w:rsid w:val="001119AA"/>
    <w:rsid w:val="00111BDE"/>
    <w:rsid w:val="001128EC"/>
    <w:rsid w:val="00112FD7"/>
    <w:rsid w:val="00114CCC"/>
    <w:rsid w:val="00117330"/>
    <w:rsid w:val="001218B9"/>
    <w:rsid w:val="001222AC"/>
    <w:rsid w:val="0012247F"/>
    <w:rsid w:val="00124AEE"/>
    <w:rsid w:val="00124E6B"/>
    <w:rsid w:val="001256E1"/>
    <w:rsid w:val="00125BF8"/>
    <w:rsid w:val="0012791F"/>
    <w:rsid w:val="00130BFE"/>
    <w:rsid w:val="00131F3F"/>
    <w:rsid w:val="001328C7"/>
    <w:rsid w:val="00134AA0"/>
    <w:rsid w:val="00140573"/>
    <w:rsid w:val="00141AD1"/>
    <w:rsid w:val="00147C13"/>
    <w:rsid w:val="00150107"/>
    <w:rsid w:val="0015313F"/>
    <w:rsid w:val="00153FEE"/>
    <w:rsid w:val="00154F2E"/>
    <w:rsid w:val="0015508C"/>
    <w:rsid w:val="00156D67"/>
    <w:rsid w:val="00157E98"/>
    <w:rsid w:val="00161468"/>
    <w:rsid w:val="001621BE"/>
    <w:rsid w:val="00166469"/>
    <w:rsid w:val="00171D86"/>
    <w:rsid w:val="00171F6F"/>
    <w:rsid w:val="00172176"/>
    <w:rsid w:val="00173270"/>
    <w:rsid w:val="00173E20"/>
    <w:rsid w:val="00174EA7"/>
    <w:rsid w:val="0017653F"/>
    <w:rsid w:val="00177952"/>
    <w:rsid w:val="001829E9"/>
    <w:rsid w:val="00183515"/>
    <w:rsid w:val="001847A1"/>
    <w:rsid w:val="00185661"/>
    <w:rsid w:val="00185C40"/>
    <w:rsid w:val="00185C55"/>
    <w:rsid w:val="0018742D"/>
    <w:rsid w:val="00187FC2"/>
    <w:rsid w:val="0019081D"/>
    <w:rsid w:val="00191E75"/>
    <w:rsid w:val="00192D9E"/>
    <w:rsid w:val="00193987"/>
    <w:rsid w:val="00195682"/>
    <w:rsid w:val="00197A35"/>
    <w:rsid w:val="001A29D8"/>
    <w:rsid w:val="001A2A62"/>
    <w:rsid w:val="001A3F66"/>
    <w:rsid w:val="001A4736"/>
    <w:rsid w:val="001A572E"/>
    <w:rsid w:val="001B06C5"/>
    <w:rsid w:val="001B0892"/>
    <w:rsid w:val="001B583D"/>
    <w:rsid w:val="001B696F"/>
    <w:rsid w:val="001B78D1"/>
    <w:rsid w:val="001C37C1"/>
    <w:rsid w:val="001C4311"/>
    <w:rsid w:val="001C6720"/>
    <w:rsid w:val="001D1485"/>
    <w:rsid w:val="001D26BD"/>
    <w:rsid w:val="001D2D45"/>
    <w:rsid w:val="001D2DA2"/>
    <w:rsid w:val="001D3A3A"/>
    <w:rsid w:val="001D3AD2"/>
    <w:rsid w:val="001D4A32"/>
    <w:rsid w:val="001E0F5B"/>
    <w:rsid w:val="001E1EC6"/>
    <w:rsid w:val="001E4B96"/>
    <w:rsid w:val="001F045F"/>
    <w:rsid w:val="001F301B"/>
    <w:rsid w:val="001F64FD"/>
    <w:rsid w:val="001F76D3"/>
    <w:rsid w:val="00201474"/>
    <w:rsid w:val="00201653"/>
    <w:rsid w:val="002034C6"/>
    <w:rsid w:val="00205817"/>
    <w:rsid w:val="00207287"/>
    <w:rsid w:val="00211067"/>
    <w:rsid w:val="002115EA"/>
    <w:rsid w:val="00211A96"/>
    <w:rsid w:val="00213A6D"/>
    <w:rsid w:val="00213E39"/>
    <w:rsid w:val="002143ED"/>
    <w:rsid w:val="00214A31"/>
    <w:rsid w:val="0022082C"/>
    <w:rsid w:val="00220DA8"/>
    <w:rsid w:val="002246C4"/>
    <w:rsid w:val="00227082"/>
    <w:rsid w:val="00233C9A"/>
    <w:rsid w:val="0023402B"/>
    <w:rsid w:val="00234DA8"/>
    <w:rsid w:val="00235D48"/>
    <w:rsid w:val="0023626E"/>
    <w:rsid w:val="0024076E"/>
    <w:rsid w:val="00240AED"/>
    <w:rsid w:val="00242C9D"/>
    <w:rsid w:val="00247688"/>
    <w:rsid w:val="00255946"/>
    <w:rsid w:val="00260C97"/>
    <w:rsid w:val="002627DC"/>
    <w:rsid w:val="002630C1"/>
    <w:rsid w:val="00263B93"/>
    <w:rsid w:val="00263F6A"/>
    <w:rsid w:val="00264BFB"/>
    <w:rsid w:val="00265C18"/>
    <w:rsid w:val="002705FC"/>
    <w:rsid w:val="002739EA"/>
    <w:rsid w:val="00276AB8"/>
    <w:rsid w:val="00277013"/>
    <w:rsid w:val="002773D8"/>
    <w:rsid w:val="0028180A"/>
    <w:rsid w:val="0028401A"/>
    <w:rsid w:val="0029035B"/>
    <w:rsid w:val="00290E98"/>
    <w:rsid w:val="0029439A"/>
    <w:rsid w:val="00296531"/>
    <w:rsid w:val="002A0133"/>
    <w:rsid w:val="002A1EAF"/>
    <w:rsid w:val="002A239D"/>
    <w:rsid w:val="002A34F1"/>
    <w:rsid w:val="002A37F2"/>
    <w:rsid w:val="002A61EE"/>
    <w:rsid w:val="002B0B7C"/>
    <w:rsid w:val="002B29AD"/>
    <w:rsid w:val="002B3DC5"/>
    <w:rsid w:val="002B405B"/>
    <w:rsid w:val="002B4A90"/>
    <w:rsid w:val="002C0BE3"/>
    <w:rsid w:val="002C1349"/>
    <w:rsid w:val="002C1A51"/>
    <w:rsid w:val="002C492D"/>
    <w:rsid w:val="002D4B18"/>
    <w:rsid w:val="002D4EC9"/>
    <w:rsid w:val="002D5889"/>
    <w:rsid w:val="002D68A0"/>
    <w:rsid w:val="002E05BA"/>
    <w:rsid w:val="002E10E3"/>
    <w:rsid w:val="002E5052"/>
    <w:rsid w:val="002E6A28"/>
    <w:rsid w:val="002F04BC"/>
    <w:rsid w:val="0030165D"/>
    <w:rsid w:val="003025E5"/>
    <w:rsid w:val="003040AE"/>
    <w:rsid w:val="003044D1"/>
    <w:rsid w:val="00304FF2"/>
    <w:rsid w:val="00305BEE"/>
    <w:rsid w:val="00306966"/>
    <w:rsid w:val="00310B3E"/>
    <w:rsid w:val="00312020"/>
    <w:rsid w:val="00314186"/>
    <w:rsid w:val="0031436D"/>
    <w:rsid w:val="00314898"/>
    <w:rsid w:val="00314BC0"/>
    <w:rsid w:val="0031580B"/>
    <w:rsid w:val="003158EE"/>
    <w:rsid w:val="00315A45"/>
    <w:rsid w:val="00317863"/>
    <w:rsid w:val="00321985"/>
    <w:rsid w:val="00326351"/>
    <w:rsid w:val="00330818"/>
    <w:rsid w:val="00334A22"/>
    <w:rsid w:val="00334E23"/>
    <w:rsid w:val="00343A50"/>
    <w:rsid w:val="00343E36"/>
    <w:rsid w:val="003440F1"/>
    <w:rsid w:val="00346D22"/>
    <w:rsid w:val="00350CA9"/>
    <w:rsid w:val="00351661"/>
    <w:rsid w:val="00352615"/>
    <w:rsid w:val="0035348B"/>
    <w:rsid w:val="0035762B"/>
    <w:rsid w:val="00371D76"/>
    <w:rsid w:val="00372768"/>
    <w:rsid w:val="003758A0"/>
    <w:rsid w:val="00377281"/>
    <w:rsid w:val="00377AA9"/>
    <w:rsid w:val="0038014B"/>
    <w:rsid w:val="0038131A"/>
    <w:rsid w:val="00385414"/>
    <w:rsid w:val="003976FF"/>
    <w:rsid w:val="00397A1D"/>
    <w:rsid w:val="003A0CFB"/>
    <w:rsid w:val="003A1762"/>
    <w:rsid w:val="003A19ED"/>
    <w:rsid w:val="003A292B"/>
    <w:rsid w:val="003A2BD5"/>
    <w:rsid w:val="003A38F5"/>
    <w:rsid w:val="003A4279"/>
    <w:rsid w:val="003B0556"/>
    <w:rsid w:val="003B1463"/>
    <w:rsid w:val="003B6135"/>
    <w:rsid w:val="003B651B"/>
    <w:rsid w:val="003C4B54"/>
    <w:rsid w:val="003C6593"/>
    <w:rsid w:val="003D19CE"/>
    <w:rsid w:val="003D4680"/>
    <w:rsid w:val="003D5B9A"/>
    <w:rsid w:val="003E08CD"/>
    <w:rsid w:val="003E0E2C"/>
    <w:rsid w:val="003E1BD2"/>
    <w:rsid w:val="003E5088"/>
    <w:rsid w:val="003E57D1"/>
    <w:rsid w:val="003E6781"/>
    <w:rsid w:val="003F1A18"/>
    <w:rsid w:val="003F4A41"/>
    <w:rsid w:val="003F50F6"/>
    <w:rsid w:val="003F5E43"/>
    <w:rsid w:val="003F73B8"/>
    <w:rsid w:val="0040202E"/>
    <w:rsid w:val="004023B4"/>
    <w:rsid w:val="00402D4F"/>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DD4"/>
    <w:rsid w:val="00437610"/>
    <w:rsid w:val="004401DA"/>
    <w:rsid w:val="004407A3"/>
    <w:rsid w:val="0044162B"/>
    <w:rsid w:val="0044258D"/>
    <w:rsid w:val="004433BD"/>
    <w:rsid w:val="0044384C"/>
    <w:rsid w:val="00443AFE"/>
    <w:rsid w:val="0044448C"/>
    <w:rsid w:val="00447A5D"/>
    <w:rsid w:val="0045033C"/>
    <w:rsid w:val="00453317"/>
    <w:rsid w:val="00453DD5"/>
    <w:rsid w:val="004649C4"/>
    <w:rsid w:val="00464F9A"/>
    <w:rsid w:val="00465D4D"/>
    <w:rsid w:val="0047316F"/>
    <w:rsid w:val="00476976"/>
    <w:rsid w:val="00476FB5"/>
    <w:rsid w:val="00477558"/>
    <w:rsid w:val="004819E9"/>
    <w:rsid w:val="00481BC9"/>
    <w:rsid w:val="00486EF1"/>
    <w:rsid w:val="00491307"/>
    <w:rsid w:val="0049148A"/>
    <w:rsid w:val="00493E0F"/>
    <w:rsid w:val="004959F5"/>
    <w:rsid w:val="00496E26"/>
    <w:rsid w:val="00497997"/>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6E52"/>
    <w:rsid w:val="004C70C5"/>
    <w:rsid w:val="004D208D"/>
    <w:rsid w:val="004D2B27"/>
    <w:rsid w:val="004D5886"/>
    <w:rsid w:val="004D6EC7"/>
    <w:rsid w:val="004D7B78"/>
    <w:rsid w:val="004E1872"/>
    <w:rsid w:val="004E3075"/>
    <w:rsid w:val="004E4ED3"/>
    <w:rsid w:val="004E4F94"/>
    <w:rsid w:val="004E6C70"/>
    <w:rsid w:val="004E7894"/>
    <w:rsid w:val="004F2CBB"/>
    <w:rsid w:val="004F7899"/>
    <w:rsid w:val="00500FC0"/>
    <w:rsid w:val="00501969"/>
    <w:rsid w:val="00501A11"/>
    <w:rsid w:val="00502AF0"/>
    <w:rsid w:val="00504132"/>
    <w:rsid w:val="0050728C"/>
    <w:rsid w:val="00510961"/>
    <w:rsid w:val="005116B1"/>
    <w:rsid w:val="00511D65"/>
    <w:rsid w:val="00516E47"/>
    <w:rsid w:val="00517C4C"/>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6D51"/>
    <w:rsid w:val="0055014A"/>
    <w:rsid w:val="00550D01"/>
    <w:rsid w:val="00552078"/>
    <w:rsid w:val="00553185"/>
    <w:rsid w:val="00560360"/>
    <w:rsid w:val="00560770"/>
    <w:rsid w:val="00563632"/>
    <w:rsid w:val="00565563"/>
    <w:rsid w:val="00566B95"/>
    <w:rsid w:val="00567740"/>
    <w:rsid w:val="00571A97"/>
    <w:rsid w:val="00574707"/>
    <w:rsid w:val="00576A34"/>
    <w:rsid w:val="0057703D"/>
    <w:rsid w:val="00585653"/>
    <w:rsid w:val="00585D8F"/>
    <w:rsid w:val="00585FE6"/>
    <w:rsid w:val="00591039"/>
    <w:rsid w:val="0059118A"/>
    <w:rsid w:val="005919E3"/>
    <w:rsid w:val="00591BA9"/>
    <w:rsid w:val="00593A0D"/>
    <w:rsid w:val="00594A0E"/>
    <w:rsid w:val="0059598F"/>
    <w:rsid w:val="005963F7"/>
    <w:rsid w:val="005A0B43"/>
    <w:rsid w:val="005A129E"/>
    <w:rsid w:val="005A12FF"/>
    <w:rsid w:val="005A16ED"/>
    <w:rsid w:val="005A1782"/>
    <w:rsid w:val="005A5D9C"/>
    <w:rsid w:val="005A6459"/>
    <w:rsid w:val="005B37DB"/>
    <w:rsid w:val="005B5FA4"/>
    <w:rsid w:val="005B77E2"/>
    <w:rsid w:val="005B784D"/>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592A"/>
    <w:rsid w:val="005E720B"/>
    <w:rsid w:val="005F0046"/>
    <w:rsid w:val="005F0EC1"/>
    <w:rsid w:val="005F1211"/>
    <w:rsid w:val="005F4297"/>
    <w:rsid w:val="00604CE4"/>
    <w:rsid w:val="00606086"/>
    <w:rsid w:val="006136E5"/>
    <w:rsid w:val="006140E0"/>
    <w:rsid w:val="006162C0"/>
    <w:rsid w:val="0061686A"/>
    <w:rsid w:val="00617117"/>
    <w:rsid w:val="006263DA"/>
    <w:rsid w:val="00630644"/>
    <w:rsid w:val="00631C68"/>
    <w:rsid w:val="00631CA8"/>
    <w:rsid w:val="00633F7E"/>
    <w:rsid w:val="0063509E"/>
    <w:rsid w:val="006359F0"/>
    <w:rsid w:val="006362DF"/>
    <w:rsid w:val="00641886"/>
    <w:rsid w:val="00643132"/>
    <w:rsid w:val="00643287"/>
    <w:rsid w:val="00643873"/>
    <w:rsid w:val="0064417F"/>
    <w:rsid w:val="00644C02"/>
    <w:rsid w:val="006453BF"/>
    <w:rsid w:val="00654528"/>
    <w:rsid w:val="006578CE"/>
    <w:rsid w:val="00657F65"/>
    <w:rsid w:val="006634B2"/>
    <w:rsid w:val="006646FF"/>
    <w:rsid w:val="0066568E"/>
    <w:rsid w:val="006704BE"/>
    <w:rsid w:val="006712C4"/>
    <w:rsid w:val="00671F8C"/>
    <w:rsid w:val="006764E3"/>
    <w:rsid w:val="00684E4E"/>
    <w:rsid w:val="00684F51"/>
    <w:rsid w:val="00685806"/>
    <w:rsid w:val="0068599A"/>
    <w:rsid w:val="006905F8"/>
    <w:rsid w:val="00690DBF"/>
    <w:rsid w:val="00691613"/>
    <w:rsid w:val="00692882"/>
    <w:rsid w:val="00696652"/>
    <w:rsid w:val="006A4C6F"/>
    <w:rsid w:val="006A70B0"/>
    <w:rsid w:val="006A72CD"/>
    <w:rsid w:val="006B0716"/>
    <w:rsid w:val="006B109F"/>
    <w:rsid w:val="006B730B"/>
    <w:rsid w:val="006B7677"/>
    <w:rsid w:val="006C21C5"/>
    <w:rsid w:val="006C24A5"/>
    <w:rsid w:val="006C31A8"/>
    <w:rsid w:val="006D343E"/>
    <w:rsid w:val="006D3684"/>
    <w:rsid w:val="006D41B8"/>
    <w:rsid w:val="006D6538"/>
    <w:rsid w:val="006D6A96"/>
    <w:rsid w:val="006E09A7"/>
    <w:rsid w:val="006E308A"/>
    <w:rsid w:val="006E5F8E"/>
    <w:rsid w:val="006E7763"/>
    <w:rsid w:val="006F39E0"/>
    <w:rsid w:val="006F4A72"/>
    <w:rsid w:val="00702EA2"/>
    <w:rsid w:val="00704822"/>
    <w:rsid w:val="00704A3F"/>
    <w:rsid w:val="00705DAB"/>
    <w:rsid w:val="00706C03"/>
    <w:rsid w:val="00710336"/>
    <w:rsid w:val="00712E48"/>
    <w:rsid w:val="007209A6"/>
    <w:rsid w:val="007216C2"/>
    <w:rsid w:val="007250ED"/>
    <w:rsid w:val="007263F6"/>
    <w:rsid w:val="007308C1"/>
    <w:rsid w:val="00732CD8"/>
    <w:rsid w:val="0073418E"/>
    <w:rsid w:val="007341C2"/>
    <w:rsid w:val="00737F5F"/>
    <w:rsid w:val="00737F67"/>
    <w:rsid w:val="007428B2"/>
    <w:rsid w:val="00744286"/>
    <w:rsid w:val="007455E6"/>
    <w:rsid w:val="00745968"/>
    <w:rsid w:val="0074653C"/>
    <w:rsid w:val="00747D96"/>
    <w:rsid w:val="0075188A"/>
    <w:rsid w:val="00752063"/>
    <w:rsid w:val="00753E20"/>
    <w:rsid w:val="00754B25"/>
    <w:rsid w:val="007556D5"/>
    <w:rsid w:val="0075582D"/>
    <w:rsid w:val="0075721C"/>
    <w:rsid w:val="007573C3"/>
    <w:rsid w:val="0076017B"/>
    <w:rsid w:val="00761988"/>
    <w:rsid w:val="0076388E"/>
    <w:rsid w:val="007663E1"/>
    <w:rsid w:val="0076677C"/>
    <w:rsid w:val="00771706"/>
    <w:rsid w:val="00772673"/>
    <w:rsid w:val="0077464C"/>
    <w:rsid w:val="00774804"/>
    <w:rsid w:val="00777CFF"/>
    <w:rsid w:val="00781ADC"/>
    <w:rsid w:val="00781B4F"/>
    <w:rsid w:val="0078422A"/>
    <w:rsid w:val="00785151"/>
    <w:rsid w:val="007867DF"/>
    <w:rsid w:val="00786C09"/>
    <w:rsid w:val="00790257"/>
    <w:rsid w:val="00793FBB"/>
    <w:rsid w:val="00794E12"/>
    <w:rsid w:val="007A1C2F"/>
    <w:rsid w:val="007A3484"/>
    <w:rsid w:val="007A6350"/>
    <w:rsid w:val="007A73F7"/>
    <w:rsid w:val="007A7853"/>
    <w:rsid w:val="007A7D44"/>
    <w:rsid w:val="007A7F49"/>
    <w:rsid w:val="007B01F8"/>
    <w:rsid w:val="007B2B5E"/>
    <w:rsid w:val="007B318D"/>
    <w:rsid w:val="007B41F1"/>
    <w:rsid w:val="007B6CA9"/>
    <w:rsid w:val="007C0071"/>
    <w:rsid w:val="007C230E"/>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4A2F"/>
    <w:rsid w:val="007E55CC"/>
    <w:rsid w:val="007E5A4B"/>
    <w:rsid w:val="007F0F72"/>
    <w:rsid w:val="007F107E"/>
    <w:rsid w:val="007F2F8A"/>
    <w:rsid w:val="007F50A6"/>
    <w:rsid w:val="00802800"/>
    <w:rsid w:val="00803F5C"/>
    <w:rsid w:val="00804525"/>
    <w:rsid w:val="0080549F"/>
    <w:rsid w:val="00806200"/>
    <w:rsid w:val="00810161"/>
    <w:rsid w:val="008120AF"/>
    <w:rsid w:val="00815349"/>
    <w:rsid w:val="00815620"/>
    <w:rsid w:val="00817FA3"/>
    <w:rsid w:val="0082380C"/>
    <w:rsid w:val="00823E14"/>
    <w:rsid w:val="00824DB9"/>
    <w:rsid w:val="0082676E"/>
    <w:rsid w:val="00831184"/>
    <w:rsid w:val="008373FD"/>
    <w:rsid w:val="00840219"/>
    <w:rsid w:val="0084021D"/>
    <w:rsid w:val="00840F9D"/>
    <w:rsid w:val="008418F7"/>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4BD4"/>
    <w:rsid w:val="008725AF"/>
    <w:rsid w:val="008739BE"/>
    <w:rsid w:val="00874F14"/>
    <w:rsid w:val="00875437"/>
    <w:rsid w:val="00875D40"/>
    <w:rsid w:val="0087660C"/>
    <w:rsid w:val="00877F38"/>
    <w:rsid w:val="00880B4F"/>
    <w:rsid w:val="008821DD"/>
    <w:rsid w:val="00882248"/>
    <w:rsid w:val="00884DDC"/>
    <w:rsid w:val="00887B44"/>
    <w:rsid w:val="00890474"/>
    <w:rsid w:val="008959E8"/>
    <w:rsid w:val="008970CC"/>
    <w:rsid w:val="00897977"/>
    <w:rsid w:val="008A06ED"/>
    <w:rsid w:val="008A1F69"/>
    <w:rsid w:val="008A781C"/>
    <w:rsid w:val="008A7B33"/>
    <w:rsid w:val="008B12F8"/>
    <w:rsid w:val="008B1F5F"/>
    <w:rsid w:val="008B2A4E"/>
    <w:rsid w:val="008B33E6"/>
    <w:rsid w:val="008B38A6"/>
    <w:rsid w:val="008B3F91"/>
    <w:rsid w:val="008B5A26"/>
    <w:rsid w:val="008B6C04"/>
    <w:rsid w:val="008B76A8"/>
    <w:rsid w:val="008C0C8C"/>
    <w:rsid w:val="008C1258"/>
    <w:rsid w:val="008C575B"/>
    <w:rsid w:val="008C677F"/>
    <w:rsid w:val="008E1300"/>
    <w:rsid w:val="008E15A2"/>
    <w:rsid w:val="008E641F"/>
    <w:rsid w:val="008F5276"/>
    <w:rsid w:val="008F5EBA"/>
    <w:rsid w:val="008F6A08"/>
    <w:rsid w:val="008F709C"/>
    <w:rsid w:val="00901CCE"/>
    <w:rsid w:val="00902621"/>
    <w:rsid w:val="00902B7C"/>
    <w:rsid w:val="00902D5C"/>
    <w:rsid w:val="00904212"/>
    <w:rsid w:val="00904217"/>
    <w:rsid w:val="0090620E"/>
    <w:rsid w:val="00907432"/>
    <w:rsid w:val="00907AB6"/>
    <w:rsid w:val="00910723"/>
    <w:rsid w:val="009111B3"/>
    <w:rsid w:val="00920785"/>
    <w:rsid w:val="00922ECD"/>
    <w:rsid w:val="00923229"/>
    <w:rsid w:val="00923C40"/>
    <w:rsid w:val="0092404C"/>
    <w:rsid w:val="00925E69"/>
    <w:rsid w:val="009311B5"/>
    <w:rsid w:val="0093173A"/>
    <w:rsid w:val="0093179E"/>
    <w:rsid w:val="00934574"/>
    <w:rsid w:val="00934651"/>
    <w:rsid w:val="00935D87"/>
    <w:rsid w:val="00940724"/>
    <w:rsid w:val="00942B03"/>
    <w:rsid w:val="00943D28"/>
    <w:rsid w:val="00945838"/>
    <w:rsid w:val="009474B9"/>
    <w:rsid w:val="00953299"/>
    <w:rsid w:val="00953D4E"/>
    <w:rsid w:val="009570B2"/>
    <w:rsid w:val="00961CC5"/>
    <w:rsid w:val="0096217B"/>
    <w:rsid w:val="0096519E"/>
    <w:rsid w:val="009660C2"/>
    <w:rsid w:val="0096760C"/>
    <w:rsid w:val="00974012"/>
    <w:rsid w:val="009759F7"/>
    <w:rsid w:val="00977EE5"/>
    <w:rsid w:val="0098053B"/>
    <w:rsid w:val="00983B6F"/>
    <w:rsid w:val="00984D57"/>
    <w:rsid w:val="009860D7"/>
    <w:rsid w:val="00986E4C"/>
    <w:rsid w:val="00990D89"/>
    <w:rsid w:val="00991757"/>
    <w:rsid w:val="00991B93"/>
    <w:rsid w:val="00992F75"/>
    <w:rsid w:val="00993859"/>
    <w:rsid w:val="00993A69"/>
    <w:rsid w:val="00995702"/>
    <w:rsid w:val="00995B77"/>
    <w:rsid w:val="00996506"/>
    <w:rsid w:val="009967FD"/>
    <w:rsid w:val="00997F86"/>
    <w:rsid w:val="009A02C9"/>
    <w:rsid w:val="009A0D4C"/>
    <w:rsid w:val="009A5E42"/>
    <w:rsid w:val="009A7DB0"/>
    <w:rsid w:val="009B1331"/>
    <w:rsid w:val="009C2595"/>
    <w:rsid w:val="009C275D"/>
    <w:rsid w:val="009C384C"/>
    <w:rsid w:val="009C48CA"/>
    <w:rsid w:val="009C50D8"/>
    <w:rsid w:val="009C74E7"/>
    <w:rsid w:val="009C79BD"/>
    <w:rsid w:val="009D214A"/>
    <w:rsid w:val="009D227B"/>
    <w:rsid w:val="009D360D"/>
    <w:rsid w:val="009D48E3"/>
    <w:rsid w:val="009D53D8"/>
    <w:rsid w:val="009D5EEF"/>
    <w:rsid w:val="009D71CD"/>
    <w:rsid w:val="009D7795"/>
    <w:rsid w:val="009E061B"/>
    <w:rsid w:val="009E2C10"/>
    <w:rsid w:val="009E5957"/>
    <w:rsid w:val="009E7DB8"/>
    <w:rsid w:val="009F1FBB"/>
    <w:rsid w:val="009F2EFF"/>
    <w:rsid w:val="009F321F"/>
    <w:rsid w:val="009F4514"/>
    <w:rsid w:val="009F57F6"/>
    <w:rsid w:val="009F72CC"/>
    <w:rsid w:val="009F79A4"/>
    <w:rsid w:val="009F7F35"/>
    <w:rsid w:val="00A00C66"/>
    <w:rsid w:val="00A01F8E"/>
    <w:rsid w:val="00A0398A"/>
    <w:rsid w:val="00A03AA2"/>
    <w:rsid w:val="00A03F7B"/>
    <w:rsid w:val="00A05734"/>
    <w:rsid w:val="00A05820"/>
    <w:rsid w:val="00A067C8"/>
    <w:rsid w:val="00A11321"/>
    <w:rsid w:val="00A11E4C"/>
    <w:rsid w:val="00A1395B"/>
    <w:rsid w:val="00A14BF3"/>
    <w:rsid w:val="00A22A6E"/>
    <w:rsid w:val="00A24C58"/>
    <w:rsid w:val="00A27DCF"/>
    <w:rsid w:val="00A3468F"/>
    <w:rsid w:val="00A4211D"/>
    <w:rsid w:val="00A43F13"/>
    <w:rsid w:val="00A44403"/>
    <w:rsid w:val="00A454D5"/>
    <w:rsid w:val="00A456DA"/>
    <w:rsid w:val="00A45CA7"/>
    <w:rsid w:val="00A4788E"/>
    <w:rsid w:val="00A50374"/>
    <w:rsid w:val="00A517E1"/>
    <w:rsid w:val="00A559F9"/>
    <w:rsid w:val="00A55A8F"/>
    <w:rsid w:val="00A563E0"/>
    <w:rsid w:val="00A56E53"/>
    <w:rsid w:val="00A57A19"/>
    <w:rsid w:val="00A60550"/>
    <w:rsid w:val="00A63025"/>
    <w:rsid w:val="00A71D9E"/>
    <w:rsid w:val="00A7402E"/>
    <w:rsid w:val="00A74AC8"/>
    <w:rsid w:val="00A80165"/>
    <w:rsid w:val="00A808C2"/>
    <w:rsid w:val="00A80A2F"/>
    <w:rsid w:val="00A81BAE"/>
    <w:rsid w:val="00A82310"/>
    <w:rsid w:val="00A85E23"/>
    <w:rsid w:val="00A87FDD"/>
    <w:rsid w:val="00A905D4"/>
    <w:rsid w:val="00A90860"/>
    <w:rsid w:val="00A925D1"/>
    <w:rsid w:val="00A9278F"/>
    <w:rsid w:val="00A96996"/>
    <w:rsid w:val="00A9732B"/>
    <w:rsid w:val="00A97D20"/>
    <w:rsid w:val="00AA0594"/>
    <w:rsid w:val="00AA1F99"/>
    <w:rsid w:val="00AA3989"/>
    <w:rsid w:val="00AA3D2F"/>
    <w:rsid w:val="00AA45B2"/>
    <w:rsid w:val="00AA7032"/>
    <w:rsid w:val="00AB1703"/>
    <w:rsid w:val="00AB224D"/>
    <w:rsid w:val="00AB278D"/>
    <w:rsid w:val="00AC1F4D"/>
    <w:rsid w:val="00AC2DB6"/>
    <w:rsid w:val="00AC5295"/>
    <w:rsid w:val="00AC588F"/>
    <w:rsid w:val="00AC6D1E"/>
    <w:rsid w:val="00AD048F"/>
    <w:rsid w:val="00AD08B6"/>
    <w:rsid w:val="00AD1B7E"/>
    <w:rsid w:val="00AD217D"/>
    <w:rsid w:val="00AD338F"/>
    <w:rsid w:val="00AD3546"/>
    <w:rsid w:val="00AD765D"/>
    <w:rsid w:val="00AE00D9"/>
    <w:rsid w:val="00AE0723"/>
    <w:rsid w:val="00AE4F3F"/>
    <w:rsid w:val="00AE52C3"/>
    <w:rsid w:val="00AE59C0"/>
    <w:rsid w:val="00AE5B51"/>
    <w:rsid w:val="00AE6383"/>
    <w:rsid w:val="00AF066F"/>
    <w:rsid w:val="00AF1479"/>
    <w:rsid w:val="00AF5071"/>
    <w:rsid w:val="00AF6E97"/>
    <w:rsid w:val="00B0046B"/>
    <w:rsid w:val="00B004E0"/>
    <w:rsid w:val="00B02B40"/>
    <w:rsid w:val="00B0311C"/>
    <w:rsid w:val="00B03313"/>
    <w:rsid w:val="00B03B2B"/>
    <w:rsid w:val="00B04AD3"/>
    <w:rsid w:val="00B0549D"/>
    <w:rsid w:val="00B066BC"/>
    <w:rsid w:val="00B10826"/>
    <w:rsid w:val="00B10BC1"/>
    <w:rsid w:val="00B1160D"/>
    <w:rsid w:val="00B119A5"/>
    <w:rsid w:val="00B12648"/>
    <w:rsid w:val="00B14042"/>
    <w:rsid w:val="00B14564"/>
    <w:rsid w:val="00B14CD8"/>
    <w:rsid w:val="00B15A4B"/>
    <w:rsid w:val="00B2373F"/>
    <w:rsid w:val="00B2555E"/>
    <w:rsid w:val="00B273A3"/>
    <w:rsid w:val="00B30CF5"/>
    <w:rsid w:val="00B347C9"/>
    <w:rsid w:val="00B351E1"/>
    <w:rsid w:val="00B35216"/>
    <w:rsid w:val="00B4165F"/>
    <w:rsid w:val="00B42FE3"/>
    <w:rsid w:val="00B45F69"/>
    <w:rsid w:val="00B46522"/>
    <w:rsid w:val="00B47CB9"/>
    <w:rsid w:val="00B47D43"/>
    <w:rsid w:val="00B51D37"/>
    <w:rsid w:val="00B53F4A"/>
    <w:rsid w:val="00B54A1F"/>
    <w:rsid w:val="00B60497"/>
    <w:rsid w:val="00B612CF"/>
    <w:rsid w:val="00B6387D"/>
    <w:rsid w:val="00B64D9E"/>
    <w:rsid w:val="00B71024"/>
    <w:rsid w:val="00B7106E"/>
    <w:rsid w:val="00B719CA"/>
    <w:rsid w:val="00B8102D"/>
    <w:rsid w:val="00B81823"/>
    <w:rsid w:val="00B8199C"/>
    <w:rsid w:val="00B81AFC"/>
    <w:rsid w:val="00B81E86"/>
    <w:rsid w:val="00B8315F"/>
    <w:rsid w:val="00B848D7"/>
    <w:rsid w:val="00B85EA4"/>
    <w:rsid w:val="00B92947"/>
    <w:rsid w:val="00B974E0"/>
    <w:rsid w:val="00BA0AD7"/>
    <w:rsid w:val="00BA33C6"/>
    <w:rsid w:val="00BA5E6F"/>
    <w:rsid w:val="00BA5F94"/>
    <w:rsid w:val="00BB0202"/>
    <w:rsid w:val="00BB20D0"/>
    <w:rsid w:val="00BC0444"/>
    <w:rsid w:val="00BC2612"/>
    <w:rsid w:val="00BC3C1A"/>
    <w:rsid w:val="00BC3D4D"/>
    <w:rsid w:val="00BC559A"/>
    <w:rsid w:val="00BD480E"/>
    <w:rsid w:val="00BD49A7"/>
    <w:rsid w:val="00BE026C"/>
    <w:rsid w:val="00BE11F7"/>
    <w:rsid w:val="00BE1D7D"/>
    <w:rsid w:val="00BE2DBA"/>
    <w:rsid w:val="00BE41B4"/>
    <w:rsid w:val="00BE7F37"/>
    <w:rsid w:val="00BF1CA3"/>
    <w:rsid w:val="00BF1DD8"/>
    <w:rsid w:val="00BF21F9"/>
    <w:rsid w:val="00BF4300"/>
    <w:rsid w:val="00BF4442"/>
    <w:rsid w:val="00BF4814"/>
    <w:rsid w:val="00BF78BB"/>
    <w:rsid w:val="00C02157"/>
    <w:rsid w:val="00C04C49"/>
    <w:rsid w:val="00C04CE7"/>
    <w:rsid w:val="00C11598"/>
    <w:rsid w:val="00C1533F"/>
    <w:rsid w:val="00C20118"/>
    <w:rsid w:val="00C21D44"/>
    <w:rsid w:val="00C222A1"/>
    <w:rsid w:val="00C24B40"/>
    <w:rsid w:val="00C305CD"/>
    <w:rsid w:val="00C31D3A"/>
    <w:rsid w:val="00C32768"/>
    <w:rsid w:val="00C33917"/>
    <w:rsid w:val="00C3574C"/>
    <w:rsid w:val="00C35DFA"/>
    <w:rsid w:val="00C426E1"/>
    <w:rsid w:val="00C42A3F"/>
    <w:rsid w:val="00C44DF5"/>
    <w:rsid w:val="00C452C3"/>
    <w:rsid w:val="00C47F7B"/>
    <w:rsid w:val="00C53953"/>
    <w:rsid w:val="00C54DD0"/>
    <w:rsid w:val="00C576B2"/>
    <w:rsid w:val="00C57C85"/>
    <w:rsid w:val="00C6147D"/>
    <w:rsid w:val="00C650B2"/>
    <w:rsid w:val="00C65288"/>
    <w:rsid w:val="00C6557E"/>
    <w:rsid w:val="00C65E3C"/>
    <w:rsid w:val="00C72C3A"/>
    <w:rsid w:val="00C742DF"/>
    <w:rsid w:val="00C758EF"/>
    <w:rsid w:val="00C75E87"/>
    <w:rsid w:val="00C76698"/>
    <w:rsid w:val="00C814C7"/>
    <w:rsid w:val="00C8253A"/>
    <w:rsid w:val="00C85AC0"/>
    <w:rsid w:val="00C946E1"/>
    <w:rsid w:val="00C94AAD"/>
    <w:rsid w:val="00C953B6"/>
    <w:rsid w:val="00C95C73"/>
    <w:rsid w:val="00C96619"/>
    <w:rsid w:val="00C97311"/>
    <w:rsid w:val="00C97792"/>
    <w:rsid w:val="00CA1856"/>
    <w:rsid w:val="00CA23B5"/>
    <w:rsid w:val="00CA615A"/>
    <w:rsid w:val="00CA6DA6"/>
    <w:rsid w:val="00CA7AD8"/>
    <w:rsid w:val="00CA7B52"/>
    <w:rsid w:val="00CB025D"/>
    <w:rsid w:val="00CB147D"/>
    <w:rsid w:val="00CB262B"/>
    <w:rsid w:val="00CB27DC"/>
    <w:rsid w:val="00CB3900"/>
    <w:rsid w:val="00CB4243"/>
    <w:rsid w:val="00CC2DB7"/>
    <w:rsid w:val="00CC4206"/>
    <w:rsid w:val="00CC7060"/>
    <w:rsid w:val="00CD1716"/>
    <w:rsid w:val="00CD2145"/>
    <w:rsid w:val="00CD256F"/>
    <w:rsid w:val="00CD7106"/>
    <w:rsid w:val="00CE03BA"/>
    <w:rsid w:val="00CE14DC"/>
    <w:rsid w:val="00CE2A90"/>
    <w:rsid w:val="00CE3FB6"/>
    <w:rsid w:val="00CE4243"/>
    <w:rsid w:val="00CF12E2"/>
    <w:rsid w:val="00CF36B9"/>
    <w:rsid w:val="00CF4361"/>
    <w:rsid w:val="00CF534D"/>
    <w:rsid w:val="00CF5364"/>
    <w:rsid w:val="00CF6884"/>
    <w:rsid w:val="00D026FD"/>
    <w:rsid w:val="00D03449"/>
    <w:rsid w:val="00D04908"/>
    <w:rsid w:val="00D05DE1"/>
    <w:rsid w:val="00D072C8"/>
    <w:rsid w:val="00D07B51"/>
    <w:rsid w:val="00D11620"/>
    <w:rsid w:val="00D11FA3"/>
    <w:rsid w:val="00D128EC"/>
    <w:rsid w:val="00D139D0"/>
    <w:rsid w:val="00D13DBA"/>
    <w:rsid w:val="00D1789A"/>
    <w:rsid w:val="00D21917"/>
    <w:rsid w:val="00D24814"/>
    <w:rsid w:val="00D30B24"/>
    <w:rsid w:val="00D32BFA"/>
    <w:rsid w:val="00D33113"/>
    <w:rsid w:val="00D35404"/>
    <w:rsid w:val="00D37537"/>
    <w:rsid w:val="00D416D7"/>
    <w:rsid w:val="00D41BB9"/>
    <w:rsid w:val="00D42BCE"/>
    <w:rsid w:val="00D46B87"/>
    <w:rsid w:val="00D541F7"/>
    <w:rsid w:val="00D5533E"/>
    <w:rsid w:val="00D622C7"/>
    <w:rsid w:val="00D678B5"/>
    <w:rsid w:val="00D70844"/>
    <w:rsid w:val="00D720BD"/>
    <w:rsid w:val="00D738B8"/>
    <w:rsid w:val="00D73CD3"/>
    <w:rsid w:val="00D76EB1"/>
    <w:rsid w:val="00D81E3C"/>
    <w:rsid w:val="00D849C0"/>
    <w:rsid w:val="00D84FE9"/>
    <w:rsid w:val="00D850B0"/>
    <w:rsid w:val="00D8586E"/>
    <w:rsid w:val="00D86F39"/>
    <w:rsid w:val="00D91C60"/>
    <w:rsid w:val="00D92ACE"/>
    <w:rsid w:val="00D92CA7"/>
    <w:rsid w:val="00D95471"/>
    <w:rsid w:val="00D97B14"/>
    <w:rsid w:val="00DA19D6"/>
    <w:rsid w:val="00DA19DC"/>
    <w:rsid w:val="00DA270C"/>
    <w:rsid w:val="00DA35FA"/>
    <w:rsid w:val="00DA462A"/>
    <w:rsid w:val="00DA7C10"/>
    <w:rsid w:val="00DB08D9"/>
    <w:rsid w:val="00DB1633"/>
    <w:rsid w:val="00DB26D8"/>
    <w:rsid w:val="00DB5D9A"/>
    <w:rsid w:val="00DB5FA2"/>
    <w:rsid w:val="00DB6335"/>
    <w:rsid w:val="00DB757F"/>
    <w:rsid w:val="00DC03B7"/>
    <w:rsid w:val="00DC1174"/>
    <w:rsid w:val="00DC3413"/>
    <w:rsid w:val="00DC5A46"/>
    <w:rsid w:val="00DC73E4"/>
    <w:rsid w:val="00DC79B2"/>
    <w:rsid w:val="00DD1A7F"/>
    <w:rsid w:val="00DD67BE"/>
    <w:rsid w:val="00DE0163"/>
    <w:rsid w:val="00DE0E4A"/>
    <w:rsid w:val="00DE35FA"/>
    <w:rsid w:val="00DE78E8"/>
    <w:rsid w:val="00DE79A2"/>
    <w:rsid w:val="00DF0118"/>
    <w:rsid w:val="00DF4C1D"/>
    <w:rsid w:val="00DF5CE5"/>
    <w:rsid w:val="00DF6202"/>
    <w:rsid w:val="00DF6342"/>
    <w:rsid w:val="00DF6AA4"/>
    <w:rsid w:val="00E002D5"/>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41C7"/>
    <w:rsid w:val="00E26986"/>
    <w:rsid w:val="00E26F4C"/>
    <w:rsid w:val="00E3106B"/>
    <w:rsid w:val="00E318C1"/>
    <w:rsid w:val="00E327B2"/>
    <w:rsid w:val="00E32AA4"/>
    <w:rsid w:val="00E35137"/>
    <w:rsid w:val="00E35E38"/>
    <w:rsid w:val="00E458CD"/>
    <w:rsid w:val="00E45B56"/>
    <w:rsid w:val="00E47B11"/>
    <w:rsid w:val="00E47E27"/>
    <w:rsid w:val="00E548E9"/>
    <w:rsid w:val="00E5540E"/>
    <w:rsid w:val="00E61040"/>
    <w:rsid w:val="00E6280D"/>
    <w:rsid w:val="00E62F1B"/>
    <w:rsid w:val="00E64745"/>
    <w:rsid w:val="00E65157"/>
    <w:rsid w:val="00E65521"/>
    <w:rsid w:val="00E67FA7"/>
    <w:rsid w:val="00E72990"/>
    <w:rsid w:val="00E74E8D"/>
    <w:rsid w:val="00E74F45"/>
    <w:rsid w:val="00E75192"/>
    <w:rsid w:val="00E7670D"/>
    <w:rsid w:val="00E86E3F"/>
    <w:rsid w:val="00E86E76"/>
    <w:rsid w:val="00E92121"/>
    <w:rsid w:val="00E940F2"/>
    <w:rsid w:val="00E95CFC"/>
    <w:rsid w:val="00E97A9F"/>
    <w:rsid w:val="00EA087F"/>
    <w:rsid w:val="00EA2BF8"/>
    <w:rsid w:val="00EA31CB"/>
    <w:rsid w:val="00EA3426"/>
    <w:rsid w:val="00EA4E83"/>
    <w:rsid w:val="00EA6304"/>
    <w:rsid w:val="00EB0A4A"/>
    <w:rsid w:val="00EB221C"/>
    <w:rsid w:val="00EB410E"/>
    <w:rsid w:val="00EC1A6F"/>
    <w:rsid w:val="00EC3AE7"/>
    <w:rsid w:val="00EC4931"/>
    <w:rsid w:val="00EC7F8C"/>
    <w:rsid w:val="00ED00D1"/>
    <w:rsid w:val="00ED045D"/>
    <w:rsid w:val="00ED4396"/>
    <w:rsid w:val="00ED52D0"/>
    <w:rsid w:val="00ED686D"/>
    <w:rsid w:val="00EE0BBD"/>
    <w:rsid w:val="00EE1876"/>
    <w:rsid w:val="00EE3AAB"/>
    <w:rsid w:val="00EE523C"/>
    <w:rsid w:val="00EE5425"/>
    <w:rsid w:val="00EE6367"/>
    <w:rsid w:val="00EE733D"/>
    <w:rsid w:val="00EF0DF6"/>
    <w:rsid w:val="00EF0E37"/>
    <w:rsid w:val="00EF1105"/>
    <w:rsid w:val="00EF181A"/>
    <w:rsid w:val="00EF1F79"/>
    <w:rsid w:val="00EF3B1A"/>
    <w:rsid w:val="00EF4038"/>
    <w:rsid w:val="00EF6EE3"/>
    <w:rsid w:val="00EF779B"/>
    <w:rsid w:val="00F02CF8"/>
    <w:rsid w:val="00F02E45"/>
    <w:rsid w:val="00F039F8"/>
    <w:rsid w:val="00F10378"/>
    <w:rsid w:val="00F12B79"/>
    <w:rsid w:val="00F147F2"/>
    <w:rsid w:val="00F15F6C"/>
    <w:rsid w:val="00F23521"/>
    <w:rsid w:val="00F2798D"/>
    <w:rsid w:val="00F3064C"/>
    <w:rsid w:val="00F36003"/>
    <w:rsid w:val="00F367E4"/>
    <w:rsid w:val="00F40635"/>
    <w:rsid w:val="00F44CBC"/>
    <w:rsid w:val="00F45426"/>
    <w:rsid w:val="00F46593"/>
    <w:rsid w:val="00F520FE"/>
    <w:rsid w:val="00F572EE"/>
    <w:rsid w:val="00F60D5C"/>
    <w:rsid w:val="00F6732F"/>
    <w:rsid w:val="00F70FD7"/>
    <w:rsid w:val="00F71928"/>
    <w:rsid w:val="00F73DD0"/>
    <w:rsid w:val="00F80E75"/>
    <w:rsid w:val="00F825E4"/>
    <w:rsid w:val="00F84D4C"/>
    <w:rsid w:val="00F862BA"/>
    <w:rsid w:val="00F87086"/>
    <w:rsid w:val="00F93D18"/>
    <w:rsid w:val="00FA4AD5"/>
    <w:rsid w:val="00FA6305"/>
    <w:rsid w:val="00FB0A46"/>
    <w:rsid w:val="00FB0DF3"/>
    <w:rsid w:val="00FB10EB"/>
    <w:rsid w:val="00FB3322"/>
    <w:rsid w:val="00FB44DA"/>
    <w:rsid w:val="00FC2016"/>
    <w:rsid w:val="00FC6778"/>
    <w:rsid w:val="00FC77E4"/>
    <w:rsid w:val="00FC7B93"/>
    <w:rsid w:val="00FD07F9"/>
    <w:rsid w:val="00FD41EF"/>
    <w:rsid w:val="00FD6634"/>
    <w:rsid w:val="00FD6973"/>
    <w:rsid w:val="00FE1590"/>
    <w:rsid w:val="00FE2B16"/>
    <w:rsid w:val="00FE3A26"/>
    <w:rsid w:val="00FE4674"/>
    <w:rsid w:val="00FE46D0"/>
    <w:rsid w:val="00FE5688"/>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care.gov/center/councils/nphpphc/draftframework_.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63DA-38DF-4C8C-AFBC-76E95880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3973</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27529</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Macaluso, Renita (CDC/ONDIEH/NCCDPHP)</cp:lastModifiedBy>
  <cp:revision>10</cp:revision>
  <cp:lastPrinted>2011-11-22T21:43:00Z</cp:lastPrinted>
  <dcterms:created xsi:type="dcterms:W3CDTF">2012-04-23T14:15:00Z</dcterms:created>
  <dcterms:modified xsi:type="dcterms:W3CDTF">2012-04-23T17:19:00Z</dcterms:modified>
</cp:coreProperties>
</file>