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38" w:rsidRPr="00610B38" w:rsidRDefault="00610B38">
      <w:pPr>
        <w:rPr>
          <w:rFonts w:asciiTheme="majorHAnsi" w:hAnsiTheme="majorHAnsi"/>
          <w:b/>
        </w:rPr>
      </w:pPr>
      <w:r w:rsidRPr="00610B38">
        <w:rPr>
          <w:rFonts w:asciiTheme="majorHAnsi" w:hAnsiTheme="majorHAnsi"/>
          <w:b/>
        </w:rPr>
        <w:t>Patient Protection and Affordable Care Act</w:t>
      </w:r>
    </w:p>
    <w:p w:rsidR="00D72A4A" w:rsidRPr="00610B38" w:rsidRDefault="00610B38">
      <w:pPr>
        <w:rPr>
          <w:rFonts w:asciiTheme="majorHAnsi" w:hAnsiTheme="majorHAnsi"/>
          <w:b/>
        </w:rPr>
      </w:pPr>
      <w:r w:rsidRPr="00610B38">
        <w:rPr>
          <w:rFonts w:asciiTheme="majorHAnsi" w:hAnsiTheme="majorHAnsi"/>
          <w:b/>
        </w:rPr>
        <w:t>P.L. 111-148</w:t>
      </w:r>
    </w:p>
    <w:p w:rsidR="00610B38" w:rsidRDefault="00610B38"/>
    <w:p w:rsidR="00610B38" w:rsidRDefault="00610B38"/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16"/>
          <w:szCs w:val="16"/>
        </w:rPr>
      </w:pPr>
      <w:r>
        <w:rPr>
          <w:rFonts w:ascii="Cambria-Bold" w:hAnsi="Cambria-Bold" w:cs="Cambria-Bold"/>
          <w:b/>
          <w:bCs/>
          <w:sz w:val="16"/>
          <w:szCs w:val="16"/>
        </w:rPr>
        <w:t>SEC. 4201. COMMUNITY TRANSFORMATION GRANTS.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(a) IN GENERAL.—The Secretary of Health and Human Services (referred to in this section as the ‘‘Secretary’’), acting through the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Director of the Centers for Disease Control and Prevention (referred to in this section as the ‘‘Director’’), shall award competitive grants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to State and local governmental agencies and community‐based organizations for the implementation, evaluation, and dissemination of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evidence‐based community prev</w:t>
      </w:r>
      <w:bookmarkStart w:id="0" w:name="_GoBack"/>
      <w:bookmarkEnd w:id="0"/>
      <w:r>
        <w:rPr>
          <w:rFonts w:ascii="Cambria" w:hAnsi="Cambria" w:cs="Cambria"/>
          <w:sz w:val="16"/>
          <w:szCs w:val="16"/>
        </w:rPr>
        <w:t>entive health activities in order to reduce chronic disease rates, prevent the development of secondary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conditions, address health disparities, and develop a stronger evidence‐base of effective prevention programming, with not less than 20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16"/>
          <w:szCs w:val="16"/>
        </w:rPr>
      </w:pPr>
      <w:r>
        <w:rPr>
          <w:rFonts w:ascii="Calibri-Italic" w:hAnsi="Calibri-Italic" w:cs="Calibri-Italic"/>
          <w:i/>
          <w:iCs/>
          <w:sz w:val="16"/>
          <w:szCs w:val="16"/>
        </w:rPr>
        <w:t>Page 2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percent of such grants being awarded to rural and frontier areas.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(b) ELIGIBILITY.—To be eligible to receive a grant under sub‐ section (a), an entity shall—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(1) be—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(A) a State governmental agency;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(B) a local governmental agency;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(C) a national network of community‐based organizations;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(D) a State or local non‐profit organization; or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(E) an Indian tribe; and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(2) submit to the Director an application at such time, in such a manner, and containing such information as the Director may require,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including a description of the program to be carried out under the grant; and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(3) demonstrate a history or capacity, if funded, to develop relationships necessary to engage key stakeholders from multiple sectors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within and beyond health care and across a community, such as healthy futures corps and health care providers.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(c) USE OF FUNDS.—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(1) IN GENERAL.—An eligible entity shall use amounts received under a grant under this section to carry out programs described in this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subsection.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(2) COMMUNITY TRANSFORMATION PLAN.—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(A) IN GENERAL.—An eligible entity that receives a grant under this section shall submit to the Director (for approval) a detailed plan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that includes the policy, environ‐ mental, programmatic, and as appropriate infrastructure changes needed to promote healthy living and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reduce disparities.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(B) ACTIVITIES.—Activities within the plan may focus on (but not be limited to)—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(i) creating healthier school environments, including increasing healthy food options, physical activity opportunities, promotion of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healthy lifestyle, emotional wellness, and prevention curricula, and activities to prevent chronic diseases;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(ii) creating the infrastructure to support active living and access to nutritious foods in a safe environment;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(iii) developing and promoting programs targeting a variety of age levels to increase access to nutrition, physical activity and smoking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cessation, improve social and emotional wellness, enhance safety in a community, or address any other chronic disease priority area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identified by the grantee;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(iv) assessing and implementing worksite wellness programming and incentives;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(v) working to highlight healthy options at restaurants and other food venues;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(vi) prioritizing strategies to reduce racial and ethnic disparities, including social, economic, and geographic determinants of health; and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(vii) addressing special populations needs, including all age groups and individuals with disabilities, and individuals in urban, rural, and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frontier areas. As revised by section 10403(2)¿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(3) COMMUNITY‐BASED PREVENTION HEALTH ACTIVITIES.—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(A) IN GENERAL.—An eligible entity shall use amounts received under a grant under this section to implement a variety of programs,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policies, and infrastructure improvements to promote healthier lifestyles.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(B) ACTIVITIES.—An eligible entity shall implement activities detailed in the community transformation plan under paragraph (2).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(C) IN‐KIND SUPPORT.—An eligible entity may provide in‐kind resources such as staff, equipment, or office space in carrying out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activities under this section.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(4) EVALUATION.—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(A) IN GENERAL.—An eligible entity shall use amounts provided under a grant under this section to conduct activities to measure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changes in the prevalence of chronic disease risk factors among community members participating in preventive health activities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(B) TYPES OF MEASURES.—In carrying out subparagraph (A), the eligible entity shall, with respect to residents in the community,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measure—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(i) changes in weight;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(ii) changes in proper nutrition;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(iii) changes in physical activity;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(iv) changes in tobacco use prevalence;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(v) changes in emotional well‐being and overall mental health;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(vi) other factors using community‐specific data from the Behavioral Risk Factor Surveillance Survey; and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(vii) other factors as determined by the Secretary.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(C) REPORTING.—An eligible entity shall annually submit to the Director a report containing an evaluation of activities carried out under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the grant.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lastRenderedPageBreak/>
        <w:t>(5) DISSEMINATION.—A grantee under this section shall—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(A) meet at least annually in regional or national meetings to discuss challenges, best practices, and lessons learned with respect to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activities carried out under the grant; and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(B) develop models for the replication of successful programs and activities and the mentoring of other eligible entities.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(d) TRAINING.—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(1) IN GENERAL.—The Director shall develop a program to provide training for eligible entities on effective strategies for the prevention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and control of chronic disease and the link between physical, emotional, and social well‐being.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(2) COMMUNITY TRANSFORMATION PLAN.—The Director shall provide appropriate feedback and technical assistance to grantees to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establish community transformation plans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(3) EVALUATION.—The Director shall provide a literature review and framework for the evaluation of programs conducted as part of the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grant program under this section, in addition to working with academic institutions or other entities with expertise in outcome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evaluation.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(e) PROHIBITION.—A grantee shall not use funds provided under a grant under this section to create video games or to carry out any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other activities that may lead to higher rates of obesity or inactivity.</w:t>
      </w:r>
    </w:p>
    <w:p w:rsidR="00610B38" w:rsidRDefault="00610B38" w:rsidP="00610B3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(f) AUTHORIZATION OF APPROPRIATIONS.—There are authorized to be appropriated to carry out this section, such sums as may</w:t>
      </w:r>
    </w:p>
    <w:p w:rsidR="00610B38" w:rsidRDefault="00610B38" w:rsidP="00610B38">
      <w:r>
        <w:rPr>
          <w:rFonts w:ascii="Cambria" w:hAnsi="Cambria" w:cs="Cambria"/>
          <w:sz w:val="16"/>
          <w:szCs w:val="16"/>
        </w:rPr>
        <w:t>be necessary for each of fiscal year 2010 through 2014.</w:t>
      </w:r>
    </w:p>
    <w:sectPr w:rsidR="00610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38"/>
    <w:rsid w:val="004D6B75"/>
    <w:rsid w:val="00610B38"/>
    <w:rsid w:val="007B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arp5</dc:creator>
  <cp:keywords/>
  <dc:description/>
  <cp:lastModifiedBy>arp5</cp:lastModifiedBy>
  <cp:revision>1</cp:revision>
  <dcterms:created xsi:type="dcterms:W3CDTF">2011-11-23T17:05:00Z</dcterms:created>
  <dcterms:modified xsi:type="dcterms:W3CDTF">2011-11-23T17:08:00Z</dcterms:modified>
</cp:coreProperties>
</file>