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25" w:rsidRDefault="000A1077">
      <w:r>
        <w:t xml:space="preserve">Attachment </w:t>
      </w:r>
      <w:r w:rsidR="007C54D3">
        <w:t xml:space="preserve">6: </w:t>
      </w:r>
      <w:bookmarkStart w:id="0" w:name="_GoBack"/>
      <w:r w:rsidR="007C54D3">
        <w:t xml:space="preserve">List of Presentations and Publications from SSuN </w:t>
      </w:r>
      <w:bookmarkEnd w:id="0"/>
    </w:p>
    <w:p w:rsidR="007C54D3" w:rsidRDefault="007C54D3"/>
    <w:p w:rsidR="000A1077" w:rsidRDefault="00AF4125">
      <w:r>
        <w:t>Presentations</w:t>
      </w:r>
    </w:p>
    <w:p w:rsidR="00AF4125" w:rsidRPr="007C54D3" w:rsidRDefault="00AF4125" w:rsidP="007C54D3">
      <w:pPr>
        <w:pStyle w:val="ListParagraph"/>
        <w:numPr>
          <w:ilvl w:val="0"/>
          <w:numId w:val="6"/>
        </w:numPr>
      </w:pPr>
      <w:r w:rsidRPr="007C54D3">
        <w:rPr>
          <w:b/>
          <w:bCs/>
        </w:rPr>
        <w:t xml:space="preserve">Gonorrhea Treatment Practices in the STD Surveillance Network (SSuN) in 2010. </w:t>
      </w:r>
      <w:r w:rsidRPr="007C54D3">
        <w:rPr>
          <w:lang w:val="de-DE"/>
        </w:rPr>
        <w:t>Kerani RP, Stenger MR,</w:t>
      </w:r>
      <w:r w:rsidRPr="007C54D3">
        <w:rPr>
          <w:vertAlign w:val="superscript"/>
          <w:lang w:val="de-DE"/>
        </w:rPr>
        <w:t xml:space="preserve">  </w:t>
      </w:r>
      <w:r w:rsidRPr="007C54D3">
        <w:rPr>
          <w:lang w:val="de-DE"/>
        </w:rPr>
        <w:t>Weinstock H, Bernstein K,  Reed M, Schumacher C, Schwebke J,</w:t>
      </w:r>
      <w:r w:rsidRPr="007C54D3">
        <w:rPr>
          <w:vertAlign w:val="superscript"/>
          <w:lang w:val="de-DE"/>
        </w:rPr>
        <w:t xml:space="preserve"> </w:t>
      </w:r>
      <w:r w:rsidRPr="007C54D3">
        <w:rPr>
          <w:lang w:val="de-DE"/>
        </w:rPr>
        <w:t xml:space="preserve"> Golden MR</w:t>
      </w:r>
      <w:r w:rsidRPr="007C54D3">
        <w:rPr>
          <w:vertAlign w:val="superscript"/>
          <w:lang w:val="de-DE"/>
        </w:rPr>
        <w:t xml:space="preserve"> </w:t>
      </w:r>
      <w:r w:rsidRPr="007C54D3">
        <w:rPr>
          <w:lang w:val="de-DE"/>
        </w:rPr>
        <w:t xml:space="preserve"> (presented at National STD conference 2011(Minneapolis, MN)and manuscript pending)</w:t>
      </w:r>
    </w:p>
    <w:p w:rsidR="007C54D3" w:rsidRPr="00AF4125" w:rsidRDefault="007C54D3" w:rsidP="007C54D3">
      <w:pPr>
        <w:pStyle w:val="ListParagraph"/>
      </w:pPr>
    </w:p>
    <w:p w:rsidR="00AF4125" w:rsidRDefault="00AF4125" w:rsidP="007C54D3">
      <w:pPr>
        <w:pStyle w:val="ListParagraph"/>
        <w:numPr>
          <w:ilvl w:val="0"/>
          <w:numId w:val="6"/>
        </w:numPr>
      </w:pPr>
      <w:r w:rsidRPr="007C54D3">
        <w:rPr>
          <w:b/>
          <w:bCs/>
        </w:rPr>
        <w:t xml:space="preserve">Title: The Legal Aspects of Expedited Partner Therapy Practice:  Do Laws Really Matter? </w:t>
      </w:r>
      <w:r w:rsidRPr="00AF4125">
        <w:t>Cramer RC, Leichliter JS, Loosier P,  Bernstein K, Dubose N, Eaglin M, Jaenicke T, Pathela P, Stover J, Zenilman J, Stenger MR</w:t>
      </w:r>
      <w:r>
        <w:t xml:space="preserve"> (presented at </w:t>
      </w:r>
      <w:r w:rsidRPr="00AF4125">
        <w:t>National STD conference 2011(Minneapolis, MN)</w:t>
      </w:r>
      <w:r>
        <w:t>and manuscript in clearance)</w:t>
      </w:r>
    </w:p>
    <w:p w:rsidR="007C54D3" w:rsidRDefault="007C54D3" w:rsidP="007C54D3">
      <w:pPr>
        <w:pStyle w:val="ListParagraph"/>
      </w:pPr>
    </w:p>
    <w:p w:rsidR="007C54D3" w:rsidRPr="00AF4125" w:rsidRDefault="007C54D3" w:rsidP="007C54D3">
      <w:pPr>
        <w:pStyle w:val="ListParagraph"/>
      </w:pPr>
    </w:p>
    <w:p w:rsidR="00AF4125" w:rsidRDefault="00AF4125" w:rsidP="007C54D3">
      <w:pPr>
        <w:pStyle w:val="ListParagraph"/>
        <w:numPr>
          <w:ilvl w:val="0"/>
          <w:numId w:val="6"/>
        </w:numPr>
      </w:pPr>
      <w:r w:rsidRPr="007C54D3">
        <w:rPr>
          <w:b/>
          <w:bCs/>
        </w:rPr>
        <w:t xml:space="preserve">Toward a Social Ecology of </w:t>
      </w:r>
      <w:r w:rsidRPr="007C54D3">
        <w:rPr>
          <w:b/>
          <w:bCs/>
          <w:i/>
          <w:iCs/>
        </w:rPr>
        <w:t>N. Gonorrhoeae</w:t>
      </w:r>
      <w:r w:rsidRPr="007C54D3">
        <w:rPr>
          <w:b/>
          <w:bCs/>
        </w:rPr>
        <w:t xml:space="preserve">: Association of Incidence in Females with Neighborhood Characteristics in Five Geographically Disparate States, 2006 – 2008. </w:t>
      </w:r>
      <w:r w:rsidRPr="00AF4125">
        <w:t>Stenger M, Bernstein K, Reed M</w:t>
      </w:r>
      <w:r w:rsidRPr="007C54D3">
        <w:rPr>
          <w:vertAlign w:val="superscript"/>
        </w:rPr>
        <w:t xml:space="preserve"> </w:t>
      </w:r>
      <w:r w:rsidRPr="00AF4125">
        <w:t xml:space="preserve"> Jaenicke T, Stover J; Martins S</w:t>
      </w:r>
      <w:r>
        <w:t xml:space="preserve"> (Presented at National STD conference 2011(Minneapolis, MN)  and manuscript pending)</w:t>
      </w:r>
    </w:p>
    <w:p w:rsidR="007C54D3" w:rsidRDefault="007C54D3" w:rsidP="007C54D3">
      <w:pPr>
        <w:pStyle w:val="ListParagraph"/>
      </w:pPr>
    </w:p>
    <w:p w:rsidR="00AF4125" w:rsidRDefault="00AF4125" w:rsidP="007C54D3">
      <w:pPr>
        <w:pStyle w:val="ListParagraph"/>
        <w:numPr>
          <w:ilvl w:val="0"/>
          <w:numId w:val="6"/>
        </w:numPr>
      </w:pPr>
      <w:r w:rsidRPr="007C54D3">
        <w:rPr>
          <w:b/>
        </w:rPr>
        <w:t xml:space="preserve">HIV Testing Among Patients Infected with Neisseria gonorrhoeae — STD Surveillance Network, United States, 2009–2010. </w:t>
      </w:r>
      <w:r w:rsidRPr="00AF4125">
        <w:t>(</w:t>
      </w:r>
      <w:r>
        <w:t>Heather Bradley, Lenore Asbel, Kyle Bernstein, Melanie Mattson, Preeti Pathela, Mukhtar Mohammed, Michael C. Samuel, Jane Schwebke, Mark Stenger, Irina Tabidze, Jonathan Zenilman, Deborah Dowell, Hillard Weinstock (presented at International Society for STD research 2010 and manuscript under review at journal [</w:t>
      </w:r>
      <w:r w:rsidRPr="007C54D3">
        <w:rPr>
          <w:i/>
        </w:rPr>
        <w:t>AIDS and Behavior</w:t>
      </w:r>
      <w:r>
        <w:t>]).</w:t>
      </w:r>
    </w:p>
    <w:p w:rsidR="007C54D3" w:rsidRDefault="007C54D3" w:rsidP="007C54D3">
      <w:pPr>
        <w:pStyle w:val="ListParagraph"/>
      </w:pPr>
    </w:p>
    <w:p w:rsidR="007C54D3" w:rsidRDefault="007C54D3" w:rsidP="007C54D3">
      <w:pPr>
        <w:pStyle w:val="ListParagraph"/>
      </w:pPr>
    </w:p>
    <w:p w:rsidR="00AF4125" w:rsidRPr="007C54D3" w:rsidRDefault="00AF4125" w:rsidP="007C54D3">
      <w:pPr>
        <w:pStyle w:val="ListParagraph"/>
        <w:numPr>
          <w:ilvl w:val="0"/>
          <w:numId w:val="6"/>
        </w:numPr>
      </w:pPr>
      <w:r w:rsidRPr="007C54D3">
        <w:rPr>
          <w:b/>
          <w:bCs/>
        </w:rPr>
        <w:t xml:space="preserve">Prevalence of </w:t>
      </w:r>
      <w:proofErr w:type="spellStart"/>
      <w:r w:rsidRPr="007C54D3">
        <w:rPr>
          <w:b/>
          <w:bCs/>
        </w:rPr>
        <w:t>Anogenital</w:t>
      </w:r>
      <w:proofErr w:type="spellEnd"/>
      <w:r w:rsidRPr="007C54D3">
        <w:rPr>
          <w:b/>
          <w:bCs/>
        </w:rPr>
        <w:t xml:space="preserve"> Warts Among STD Clinic Patients—STD Surveillance Network, United States, January 2010- September 2010</w:t>
      </w:r>
      <w:r w:rsidR="007C54D3" w:rsidRPr="007C54D3">
        <w:rPr>
          <w:b/>
          <w:bCs/>
        </w:rPr>
        <w:t xml:space="preserve">. </w:t>
      </w:r>
      <w:r w:rsidRPr="007C54D3">
        <w:rPr>
          <w:b/>
          <w:bCs/>
        </w:rPr>
        <w:t xml:space="preserve"> </w:t>
      </w:r>
      <w:r w:rsidRPr="007C54D3">
        <w:rPr>
          <w:lang w:val="de-DE"/>
        </w:rPr>
        <w:t>Llata E, Schwebke J, Zenilman J, Tabidze I, Mettenbrink C, Guerry S, Jespersen M, Pathela P, Asbel L, Bernstein KT, Pugsley R, Weinstock HS</w:t>
      </w:r>
      <w:r w:rsidR="007C54D3" w:rsidRPr="007C54D3">
        <w:rPr>
          <w:lang w:val="de-DE"/>
        </w:rPr>
        <w:t xml:space="preserve"> (presented at International Society for STD research 2010 and manuscript pending).</w:t>
      </w:r>
    </w:p>
    <w:p w:rsidR="007C54D3" w:rsidRPr="00AF4125" w:rsidRDefault="007C54D3" w:rsidP="007C54D3">
      <w:pPr>
        <w:pStyle w:val="ListParagraph"/>
      </w:pPr>
    </w:p>
    <w:p w:rsidR="00AF4125" w:rsidRPr="00AF4125" w:rsidRDefault="00AF4125" w:rsidP="007C54D3">
      <w:pPr>
        <w:pStyle w:val="ListParagraph"/>
        <w:numPr>
          <w:ilvl w:val="0"/>
          <w:numId w:val="6"/>
        </w:numPr>
      </w:pPr>
      <w:r w:rsidRPr="007C54D3">
        <w:rPr>
          <w:b/>
          <w:bCs/>
        </w:rPr>
        <w:t>New HIV diagnoses among MSM in SSuN STD clinics</w:t>
      </w:r>
      <w:r w:rsidR="007C54D3" w:rsidRPr="007C54D3">
        <w:rPr>
          <w:b/>
          <w:bCs/>
        </w:rPr>
        <w:t>.</w:t>
      </w:r>
      <w:r w:rsidRPr="007C54D3">
        <w:rPr>
          <w:b/>
          <w:bCs/>
        </w:rPr>
        <w:t xml:space="preserve"> </w:t>
      </w:r>
      <w:r w:rsidRPr="007C54D3">
        <w:rPr>
          <w:lang w:val="de-DE"/>
        </w:rPr>
        <w:t>Llata E, Schwebke J, Zenilman J, Tabidze I, Mettenbrink C, Guerry S, Jespersen M, Pathela P, Asbel L, Bernstein K, Pugsley R, Weinstock H</w:t>
      </w:r>
      <w:r w:rsidR="007C54D3" w:rsidRPr="007C54D3">
        <w:rPr>
          <w:lang w:val="de-DE"/>
        </w:rPr>
        <w:t xml:space="preserve"> ((presented at National STD conference 2011in Minneapolis, MN)</w:t>
      </w:r>
    </w:p>
    <w:p w:rsidR="00AF4125" w:rsidRDefault="00AF4125" w:rsidP="007C54D3">
      <w:pPr>
        <w:ind w:left="1080"/>
      </w:pPr>
    </w:p>
    <w:p w:rsidR="00AF4125" w:rsidRPr="00AF4125" w:rsidRDefault="00AF4125" w:rsidP="00AF4125">
      <w:r>
        <w:rPr>
          <w:b/>
          <w:bCs/>
        </w:rPr>
        <w:t>Publications</w:t>
      </w:r>
    </w:p>
    <w:p w:rsidR="00AF4125" w:rsidRPr="007C54D3" w:rsidRDefault="00AF4125" w:rsidP="007C54D3">
      <w:pPr>
        <w:pStyle w:val="ListParagraph"/>
        <w:numPr>
          <w:ilvl w:val="0"/>
          <w:numId w:val="7"/>
        </w:numPr>
      </w:pPr>
      <w:r w:rsidRPr="007C54D3">
        <w:rPr>
          <w:b/>
          <w:bCs/>
        </w:rPr>
        <w:t xml:space="preserve">A Tale of Two Gonorrhea Epidemics: Results from the STD Surveillance Network (SSuN). </w:t>
      </w:r>
      <w:r w:rsidRPr="00AF4125">
        <w:t xml:space="preserve">Newman, Lori Marie, Dowell, Deborah, Bernstein, Kyle, Donnelly, Jennifer, Martins, Summer, </w:t>
      </w:r>
      <w:r w:rsidRPr="00AF4125">
        <w:lastRenderedPageBreak/>
        <w:t>Stenger, Mark, Stover, Jeffrey, Weinstock, Hillard</w:t>
      </w:r>
      <w:r>
        <w:t xml:space="preserve"> (</w:t>
      </w:r>
      <w:r w:rsidRPr="00AF4125">
        <w:t xml:space="preserve"> Publication in the May/June 2012 issue (Volume 127, Number 3), </w:t>
      </w:r>
      <w:r w:rsidRPr="007C54D3">
        <w:rPr>
          <w:b/>
          <w:bCs/>
        </w:rPr>
        <w:t>Public Health Reports)</w:t>
      </w:r>
    </w:p>
    <w:p w:rsidR="007C54D3" w:rsidRPr="00AF4125" w:rsidRDefault="007C54D3" w:rsidP="007C54D3">
      <w:pPr>
        <w:pStyle w:val="ListParagraph"/>
      </w:pPr>
    </w:p>
    <w:p w:rsidR="00AF4125" w:rsidRPr="007C54D3" w:rsidRDefault="00AF4125" w:rsidP="007C54D3">
      <w:pPr>
        <w:pStyle w:val="ListParagraph"/>
        <w:numPr>
          <w:ilvl w:val="0"/>
          <w:numId w:val="7"/>
        </w:numPr>
      </w:pPr>
      <w:r w:rsidRPr="007C54D3">
        <w:rPr>
          <w:b/>
          <w:bCs/>
        </w:rPr>
        <w:t xml:space="preserve">Changes in Fluoroquinolone Use for Gonorrhea Following Publication of Revised Treatment Guidelines. </w:t>
      </w:r>
      <w:r w:rsidRPr="00AF4125">
        <w:t>Deborah Dowell, MD, Lin H. Tian, MD, MS, Jeffrey A. Stover, MPH, Jennifer A. Donnelly, MPH, Summer Martins, MPH, Emily J. Erbelding, MD, MPH, Raul Pino, MD, Hillard Weinstock, MD, MPH, and Lori M. Newman, MD</w:t>
      </w:r>
      <w:r>
        <w:t xml:space="preserve"> (Publication date </w:t>
      </w:r>
      <w:r w:rsidRPr="007C54D3">
        <w:rPr>
          <w:b/>
          <w:bCs/>
        </w:rPr>
        <w:t>November 17, 2011, AJPH.2011.300283)</w:t>
      </w:r>
    </w:p>
    <w:p w:rsidR="007C54D3" w:rsidRPr="00AF4125" w:rsidRDefault="007C54D3" w:rsidP="007C54D3">
      <w:pPr>
        <w:pStyle w:val="ListParagraph"/>
        <w:ind w:left="1440"/>
      </w:pPr>
    </w:p>
    <w:p w:rsidR="007C54D3" w:rsidRPr="00AF4125" w:rsidRDefault="007C54D3" w:rsidP="007C54D3">
      <w:pPr>
        <w:pStyle w:val="ListParagraph"/>
        <w:numPr>
          <w:ilvl w:val="0"/>
          <w:numId w:val="7"/>
        </w:numPr>
      </w:pPr>
      <w:proofErr w:type="spellStart"/>
      <w:r w:rsidRPr="007C54D3">
        <w:rPr>
          <w:b/>
          <w:bCs/>
          <w:i/>
          <w:iCs/>
        </w:rPr>
        <w:t>Trichomonas</w:t>
      </w:r>
      <w:proofErr w:type="spellEnd"/>
      <w:r w:rsidRPr="007C54D3">
        <w:rPr>
          <w:b/>
          <w:bCs/>
          <w:i/>
          <w:iCs/>
        </w:rPr>
        <w:t xml:space="preserve"> </w:t>
      </w:r>
      <w:proofErr w:type="spellStart"/>
      <w:r w:rsidRPr="007C54D3">
        <w:rPr>
          <w:b/>
          <w:bCs/>
          <w:i/>
          <w:iCs/>
        </w:rPr>
        <w:t>vaginalis</w:t>
      </w:r>
      <w:proofErr w:type="spellEnd"/>
      <w:r w:rsidRPr="007C54D3">
        <w:rPr>
          <w:b/>
          <w:bCs/>
          <w:i/>
          <w:iCs/>
        </w:rPr>
        <w:t xml:space="preserve"> </w:t>
      </w:r>
      <w:r w:rsidRPr="007C54D3">
        <w:rPr>
          <w:b/>
          <w:bCs/>
        </w:rPr>
        <w:t xml:space="preserve">in vitro Antibiotic Resistance – STD Surveillance Network, United States, 2009-2010. </w:t>
      </w:r>
      <w:proofErr w:type="spellStart"/>
      <w:r w:rsidRPr="00AF4125">
        <w:t>Kirkaldy</w:t>
      </w:r>
      <w:proofErr w:type="spellEnd"/>
      <w:r w:rsidRPr="00AF4125">
        <w:t xml:space="preserve">, R, </w:t>
      </w:r>
      <w:proofErr w:type="spellStart"/>
      <w:r w:rsidRPr="00AF4125">
        <w:t>Pathela</w:t>
      </w:r>
      <w:proofErr w:type="spellEnd"/>
      <w:r w:rsidRPr="00AF4125">
        <w:t xml:space="preserve"> P,  Asbel L, Bernstein K,  Mettenbrink C, Schwebke J, Kerani R</w:t>
      </w:r>
      <w:r>
        <w:t xml:space="preserve"> (presented at Infectious Disease Society of America, 2010 and manuscript accepted and awaiting publication date)</w:t>
      </w:r>
    </w:p>
    <w:p w:rsidR="00AF4125" w:rsidRDefault="00AF4125" w:rsidP="007C54D3">
      <w:pPr>
        <w:pStyle w:val="ListParagraph"/>
        <w:ind w:left="1440"/>
      </w:pPr>
    </w:p>
    <w:p w:rsidR="007C54D3" w:rsidRDefault="007C54D3" w:rsidP="007C54D3">
      <w:pPr>
        <w:pStyle w:val="ListParagraph"/>
        <w:numPr>
          <w:ilvl w:val="0"/>
          <w:numId w:val="7"/>
        </w:numPr>
      </w:pPr>
      <w:r w:rsidRPr="007C54D3">
        <w:rPr>
          <w:b/>
        </w:rPr>
        <w:t>HPV Vaccine Implementation in STD Clinics — STD Surveillance Network</w:t>
      </w:r>
      <w:r w:rsidRPr="007C54D3">
        <w:t>. Meites E, Llata E, Hariri S, Zenilman J, Longfellow L, Schwebke J, Tabidze I, Mettenbrink C, Jenkins H, Guerry S, Pathela P, Asbel L, Stover JA, Bernstein K, Kerani RP</w:t>
      </w:r>
      <w:r>
        <w:t xml:space="preserve">, Dunne EF, Markowitz LE (Published in </w:t>
      </w:r>
      <w:r w:rsidRPr="007C54D3">
        <w:t xml:space="preserve">Sexually Transmitted Diseases. 2011; 38(12): 14 Sep. </w:t>
      </w:r>
      <w:r>
        <w:t>)</w:t>
      </w:r>
    </w:p>
    <w:p w:rsidR="007C54D3" w:rsidRDefault="007C54D3" w:rsidP="007C54D3">
      <w:pPr>
        <w:pStyle w:val="ListParagraph"/>
      </w:pPr>
    </w:p>
    <w:sectPr w:rsidR="007C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A31"/>
    <w:multiLevelType w:val="hybridMultilevel"/>
    <w:tmpl w:val="67FE1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52472"/>
    <w:multiLevelType w:val="hybridMultilevel"/>
    <w:tmpl w:val="65FAB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20800"/>
    <w:multiLevelType w:val="hybridMultilevel"/>
    <w:tmpl w:val="DADCBF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652892"/>
    <w:multiLevelType w:val="hybridMultilevel"/>
    <w:tmpl w:val="493CECFA"/>
    <w:lvl w:ilvl="0" w:tplc="E1FE78B6">
      <w:start w:val="1"/>
      <w:numFmt w:val="bullet"/>
      <w:lvlText w:val=""/>
      <w:lvlJc w:val="left"/>
      <w:pPr>
        <w:tabs>
          <w:tab w:val="num" w:pos="720"/>
        </w:tabs>
        <w:ind w:left="720" w:hanging="360"/>
      </w:pPr>
      <w:rPr>
        <w:rFonts w:ascii="Wingdings" w:hAnsi="Wingdings" w:hint="default"/>
      </w:rPr>
    </w:lvl>
    <w:lvl w:ilvl="1" w:tplc="38989450">
      <w:start w:val="2911"/>
      <w:numFmt w:val="bullet"/>
      <w:lvlText w:val=""/>
      <w:lvlJc w:val="left"/>
      <w:pPr>
        <w:tabs>
          <w:tab w:val="num" w:pos="1440"/>
        </w:tabs>
        <w:ind w:left="1440" w:hanging="360"/>
      </w:pPr>
      <w:rPr>
        <w:rFonts w:ascii="Wingdings" w:hAnsi="Wingdings" w:hint="default"/>
      </w:rPr>
    </w:lvl>
    <w:lvl w:ilvl="2" w:tplc="541C21BA">
      <w:start w:val="1"/>
      <w:numFmt w:val="bullet"/>
      <w:lvlText w:val=""/>
      <w:lvlJc w:val="left"/>
      <w:pPr>
        <w:tabs>
          <w:tab w:val="num" w:pos="2160"/>
        </w:tabs>
        <w:ind w:left="2160" w:hanging="360"/>
      </w:pPr>
      <w:rPr>
        <w:rFonts w:ascii="Wingdings" w:hAnsi="Wingdings" w:hint="default"/>
      </w:rPr>
    </w:lvl>
    <w:lvl w:ilvl="3" w:tplc="25661ADC" w:tentative="1">
      <w:start w:val="1"/>
      <w:numFmt w:val="bullet"/>
      <w:lvlText w:val=""/>
      <w:lvlJc w:val="left"/>
      <w:pPr>
        <w:tabs>
          <w:tab w:val="num" w:pos="2880"/>
        </w:tabs>
        <w:ind w:left="2880" w:hanging="360"/>
      </w:pPr>
      <w:rPr>
        <w:rFonts w:ascii="Wingdings" w:hAnsi="Wingdings" w:hint="default"/>
      </w:rPr>
    </w:lvl>
    <w:lvl w:ilvl="4" w:tplc="AEB4CE5E" w:tentative="1">
      <w:start w:val="1"/>
      <w:numFmt w:val="bullet"/>
      <w:lvlText w:val=""/>
      <w:lvlJc w:val="left"/>
      <w:pPr>
        <w:tabs>
          <w:tab w:val="num" w:pos="3600"/>
        </w:tabs>
        <w:ind w:left="3600" w:hanging="360"/>
      </w:pPr>
      <w:rPr>
        <w:rFonts w:ascii="Wingdings" w:hAnsi="Wingdings" w:hint="default"/>
      </w:rPr>
    </w:lvl>
    <w:lvl w:ilvl="5" w:tplc="9DA2E218" w:tentative="1">
      <w:start w:val="1"/>
      <w:numFmt w:val="bullet"/>
      <w:lvlText w:val=""/>
      <w:lvlJc w:val="left"/>
      <w:pPr>
        <w:tabs>
          <w:tab w:val="num" w:pos="4320"/>
        </w:tabs>
        <w:ind w:left="4320" w:hanging="360"/>
      </w:pPr>
      <w:rPr>
        <w:rFonts w:ascii="Wingdings" w:hAnsi="Wingdings" w:hint="default"/>
      </w:rPr>
    </w:lvl>
    <w:lvl w:ilvl="6" w:tplc="40BCF86C" w:tentative="1">
      <w:start w:val="1"/>
      <w:numFmt w:val="bullet"/>
      <w:lvlText w:val=""/>
      <w:lvlJc w:val="left"/>
      <w:pPr>
        <w:tabs>
          <w:tab w:val="num" w:pos="5040"/>
        </w:tabs>
        <w:ind w:left="5040" w:hanging="360"/>
      </w:pPr>
      <w:rPr>
        <w:rFonts w:ascii="Wingdings" w:hAnsi="Wingdings" w:hint="default"/>
      </w:rPr>
    </w:lvl>
    <w:lvl w:ilvl="7" w:tplc="CE16C090" w:tentative="1">
      <w:start w:val="1"/>
      <w:numFmt w:val="bullet"/>
      <w:lvlText w:val=""/>
      <w:lvlJc w:val="left"/>
      <w:pPr>
        <w:tabs>
          <w:tab w:val="num" w:pos="5760"/>
        </w:tabs>
        <w:ind w:left="5760" w:hanging="360"/>
      </w:pPr>
      <w:rPr>
        <w:rFonts w:ascii="Wingdings" w:hAnsi="Wingdings" w:hint="default"/>
      </w:rPr>
    </w:lvl>
    <w:lvl w:ilvl="8" w:tplc="FD7E61E6" w:tentative="1">
      <w:start w:val="1"/>
      <w:numFmt w:val="bullet"/>
      <w:lvlText w:val=""/>
      <w:lvlJc w:val="left"/>
      <w:pPr>
        <w:tabs>
          <w:tab w:val="num" w:pos="6480"/>
        </w:tabs>
        <w:ind w:left="6480" w:hanging="360"/>
      </w:pPr>
      <w:rPr>
        <w:rFonts w:ascii="Wingdings" w:hAnsi="Wingdings" w:hint="default"/>
      </w:rPr>
    </w:lvl>
  </w:abstractNum>
  <w:abstractNum w:abstractNumId="4">
    <w:nsid w:val="526C4870"/>
    <w:multiLevelType w:val="hybridMultilevel"/>
    <w:tmpl w:val="5D7A9606"/>
    <w:lvl w:ilvl="0" w:tplc="FE20C49A">
      <w:start w:val="1"/>
      <w:numFmt w:val="bullet"/>
      <w:lvlText w:val=""/>
      <w:lvlJc w:val="left"/>
      <w:pPr>
        <w:tabs>
          <w:tab w:val="num" w:pos="720"/>
        </w:tabs>
        <w:ind w:left="720" w:hanging="360"/>
      </w:pPr>
      <w:rPr>
        <w:rFonts w:ascii="Wingdings" w:hAnsi="Wingdings" w:hint="default"/>
      </w:rPr>
    </w:lvl>
    <w:lvl w:ilvl="1" w:tplc="011E4074">
      <w:start w:val="2746"/>
      <w:numFmt w:val="bullet"/>
      <w:lvlText w:val=""/>
      <w:lvlJc w:val="left"/>
      <w:pPr>
        <w:tabs>
          <w:tab w:val="num" w:pos="1440"/>
        </w:tabs>
        <w:ind w:left="1440" w:hanging="360"/>
      </w:pPr>
      <w:rPr>
        <w:rFonts w:ascii="Wingdings" w:hAnsi="Wingdings" w:hint="default"/>
      </w:rPr>
    </w:lvl>
    <w:lvl w:ilvl="2" w:tplc="EED2A7B4" w:tentative="1">
      <w:start w:val="1"/>
      <w:numFmt w:val="bullet"/>
      <w:lvlText w:val=""/>
      <w:lvlJc w:val="left"/>
      <w:pPr>
        <w:tabs>
          <w:tab w:val="num" w:pos="2160"/>
        </w:tabs>
        <w:ind w:left="2160" w:hanging="360"/>
      </w:pPr>
      <w:rPr>
        <w:rFonts w:ascii="Wingdings" w:hAnsi="Wingdings" w:hint="default"/>
      </w:rPr>
    </w:lvl>
    <w:lvl w:ilvl="3" w:tplc="2D2426F6" w:tentative="1">
      <w:start w:val="1"/>
      <w:numFmt w:val="bullet"/>
      <w:lvlText w:val=""/>
      <w:lvlJc w:val="left"/>
      <w:pPr>
        <w:tabs>
          <w:tab w:val="num" w:pos="2880"/>
        </w:tabs>
        <w:ind w:left="2880" w:hanging="360"/>
      </w:pPr>
      <w:rPr>
        <w:rFonts w:ascii="Wingdings" w:hAnsi="Wingdings" w:hint="default"/>
      </w:rPr>
    </w:lvl>
    <w:lvl w:ilvl="4" w:tplc="27BEFBAE" w:tentative="1">
      <w:start w:val="1"/>
      <w:numFmt w:val="bullet"/>
      <w:lvlText w:val=""/>
      <w:lvlJc w:val="left"/>
      <w:pPr>
        <w:tabs>
          <w:tab w:val="num" w:pos="3600"/>
        </w:tabs>
        <w:ind w:left="3600" w:hanging="360"/>
      </w:pPr>
      <w:rPr>
        <w:rFonts w:ascii="Wingdings" w:hAnsi="Wingdings" w:hint="default"/>
      </w:rPr>
    </w:lvl>
    <w:lvl w:ilvl="5" w:tplc="C756A280" w:tentative="1">
      <w:start w:val="1"/>
      <w:numFmt w:val="bullet"/>
      <w:lvlText w:val=""/>
      <w:lvlJc w:val="left"/>
      <w:pPr>
        <w:tabs>
          <w:tab w:val="num" w:pos="4320"/>
        </w:tabs>
        <w:ind w:left="4320" w:hanging="360"/>
      </w:pPr>
      <w:rPr>
        <w:rFonts w:ascii="Wingdings" w:hAnsi="Wingdings" w:hint="default"/>
      </w:rPr>
    </w:lvl>
    <w:lvl w:ilvl="6" w:tplc="8D0681C4" w:tentative="1">
      <w:start w:val="1"/>
      <w:numFmt w:val="bullet"/>
      <w:lvlText w:val=""/>
      <w:lvlJc w:val="left"/>
      <w:pPr>
        <w:tabs>
          <w:tab w:val="num" w:pos="5040"/>
        </w:tabs>
        <w:ind w:left="5040" w:hanging="360"/>
      </w:pPr>
      <w:rPr>
        <w:rFonts w:ascii="Wingdings" w:hAnsi="Wingdings" w:hint="default"/>
      </w:rPr>
    </w:lvl>
    <w:lvl w:ilvl="7" w:tplc="E13C7AFC" w:tentative="1">
      <w:start w:val="1"/>
      <w:numFmt w:val="bullet"/>
      <w:lvlText w:val=""/>
      <w:lvlJc w:val="left"/>
      <w:pPr>
        <w:tabs>
          <w:tab w:val="num" w:pos="5760"/>
        </w:tabs>
        <w:ind w:left="5760" w:hanging="360"/>
      </w:pPr>
      <w:rPr>
        <w:rFonts w:ascii="Wingdings" w:hAnsi="Wingdings" w:hint="default"/>
      </w:rPr>
    </w:lvl>
    <w:lvl w:ilvl="8" w:tplc="A98CD212" w:tentative="1">
      <w:start w:val="1"/>
      <w:numFmt w:val="bullet"/>
      <w:lvlText w:val=""/>
      <w:lvlJc w:val="left"/>
      <w:pPr>
        <w:tabs>
          <w:tab w:val="num" w:pos="6480"/>
        </w:tabs>
        <w:ind w:left="6480" w:hanging="360"/>
      </w:pPr>
      <w:rPr>
        <w:rFonts w:ascii="Wingdings" w:hAnsi="Wingdings" w:hint="default"/>
      </w:rPr>
    </w:lvl>
  </w:abstractNum>
  <w:abstractNum w:abstractNumId="5">
    <w:nsid w:val="543C373E"/>
    <w:multiLevelType w:val="hybridMultilevel"/>
    <w:tmpl w:val="E410E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011AF9"/>
    <w:multiLevelType w:val="hybridMultilevel"/>
    <w:tmpl w:val="BDB432B4"/>
    <w:lvl w:ilvl="0" w:tplc="C6E021DE">
      <w:start w:val="1"/>
      <w:numFmt w:val="bullet"/>
      <w:lvlText w:val=""/>
      <w:lvlJc w:val="left"/>
      <w:pPr>
        <w:tabs>
          <w:tab w:val="num" w:pos="720"/>
        </w:tabs>
        <w:ind w:left="720" w:hanging="360"/>
      </w:pPr>
      <w:rPr>
        <w:rFonts w:ascii="Wingdings" w:hAnsi="Wingdings" w:hint="default"/>
      </w:rPr>
    </w:lvl>
    <w:lvl w:ilvl="1" w:tplc="A33A81F4">
      <w:start w:val="3011"/>
      <w:numFmt w:val="bullet"/>
      <w:lvlText w:val=""/>
      <w:lvlJc w:val="left"/>
      <w:pPr>
        <w:tabs>
          <w:tab w:val="num" w:pos="1440"/>
        </w:tabs>
        <w:ind w:left="1440" w:hanging="360"/>
      </w:pPr>
      <w:rPr>
        <w:rFonts w:ascii="Wingdings" w:hAnsi="Wingdings" w:hint="default"/>
      </w:rPr>
    </w:lvl>
    <w:lvl w:ilvl="2" w:tplc="134EF8DA">
      <w:start w:val="3011"/>
      <w:numFmt w:val="bullet"/>
      <w:lvlText w:val="•"/>
      <w:lvlJc w:val="left"/>
      <w:pPr>
        <w:tabs>
          <w:tab w:val="num" w:pos="2160"/>
        </w:tabs>
        <w:ind w:left="2160" w:hanging="360"/>
      </w:pPr>
      <w:rPr>
        <w:rFonts w:ascii="Arial" w:hAnsi="Arial" w:hint="default"/>
      </w:rPr>
    </w:lvl>
    <w:lvl w:ilvl="3" w:tplc="66786060" w:tentative="1">
      <w:start w:val="1"/>
      <w:numFmt w:val="bullet"/>
      <w:lvlText w:val=""/>
      <w:lvlJc w:val="left"/>
      <w:pPr>
        <w:tabs>
          <w:tab w:val="num" w:pos="2880"/>
        </w:tabs>
        <w:ind w:left="2880" w:hanging="360"/>
      </w:pPr>
      <w:rPr>
        <w:rFonts w:ascii="Wingdings" w:hAnsi="Wingdings" w:hint="default"/>
      </w:rPr>
    </w:lvl>
    <w:lvl w:ilvl="4" w:tplc="A4A8470E" w:tentative="1">
      <w:start w:val="1"/>
      <w:numFmt w:val="bullet"/>
      <w:lvlText w:val=""/>
      <w:lvlJc w:val="left"/>
      <w:pPr>
        <w:tabs>
          <w:tab w:val="num" w:pos="3600"/>
        </w:tabs>
        <w:ind w:left="3600" w:hanging="360"/>
      </w:pPr>
      <w:rPr>
        <w:rFonts w:ascii="Wingdings" w:hAnsi="Wingdings" w:hint="default"/>
      </w:rPr>
    </w:lvl>
    <w:lvl w:ilvl="5" w:tplc="4C1062C8" w:tentative="1">
      <w:start w:val="1"/>
      <w:numFmt w:val="bullet"/>
      <w:lvlText w:val=""/>
      <w:lvlJc w:val="left"/>
      <w:pPr>
        <w:tabs>
          <w:tab w:val="num" w:pos="4320"/>
        </w:tabs>
        <w:ind w:left="4320" w:hanging="360"/>
      </w:pPr>
      <w:rPr>
        <w:rFonts w:ascii="Wingdings" w:hAnsi="Wingdings" w:hint="default"/>
      </w:rPr>
    </w:lvl>
    <w:lvl w:ilvl="6" w:tplc="F098C168" w:tentative="1">
      <w:start w:val="1"/>
      <w:numFmt w:val="bullet"/>
      <w:lvlText w:val=""/>
      <w:lvlJc w:val="left"/>
      <w:pPr>
        <w:tabs>
          <w:tab w:val="num" w:pos="5040"/>
        </w:tabs>
        <w:ind w:left="5040" w:hanging="360"/>
      </w:pPr>
      <w:rPr>
        <w:rFonts w:ascii="Wingdings" w:hAnsi="Wingdings" w:hint="default"/>
      </w:rPr>
    </w:lvl>
    <w:lvl w:ilvl="7" w:tplc="26C0EEAE" w:tentative="1">
      <w:start w:val="1"/>
      <w:numFmt w:val="bullet"/>
      <w:lvlText w:val=""/>
      <w:lvlJc w:val="left"/>
      <w:pPr>
        <w:tabs>
          <w:tab w:val="num" w:pos="5760"/>
        </w:tabs>
        <w:ind w:left="5760" w:hanging="360"/>
      </w:pPr>
      <w:rPr>
        <w:rFonts w:ascii="Wingdings" w:hAnsi="Wingdings" w:hint="default"/>
      </w:rPr>
    </w:lvl>
    <w:lvl w:ilvl="8" w:tplc="3C28540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77"/>
    <w:rsid w:val="000A1077"/>
    <w:rsid w:val="004F1480"/>
    <w:rsid w:val="007C54D3"/>
    <w:rsid w:val="0083291A"/>
    <w:rsid w:val="008C0BB8"/>
    <w:rsid w:val="00AF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41">
      <w:bodyDiv w:val="1"/>
      <w:marLeft w:val="0"/>
      <w:marRight w:val="0"/>
      <w:marTop w:val="0"/>
      <w:marBottom w:val="0"/>
      <w:divBdr>
        <w:top w:val="none" w:sz="0" w:space="0" w:color="auto"/>
        <w:left w:val="none" w:sz="0" w:space="0" w:color="auto"/>
        <w:bottom w:val="none" w:sz="0" w:space="0" w:color="auto"/>
        <w:right w:val="none" w:sz="0" w:space="0" w:color="auto"/>
      </w:divBdr>
      <w:divsChild>
        <w:div w:id="2038003597">
          <w:marLeft w:val="547"/>
          <w:marRight w:val="0"/>
          <w:marTop w:val="96"/>
          <w:marBottom w:val="0"/>
          <w:divBdr>
            <w:top w:val="none" w:sz="0" w:space="0" w:color="auto"/>
            <w:left w:val="none" w:sz="0" w:space="0" w:color="auto"/>
            <w:bottom w:val="none" w:sz="0" w:space="0" w:color="auto"/>
            <w:right w:val="none" w:sz="0" w:space="0" w:color="auto"/>
          </w:divBdr>
        </w:div>
        <w:div w:id="1158693738">
          <w:marLeft w:val="1166"/>
          <w:marRight w:val="0"/>
          <w:marTop w:val="96"/>
          <w:marBottom w:val="0"/>
          <w:divBdr>
            <w:top w:val="none" w:sz="0" w:space="0" w:color="auto"/>
            <w:left w:val="none" w:sz="0" w:space="0" w:color="auto"/>
            <w:bottom w:val="none" w:sz="0" w:space="0" w:color="auto"/>
            <w:right w:val="none" w:sz="0" w:space="0" w:color="auto"/>
          </w:divBdr>
        </w:div>
        <w:div w:id="916668001">
          <w:marLeft w:val="547"/>
          <w:marRight w:val="0"/>
          <w:marTop w:val="96"/>
          <w:marBottom w:val="0"/>
          <w:divBdr>
            <w:top w:val="none" w:sz="0" w:space="0" w:color="auto"/>
            <w:left w:val="none" w:sz="0" w:space="0" w:color="auto"/>
            <w:bottom w:val="none" w:sz="0" w:space="0" w:color="auto"/>
            <w:right w:val="none" w:sz="0" w:space="0" w:color="auto"/>
          </w:divBdr>
        </w:div>
        <w:div w:id="604650526">
          <w:marLeft w:val="1166"/>
          <w:marRight w:val="0"/>
          <w:marTop w:val="96"/>
          <w:marBottom w:val="0"/>
          <w:divBdr>
            <w:top w:val="none" w:sz="0" w:space="0" w:color="auto"/>
            <w:left w:val="none" w:sz="0" w:space="0" w:color="auto"/>
            <w:bottom w:val="none" w:sz="0" w:space="0" w:color="auto"/>
            <w:right w:val="none" w:sz="0" w:space="0" w:color="auto"/>
          </w:divBdr>
        </w:div>
        <w:div w:id="1267735033">
          <w:marLeft w:val="547"/>
          <w:marRight w:val="0"/>
          <w:marTop w:val="96"/>
          <w:marBottom w:val="0"/>
          <w:divBdr>
            <w:top w:val="none" w:sz="0" w:space="0" w:color="auto"/>
            <w:left w:val="none" w:sz="0" w:space="0" w:color="auto"/>
            <w:bottom w:val="none" w:sz="0" w:space="0" w:color="auto"/>
            <w:right w:val="none" w:sz="0" w:space="0" w:color="auto"/>
          </w:divBdr>
        </w:div>
        <w:div w:id="1320690580">
          <w:marLeft w:val="1166"/>
          <w:marRight w:val="0"/>
          <w:marTop w:val="96"/>
          <w:marBottom w:val="0"/>
          <w:divBdr>
            <w:top w:val="none" w:sz="0" w:space="0" w:color="auto"/>
            <w:left w:val="none" w:sz="0" w:space="0" w:color="auto"/>
            <w:bottom w:val="none" w:sz="0" w:space="0" w:color="auto"/>
            <w:right w:val="none" w:sz="0" w:space="0" w:color="auto"/>
          </w:divBdr>
        </w:div>
      </w:divsChild>
    </w:div>
    <w:div w:id="105926321">
      <w:bodyDiv w:val="1"/>
      <w:marLeft w:val="0"/>
      <w:marRight w:val="0"/>
      <w:marTop w:val="0"/>
      <w:marBottom w:val="0"/>
      <w:divBdr>
        <w:top w:val="none" w:sz="0" w:space="0" w:color="auto"/>
        <w:left w:val="none" w:sz="0" w:space="0" w:color="auto"/>
        <w:bottom w:val="none" w:sz="0" w:space="0" w:color="auto"/>
        <w:right w:val="none" w:sz="0" w:space="0" w:color="auto"/>
      </w:divBdr>
      <w:divsChild>
        <w:div w:id="19011419">
          <w:marLeft w:val="547"/>
          <w:marRight w:val="0"/>
          <w:marTop w:val="115"/>
          <w:marBottom w:val="0"/>
          <w:divBdr>
            <w:top w:val="none" w:sz="0" w:space="0" w:color="auto"/>
            <w:left w:val="none" w:sz="0" w:space="0" w:color="auto"/>
            <w:bottom w:val="none" w:sz="0" w:space="0" w:color="auto"/>
            <w:right w:val="none" w:sz="0" w:space="0" w:color="auto"/>
          </w:divBdr>
        </w:div>
        <w:div w:id="602035755">
          <w:marLeft w:val="1166"/>
          <w:marRight w:val="0"/>
          <w:marTop w:val="67"/>
          <w:marBottom w:val="0"/>
          <w:divBdr>
            <w:top w:val="none" w:sz="0" w:space="0" w:color="auto"/>
            <w:left w:val="none" w:sz="0" w:space="0" w:color="auto"/>
            <w:bottom w:val="none" w:sz="0" w:space="0" w:color="auto"/>
            <w:right w:val="none" w:sz="0" w:space="0" w:color="auto"/>
          </w:divBdr>
        </w:div>
        <w:div w:id="1965379913">
          <w:marLeft w:val="1800"/>
          <w:marRight w:val="0"/>
          <w:marTop w:val="67"/>
          <w:marBottom w:val="0"/>
          <w:divBdr>
            <w:top w:val="none" w:sz="0" w:space="0" w:color="auto"/>
            <w:left w:val="none" w:sz="0" w:space="0" w:color="auto"/>
            <w:bottom w:val="none" w:sz="0" w:space="0" w:color="auto"/>
            <w:right w:val="none" w:sz="0" w:space="0" w:color="auto"/>
          </w:divBdr>
        </w:div>
        <w:div w:id="1802772714">
          <w:marLeft w:val="547"/>
          <w:marRight w:val="0"/>
          <w:marTop w:val="115"/>
          <w:marBottom w:val="0"/>
          <w:divBdr>
            <w:top w:val="none" w:sz="0" w:space="0" w:color="auto"/>
            <w:left w:val="none" w:sz="0" w:space="0" w:color="auto"/>
            <w:bottom w:val="none" w:sz="0" w:space="0" w:color="auto"/>
            <w:right w:val="none" w:sz="0" w:space="0" w:color="auto"/>
          </w:divBdr>
        </w:div>
        <w:div w:id="1030180292">
          <w:marLeft w:val="1166"/>
          <w:marRight w:val="0"/>
          <w:marTop w:val="67"/>
          <w:marBottom w:val="0"/>
          <w:divBdr>
            <w:top w:val="none" w:sz="0" w:space="0" w:color="auto"/>
            <w:left w:val="none" w:sz="0" w:space="0" w:color="auto"/>
            <w:bottom w:val="none" w:sz="0" w:space="0" w:color="auto"/>
            <w:right w:val="none" w:sz="0" w:space="0" w:color="auto"/>
          </w:divBdr>
        </w:div>
        <w:div w:id="1708749725">
          <w:marLeft w:val="1800"/>
          <w:marRight w:val="0"/>
          <w:marTop w:val="67"/>
          <w:marBottom w:val="0"/>
          <w:divBdr>
            <w:top w:val="none" w:sz="0" w:space="0" w:color="auto"/>
            <w:left w:val="none" w:sz="0" w:space="0" w:color="auto"/>
            <w:bottom w:val="none" w:sz="0" w:space="0" w:color="auto"/>
            <w:right w:val="none" w:sz="0" w:space="0" w:color="auto"/>
          </w:divBdr>
        </w:div>
      </w:divsChild>
    </w:div>
    <w:div w:id="1900820700">
      <w:bodyDiv w:val="1"/>
      <w:marLeft w:val="0"/>
      <w:marRight w:val="0"/>
      <w:marTop w:val="0"/>
      <w:marBottom w:val="0"/>
      <w:divBdr>
        <w:top w:val="none" w:sz="0" w:space="0" w:color="auto"/>
        <w:left w:val="none" w:sz="0" w:space="0" w:color="auto"/>
        <w:bottom w:val="none" w:sz="0" w:space="0" w:color="auto"/>
        <w:right w:val="none" w:sz="0" w:space="0" w:color="auto"/>
      </w:divBdr>
      <w:divsChild>
        <w:div w:id="872351749">
          <w:marLeft w:val="547"/>
          <w:marRight w:val="0"/>
          <w:marTop w:val="115"/>
          <w:marBottom w:val="0"/>
          <w:divBdr>
            <w:top w:val="none" w:sz="0" w:space="0" w:color="auto"/>
            <w:left w:val="none" w:sz="0" w:space="0" w:color="auto"/>
            <w:bottom w:val="none" w:sz="0" w:space="0" w:color="auto"/>
            <w:right w:val="none" w:sz="0" w:space="0" w:color="auto"/>
          </w:divBdr>
        </w:div>
        <w:div w:id="1671910493">
          <w:marLeft w:val="1166"/>
          <w:marRight w:val="0"/>
          <w:marTop w:val="96"/>
          <w:marBottom w:val="0"/>
          <w:divBdr>
            <w:top w:val="none" w:sz="0" w:space="0" w:color="auto"/>
            <w:left w:val="none" w:sz="0" w:space="0" w:color="auto"/>
            <w:bottom w:val="none" w:sz="0" w:space="0" w:color="auto"/>
            <w:right w:val="none" w:sz="0" w:space="0" w:color="auto"/>
          </w:divBdr>
        </w:div>
        <w:div w:id="607203843">
          <w:marLeft w:val="547"/>
          <w:marRight w:val="0"/>
          <w:marTop w:val="115"/>
          <w:marBottom w:val="0"/>
          <w:divBdr>
            <w:top w:val="none" w:sz="0" w:space="0" w:color="auto"/>
            <w:left w:val="none" w:sz="0" w:space="0" w:color="auto"/>
            <w:bottom w:val="none" w:sz="0" w:space="0" w:color="auto"/>
            <w:right w:val="none" w:sz="0" w:space="0" w:color="auto"/>
          </w:divBdr>
        </w:div>
        <w:div w:id="749304350">
          <w:marLeft w:val="1166"/>
          <w:marRight w:val="0"/>
          <w:marTop w:val="96"/>
          <w:marBottom w:val="0"/>
          <w:divBdr>
            <w:top w:val="none" w:sz="0" w:space="0" w:color="auto"/>
            <w:left w:val="none" w:sz="0" w:space="0" w:color="auto"/>
            <w:bottom w:val="none" w:sz="0" w:space="0" w:color="auto"/>
            <w:right w:val="none" w:sz="0" w:space="0" w:color="auto"/>
          </w:divBdr>
        </w:div>
        <w:div w:id="1151170563">
          <w:marLeft w:val="547"/>
          <w:marRight w:val="0"/>
          <w:marTop w:val="115"/>
          <w:marBottom w:val="0"/>
          <w:divBdr>
            <w:top w:val="none" w:sz="0" w:space="0" w:color="auto"/>
            <w:left w:val="none" w:sz="0" w:space="0" w:color="auto"/>
            <w:bottom w:val="none" w:sz="0" w:space="0" w:color="auto"/>
            <w:right w:val="none" w:sz="0" w:space="0" w:color="auto"/>
          </w:divBdr>
        </w:div>
        <w:div w:id="92754388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Llata, Eloisa (CDC/OID/NCHHSTP)</dc:creator>
  <cp:lastModifiedBy>Bonds, Constance (CDC/OID/NCHHSTP)</cp:lastModifiedBy>
  <cp:revision>2</cp:revision>
  <dcterms:created xsi:type="dcterms:W3CDTF">2012-06-27T17:17:00Z</dcterms:created>
  <dcterms:modified xsi:type="dcterms:W3CDTF">2012-06-27T17:17:00Z</dcterms:modified>
</cp:coreProperties>
</file>