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9C" w:rsidRPr="00486FA0" w:rsidRDefault="0007522E" w:rsidP="0007522E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 xml:space="preserve">Evaluation of Dating Matters: </w:t>
      </w:r>
    </w:p>
    <w:p w:rsidR="0007522E" w:rsidRPr="00486FA0" w:rsidRDefault="0007522E" w:rsidP="0007522E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>Strategies to Promote Healthy Teen Relationships</w:t>
      </w:r>
    </w:p>
    <w:p w:rsidR="0007522E" w:rsidRPr="00486FA0" w:rsidRDefault="0007522E" w:rsidP="0007522E">
      <w:pPr>
        <w:jc w:val="center"/>
        <w:rPr>
          <w:b/>
          <w:sz w:val="20"/>
          <w:szCs w:val="20"/>
        </w:rPr>
      </w:pPr>
    </w:p>
    <w:p w:rsidR="006A0CAC" w:rsidRPr="00486FA0" w:rsidRDefault="0007522E" w:rsidP="0007522E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>(OMB no. 0920-0941, exp. date</w:t>
      </w:r>
      <w:r w:rsidR="006A0CAC" w:rsidRPr="00486FA0">
        <w:rPr>
          <w:b/>
          <w:sz w:val="20"/>
          <w:szCs w:val="20"/>
        </w:rPr>
        <w:t xml:space="preserve"> 06/30/2015</w:t>
      </w:r>
    </w:p>
    <w:p w:rsidR="0007522E" w:rsidRPr="00486FA0" w:rsidRDefault="0007522E" w:rsidP="0007522E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 xml:space="preserve"> </w:t>
      </w:r>
    </w:p>
    <w:p w:rsidR="00337C90" w:rsidRPr="00486FA0" w:rsidRDefault="00337C90" w:rsidP="0007522E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 xml:space="preserve">Proposed </w:t>
      </w:r>
      <w:r w:rsidR="00530EA4" w:rsidRPr="00486FA0">
        <w:rPr>
          <w:b/>
          <w:sz w:val="20"/>
          <w:szCs w:val="20"/>
        </w:rPr>
        <w:t>Change</w:t>
      </w:r>
      <w:r w:rsidRPr="00486FA0">
        <w:rPr>
          <w:b/>
          <w:sz w:val="20"/>
          <w:szCs w:val="20"/>
        </w:rPr>
        <w:t>s:  Justification and Overview</w:t>
      </w:r>
    </w:p>
    <w:p w:rsidR="00530EA4" w:rsidRPr="00486FA0" w:rsidRDefault="00530EA4" w:rsidP="00337C90">
      <w:pPr>
        <w:jc w:val="center"/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>Submitted</w:t>
      </w:r>
      <w:r w:rsidR="00337C90" w:rsidRPr="00486FA0">
        <w:rPr>
          <w:b/>
          <w:sz w:val="20"/>
          <w:szCs w:val="20"/>
        </w:rPr>
        <w:t>:</w:t>
      </w:r>
      <w:r w:rsidRPr="00486FA0">
        <w:rPr>
          <w:b/>
          <w:sz w:val="20"/>
          <w:szCs w:val="20"/>
        </w:rPr>
        <w:t xml:space="preserve"> July</w:t>
      </w:r>
      <w:r w:rsidR="00C02D12" w:rsidRPr="00486FA0">
        <w:rPr>
          <w:b/>
          <w:sz w:val="20"/>
          <w:szCs w:val="20"/>
        </w:rPr>
        <w:t xml:space="preserve"> </w:t>
      </w:r>
      <w:r w:rsidR="00F863FC">
        <w:rPr>
          <w:b/>
          <w:sz w:val="20"/>
          <w:szCs w:val="20"/>
        </w:rPr>
        <w:t>23</w:t>
      </w:r>
      <w:r w:rsidR="00C02D12" w:rsidRPr="00486FA0">
        <w:rPr>
          <w:b/>
          <w:sz w:val="20"/>
          <w:szCs w:val="20"/>
        </w:rPr>
        <w:t>,</w:t>
      </w:r>
      <w:r w:rsidRPr="00486FA0">
        <w:rPr>
          <w:b/>
          <w:sz w:val="20"/>
          <w:szCs w:val="20"/>
        </w:rPr>
        <w:t xml:space="preserve"> 2012</w:t>
      </w:r>
    </w:p>
    <w:p w:rsidR="00530EA4" w:rsidRPr="00486FA0" w:rsidRDefault="00530EA4" w:rsidP="00520987">
      <w:pPr>
        <w:rPr>
          <w:sz w:val="20"/>
          <w:szCs w:val="20"/>
        </w:rPr>
      </w:pPr>
    </w:p>
    <w:p w:rsidR="009047EE" w:rsidRPr="00486FA0" w:rsidRDefault="009047EE" w:rsidP="00520987">
      <w:pPr>
        <w:rPr>
          <w:b/>
          <w:sz w:val="20"/>
          <w:szCs w:val="20"/>
        </w:rPr>
      </w:pPr>
      <w:r w:rsidRPr="00486FA0">
        <w:rPr>
          <w:b/>
          <w:sz w:val="20"/>
          <w:szCs w:val="20"/>
        </w:rPr>
        <w:t>Justification</w:t>
      </w:r>
    </w:p>
    <w:p w:rsidR="009047EE" w:rsidRPr="00486FA0" w:rsidRDefault="008C734A" w:rsidP="00520987">
      <w:pPr>
        <w:rPr>
          <w:b/>
          <w:sz w:val="20"/>
          <w:szCs w:val="20"/>
        </w:rPr>
      </w:pPr>
      <w:r w:rsidRPr="00486FA0">
        <w:rPr>
          <w:sz w:val="20"/>
          <w:szCs w:val="20"/>
        </w:rPr>
        <w:t>This</w:t>
      </w:r>
      <w:r w:rsidR="008B66E0" w:rsidRPr="00486FA0">
        <w:rPr>
          <w:sz w:val="20"/>
          <w:szCs w:val="20"/>
        </w:rPr>
        <w:t xml:space="preserve"> </w:t>
      </w:r>
      <w:r w:rsidRPr="00486FA0">
        <w:rPr>
          <w:sz w:val="20"/>
          <w:szCs w:val="20"/>
        </w:rPr>
        <w:t xml:space="preserve">nonmaterial, non-substantive change request </w:t>
      </w:r>
      <w:r w:rsidR="008B66E0" w:rsidRPr="00486FA0">
        <w:rPr>
          <w:sz w:val="20"/>
          <w:szCs w:val="20"/>
        </w:rPr>
        <w:t xml:space="preserve">reflects changes to </w:t>
      </w:r>
      <w:r w:rsidR="00E84DAD">
        <w:rPr>
          <w:sz w:val="20"/>
          <w:szCs w:val="20"/>
        </w:rPr>
        <w:t xml:space="preserve">clarify </w:t>
      </w:r>
      <w:r w:rsidR="008B66E0" w:rsidRPr="00486FA0">
        <w:rPr>
          <w:sz w:val="20"/>
          <w:szCs w:val="20"/>
        </w:rPr>
        <w:t xml:space="preserve">procedures and </w:t>
      </w:r>
      <w:r w:rsidR="00E84DAD">
        <w:rPr>
          <w:sz w:val="20"/>
          <w:szCs w:val="20"/>
        </w:rPr>
        <w:t xml:space="preserve">reduce redundancies in data collection instruments.  </w:t>
      </w:r>
      <w:r w:rsidR="003C6553">
        <w:rPr>
          <w:sz w:val="20"/>
          <w:szCs w:val="20"/>
        </w:rPr>
        <w:t>This change results in a streamlined and improved flow in read</w:t>
      </w:r>
      <w:r w:rsidR="00D34A77">
        <w:rPr>
          <w:sz w:val="20"/>
          <w:szCs w:val="20"/>
        </w:rPr>
        <w:t>ability of information collection instruments and instructions in order to improve</w:t>
      </w:r>
      <w:r w:rsidR="003C6553">
        <w:rPr>
          <w:sz w:val="20"/>
          <w:szCs w:val="20"/>
        </w:rPr>
        <w:t xml:space="preserve"> </w:t>
      </w:r>
      <w:r w:rsidR="00873AE3">
        <w:rPr>
          <w:sz w:val="20"/>
          <w:szCs w:val="20"/>
        </w:rPr>
        <w:t xml:space="preserve">participant comprehension.  </w:t>
      </w:r>
    </w:p>
    <w:p w:rsidR="00E421F0" w:rsidRPr="00486FA0" w:rsidRDefault="00E421F0" w:rsidP="00520987">
      <w:pPr>
        <w:rPr>
          <w:sz w:val="20"/>
          <w:szCs w:val="20"/>
        </w:rPr>
      </w:pPr>
    </w:p>
    <w:p w:rsidR="00E421F0" w:rsidRPr="00486FA0" w:rsidRDefault="00E421F0" w:rsidP="00520987">
      <w:pPr>
        <w:rPr>
          <w:rFonts w:asciiTheme="minorHAnsi" w:hAnsiTheme="minorHAnsi" w:cstheme="minorHAnsi"/>
          <w:b/>
          <w:sz w:val="20"/>
          <w:szCs w:val="20"/>
        </w:rPr>
      </w:pPr>
      <w:r w:rsidRPr="00486FA0">
        <w:rPr>
          <w:b/>
          <w:sz w:val="20"/>
          <w:szCs w:val="20"/>
        </w:rPr>
        <w:t>Project Description</w:t>
      </w:r>
    </w:p>
    <w:p w:rsidR="008B66E0" w:rsidRPr="00486FA0" w:rsidRDefault="008B66E0" w:rsidP="008B66E0">
      <w:pPr>
        <w:rPr>
          <w:rFonts w:asciiTheme="minorHAnsi" w:hAnsiTheme="minorHAnsi" w:cstheme="minorHAnsi"/>
          <w:sz w:val="20"/>
          <w:szCs w:val="20"/>
        </w:rPr>
      </w:pPr>
      <w:r w:rsidRPr="00486FA0">
        <w:rPr>
          <w:rFonts w:asciiTheme="minorHAnsi" w:hAnsiTheme="minorHAnsi" w:cstheme="minorHAnsi"/>
          <w:i/>
          <w:sz w:val="20"/>
          <w:szCs w:val="20"/>
        </w:rPr>
        <w:t>Dating Matters: Strategies to Promote Healthy Teen Relationships™</w:t>
      </w:r>
      <w:r w:rsidRPr="00486FA0">
        <w:rPr>
          <w:rFonts w:asciiTheme="minorHAnsi" w:hAnsiTheme="minorHAnsi" w:cstheme="minorHAnsi"/>
          <w:sz w:val="20"/>
          <w:szCs w:val="20"/>
        </w:rPr>
        <w:t xml:space="preserve"> is </w:t>
      </w:r>
      <w:r w:rsidR="00873AE3">
        <w:rPr>
          <w:rFonts w:asciiTheme="minorHAnsi" w:hAnsiTheme="minorHAnsi" w:cstheme="minorHAnsi"/>
          <w:sz w:val="20"/>
          <w:szCs w:val="20"/>
        </w:rPr>
        <w:t xml:space="preserve">an approved Information Collection Request </w:t>
      </w:r>
      <w:r w:rsidR="008936F4">
        <w:rPr>
          <w:rFonts w:asciiTheme="minorHAnsi" w:hAnsiTheme="minorHAnsi" w:cstheme="minorHAnsi"/>
          <w:sz w:val="20"/>
          <w:szCs w:val="20"/>
        </w:rPr>
        <w:t xml:space="preserve">focused on </w:t>
      </w:r>
      <w:r w:rsidRPr="00486FA0">
        <w:rPr>
          <w:rFonts w:asciiTheme="minorHAnsi" w:hAnsiTheme="minorHAnsi" w:cstheme="minorHAnsi"/>
          <w:sz w:val="20"/>
          <w:szCs w:val="20"/>
        </w:rPr>
        <w:t>teen dating violence prevention</w:t>
      </w:r>
      <w:r w:rsidR="008936F4">
        <w:rPr>
          <w:rFonts w:asciiTheme="minorHAnsi" w:hAnsiTheme="minorHAnsi" w:cstheme="minorHAnsi"/>
          <w:sz w:val="20"/>
          <w:szCs w:val="20"/>
        </w:rPr>
        <w:t xml:space="preserve">.  </w:t>
      </w:r>
      <w:r w:rsidRPr="00486FA0">
        <w:rPr>
          <w:rFonts w:asciiTheme="minorHAnsi" w:hAnsiTheme="minorHAnsi" w:cstheme="minorHAnsi"/>
          <w:i/>
          <w:sz w:val="20"/>
          <w:szCs w:val="20"/>
        </w:rPr>
        <w:t>Dating Matters</w:t>
      </w:r>
      <w:r w:rsidRPr="00486FA0">
        <w:rPr>
          <w:rFonts w:asciiTheme="minorHAnsi" w:hAnsiTheme="minorHAnsi" w:cstheme="minorHAnsi"/>
          <w:sz w:val="20"/>
          <w:szCs w:val="20"/>
        </w:rPr>
        <w:t xml:space="preserve"> is</w:t>
      </w:r>
      <w:r w:rsidRPr="00486FA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86FA0">
        <w:rPr>
          <w:rFonts w:asciiTheme="minorHAnsi" w:hAnsiTheme="minorHAnsi" w:cstheme="minorHAnsi"/>
          <w:sz w:val="20"/>
          <w:szCs w:val="20"/>
        </w:rPr>
        <w:t xml:space="preserve">a comprehensive teen dating violence prevention program based on the current evidence about what works in prevention. </w:t>
      </w:r>
      <w:r w:rsidRPr="00486FA0">
        <w:rPr>
          <w:rFonts w:asciiTheme="minorHAnsi" w:hAnsiTheme="minorHAnsi" w:cstheme="minorHAnsi"/>
          <w:i/>
          <w:sz w:val="20"/>
          <w:szCs w:val="20"/>
        </w:rPr>
        <w:t>Dating Matters</w:t>
      </w:r>
      <w:r w:rsidRPr="00486FA0">
        <w:rPr>
          <w:rFonts w:asciiTheme="minorHAnsi" w:hAnsiTheme="minorHAnsi" w:cstheme="minorHAnsi"/>
          <w:sz w:val="20"/>
          <w:szCs w:val="20"/>
        </w:rPr>
        <w:t xml:space="preserve"> focuses on middle school youth in high-risk, urban communities. It includes preventive strategies for individuals, peers, families, schools, and neighborhoods. The primary goal </w:t>
      </w:r>
      <w:r w:rsidR="008936F4">
        <w:rPr>
          <w:rFonts w:asciiTheme="minorHAnsi" w:hAnsiTheme="minorHAnsi" w:cstheme="minorHAnsi"/>
          <w:sz w:val="20"/>
          <w:szCs w:val="20"/>
        </w:rPr>
        <w:t>is</w:t>
      </w:r>
      <w:r w:rsidRPr="00486FA0">
        <w:rPr>
          <w:rFonts w:asciiTheme="minorHAnsi" w:hAnsiTheme="minorHAnsi" w:cstheme="minorHAnsi"/>
          <w:sz w:val="20"/>
          <w:szCs w:val="20"/>
        </w:rPr>
        <w:t xml:space="preserve"> to conduct an outcome and implementation evaluation of Dating Matters to determine its feasibility, cost, and effectiveness. This evaluation of Dating Matters will be conducted in the following cities: Alameda County, California; Baltimore, Maryland; Broward County, Florida; and, Chicago, Illinois.</w:t>
      </w:r>
    </w:p>
    <w:p w:rsidR="009231D3" w:rsidRPr="00486FA0" w:rsidRDefault="009231D3" w:rsidP="00520987">
      <w:pPr>
        <w:rPr>
          <w:rFonts w:asciiTheme="minorHAnsi" w:hAnsiTheme="minorHAnsi" w:cstheme="minorHAnsi"/>
          <w:b/>
          <w:sz w:val="20"/>
          <w:szCs w:val="20"/>
        </w:rPr>
      </w:pPr>
    </w:p>
    <w:p w:rsidR="009231D3" w:rsidRPr="00486FA0" w:rsidRDefault="009231D3" w:rsidP="00520987">
      <w:pPr>
        <w:rPr>
          <w:rFonts w:asciiTheme="minorHAnsi" w:hAnsiTheme="minorHAnsi" w:cstheme="minorHAnsi"/>
          <w:b/>
          <w:sz w:val="20"/>
          <w:szCs w:val="20"/>
        </w:rPr>
      </w:pPr>
      <w:r w:rsidRPr="00486FA0">
        <w:rPr>
          <w:rFonts w:asciiTheme="minorHAnsi" w:hAnsiTheme="minorHAnsi" w:cstheme="minorHAnsi"/>
          <w:b/>
          <w:sz w:val="20"/>
          <w:szCs w:val="20"/>
        </w:rPr>
        <w:t>Proposed Changes</w:t>
      </w:r>
    </w:p>
    <w:p w:rsidR="00AF7AFF" w:rsidRPr="00486FA0" w:rsidRDefault="00AF7AFF" w:rsidP="00AF7AFF">
      <w:pPr>
        <w:rPr>
          <w:sz w:val="20"/>
          <w:szCs w:val="20"/>
        </w:rPr>
      </w:pPr>
      <w:r w:rsidRPr="00486FA0">
        <w:rPr>
          <w:sz w:val="20"/>
          <w:szCs w:val="20"/>
        </w:rPr>
        <w:t>Summary of changes:</w:t>
      </w:r>
    </w:p>
    <w:p w:rsidR="00D65BAF" w:rsidRDefault="008936F4" w:rsidP="003E424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Outcome Evaluation Surveys:  </w:t>
      </w:r>
      <w:r w:rsidRPr="003C6553">
        <w:rPr>
          <w:b/>
          <w:sz w:val="20"/>
          <w:szCs w:val="20"/>
        </w:rPr>
        <w:t>Attachments D</w:t>
      </w:r>
      <w:r w:rsidR="00522D46">
        <w:rPr>
          <w:b/>
          <w:sz w:val="20"/>
          <w:szCs w:val="20"/>
        </w:rPr>
        <w:t xml:space="preserve">, </w:t>
      </w:r>
      <w:r w:rsidR="008B7ED1" w:rsidRPr="003C6553">
        <w:rPr>
          <w:b/>
          <w:sz w:val="20"/>
          <w:szCs w:val="20"/>
        </w:rPr>
        <w:t>H</w:t>
      </w:r>
      <w:r w:rsidR="00522D46">
        <w:rPr>
          <w:b/>
          <w:sz w:val="20"/>
          <w:szCs w:val="20"/>
        </w:rPr>
        <w:t xml:space="preserve">, </w:t>
      </w:r>
      <w:r w:rsidR="008B7ED1" w:rsidRPr="003C6553">
        <w:rPr>
          <w:b/>
          <w:sz w:val="20"/>
          <w:szCs w:val="20"/>
        </w:rPr>
        <w:t>I</w:t>
      </w:r>
      <w:r w:rsidR="007577BC">
        <w:rPr>
          <w:b/>
          <w:sz w:val="20"/>
          <w:szCs w:val="20"/>
        </w:rPr>
        <w:t xml:space="preserve"> </w:t>
      </w:r>
      <w:bookmarkStart w:id="0" w:name="_GoBack"/>
      <w:bookmarkEnd w:id="0"/>
      <w:r w:rsidR="00D34A77">
        <w:rPr>
          <w:sz w:val="20"/>
          <w:szCs w:val="20"/>
        </w:rPr>
        <w:t>–</w:t>
      </w:r>
      <w:r w:rsidR="003370AF">
        <w:rPr>
          <w:sz w:val="20"/>
          <w:szCs w:val="20"/>
        </w:rPr>
        <w:t xml:space="preserve"> </w:t>
      </w:r>
      <w:r w:rsidR="00522D46">
        <w:rPr>
          <w:sz w:val="20"/>
          <w:szCs w:val="20"/>
        </w:rPr>
        <w:t>The three baseline out</w:t>
      </w:r>
      <w:r w:rsidR="00CB5CFE">
        <w:rPr>
          <w:sz w:val="20"/>
          <w:szCs w:val="20"/>
        </w:rPr>
        <w:t xml:space="preserve">come evaluation </w:t>
      </w:r>
      <w:r w:rsidR="00D34A77">
        <w:rPr>
          <w:sz w:val="20"/>
          <w:szCs w:val="20"/>
        </w:rPr>
        <w:t>instruments were s</w:t>
      </w:r>
      <w:r w:rsidR="003E424B">
        <w:rPr>
          <w:sz w:val="20"/>
          <w:szCs w:val="20"/>
        </w:rPr>
        <w:t>t</w:t>
      </w:r>
      <w:r w:rsidR="003370AF">
        <w:rPr>
          <w:sz w:val="20"/>
          <w:szCs w:val="20"/>
        </w:rPr>
        <w:t xml:space="preserve">reamlined </w:t>
      </w:r>
      <w:r w:rsidR="00D65BAF">
        <w:rPr>
          <w:sz w:val="20"/>
          <w:szCs w:val="20"/>
        </w:rPr>
        <w:t>in order to reduce redundancy. The o</w:t>
      </w:r>
      <w:r w:rsidR="00D34A77">
        <w:rPr>
          <w:sz w:val="20"/>
          <w:szCs w:val="20"/>
        </w:rPr>
        <w:t>verall aim and content of the instruments are</w:t>
      </w:r>
      <w:r w:rsidR="00D65BAF">
        <w:rPr>
          <w:sz w:val="20"/>
          <w:szCs w:val="20"/>
        </w:rPr>
        <w:t xml:space="preserve"> unchanged.</w:t>
      </w:r>
      <w:r w:rsidR="00D34A77">
        <w:rPr>
          <w:sz w:val="20"/>
          <w:szCs w:val="20"/>
        </w:rPr>
        <w:t xml:space="preserve"> </w:t>
      </w:r>
      <w:r w:rsidR="00522D46">
        <w:rPr>
          <w:b/>
          <w:sz w:val="20"/>
          <w:szCs w:val="20"/>
        </w:rPr>
        <w:t>These instruments will be administered in early August 2012.</w:t>
      </w:r>
    </w:p>
    <w:p w:rsidR="00AF7AFF" w:rsidRPr="00BB6B47" w:rsidRDefault="00D34A77" w:rsidP="00D65BAF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For example, </w:t>
      </w:r>
      <w:r w:rsidRPr="00353852">
        <w:rPr>
          <w:b/>
          <w:sz w:val="20"/>
          <w:szCs w:val="20"/>
        </w:rPr>
        <w:t xml:space="preserve">Attachment </w:t>
      </w:r>
      <w:r w:rsidR="00A945C0" w:rsidRPr="00353852">
        <w:rPr>
          <w:b/>
          <w:sz w:val="20"/>
          <w:szCs w:val="20"/>
        </w:rPr>
        <w:t>D</w:t>
      </w:r>
      <w:r>
        <w:rPr>
          <w:sz w:val="20"/>
          <w:szCs w:val="20"/>
        </w:rPr>
        <w:t xml:space="preserve"> assess</w:t>
      </w:r>
      <w:r w:rsidR="000C6E7C">
        <w:rPr>
          <w:sz w:val="20"/>
          <w:szCs w:val="20"/>
        </w:rPr>
        <w:t>es</w:t>
      </w:r>
      <w:r>
        <w:rPr>
          <w:sz w:val="20"/>
          <w:szCs w:val="20"/>
        </w:rPr>
        <w:t xml:space="preserve"> somatic symptoms of stress</w:t>
      </w:r>
      <w:r w:rsidR="00355237">
        <w:rPr>
          <w:sz w:val="20"/>
          <w:szCs w:val="20"/>
        </w:rPr>
        <w:t xml:space="preserve">, which results in elimination of </w:t>
      </w:r>
      <w:r>
        <w:rPr>
          <w:sz w:val="20"/>
          <w:szCs w:val="20"/>
        </w:rPr>
        <w:t xml:space="preserve">10 items in order to increase </w:t>
      </w:r>
      <w:r w:rsidR="00A945C0">
        <w:rPr>
          <w:sz w:val="20"/>
          <w:szCs w:val="20"/>
        </w:rPr>
        <w:t xml:space="preserve">response </w:t>
      </w:r>
      <w:r>
        <w:rPr>
          <w:sz w:val="20"/>
          <w:szCs w:val="20"/>
        </w:rPr>
        <w:t xml:space="preserve">efficiency and decrease redundancy. </w:t>
      </w:r>
      <w:r w:rsidR="000C6E7C">
        <w:rPr>
          <w:sz w:val="20"/>
          <w:szCs w:val="20"/>
        </w:rPr>
        <w:t>I</w:t>
      </w:r>
      <w:r>
        <w:rPr>
          <w:sz w:val="20"/>
          <w:szCs w:val="20"/>
        </w:rPr>
        <w:t xml:space="preserve">nstructions for skip patterns </w:t>
      </w:r>
      <w:r w:rsidR="000C6E7C">
        <w:rPr>
          <w:sz w:val="20"/>
          <w:szCs w:val="20"/>
        </w:rPr>
        <w:t xml:space="preserve">have been </w:t>
      </w:r>
      <w:r>
        <w:rPr>
          <w:sz w:val="20"/>
          <w:szCs w:val="20"/>
        </w:rPr>
        <w:t>reworded to increase clarity and accuracy of reporting.</w:t>
      </w:r>
    </w:p>
    <w:p w:rsidR="00D65BAF" w:rsidRDefault="003E424B" w:rsidP="00A614E3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Communication Surveys, Capacity and Readiness Assessments, </w:t>
      </w:r>
      <w:r w:rsidR="002474B2">
        <w:rPr>
          <w:sz w:val="20"/>
          <w:szCs w:val="20"/>
        </w:rPr>
        <w:t>Technical Assistance</w:t>
      </w:r>
      <w:r w:rsidR="00166577">
        <w:rPr>
          <w:sz w:val="20"/>
          <w:szCs w:val="20"/>
        </w:rPr>
        <w:t xml:space="preserve"> (</w:t>
      </w:r>
      <w:r>
        <w:rPr>
          <w:sz w:val="20"/>
          <w:szCs w:val="20"/>
        </w:rPr>
        <w:t>TA</w:t>
      </w:r>
      <w:r w:rsidR="00166577">
        <w:rPr>
          <w:sz w:val="20"/>
          <w:szCs w:val="20"/>
        </w:rPr>
        <w:t>)</w:t>
      </w:r>
      <w:r>
        <w:rPr>
          <w:sz w:val="20"/>
          <w:szCs w:val="20"/>
        </w:rPr>
        <w:t xml:space="preserve"> Tracking Form, and Session Logs</w:t>
      </w:r>
      <w:r w:rsidR="00522D46">
        <w:rPr>
          <w:sz w:val="20"/>
          <w:szCs w:val="20"/>
        </w:rPr>
        <w:t xml:space="preserve"> for 5 curricula</w:t>
      </w:r>
      <w:r>
        <w:rPr>
          <w:sz w:val="20"/>
          <w:szCs w:val="20"/>
        </w:rPr>
        <w:t xml:space="preserve">: </w:t>
      </w:r>
      <w:r w:rsidR="008B7ED1" w:rsidRPr="003C6553">
        <w:rPr>
          <w:b/>
          <w:sz w:val="20"/>
          <w:szCs w:val="20"/>
        </w:rPr>
        <w:t>Attachments J-SS, CCC-LLL, DDDD</w:t>
      </w:r>
      <w:r w:rsidR="008B7ED1">
        <w:rPr>
          <w:sz w:val="20"/>
          <w:szCs w:val="20"/>
        </w:rPr>
        <w:t xml:space="preserve"> </w:t>
      </w:r>
      <w:r w:rsidR="00D34A7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0C6E7C">
        <w:rPr>
          <w:sz w:val="20"/>
          <w:szCs w:val="20"/>
        </w:rPr>
        <w:t xml:space="preserve">Refined scales </w:t>
      </w:r>
      <w:r w:rsidR="008B7ED1">
        <w:rPr>
          <w:sz w:val="20"/>
          <w:szCs w:val="20"/>
        </w:rPr>
        <w:t xml:space="preserve">to reflect </w:t>
      </w:r>
      <w:r w:rsidR="00D34A77">
        <w:rPr>
          <w:sz w:val="20"/>
          <w:szCs w:val="20"/>
        </w:rPr>
        <w:t>the final student and parent curricula</w:t>
      </w:r>
      <w:r w:rsidR="000C6E7C">
        <w:rPr>
          <w:sz w:val="20"/>
          <w:szCs w:val="20"/>
        </w:rPr>
        <w:t xml:space="preserve">. </w:t>
      </w:r>
      <w:r w:rsidR="00D65BAF">
        <w:rPr>
          <w:sz w:val="20"/>
          <w:szCs w:val="20"/>
        </w:rPr>
        <w:t xml:space="preserve"> </w:t>
      </w:r>
    </w:p>
    <w:p w:rsidR="003C6553" w:rsidRPr="00CB5CFE" w:rsidRDefault="00D34A77" w:rsidP="00CB5CFE">
      <w:pPr>
        <w:pStyle w:val="ListParagraph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For example,</w:t>
      </w:r>
      <w:r w:rsidR="00D65BAF">
        <w:rPr>
          <w:sz w:val="20"/>
          <w:szCs w:val="20"/>
        </w:rPr>
        <w:t xml:space="preserve"> </w:t>
      </w:r>
      <w:r w:rsidR="00D65BAF" w:rsidRPr="00353852">
        <w:rPr>
          <w:b/>
          <w:sz w:val="20"/>
          <w:szCs w:val="20"/>
        </w:rPr>
        <w:t>Attachment U</w:t>
      </w:r>
      <w:r w:rsidR="00D65B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includes a </w:t>
      </w:r>
      <w:r w:rsidR="00D65BAF">
        <w:rPr>
          <w:sz w:val="20"/>
          <w:szCs w:val="20"/>
        </w:rPr>
        <w:t>question about implementation of ground rules</w:t>
      </w:r>
      <w:r>
        <w:rPr>
          <w:sz w:val="20"/>
          <w:szCs w:val="20"/>
        </w:rPr>
        <w:t xml:space="preserve"> in Session 1 of the 6</w:t>
      </w:r>
      <w:r w:rsidRPr="00D34A7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student curricula. I</w:t>
      </w:r>
      <w:r w:rsidR="00D65BAF">
        <w:rPr>
          <w:sz w:val="20"/>
          <w:szCs w:val="20"/>
        </w:rPr>
        <w:t xml:space="preserve">n the original version several examples of ground rules were included, which resulted in a lengthy, potentially unclear question. </w:t>
      </w:r>
      <w:r w:rsidR="000C6E7C">
        <w:rPr>
          <w:sz w:val="20"/>
          <w:szCs w:val="20"/>
        </w:rPr>
        <w:t xml:space="preserve">  These refinements </w:t>
      </w:r>
      <w:r w:rsidR="00D65BAF">
        <w:rPr>
          <w:sz w:val="20"/>
          <w:szCs w:val="20"/>
        </w:rPr>
        <w:t xml:space="preserve">throughout the session </w:t>
      </w:r>
      <w:r w:rsidR="00A945C0">
        <w:rPr>
          <w:sz w:val="20"/>
          <w:szCs w:val="20"/>
        </w:rPr>
        <w:t>logs reflect</w:t>
      </w:r>
      <w:r w:rsidR="00D65BAF">
        <w:rPr>
          <w:sz w:val="20"/>
          <w:szCs w:val="20"/>
        </w:rPr>
        <w:t xml:space="preserve"> the final programmatic materials and reduce redundancy in questions.</w:t>
      </w:r>
      <w:r w:rsidR="00CB5CFE">
        <w:rPr>
          <w:sz w:val="20"/>
          <w:szCs w:val="20"/>
        </w:rPr>
        <w:t xml:space="preserve"> </w:t>
      </w:r>
    </w:p>
    <w:p w:rsidR="00AF7AFF" w:rsidRPr="00BB6B47" w:rsidRDefault="00AF7AFF" w:rsidP="00AF7AFF">
      <w:pPr>
        <w:rPr>
          <w:sz w:val="20"/>
          <w:szCs w:val="20"/>
        </w:rPr>
      </w:pPr>
    </w:p>
    <w:p w:rsidR="009231D3" w:rsidRPr="00397B7D" w:rsidRDefault="009231D3" w:rsidP="00520987">
      <w:pPr>
        <w:rPr>
          <w:b/>
          <w:sz w:val="20"/>
          <w:szCs w:val="20"/>
        </w:rPr>
      </w:pPr>
      <w:r w:rsidRPr="00397B7D">
        <w:rPr>
          <w:b/>
          <w:sz w:val="20"/>
          <w:szCs w:val="20"/>
        </w:rPr>
        <w:t>Change to Burden and/or Cost</w:t>
      </w:r>
    </w:p>
    <w:p w:rsidR="009231D3" w:rsidRPr="00397B7D" w:rsidRDefault="009231D3" w:rsidP="00520987">
      <w:pPr>
        <w:rPr>
          <w:b/>
          <w:sz w:val="20"/>
          <w:szCs w:val="20"/>
        </w:rPr>
      </w:pPr>
    </w:p>
    <w:p w:rsidR="00530EA4" w:rsidRDefault="00530EA4" w:rsidP="00520987">
      <w:pPr>
        <w:rPr>
          <w:sz w:val="20"/>
          <w:szCs w:val="20"/>
        </w:rPr>
      </w:pPr>
      <w:r w:rsidRPr="00397B7D">
        <w:rPr>
          <w:sz w:val="20"/>
          <w:szCs w:val="20"/>
        </w:rPr>
        <w:t xml:space="preserve">Overall </w:t>
      </w:r>
      <w:r w:rsidR="003B1C57" w:rsidRPr="00397B7D">
        <w:rPr>
          <w:b/>
          <w:sz w:val="20"/>
          <w:szCs w:val="20"/>
        </w:rPr>
        <w:t>decrease</w:t>
      </w:r>
      <w:r w:rsidRPr="00397B7D">
        <w:rPr>
          <w:sz w:val="20"/>
          <w:szCs w:val="20"/>
        </w:rPr>
        <w:t xml:space="preserve"> in </w:t>
      </w:r>
      <w:r w:rsidR="00253C72" w:rsidRPr="00397B7D">
        <w:rPr>
          <w:sz w:val="20"/>
          <w:szCs w:val="20"/>
        </w:rPr>
        <w:t>burden and burden cost:</w:t>
      </w:r>
    </w:p>
    <w:p w:rsidR="002268F3" w:rsidRPr="00397B7D" w:rsidRDefault="002268F3" w:rsidP="0052098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340"/>
        <w:gridCol w:w="2160"/>
      </w:tblGrid>
      <w:tr w:rsidR="00006E5C" w:rsidRPr="009E22E8" w:rsidTr="00006E5C">
        <w:tc>
          <w:tcPr>
            <w:tcW w:w="2628" w:type="dxa"/>
          </w:tcPr>
          <w:p w:rsidR="00006E5C" w:rsidRPr="009E22E8" w:rsidRDefault="00006E5C" w:rsidP="00520987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006E5C" w:rsidRPr="00B12FD1" w:rsidRDefault="00006E5C" w:rsidP="00253C72">
            <w:pPr>
              <w:jc w:val="center"/>
              <w:rPr>
                <w:b/>
                <w:sz w:val="20"/>
                <w:szCs w:val="20"/>
              </w:rPr>
            </w:pPr>
            <w:r w:rsidRPr="00B12FD1">
              <w:rPr>
                <w:b/>
                <w:sz w:val="20"/>
                <w:szCs w:val="20"/>
              </w:rPr>
              <w:t>Total Burden Hours</w:t>
            </w:r>
          </w:p>
        </w:tc>
        <w:tc>
          <w:tcPr>
            <w:tcW w:w="2160" w:type="dxa"/>
          </w:tcPr>
          <w:p w:rsidR="00006E5C" w:rsidRPr="009E22E8" w:rsidRDefault="00006E5C" w:rsidP="00253C72">
            <w:pPr>
              <w:jc w:val="center"/>
              <w:rPr>
                <w:b/>
                <w:sz w:val="20"/>
                <w:szCs w:val="20"/>
              </w:rPr>
            </w:pPr>
            <w:r w:rsidRPr="009E22E8">
              <w:rPr>
                <w:b/>
                <w:sz w:val="20"/>
                <w:szCs w:val="20"/>
              </w:rPr>
              <w:t>Total Burden Cost</w:t>
            </w:r>
          </w:p>
        </w:tc>
      </w:tr>
      <w:tr w:rsidR="00253C72" w:rsidRPr="009E22E8" w:rsidTr="00006E5C">
        <w:tc>
          <w:tcPr>
            <w:tcW w:w="2628" w:type="dxa"/>
          </w:tcPr>
          <w:p w:rsidR="00253C72" w:rsidRPr="009E22E8" w:rsidRDefault="00693485" w:rsidP="00006E5C">
            <w:pPr>
              <w:rPr>
                <w:b/>
                <w:sz w:val="20"/>
                <w:szCs w:val="20"/>
              </w:rPr>
            </w:pPr>
            <w:r w:rsidRPr="009E22E8">
              <w:rPr>
                <w:b/>
                <w:sz w:val="20"/>
                <w:szCs w:val="20"/>
              </w:rPr>
              <w:t>Appro</w:t>
            </w:r>
            <w:r w:rsidRPr="007F4383">
              <w:rPr>
                <w:b/>
                <w:sz w:val="20"/>
                <w:szCs w:val="20"/>
              </w:rPr>
              <w:t>ved</w:t>
            </w:r>
          </w:p>
        </w:tc>
        <w:tc>
          <w:tcPr>
            <w:tcW w:w="2340" w:type="dxa"/>
          </w:tcPr>
          <w:p w:rsidR="00253C72" w:rsidRPr="009E22E8" w:rsidRDefault="00253C72" w:rsidP="00253C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2FD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44,9</w:t>
            </w:r>
            <w:r w:rsidR="000447E7" w:rsidRPr="009E22E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160" w:type="dxa"/>
          </w:tcPr>
          <w:p w:rsidR="00253C72" w:rsidRPr="009E22E8" w:rsidRDefault="00397B7D" w:rsidP="00253C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$510,674.17</w:t>
            </w:r>
          </w:p>
        </w:tc>
      </w:tr>
      <w:tr w:rsidR="00253C72" w:rsidRPr="009E22E8" w:rsidTr="00006E5C">
        <w:tc>
          <w:tcPr>
            <w:tcW w:w="2628" w:type="dxa"/>
          </w:tcPr>
          <w:p w:rsidR="00253C72" w:rsidRPr="009E22E8" w:rsidRDefault="00693485" w:rsidP="00006E5C">
            <w:pPr>
              <w:rPr>
                <w:b/>
                <w:sz w:val="20"/>
                <w:szCs w:val="20"/>
              </w:rPr>
            </w:pPr>
            <w:r w:rsidRPr="009E22E8">
              <w:rPr>
                <w:b/>
                <w:sz w:val="20"/>
                <w:szCs w:val="20"/>
              </w:rPr>
              <w:t>Proposed</w:t>
            </w:r>
          </w:p>
        </w:tc>
        <w:tc>
          <w:tcPr>
            <w:tcW w:w="2340" w:type="dxa"/>
          </w:tcPr>
          <w:p w:rsidR="00253C72" w:rsidRPr="00B12FD1" w:rsidRDefault="008E31DA" w:rsidP="00253C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35,054</w:t>
            </w:r>
          </w:p>
        </w:tc>
        <w:tc>
          <w:tcPr>
            <w:tcW w:w="2160" w:type="dxa"/>
          </w:tcPr>
          <w:p w:rsidR="00253C72" w:rsidRPr="009E22E8" w:rsidRDefault="00253C72" w:rsidP="008E31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2E8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8E31DA">
              <w:rPr>
                <w:rFonts w:asciiTheme="minorHAnsi" w:hAnsiTheme="minorHAnsi" w:cstheme="minorHAnsi"/>
                <w:sz w:val="20"/>
                <w:szCs w:val="20"/>
              </w:rPr>
              <w:t>420,158.17</w:t>
            </w:r>
          </w:p>
        </w:tc>
      </w:tr>
      <w:tr w:rsidR="00253C72" w:rsidRPr="009E22E8" w:rsidTr="00006E5C">
        <w:tc>
          <w:tcPr>
            <w:tcW w:w="2628" w:type="dxa"/>
          </w:tcPr>
          <w:p w:rsidR="00253C72" w:rsidRPr="009E22E8" w:rsidRDefault="00253C72" w:rsidP="00520987">
            <w:pPr>
              <w:rPr>
                <w:b/>
                <w:sz w:val="20"/>
                <w:szCs w:val="20"/>
              </w:rPr>
            </w:pPr>
            <w:r w:rsidRPr="009E22E8">
              <w:rPr>
                <w:b/>
                <w:sz w:val="20"/>
                <w:szCs w:val="20"/>
              </w:rPr>
              <w:t>Difference</w:t>
            </w:r>
          </w:p>
        </w:tc>
        <w:tc>
          <w:tcPr>
            <w:tcW w:w="2340" w:type="dxa"/>
          </w:tcPr>
          <w:p w:rsidR="00253C72" w:rsidRPr="007F4383" w:rsidRDefault="00253C72" w:rsidP="008E31DA">
            <w:pPr>
              <w:jc w:val="center"/>
              <w:rPr>
                <w:sz w:val="20"/>
                <w:szCs w:val="20"/>
              </w:rPr>
            </w:pPr>
            <w:r w:rsidRPr="007F4383">
              <w:rPr>
                <w:sz w:val="20"/>
                <w:szCs w:val="20"/>
              </w:rPr>
              <w:t>-</w:t>
            </w:r>
            <w:r w:rsidR="008E31DA">
              <w:rPr>
                <w:sz w:val="20"/>
                <w:szCs w:val="20"/>
              </w:rPr>
              <w:t>9,924</w:t>
            </w:r>
          </w:p>
        </w:tc>
        <w:tc>
          <w:tcPr>
            <w:tcW w:w="2160" w:type="dxa"/>
          </w:tcPr>
          <w:p w:rsidR="00253C72" w:rsidRPr="00B12FD1" w:rsidRDefault="00397B7D" w:rsidP="008E3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-$</w:t>
            </w:r>
            <w:r w:rsidR="008E31DA">
              <w:rPr>
                <w:sz w:val="20"/>
                <w:szCs w:val="20"/>
              </w:rPr>
              <w:t>90,516.00</w:t>
            </w:r>
          </w:p>
        </w:tc>
      </w:tr>
    </w:tbl>
    <w:p w:rsidR="00AF7AFF" w:rsidRPr="00397B7D" w:rsidRDefault="00AF7AFF" w:rsidP="00513209">
      <w:pPr>
        <w:rPr>
          <w:sz w:val="20"/>
          <w:szCs w:val="20"/>
        </w:rPr>
      </w:pPr>
    </w:p>
    <w:sectPr w:rsidR="00AF7AFF" w:rsidRPr="00397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CDE"/>
    <w:multiLevelType w:val="hybridMultilevel"/>
    <w:tmpl w:val="383E2BEE"/>
    <w:lvl w:ilvl="0" w:tplc="4476F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2C6"/>
    <w:multiLevelType w:val="hybridMultilevel"/>
    <w:tmpl w:val="6B90D1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330EE0"/>
    <w:multiLevelType w:val="hybridMultilevel"/>
    <w:tmpl w:val="CE40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86772"/>
    <w:multiLevelType w:val="hybridMultilevel"/>
    <w:tmpl w:val="7B82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0220D"/>
    <w:multiLevelType w:val="hybridMultilevel"/>
    <w:tmpl w:val="0220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07AA7"/>
    <w:multiLevelType w:val="hybridMultilevel"/>
    <w:tmpl w:val="0CF6BC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1E"/>
    <w:rsid w:val="00006E5C"/>
    <w:rsid w:val="0003467F"/>
    <w:rsid w:val="000447E7"/>
    <w:rsid w:val="0006314E"/>
    <w:rsid w:val="0007522E"/>
    <w:rsid w:val="000C5BC2"/>
    <w:rsid w:val="000C6E7C"/>
    <w:rsid w:val="000F0851"/>
    <w:rsid w:val="00166577"/>
    <w:rsid w:val="001F6408"/>
    <w:rsid w:val="002268F3"/>
    <w:rsid w:val="002474B2"/>
    <w:rsid w:val="00253C72"/>
    <w:rsid w:val="002622E8"/>
    <w:rsid w:val="0029025D"/>
    <w:rsid w:val="003107C4"/>
    <w:rsid w:val="00315E3A"/>
    <w:rsid w:val="003370AF"/>
    <w:rsid w:val="00337C90"/>
    <w:rsid w:val="00353852"/>
    <w:rsid w:val="00355237"/>
    <w:rsid w:val="00374134"/>
    <w:rsid w:val="00386830"/>
    <w:rsid w:val="00397B7D"/>
    <w:rsid w:val="003B01BB"/>
    <w:rsid w:val="003B1C57"/>
    <w:rsid w:val="003C6553"/>
    <w:rsid w:val="003E424B"/>
    <w:rsid w:val="00417B44"/>
    <w:rsid w:val="004747BD"/>
    <w:rsid w:val="00486FA0"/>
    <w:rsid w:val="0049507D"/>
    <w:rsid w:val="004C136A"/>
    <w:rsid w:val="004C628B"/>
    <w:rsid w:val="00513209"/>
    <w:rsid w:val="005174BA"/>
    <w:rsid w:val="00520987"/>
    <w:rsid w:val="00522D46"/>
    <w:rsid w:val="00530EA4"/>
    <w:rsid w:val="005B500D"/>
    <w:rsid w:val="00615713"/>
    <w:rsid w:val="006361AC"/>
    <w:rsid w:val="00693485"/>
    <w:rsid w:val="006A0CAC"/>
    <w:rsid w:val="006F5EC0"/>
    <w:rsid w:val="00705D0E"/>
    <w:rsid w:val="00754342"/>
    <w:rsid w:val="007577BC"/>
    <w:rsid w:val="007E1CDF"/>
    <w:rsid w:val="007E320D"/>
    <w:rsid w:val="007E59B5"/>
    <w:rsid w:val="007F2832"/>
    <w:rsid w:val="007F4383"/>
    <w:rsid w:val="00817080"/>
    <w:rsid w:val="00873AE3"/>
    <w:rsid w:val="008936F4"/>
    <w:rsid w:val="008B66E0"/>
    <w:rsid w:val="008B7ED1"/>
    <w:rsid w:val="008C2A28"/>
    <w:rsid w:val="008C644E"/>
    <w:rsid w:val="008C734A"/>
    <w:rsid w:val="008E31DA"/>
    <w:rsid w:val="009047EE"/>
    <w:rsid w:val="009136D3"/>
    <w:rsid w:val="009231D3"/>
    <w:rsid w:val="00981845"/>
    <w:rsid w:val="009A312F"/>
    <w:rsid w:val="009A6E0A"/>
    <w:rsid w:val="009E22E8"/>
    <w:rsid w:val="009F6F6B"/>
    <w:rsid w:val="00A20DAB"/>
    <w:rsid w:val="00A614E3"/>
    <w:rsid w:val="00A7548F"/>
    <w:rsid w:val="00A87D5C"/>
    <w:rsid w:val="00A945C0"/>
    <w:rsid w:val="00AB5961"/>
    <w:rsid w:val="00AF7AFF"/>
    <w:rsid w:val="00B12FD1"/>
    <w:rsid w:val="00B26E14"/>
    <w:rsid w:val="00BB6B47"/>
    <w:rsid w:val="00C02D12"/>
    <w:rsid w:val="00C30914"/>
    <w:rsid w:val="00C57F9C"/>
    <w:rsid w:val="00C60232"/>
    <w:rsid w:val="00CA221E"/>
    <w:rsid w:val="00CA333F"/>
    <w:rsid w:val="00CB5CFE"/>
    <w:rsid w:val="00CE1F43"/>
    <w:rsid w:val="00D34A77"/>
    <w:rsid w:val="00D5710A"/>
    <w:rsid w:val="00D65BAF"/>
    <w:rsid w:val="00DB20BD"/>
    <w:rsid w:val="00E036BB"/>
    <w:rsid w:val="00E12FBE"/>
    <w:rsid w:val="00E421F0"/>
    <w:rsid w:val="00E43094"/>
    <w:rsid w:val="00E84DAD"/>
    <w:rsid w:val="00E92A91"/>
    <w:rsid w:val="00EA6128"/>
    <w:rsid w:val="00EE42DA"/>
    <w:rsid w:val="00F80985"/>
    <w:rsid w:val="00F863FC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C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2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2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E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C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22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2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E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Tharp, Andra (CDC/ONDIEH/NCIPC)</dc:creator>
  <cp:lastModifiedBy>CDC User</cp:lastModifiedBy>
  <cp:revision>6</cp:revision>
  <dcterms:created xsi:type="dcterms:W3CDTF">2012-07-23T13:23:00Z</dcterms:created>
  <dcterms:modified xsi:type="dcterms:W3CDTF">2012-07-23T16:46:00Z</dcterms:modified>
</cp:coreProperties>
</file>