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F12" w:rsidRDefault="00CD1F12">
      <w:pPr>
        <w:pStyle w:val="Title"/>
      </w:pPr>
      <w:r>
        <w:t xml:space="preserve">Enhancing Substance Abuse Treatment Services to Address Hepatitis Infection </w:t>
      </w:r>
      <w:r w:rsidR="00924D8E">
        <w:t>A</w:t>
      </w:r>
      <w:r>
        <w:t>mong Intravenous Drug Users</w:t>
      </w:r>
      <w:r w:rsidR="001A772C">
        <w:t xml:space="preserve"> </w:t>
      </w:r>
      <w:r>
        <w:t>Hepatitis Test and Vaccine Tracking Form</w:t>
      </w:r>
    </w:p>
    <w:p w:rsidR="00CD1F12" w:rsidRDefault="00CD1F12">
      <w:pPr>
        <w:widowControl/>
        <w:rPr>
          <w:b/>
          <w:bCs/>
        </w:rPr>
      </w:pPr>
    </w:p>
    <w:p w:rsidR="00CD1F12" w:rsidRDefault="00CD1F12">
      <w:pPr>
        <w:pStyle w:val="Subtitle"/>
      </w:pPr>
      <w:r>
        <w:t>SUPPORTING STATEMENT</w:t>
      </w:r>
    </w:p>
    <w:p w:rsidR="00CD1F12" w:rsidRDefault="00CD1F12">
      <w:pPr>
        <w:widowControl/>
        <w:rPr>
          <w:b/>
          <w:bCs/>
        </w:rPr>
      </w:pPr>
    </w:p>
    <w:p w:rsidR="00CD1F12" w:rsidRDefault="00CD1F12">
      <w:pPr>
        <w:widowControl/>
        <w:tabs>
          <w:tab w:val="left" w:pos="-1440"/>
        </w:tabs>
        <w:ind w:left="720" w:hanging="720"/>
        <w:rPr>
          <w:b/>
          <w:bCs/>
        </w:rPr>
      </w:pPr>
      <w:r>
        <w:rPr>
          <w:b/>
          <w:bCs/>
        </w:rPr>
        <w:t>A.</w:t>
      </w:r>
      <w:r>
        <w:rPr>
          <w:b/>
          <w:bCs/>
        </w:rPr>
        <w:tab/>
        <w:t>Justification</w:t>
      </w:r>
    </w:p>
    <w:p w:rsidR="00CD1F12" w:rsidRDefault="00CD1F12">
      <w:pPr>
        <w:widowControl/>
        <w:rPr>
          <w:b/>
          <w:bCs/>
        </w:rPr>
      </w:pPr>
    </w:p>
    <w:p w:rsidR="00601F3D" w:rsidRDefault="00CD1F12" w:rsidP="00601F3D">
      <w:pPr>
        <w:pStyle w:val="ListParagraph"/>
        <w:numPr>
          <w:ilvl w:val="0"/>
          <w:numId w:val="25"/>
        </w:numPr>
        <w:tabs>
          <w:tab w:val="left" w:pos="-1440"/>
        </w:tabs>
        <w:rPr>
          <w:b/>
          <w:bCs/>
          <w:u w:val="single"/>
        </w:rPr>
      </w:pPr>
      <w:r w:rsidRPr="00601F3D">
        <w:rPr>
          <w:b/>
          <w:bCs/>
          <w:u w:val="single"/>
        </w:rPr>
        <w:t>Circumstances of Information Collection</w:t>
      </w:r>
    </w:p>
    <w:p w:rsidR="00601F3D" w:rsidRPr="00601F3D" w:rsidRDefault="00601F3D" w:rsidP="00601F3D">
      <w:pPr>
        <w:tabs>
          <w:tab w:val="left" w:pos="-1440"/>
        </w:tabs>
        <w:ind w:left="360"/>
        <w:rPr>
          <w:b/>
          <w:bCs/>
          <w:u w:val="single"/>
        </w:rPr>
      </w:pPr>
    </w:p>
    <w:p w:rsidR="00DF319B" w:rsidRDefault="00601F3D" w:rsidP="00601F3D">
      <w:pPr>
        <w:rPr>
          <w:color w:val="000000" w:themeColor="text1"/>
        </w:rPr>
      </w:pPr>
      <w:r w:rsidRPr="00C46A8E">
        <w:rPr>
          <w:color w:val="000000" w:themeColor="text1"/>
        </w:rPr>
        <w:t>Reducing viral hepatitis is an important public health strategy. Highly efficacious vaccines are available to prevent new hepatitis A virus (HAV) and hepatitis B virus (HBV) infections, but unfortunately, a vaccine for hepatitis C virus (HCV) is not available. Further, a HCV vaccine is difficult to produce because mutations occur during viral replication. Even with effective vaccines, HAV and HBV continue to be among the most commonly reported vaccine-preventable diseases in the United States</w:t>
      </w:r>
      <w:r w:rsidR="002C11AB">
        <w:rPr>
          <w:color w:val="000000" w:themeColor="text1"/>
        </w:rPr>
        <w:t xml:space="preserve"> (U.S.)</w:t>
      </w:r>
      <w:r w:rsidRPr="00C46A8E">
        <w:rPr>
          <w:color w:val="000000" w:themeColor="text1"/>
        </w:rPr>
        <w:t>, and HCV infection is the most common chronic blood-borne infection in the U</w:t>
      </w:r>
      <w:r w:rsidR="002C11AB">
        <w:rPr>
          <w:color w:val="000000" w:themeColor="text1"/>
        </w:rPr>
        <w:t>.S.</w:t>
      </w:r>
      <w:r w:rsidRPr="00C46A8E">
        <w:rPr>
          <w:color w:val="000000" w:themeColor="text1"/>
        </w:rPr>
        <w:t xml:space="preserve"> In order to reduce viral hepatitis it is necessary to identify people at risk of infection, educate them about hepatitis, test them for hepatitis exposure, vaccinate those who qualify for it, and treat those with acute infections.</w:t>
      </w:r>
    </w:p>
    <w:p w:rsidR="002C11AB" w:rsidRDefault="002C11AB" w:rsidP="00601F3D">
      <w:pPr>
        <w:rPr>
          <w:color w:val="000000" w:themeColor="text1"/>
        </w:rPr>
      </w:pPr>
    </w:p>
    <w:p w:rsidR="00DF319B" w:rsidRDefault="00397882" w:rsidP="00601F3D">
      <w:pPr>
        <w:rPr>
          <w:color w:val="FF0000"/>
        </w:rPr>
      </w:pPr>
      <w:r>
        <w:rPr>
          <w:color w:val="000000" w:themeColor="text1"/>
        </w:rPr>
        <w:t xml:space="preserve">In order to continue efforts in addressing the above, </w:t>
      </w:r>
      <w:r w:rsidR="002C11AB">
        <w:rPr>
          <w:color w:val="000000" w:themeColor="text1"/>
        </w:rPr>
        <w:t>Substance Abuse and Mental Health Services Administration (</w:t>
      </w:r>
      <w:r>
        <w:rPr>
          <w:color w:val="000000" w:themeColor="text1"/>
        </w:rPr>
        <w:t>SAMHSA</w:t>
      </w:r>
      <w:r w:rsidR="002C11AB">
        <w:rPr>
          <w:color w:val="000000" w:themeColor="text1"/>
        </w:rPr>
        <w:t>)</w:t>
      </w:r>
      <w:r>
        <w:rPr>
          <w:color w:val="000000" w:themeColor="text1"/>
        </w:rPr>
        <w:t xml:space="preserve"> has recently awarded</w:t>
      </w:r>
      <w:r w:rsidR="002C11AB">
        <w:rPr>
          <w:color w:val="000000" w:themeColor="text1"/>
        </w:rPr>
        <w:t xml:space="preserve"> </w:t>
      </w:r>
      <w:r w:rsidR="00464B27" w:rsidRPr="00464B27">
        <w:rPr>
          <w:b/>
          <w:i/>
        </w:rPr>
        <w:t>Enhancing Substance Abuse Treatment to Promote Healthy Lifestyles through Addressing Hepatitis Infection among Injection drug Users</w:t>
      </w:r>
      <w:r w:rsidR="00464B27">
        <w:t xml:space="preserve"> contact</w:t>
      </w:r>
      <w:r w:rsidR="00641317">
        <w:t xml:space="preserve"> no.283-07-5302</w:t>
      </w:r>
      <w:r w:rsidR="00464B27">
        <w:t xml:space="preserve">. </w:t>
      </w:r>
    </w:p>
    <w:p w:rsidR="00464B27" w:rsidRPr="00464B27" w:rsidRDefault="00464B27" w:rsidP="00601F3D">
      <w:pPr>
        <w:rPr>
          <w:color w:val="FF0000"/>
        </w:rPr>
      </w:pPr>
    </w:p>
    <w:p w:rsidR="00DA111F" w:rsidRDefault="00397882" w:rsidP="00DA111F">
      <w:r>
        <w:t>As a part of SAMHSA’s Strategic Initiative on Health Reform -- one of eight strategic initiatives (</w:t>
      </w:r>
      <w:hyperlink r:id="rId7" w:history="1">
        <w:r w:rsidRPr="000C4C95">
          <w:rPr>
            <w:rStyle w:val="Hyperlink"/>
          </w:rPr>
          <w:t>http://www.samhsa.gov)</w:t>
        </w:r>
      </w:hyperlink>
      <w:r w:rsidR="00F84E1E">
        <w:t xml:space="preserve">; </w:t>
      </w:r>
      <w:r w:rsidR="00DF319B">
        <w:t xml:space="preserve">efforts of </w:t>
      </w:r>
      <w:r>
        <w:t>this project</w:t>
      </w:r>
      <w:r w:rsidR="00DA111F">
        <w:t xml:space="preserve"> facilitate</w:t>
      </w:r>
      <w:r>
        <w:t>s</w:t>
      </w:r>
      <w:r w:rsidR="00DA111F">
        <w:t xml:space="preserve"> the development and expansion of culturally competent and effective integrated behavioral health and primary care networks, which include HIV services and medical treatment, within racial and ethnic minority communities most impacted by HIV/AIDS.</w:t>
      </w:r>
      <w:r w:rsidRPr="00397882">
        <w:t xml:space="preserve"> </w:t>
      </w:r>
      <w:r>
        <w:t>The expected outcomes for the program include reducing the impact of behavioral health problems, HIV risk and incidence, and HIV-related health disparities in these areas.</w:t>
      </w:r>
    </w:p>
    <w:p w:rsidR="00DA111F" w:rsidRDefault="00DA111F" w:rsidP="00DA111F">
      <w:r>
        <w:t> </w:t>
      </w:r>
    </w:p>
    <w:p w:rsidR="00DA111F" w:rsidRDefault="00DA111F" w:rsidP="00DA111F">
      <w:r>
        <w:t xml:space="preserve">This </w:t>
      </w:r>
      <w:r w:rsidR="00397882">
        <w:t>project</w:t>
      </w:r>
      <w:r w:rsidR="00F84E1E">
        <w:t xml:space="preserve"> also</w:t>
      </w:r>
      <w:r w:rsidR="00397882">
        <w:t xml:space="preserve"> </w:t>
      </w:r>
      <w:r>
        <w:t xml:space="preserve">supports the National HIV/AIDS Strategy and the Health and Human Services (HHS) </w:t>
      </w:r>
      <w:r w:rsidR="00F84E1E" w:rsidRPr="00C46A8E">
        <w:rPr>
          <w:color w:val="000000" w:themeColor="text1"/>
        </w:rPr>
        <w:t xml:space="preserve">Minority AIDS Initiative (MAI) </w:t>
      </w:r>
      <w:r>
        <w:t>12 Cities Project. The HHS-wide project supports and accelerates comprehensive HIV/AIDS planning and cross-agency response in 12 U.S. jurisdictions that bear the highest AIDS burden in the country.</w:t>
      </w:r>
    </w:p>
    <w:p w:rsidR="00F84E1E" w:rsidRDefault="00F84E1E" w:rsidP="00DA111F"/>
    <w:p w:rsidR="000F1C3A" w:rsidRDefault="00F84E1E" w:rsidP="00DA111F">
      <w:pPr>
        <w:rPr>
          <w:color w:val="000000" w:themeColor="text1"/>
        </w:rPr>
      </w:pPr>
      <w:r>
        <w:t>In order to access the overall effectiveness of the program, SAMHSA uses a data collection form which</w:t>
      </w:r>
      <w:r w:rsidR="000D0994">
        <w:t xml:space="preserve"> captures pertinent data in accessing overall program performance and quality issues</w:t>
      </w:r>
      <w:r w:rsidR="005F6851">
        <w:t>.</w:t>
      </w:r>
      <w:r>
        <w:t xml:space="preserve"> </w:t>
      </w:r>
      <w:r w:rsidR="005F6851">
        <w:t>H</w:t>
      </w:r>
      <w:r>
        <w:t>owever</w:t>
      </w:r>
      <w:r w:rsidR="005F6851">
        <w:t>,</w:t>
      </w:r>
      <w:r>
        <w:t xml:space="preserve"> the current </w:t>
      </w:r>
      <w:r w:rsidRPr="00C46A8E">
        <w:rPr>
          <w:color w:val="000000" w:themeColor="text1"/>
        </w:rPr>
        <w:t>data collection form approved under OMB No. 0930-0300, expires on May 31, 2012.</w:t>
      </w:r>
      <w:r>
        <w:t xml:space="preserve"> Thus,</w:t>
      </w:r>
      <w:r w:rsidRPr="00F84E1E">
        <w:rPr>
          <w:color w:val="000000" w:themeColor="text1"/>
        </w:rPr>
        <w:t xml:space="preserve"> </w:t>
      </w:r>
      <w:r w:rsidRPr="00C46A8E">
        <w:rPr>
          <w:color w:val="000000" w:themeColor="text1"/>
        </w:rPr>
        <w:t>SAMHSA</w:t>
      </w:r>
      <w:r w:rsidR="005F6851">
        <w:rPr>
          <w:color w:val="000000" w:themeColor="text1"/>
        </w:rPr>
        <w:t xml:space="preserve">’s </w:t>
      </w:r>
      <w:r w:rsidRPr="00C46A8E">
        <w:rPr>
          <w:color w:val="000000" w:themeColor="text1"/>
        </w:rPr>
        <w:t>Center Substance Abuse Treatment (CSAT), is requesting a</w:t>
      </w:r>
      <w:r w:rsidR="00790270">
        <w:rPr>
          <w:color w:val="000000" w:themeColor="text1"/>
        </w:rPr>
        <w:t xml:space="preserve"> reinstatement</w:t>
      </w:r>
      <w:r w:rsidRPr="00C46A8E">
        <w:rPr>
          <w:color w:val="000000" w:themeColor="text1"/>
        </w:rPr>
        <w:t xml:space="preserve"> from OMB for  the Minority AIDS Initiative (MAI) for the Enhancing Substance Abuse Treatment Services to Address Hepatitis Infection among Intravenous Drug Users, Hepatitis Test and Vaccine Tracking Form (see Attachment A).  </w:t>
      </w:r>
    </w:p>
    <w:p w:rsidR="00D04EAF" w:rsidRDefault="00D04EAF" w:rsidP="000F1C3A">
      <w:pPr>
        <w:pStyle w:val="Title"/>
        <w:jc w:val="left"/>
        <w:rPr>
          <w:b w:val="0"/>
          <w:color w:val="000000" w:themeColor="text1"/>
        </w:rPr>
      </w:pPr>
    </w:p>
    <w:p w:rsidR="000F1C3A" w:rsidRDefault="00D04EAF" w:rsidP="00DA111F">
      <w:r w:rsidRPr="00D04EAF">
        <w:rPr>
          <w:bCs/>
          <w:color w:val="000000" w:themeColor="text1"/>
        </w:rPr>
        <w:t xml:space="preserve">SAMHSA is authorized under section 505 of the Public Health Service Act (42 USC §290aa-4) </w:t>
      </w:r>
      <w:r w:rsidRPr="00D04EAF">
        <w:rPr>
          <w:bCs/>
          <w:color w:val="000000" w:themeColor="text1"/>
        </w:rPr>
        <w:lastRenderedPageBreak/>
        <w:t>to collect data annually on the national incidence and prevalence of mental illness and substance abuse.  The current form seeks information relevant to such data collections.</w:t>
      </w:r>
    </w:p>
    <w:p w:rsidR="00CD1F12" w:rsidRPr="000F1C3A" w:rsidRDefault="00DA111F" w:rsidP="000F1C3A">
      <w:r>
        <w:t> </w:t>
      </w:r>
    </w:p>
    <w:p w:rsidR="0094301D" w:rsidRDefault="0094301D" w:rsidP="00FE5AB2">
      <w:pPr>
        <w:pStyle w:val="Title"/>
        <w:jc w:val="left"/>
        <w:rPr>
          <w:b w:val="0"/>
          <w:color w:val="000000" w:themeColor="text1"/>
        </w:rPr>
      </w:pPr>
    </w:p>
    <w:p w:rsidR="00C46A8E" w:rsidRDefault="000F1C3A" w:rsidP="00C46A8E">
      <w:pPr>
        <w:rPr>
          <w:color w:val="000000" w:themeColor="text1"/>
        </w:rPr>
      </w:pPr>
      <w:r>
        <w:rPr>
          <w:color w:val="000000" w:themeColor="text1"/>
        </w:rPr>
        <w:t xml:space="preserve">The data collected </w:t>
      </w:r>
      <w:r w:rsidR="00F5730B" w:rsidRPr="00C46A8E">
        <w:rPr>
          <w:color w:val="000000" w:themeColor="text1"/>
        </w:rPr>
        <w:t>aid</w:t>
      </w:r>
      <w:r>
        <w:rPr>
          <w:color w:val="000000" w:themeColor="text1"/>
        </w:rPr>
        <w:t>s</w:t>
      </w:r>
      <w:r w:rsidR="00F5730B" w:rsidRPr="00C46A8E">
        <w:rPr>
          <w:color w:val="000000" w:themeColor="text1"/>
        </w:rPr>
        <w:t xml:space="preserve"> SAMHSA in</w:t>
      </w:r>
      <w:r w:rsidR="0094301D" w:rsidRPr="00C46A8E">
        <w:rPr>
          <w:color w:val="000000" w:themeColor="text1"/>
        </w:rPr>
        <w:t xml:space="preserve"> providing a comprehensive approach for preventing and treating viral hepatitis and to reduce the incidence of liver disease among </w:t>
      </w:r>
      <w:proofErr w:type="spellStart"/>
      <w:r w:rsidR="002C11AB">
        <w:rPr>
          <w:color w:val="000000" w:themeColor="text1"/>
        </w:rPr>
        <w:t>Opioid</w:t>
      </w:r>
      <w:proofErr w:type="spellEnd"/>
      <w:r w:rsidR="002C11AB">
        <w:rPr>
          <w:color w:val="000000" w:themeColor="text1"/>
        </w:rPr>
        <w:t xml:space="preserve"> Treatment programs (</w:t>
      </w:r>
      <w:r w:rsidR="0094301D" w:rsidRPr="00C46A8E">
        <w:rPr>
          <w:color w:val="000000" w:themeColor="text1"/>
        </w:rPr>
        <w:t>OTPs</w:t>
      </w:r>
      <w:r w:rsidR="002C11AB">
        <w:rPr>
          <w:color w:val="000000" w:themeColor="text1"/>
        </w:rPr>
        <w:t>)</w:t>
      </w:r>
      <w:r w:rsidR="0094301D" w:rsidRPr="00C46A8E">
        <w:rPr>
          <w:color w:val="000000" w:themeColor="text1"/>
        </w:rPr>
        <w:t xml:space="preserve"> </w:t>
      </w:r>
      <w:r w:rsidR="00F0652D" w:rsidRPr="00C46A8E">
        <w:rPr>
          <w:color w:val="000000" w:themeColor="text1"/>
        </w:rPr>
        <w:t xml:space="preserve">high risk </w:t>
      </w:r>
      <w:r w:rsidR="0094301D" w:rsidRPr="00C46A8E">
        <w:rPr>
          <w:color w:val="000000" w:themeColor="text1"/>
        </w:rPr>
        <w:t xml:space="preserve">minority patients. </w:t>
      </w:r>
      <w:r w:rsidR="00C46A8E" w:rsidRPr="00C46A8E">
        <w:rPr>
          <w:color w:val="000000" w:themeColor="text1"/>
        </w:rPr>
        <w:t xml:space="preserve">Collection of this data </w:t>
      </w:r>
      <w:r w:rsidR="000D0994">
        <w:rPr>
          <w:color w:val="000000" w:themeColor="text1"/>
        </w:rPr>
        <w:t xml:space="preserve">gives </w:t>
      </w:r>
      <w:r w:rsidR="00C46A8E" w:rsidRPr="00C46A8E">
        <w:rPr>
          <w:color w:val="000000" w:themeColor="text1"/>
        </w:rPr>
        <w:t xml:space="preserve">SAMHSA the ability to assess </w:t>
      </w:r>
      <w:r w:rsidR="000D0994">
        <w:rPr>
          <w:color w:val="000000" w:themeColor="text1"/>
        </w:rPr>
        <w:t>each OTP</w:t>
      </w:r>
      <w:r w:rsidR="00C46A8E" w:rsidRPr="00C46A8E">
        <w:rPr>
          <w:color w:val="000000" w:themeColor="text1"/>
        </w:rPr>
        <w:t xml:space="preserve"> effectiveness in providing </w:t>
      </w:r>
      <w:r w:rsidR="00F0652D" w:rsidRPr="00C46A8E">
        <w:rPr>
          <w:color w:val="000000" w:themeColor="text1"/>
        </w:rPr>
        <w:t xml:space="preserve">cost-effective delivery of the health services to </w:t>
      </w:r>
      <w:r w:rsidR="00C46A8E" w:rsidRPr="00C46A8E">
        <w:rPr>
          <w:color w:val="000000" w:themeColor="text1"/>
        </w:rPr>
        <w:t>their at risk racial/</w:t>
      </w:r>
      <w:r w:rsidR="00F0652D" w:rsidRPr="00C46A8E">
        <w:rPr>
          <w:color w:val="000000" w:themeColor="text1"/>
        </w:rPr>
        <w:t>ethnic minority population</w:t>
      </w:r>
      <w:r w:rsidR="00C46A8E" w:rsidRPr="00C46A8E">
        <w:rPr>
          <w:color w:val="000000" w:themeColor="text1"/>
        </w:rPr>
        <w:t>. The</w:t>
      </w:r>
      <w:r w:rsidR="005E3612">
        <w:rPr>
          <w:color w:val="000000" w:themeColor="text1"/>
        </w:rPr>
        <w:t xml:space="preserve"> attached</w:t>
      </w:r>
      <w:r w:rsidR="00C46A8E" w:rsidRPr="00C46A8E">
        <w:rPr>
          <w:color w:val="000000" w:themeColor="text1"/>
        </w:rPr>
        <w:t xml:space="preserve"> data</w:t>
      </w:r>
      <w:r w:rsidR="00464B27">
        <w:rPr>
          <w:color w:val="000000" w:themeColor="text1"/>
        </w:rPr>
        <w:t xml:space="preserve"> collection form</w:t>
      </w:r>
      <w:r w:rsidR="00C46A8E" w:rsidRPr="00C46A8E">
        <w:rPr>
          <w:color w:val="000000" w:themeColor="text1"/>
        </w:rPr>
        <w:t xml:space="preserve"> </w:t>
      </w:r>
      <w:r>
        <w:rPr>
          <w:color w:val="000000" w:themeColor="text1"/>
        </w:rPr>
        <w:t>reflect</w:t>
      </w:r>
      <w:r w:rsidR="000D0994">
        <w:rPr>
          <w:color w:val="000000" w:themeColor="text1"/>
        </w:rPr>
        <w:t>s</w:t>
      </w:r>
      <w:r>
        <w:rPr>
          <w:color w:val="000000" w:themeColor="text1"/>
        </w:rPr>
        <w:t xml:space="preserve"> </w:t>
      </w:r>
      <w:r w:rsidR="00C46A8E" w:rsidRPr="00C46A8E">
        <w:rPr>
          <w:color w:val="000000" w:themeColor="text1"/>
        </w:rPr>
        <w:t>the following:</w:t>
      </w:r>
    </w:p>
    <w:p w:rsidR="00602892" w:rsidRDefault="00602892" w:rsidP="00C46A8E">
      <w:pPr>
        <w:rPr>
          <w:color w:val="000000" w:themeColor="text1"/>
        </w:rPr>
      </w:pPr>
    </w:p>
    <w:p w:rsidR="000F1C3A" w:rsidRDefault="006B6A37" w:rsidP="006B6A37">
      <w:pPr>
        <w:pStyle w:val="ListParagraph"/>
        <w:numPr>
          <w:ilvl w:val="0"/>
          <w:numId w:val="28"/>
        </w:numPr>
        <w:rPr>
          <w:color w:val="000000" w:themeColor="text1"/>
        </w:rPr>
      </w:pPr>
      <w:r>
        <w:rPr>
          <w:color w:val="000000" w:themeColor="text1"/>
        </w:rPr>
        <w:t>Racial/m</w:t>
      </w:r>
      <w:r w:rsidR="000F1C3A" w:rsidRPr="006B6A37">
        <w:rPr>
          <w:color w:val="000000" w:themeColor="text1"/>
        </w:rPr>
        <w:t>inority demographics</w:t>
      </w:r>
      <w:r w:rsidR="005078E3">
        <w:rPr>
          <w:color w:val="000000" w:themeColor="text1"/>
        </w:rPr>
        <w:t xml:space="preserve">; </w:t>
      </w:r>
      <w:r w:rsidR="005078E3">
        <w:t>age and ethnicity</w:t>
      </w:r>
      <w:r w:rsidR="000F1C3A" w:rsidRPr="006B6A37">
        <w:rPr>
          <w:color w:val="000000" w:themeColor="text1"/>
        </w:rPr>
        <w:t xml:space="preserve"> (</w:t>
      </w:r>
      <w:r w:rsidRPr="006B6A37">
        <w:rPr>
          <w:color w:val="000000" w:themeColor="text1"/>
        </w:rPr>
        <w:t>S</w:t>
      </w:r>
      <w:r w:rsidR="000F1C3A" w:rsidRPr="006B6A37">
        <w:rPr>
          <w:color w:val="000000" w:themeColor="text1"/>
        </w:rPr>
        <w:t>ection</w:t>
      </w:r>
      <w:r w:rsidRPr="006B6A37">
        <w:rPr>
          <w:color w:val="000000" w:themeColor="text1"/>
        </w:rPr>
        <w:t>. B)</w:t>
      </w:r>
    </w:p>
    <w:p w:rsidR="006B6A37" w:rsidRPr="006B6A37" w:rsidRDefault="006B6A37" w:rsidP="00C46A8E">
      <w:pPr>
        <w:pStyle w:val="ListParagraph"/>
        <w:numPr>
          <w:ilvl w:val="0"/>
          <w:numId w:val="28"/>
        </w:numPr>
        <w:rPr>
          <w:color w:val="000000" w:themeColor="text1"/>
        </w:rPr>
      </w:pPr>
      <w:r>
        <w:rPr>
          <w:color w:val="000000" w:themeColor="text1"/>
        </w:rPr>
        <w:t xml:space="preserve">Hepatitis-related service provided; </w:t>
      </w:r>
      <w:proofErr w:type="spellStart"/>
      <w:r>
        <w:rPr>
          <w:color w:val="000000" w:themeColor="text1"/>
        </w:rPr>
        <w:t>i.e</w:t>
      </w:r>
      <w:proofErr w:type="spellEnd"/>
      <w:r>
        <w:rPr>
          <w:color w:val="000000" w:themeColor="text1"/>
        </w:rPr>
        <w:t>, vaccination</w:t>
      </w:r>
      <w:r w:rsidR="005078E3">
        <w:rPr>
          <w:color w:val="000000" w:themeColor="text1"/>
        </w:rPr>
        <w:t xml:space="preserve"> (Divalent)</w:t>
      </w:r>
      <w:r>
        <w:rPr>
          <w:color w:val="000000" w:themeColor="text1"/>
        </w:rPr>
        <w:t>, counseling, education (Section. C)</w:t>
      </w:r>
    </w:p>
    <w:p w:rsidR="00F0652D" w:rsidRPr="00C46A8E" w:rsidRDefault="006B6A37" w:rsidP="006B6A37">
      <w:pPr>
        <w:pStyle w:val="ListParagraph"/>
        <w:numPr>
          <w:ilvl w:val="0"/>
          <w:numId w:val="28"/>
        </w:numPr>
        <w:rPr>
          <w:color w:val="000000" w:themeColor="text1"/>
        </w:rPr>
      </w:pPr>
      <w:r>
        <w:rPr>
          <w:color w:val="000000" w:themeColor="text1"/>
        </w:rPr>
        <w:t>Viral Hepatitis C</w:t>
      </w:r>
      <w:r w:rsidR="005078E3">
        <w:rPr>
          <w:color w:val="000000" w:themeColor="text1"/>
        </w:rPr>
        <w:t xml:space="preserve"> screening (history/rapid test kits)</w:t>
      </w:r>
      <w:r w:rsidR="00F0652D" w:rsidRPr="00C46A8E">
        <w:rPr>
          <w:color w:val="000000" w:themeColor="text1"/>
        </w:rPr>
        <w:t xml:space="preserve"> among patients in OTPs </w:t>
      </w:r>
      <w:r>
        <w:rPr>
          <w:color w:val="000000" w:themeColor="text1"/>
        </w:rPr>
        <w:t>(Section. D)</w:t>
      </w:r>
    </w:p>
    <w:p w:rsidR="00F0652D" w:rsidRDefault="006B6A37" w:rsidP="006B6A37">
      <w:pPr>
        <w:pStyle w:val="ListParagraph"/>
        <w:numPr>
          <w:ilvl w:val="0"/>
          <w:numId w:val="28"/>
        </w:numPr>
        <w:rPr>
          <w:color w:val="000000" w:themeColor="text1"/>
        </w:rPr>
      </w:pPr>
      <w:r>
        <w:rPr>
          <w:color w:val="000000" w:themeColor="text1"/>
        </w:rPr>
        <w:t>Type of r</w:t>
      </w:r>
      <w:r w:rsidR="00F0652D" w:rsidRPr="00C46A8E">
        <w:rPr>
          <w:color w:val="000000" w:themeColor="text1"/>
        </w:rPr>
        <w:t>eferral</w:t>
      </w:r>
      <w:r>
        <w:rPr>
          <w:color w:val="000000" w:themeColor="text1"/>
        </w:rPr>
        <w:t xml:space="preserve"> services involving</w:t>
      </w:r>
      <w:r w:rsidR="00F0652D" w:rsidRPr="00C46A8E">
        <w:rPr>
          <w:color w:val="000000" w:themeColor="text1"/>
        </w:rPr>
        <w:t xml:space="preserve"> primary care or specialty hepatitis</w:t>
      </w:r>
      <w:r w:rsidR="005078E3">
        <w:rPr>
          <w:color w:val="000000" w:themeColor="text1"/>
        </w:rPr>
        <w:t xml:space="preserve"> </w:t>
      </w:r>
      <w:r w:rsidR="006324F9">
        <w:rPr>
          <w:color w:val="000000" w:themeColor="text1"/>
        </w:rPr>
        <w:t>(g</w:t>
      </w:r>
      <w:r w:rsidR="005078E3">
        <w:rPr>
          <w:color w:val="000000" w:themeColor="text1"/>
        </w:rPr>
        <w:t>astroenterology,</w:t>
      </w:r>
      <w:r w:rsidR="006324F9">
        <w:rPr>
          <w:color w:val="000000" w:themeColor="text1"/>
        </w:rPr>
        <w:t xml:space="preserve"> i</w:t>
      </w:r>
      <w:r w:rsidR="005078E3">
        <w:rPr>
          <w:color w:val="000000" w:themeColor="text1"/>
        </w:rPr>
        <w:t>nfectious disease</w:t>
      </w:r>
      <w:r w:rsidR="006324F9">
        <w:rPr>
          <w:color w:val="000000" w:themeColor="text1"/>
        </w:rPr>
        <w:t xml:space="preserve">, </w:t>
      </w:r>
      <w:r w:rsidR="00D04EAF">
        <w:rPr>
          <w:color w:val="000000" w:themeColor="text1"/>
        </w:rPr>
        <w:t>psychiatry</w:t>
      </w:r>
      <w:r w:rsidR="006324F9">
        <w:rPr>
          <w:color w:val="000000" w:themeColor="text1"/>
        </w:rPr>
        <w:t>, reproductive/prenatal)</w:t>
      </w:r>
      <w:r w:rsidR="00F0652D" w:rsidRPr="00C46A8E">
        <w:rPr>
          <w:color w:val="000000" w:themeColor="text1"/>
        </w:rPr>
        <w:t xml:space="preserve"> care for individuals who test positive for HBV or HCV infection</w:t>
      </w:r>
      <w:r>
        <w:rPr>
          <w:color w:val="000000" w:themeColor="text1"/>
        </w:rPr>
        <w:t xml:space="preserve"> (Section. E)</w:t>
      </w:r>
    </w:p>
    <w:p w:rsidR="006B6A37" w:rsidRDefault="006B6A37" w:rsidP="006B6A37">
      <w:pPr>
        <w:pStyle w:val="ListParagraph"/>
        <w:numPr>
          <w:ilvl w:val="0"/>
          <w:numId w:val="28"/>
        </w:numPr>
        <w:rPr>
          <w:color w:val="000000" w:themeColor="text1"/>
        </w:rPr>
      </w:pPr>
      <w:r>
        <w:rPr>
          <w:color w:val="000000" w:themeColor="text1"/>
        </w:rPr>
        <w:t>Confirmatory Testing for Hepatitis C positive results (Section. F)</w:t>
      </w:r>
    </w:p>
    <w:p w:rsidR="006B6A37" w:rsidRDefault="006B6A37" w:rsidP="006B6A37">
      <w:pPr>
        <w:pStyle w:val="ListParagraph"/>
        <w:numPr>
          <w:ilvl w:val="0"/>
          <w:numId w:val="28"/>
        </w:numPr>
        <w:rPr>
          <w:color w:val="000000" w:themeColor="text1"/>
        </w:rPr>
      </w:pPr>
      <w:r>
        <w:rPr>
          <w:color w:val="000000" w:themeColor="text1"/>
        </w:rPr>
        <w:t xml:space="preserve">Brief explanation of vaccine refusal (if </w:t>
      </w:r>
      <w:r w:rsidR="006B2AF4">
        <w:rPr>
          <w:color w:val="000000" w:themeColor="text1"/>
        </w:rPr>
        <w:t>applicable</w:t>
      </w:r>
      <w:r w:rsidR="006B2F90">
        <w:rPr>
          <w:color w:val="000000" w:themeColor="text1"/>
        </w:rPr>
        <w:t>)</w:t>
      </w:r>
      <w:r>
        <w:rPr>
          <w:color w:val="000000" w:themeColor="text1"/>
        </w:rPr>
        <w:t xml:space="preserve"> (Section. F)</w:t>
      </w:r>
    </w:p>
    <w:p w:rsidR="006B2F90" w:rsidRDefault="006B2F90" w:rsidP="006B2F90">
      <w:pPr>
        <w:rPr>
          <w:color w:val="000000" w:themeColor="text1"/>
        </w:rPr>
      </w:pPr>
    </w:p>
    <w:p w:rsidR="000F1C3A" w:rsidRDefault="006324F9" w:rsidP="006B2F90">
      <w:pPr>
        <w:widowControl/>
      </w:pPr>
      <w:r>
        <w:t>The form collects</w:t>
      </w:r>
      <w:r w:rsidR="002430A3">
        <w:t xml:space="preserve"> limited </w:t>
      </w:r>
      <w:r w:rsidR="006B2F90" w:rsidRPr="007133A1">
        <w:t>patient information</w:t>
      </w:r>
      <w:r w:rsidR="006B2F90">
        <w:t xml:space="preserve"> f</w:t>
      </w:r>
      <w:r w:rsidR="006B2F90" w:rsidRPr="007133A1">
        <w:t xml:space="preserve">rom </w:t>
      </w:r>
      <w:r w:rsidR="002430A3">
        <w:t>those who participate</w:t>
      </w:r>
      <w:r w:rsidR="006B2F90" w:rsidRPr="007133A1">
        <w:t xml:space="preserve"> in </w:t>
      </w:r>
      <w:r w:rsidR="006B2F90">
        <w:t xml:space="preserve">the MAI program. </w:t>
      </w:r>
      <w:r w:rsidR="006B2F90" w:rsidRPr="007133A1">
        <w:t xml:space="preserve">The information that we require, </w:t>
      </w:r>
      <w:r w:rsidR="006B2F90">
        <w:t xml:space="preserve">also </w:t>
      </w:r>
      <w:r w:rsidR="006B2F90" w:rsidRPr="007133A1">
        <w:t xml:space="preserve">serve to justify </w:t>
      </w:r>
      <w:r w:rsidR="006B2F90">
        <w:t>the</w:t>
      </w:r>
      <w:r w:rsidR="006B2F90" w:rsidRPr="007133A1">
        <w:t xml:space="preserve"> use of Federal funds to benefit the</w:t>
      </w:r>
      <w:r w:rsidR="006B2F90">
        <w:t>se communities.</w:t>
      </w:r>
    </w:p>
    <w:p w:rsidR="006B2F90" w:rsidRPr="006B2F90" w:rsidRDefault="006B2F90" w:rsidP="006B2F90">
      <w:pPr>
        <w:widowControl/>
      </w:pPr>
    </w:p>
    <w:p w:rsidR="006B2F90" w:rsidRDefault="0094301D" w:rsidP="006B2F90">
      <w:pPr>
        <w:widowControl/>
      </w:pPr>
      <w:r w:rsidRPr="00F0652D">
        <w:t xml:space="preserve">The contractor is responsible for collecting completed forms from </w:t>
      </w:r>
      <w:r w:rsidR="000D0994">
        <w:t>each</w:t>
      </w:r>
      <w:r w:rsidR="004B2346">
        <w:t xml:space="preserve"> </w:t>
      </w:r>
      <w:proofErr w:type="gramStart"/>
      <w:r w:rsidRPr="00F0652D">
        <w:t>OTPs</w:t>
      </w:r>
      <w:proofErr w:type="gramEnd"/>
      <w:r w:rsidRPr="00F0652D">
        <w:t xml:space="preserve"> monthly. The data is </w:t>
      </w:r>
      <w:r w:rsidRPr="006B2F90">
        <w:t xml:space="preserve">then submitted to SAMHSA quarterly and annually in aggregated form. The </w:t>
      </w:r>
      <w:r w:rsidR="006B2F90">
        <w:t xml:space="preserve">data </w:t>
      </w:r>
      <w:r w:rsidRPr="006B2F90">
        <w:t>is designed to inform</w:t>
      </w:r>
      <w:r w:rsidR="006B2F90" w:rsidRPr="006B2F90">
        <w:t xml:space="preserve"> and </w:t>
      </w:r>
      <w:r w:rsidR="006B2F90">
        <w:t xml:space="preserve">assist </w:t>
      </w:r>
      <w:r w:rsidRPr="006B2F90">
        <w:t>SAMHSA</w:t>
      </w:r>
      <w:r w:rsidR="006B2F90">
        <w:t xml:space="preserve"> in</w:t>
      </w:r>
      <w:r w:rsidR="006B2F90" w:rsidRPr="006B2F90">
        <w:t xml:space="preserve"> access</w:t>
      </w:r>
      <w:r w:rsidR="006B2F90">
        <w:t>ing</w:t>
      </w:r>
      <w:r w:rsidR="006B2F90" w:rsidRPr="006B2F90">
        <w:t xml:space="preserve"> the programs for quality assurance, quality performance, product monitoring in participating OTPs</w:t>
      </w:r>
      <w:r w:rsidR="00262887">
        <w:t xml:space="preserve">, as well as to assure </w:t>
      </w:r>
      <w:r w:rsidR="00262887" w:rsidRPr="00F0652D">
        <w:t xml:space="preserve">that the hepatitis </w:t>
      </w:r>
      <w:r w:rsidR="00262887" w:rsidRPr="00F0652D">
        <w:rPr>
          <w:szCs w:val="36"/>
        </w:rPr>
        <w:t>tests/vaccines</w:t>
      </w:r>
      <w:r w:rsidR="00262887" w:rsidRPr="00F0652D">
        <w:t xml:space="preserve"> are reaching their intended audience</w:t>
      </w:r>
      <w:r w:rsidR="00262887">
        <w:t>.</w:t>
      </w:r>
    </w:p>
    <w:p w:rsidR="004B2346" w:rsidRDefault="004B2346" w:rsidP="006B2F90">
      <w:pPr>
        <w:widowControl/>
      </w:pPr>
    </w:p>
    <w:p w:rsidR="004B2346" w:rsidRDefault="004B2346" w:rsidP="004B2346">
      <w:pPr>
        <w:widowControl/>
      </w:pPr>
      <w:r>
        <w:t>Information System Security Plan is compliant with National Institute of Standards and technology (NIST) Special Publication (SP) 800-18, rev1.</w:t>
      </w:r>
      <w:r w:rsidR="00273D2B">
        <w:t xml:space="preserve"> (see attachment)</w:t>
      </w:r>
    </w:p>
    <w:p w:rsidR="00CD1F12" w:rsidRDefault="00CD1F12" w:rsidP="00CD1F12">
      <w:pPr>
        <w:rPr>
          <w:color w:val="221E1F"/>
        </w:rPr>
      </w:pPr>
    </w:p>
    <w:p w:rsidR="00CD1F12" w:rsidRPr="0031767D" w:rsidRDefault="00CD1F12" w:rsidP="00CD1F12">
      <w:pPr>
        <w:pStyle w:val="NormalWeb"/>
        <w:spacing w:before="0" w:beforeAutospacing="0" w:after="0" w:afterAutospacing="0"/>
        <w:rPr>
          <w:rFonts w:ascii="Times New Roman Bold" w:hAnsi="Times New Roman Bold"/>
          <w:b/>
        </w:rPr>
      </w:pPr>
      <w:r w:rsidRPr="0031767D">
        <w:rPr>
          <w:rFonts w:ascii="Times New Roman Bold" w:hAnsi="Times New Roman Bold"/>
          <w:b/>
        </w:rPr>
        <w:t>2.</w:t>
      </w:r>
      <w:r w:rsidRPr="0031767D">
        <w:rPr>
          <w:rFonts w:ascii="Times New Roman Bold" w:hAnsi="Times New Roman Bold"/>
          <w:b/>
        </w:rPr>
        <w:tab/>
      </w:r>
      <w:r w:rsidRPr="0031767D">
        <w:rPr>
          <w:rFonts w:ascii="Times New Roman Bold" w:hAnsi="Times New Roman Bold"/>
          <w:b/>
          <w:u w:val="single"/>
        </w:rPr>
        <w:t xml:space="preserve">Purpose and Use of Information  </w:t>
      </w:r>
    </w:p>
    <w:p w:rsidR="00CD1F12" w:rsidRDefault="00CD1F12">
      <w:pPr>
        <w:widowControl/>
      </w:pPr>
    </w:p>
    <w:p w:rsidR="00CD1F12" w:rsidRDefault="00CD1F12" w:rsidP="00CD1F12">
      <w:pPr>
        <w:widowControl/>
      </w:pPr>
      <w:r>
        <w:t>The data</w:t>
      </w:r>
      <w:r w:rsidR="00E7358F">
        <w:t xml:space="preserve"> collected </w:t>
      </w:r>
      <w:r>
        <w:t xml:space="preserve">on the </w:t>
      </w:r>
      <w:r w:rsidRPr="00E163E8">
        <w:t>SAMHSA/CSAT</w:t>
      </w:r>
      <w:r>
        <w:t xml:space="preserve"> Hepatitis Test and Vaccin</w:t>
      </w:r>
      <w:r w:rsidR="00E7358F">
        <w:t xml:space="preserve">e Tracking Form will be used </w:t>
      </w:r>
      <w:r w:rsidRPr="00EE293B">
        <w:t>for quality assurance, quality performance, and product monitoring</w:t>
      </w:r>
      <w:r>
        <w:t>.</w:t>
      </w:r>
      <w:r w:rsidR="005078E3">
        <w:t xml:space="preserve"> </w:t>
      </w:r>
      <w:r>
        <w:t>The SAMHSA/CSAT Hepatitis Test and Vaccine Tracking Form is one-page, and it takes approximately 3 minutes to complete.</w:t>
      </w:r>
    </w:p>
    <w:p w:rsidR="004A755A" w:rsidRDefault="004A755A" w:rsidP="004A755A">
      <w:pPr>
        <w:widowControl/>
      </w:pPr>
    </w:p>
    <w:p w:rsidR="004A755A" w:rsidRDefault="004A755A" w:rsidP="004A755A">
      <w:pPr>
        <w:widowControl/>
      </w:pPr>
      <w:r>
        <w:t xml:space="preserve">The form </w:t>
      </w:r>
      <w:r w:rsidR="006324F9">
        <w:t xml:space="preserve">does collect limited </w:t>
      </w:r>
      <w:r w:rsidR="00273D2B">
        <w:t>patient</w:t>
      </w:r>
      <w:r w:rsidR="006324F9">
        <w:t xml:space="preserve"> information. </w:t>
      </w:r>
      <w:r w:rsidR="00273D2B">
        <w:t>I</w:t>
      </w:r>
      <w:r>
        <w:t>t does contain space for lot number identification in the event that the FDA determines that problems exist with a specific lot; such problems have already occurred in several areas of the United States, making this information of critical importance to providers and to patients.</w:t>
      </w:r>
    </w:p>
    <w:p w:rsidR="004A755A" w:rsidRDefault="004A755A" w:rsidP="00CD1F12">
      <w:pPr>
        <w:widowControl/>
      </w:pPr>
    </w:p>
    <w:p w:rsidR="00E454EE" w:rsidRDefault="00E454EE" w:rsidP="00CD1F12">
      <w:pPr>
        <w:widowControl/>
      </w:pPr>
    </w:p>
    <w:p w:rsidR="00CD1F12" w:rsidRDefault="00CD1F12">
      <w:pPr>
        <w:widowControl/>
        <w:tabs>
          <w:tab w:val="left" w:pos="-1440"/>
        </w:tabs>
        <w:ind w:left="720" w:hanging="720"/>
        <w:rPr>
          <w:b/>
          <w:bCs/>
        </w:rPr>
      </w:pPr>
      <w:r>
        <w:rPr>
          <w:b/>
          <w:bCs/>
        </w:rPr>
        <w:t>3.</w:t>
      </w:r>
      <w:r>
        <w:rPr>
          <w:b/>
          <w:bCs/>
        </w:rPr>
        <w:tab/>
      </w:r>
      <w:r>
        <w:rPr>
          <w:b/>
          <w:bCs/>
          <w:u w:val="single"/>
        </w:rPr>
        <w:t>Use of Information Technology</w:t>
      </w:r>
    </w:p>
    <w:p w:rsidR="00CD1F12" w:rsidRDefault="00CD1F12">
      <w:pPr>
        <w:widowControl/>
        <w:rPr>
          <w:bCs/>
        </w:rPr>
      </w:pPr>
    </w:p>
    <w:p w:rsidR="00CD1F12" w:rsidRDefault="00CD1F12" w:rsidP="00CD1F12">
      <w:pPr>
        <w:widowControl/>
      </w:pPr>
      <w:r>
        <w:t xml:space="preserve">The design of the SAMHSA/CSAT Hepatitis Test and Vaccine Tracking Form encourages the use of automation to reduce burden on participating opioid treatment programs. The form can be completed within Microsoft Word and then </w:t>
      </w:r>
      <w:r w:rsidR="00C40F53">
        <w:t>e-</w:t>
      </w:r>
      <w:r>
        <w:t>mailed</w:t>
      </w:r>
      <w:r w:rsidR="004A755A">
        <w:t>; it can b</w:t>
      </w:r>
      <w:r>
        <w:t>e completed by hand and faxed</w:t>
      </w:r>
      <w:r w:rsidR="004A755A">
        <w:t xml:space="preserve"> or </w:t>
      </w:r>
      <w:r>
        <w:t>mailed in pre-paid envelopes. Additionally, if the program previously collect</w:t>
      </w:r>
      <w:r w:rsidR="004A755A">
        <w:t>s</w:t>
      </w:r>
      <w:r>
        <w:t xml:space="preserve"> the information needed on the form, they can send the information in the format </w:t>
      </w:r>
      <w:r w:rsidR="004A755A">
        <w:t>they</w:t>
      </w:r>
      <w:r>
        <w:t xml:space="preserve"> use. The use of information technology and the methods for transmitting the form will be determined by program based on the least burden for the opioid treatment program staff.</w:t>
      </w:r>
    </w:p>
    <w:p w:rsidR="00CD1F12" w:rsidRDefault="00CD1F12" w:rsidP="00CD1F12">
      <w:pPr>
        <w:widowControl/>
      </w:pPr>
    </w:p>
    <w:p w:rsidR="00CD1F12" w:rsidRDefault="00CD1F12" w:rsidP="00CD1F12">
      <w:pPr>
        <w:widowControl/>
      </w:pPr>
      <w:r>
        <w:t xml:space="preserve">It is estimated that 80 percent of the responses will be submitted electronically. For the programs where electronic submission increases burden, paper forms will be preprinted and provided at no cost to the opioid treatment programs as needed. </w:t>
      </w:r>
    </w:p>
    <w:p w:rsidR="00CD1F12" w:rsidRDefault="00CD1F12" w:rsidP="00CD1F12">
      <w:pPr>
        <w:widowControl/>
      </w:pPr>
    </w:p>
    <w:p w:rsidR="00CD1F12" w:rsidRDefault="00CD1F12">
      <w:pPr>
        <w:widowControl/>
        <w:tabs>
          <w:tab w:val="left" w:pos="-1440"/>
        </w:tabs>
        <w:ind w:left="720" w:right="90" w:hanging="720"/>
        <w:rPr>
          <w:b/>
          <w:bCs/>
        </w:rPr>
      </w:pPr>
      <w:r>
        <w:rPr>
          <w:b/>
          <w:bCs/>
        </w:rPr>
        <w:t>4.</w:t>
      </w:r>
      <w:r>
        <w:rPr>
          <w:b/>
          <w:bCs/>
        </w:rPr>
        <w:tab/>
      </w:r>
      <w:r>
        <w:rPr>
          <w:b/>
          <w:bCs/>
          <w:u w:val="single"/>
        </w:rPr>
        <w:t>Efforts to Identify Duplication</w:t>
      </w:r>
    </w:p>
    <w:p w:rsidR="00CD1F12" w:rsidRDefault="00CD1F12">
      <w:pPr>
        <w:widowControl/>
        <w:ind w:right="90"/>
        <w:rPr>
          <w:b/>
          <w:bCs/>
        </w:rPr>
      </w:pPr>
    </w:p>
    <w:p w:rsidR="00CD1F12" w:rsidRDefault="00CD1F12">
      <w:pPr>
        <w:pStyle w:val="NormalWeb"/>
        <w:spacing w:before="0" w:beforeAutospacing="0" w:after="0" w:afterAutospacing="0"/>
      </w:pPr>
      <w:r>
        <w:t>The information is collected only for the purposes of this program and is not available elsewhere. It is possible that the information requested by the SAMHSA/CSAT Hepatitis Test and Vaccine Tracking Form is already being collected by the participating opioid treatment programs. In the cases where the opioid treatment program has a hepatitis protocols in place, the information can be sent without reliance on the form.</w:t>
      </w:r>
    </w:p>
    <w:p w:rsidR="00CD1F12" w:rsidRDefault="00CD1F12">
      <w:pPr>
        <w:pStyle w:val="NormalWeb"/>
        <w:spacing w:before="0" w:beforeAutospacing="0" w:after="0" w:afterAutospacing="0"/>
      </w:pPr>
    </w:p>
    <w:p w:rsidR="00CD1F12" w:rsidRDefault="00CD1F12">
      <w:pPr>
        <w:widowControl/>
        <w:tabs>
          <w:tab w:val="left" w:pos="-1440"/>
        </w:tabs>
        <w:ind w:left="720" w:right="90" w:hanging="720"/>
        <w:rPr>
          <w:b/>
          <w:bCs/>
        </w:rPr>
      </w:pPr>
      <w:r>
        <w:rPr>
          <w:b/>
          <w:bCs/>
        </w:rPr>
        <w:t>5.</w:t>
      </w:r>
      <w:r>
        <w:rPr>
          <w:b/>
          <w:bCs/>
        </w:rPr>
        <w:tab/>
      </w:r>
      <w:r>
        <w:rPr>
          <w:b/>
          <w:bCs/>
          <w:u w:val="single"/>
        </w:rPr>
        <w:t>Involvement of Small Entities</w:t>
      </w:r>
    </w:p>
    <w:p w:rsidR="00CD1F12" w:rsidRDefault="00CD1F12">
      <w:pPr>
        <w:widowControl/>
        <w:ind w:right="90"/>
        <w:rPr>
          <w:b/>
          <w:bCs/>
        </w:rPr>
      </w:pPr>
    </w:p>
    <w:p w:rsidR="00CD1F12" w:rsidRDefault="00CD1F12">
      <w:pPr>
        <w:widowControl/>
        <w:ind w:right="90"/>
      </w:pPr>
      <w:r>
        <w:t>The participating opioid treatment programs are usually small not-for-profit organizations, not dominant in the field. They are considered “small entities” b</w:t>
      </w:r>
      <w:r w:rsidR="00855367">
        <w:t xml:space="preserve">ut they do not have a significant impact on these organizations. </w:t>
      </w:r>
    </w:p>
    <w:p w:rsidR="00855367" w:rsidRDefault="00855367">
      <w:pPr>
        <w:widowControl/>
        <w:ind w:right="90"/>
        <w:rPr>
          <w:b/>
          <w:bCs/>
        </w:rPr>
      </w:pPr>
    </w:p>
    <w:p w:rsidR="00CD1F12" w:rsidRDefault="00CD1F12">
      <w:pPr>
        <w:widowControl/>
        <w:tabs>
          <w:tab w:val="left" w:pos="-1440"/>
        </w:tabs>
        <w:ind w:left="720" w:right="90" w:hanging="720"/>
        <w:rPr>
          <w:b/>
          <w:bCs/>
        </w:rPr>
      </w:pPr>
      <w:r>
        <w:rPr>
          <w:b/>
          <w:bCs/>
        </w:rPr>
        <w:t>6.</w:t>
      </w:r>
      <w:r>
        <w:rPr>
          <w:b/>
          <w:bCs/>
        </w:rPr>
        <w:tab/>
      </w:r>
      <w:r>
        <w:rPr>
          <w:b/>
          <w:bCs/>
          <w:u w:val="single"/>
        </w:rPr>
        <w:t xml:space="preserve">Consequences </w:t>
      </w:r>
      <w:r w:rsidR="00C40F53">
        <w:rPr>
          <w:b/>
          <w:bCs/>
          <w:u w:val="single"/>
        </w:rPr>
        <w:t>i</w:t>
      </w:r>
      <w:r>
        <w:rPr>
          <w:b/>
          <w:bCs/>
          <w:u w:val="single"/>
        </w:rPr>
        <w:t xml:space="preserve">f Information </w:t>
      </w:r>
      <w:r w:rsidR="00C40F53">
        <w:rPr>
          <w:b/>
          <w:bCs/>
          <w:u w:val="single"/>
        </w:rPr>
        <w:t>i</w:t>
      </w:r>
      <w:r>
        <w:rPr>
          <w:b/>
          <w:bCs/>
          <w:u w:val="single"/>
        </w:rPr>
        <w:t xml:space="preserve">s </w:t>
      </w:r>
      <w:proofErr w:type="gramStart"/>
      <w:r>
        <w:rPr>
          <w:b/>
          <w:bCs/>
          <w:u w:val="single"/>
        </w:rPr>
        <w:t>Collected</w:t>
      </w:r>
      <w:proofErr w:type="gramEnd"/>
      <w:r>
        <w:rPr>
          <w:b/>
          <w:bCs/>
          <w:u w:val="single"/>
        </w:rPr>
        <w:t xml:space="preserve"> Less Frequently</w:t>
      </w:r>
    </w:p>
    <w:p w:rsidR="00CD1F12" w:rsidRDefault="00CD1F12">
      <w:pPr>
        <w:widowControl/>
        <w:ind w:right="90"/>
        <w:rPr>
          <w:b/>
          <w:bCs/>
        </w:rPr>
      </w:pPr>
    </w:p>
    <w:p w:rsidR="00A46B2A" w:rsidRDefault="00A46B2A" w:rsidP="00A46B2A">
      <w:pPr>
        <w:widowControl/>
      </w:pPr>
      <w:r>
        <w:t xml:space="preserve">Each respondent is asked to respond annually. The first part the respondent is asked to provide demographic information, vaccination history, and hepatitis testing information. The second and third parts the respondent is asked to provide the date and lot number for subsequent vaccinations and/or HCV test. The forth part is one month after intake, the programs are asked to send the Hepatitis Test and Vaccine Tracking Form. </w:t>
      </w:r>
    </w:p>
    <w:p w:rsidR="00A46B2A" w:rsidRDefault="00A46B2A" w:rsidP="00A46B2A">
      <w:pPr>
        <w:widowControl/>
      </w:pPr>
    </w:p>
    <w:p w:rsidR="00A46B2A" w:rsidRDefault="00A46B2A" w:rsidP="00A46B2A">
      <w:pPr>
        <w:widowControl/>
      </w:pPr>
      <w:r>
        <w:t>If the information is not collected, the program will be contacted by phone in order to determine the problem. For those cases, when the third dose information is not received, the program will be contacted to verify that the patient did not return for the service.</w:t>
      </w:r>
    </w:p>
    <w:p w:rsidR="00CD1F12" w:rsidRDefault="00CD1F12">
      <w:pPr>
        <w:widowControl/>
        <w:ind w:right="90"/>
      </w:pPr>
    </w:p>
    <w:p w:rsidR="00CD1F12" w:rsidRDefault="00CD1F12">
      <w:pPr>
        <w:widowControl/>
        <w:tabs>
          <w:tab w:val="left" w:pos="-1440"/>
        </w:tabs>
        <w:ind w:left="720" w:right="90" w:hanging="720"/>
        <w:rPr>
          <w:b/>
          <w:bCs/>
        </w:rPr>
      </w:pPr>
      <w:r>
        <w:rPr>
          <w:b/>
          <w:bCs/>
        </w:rPr>
        <w:t>7.</w:t>
      </w:r>
      <w:r>
        <w:rPr>
          <w:b/>
          <w:bCs/>
        </w:rPr>
        <w:tab/>
      </w:r>
      <w:r>
        <w:rPr>
          <w:b/>
          <w:bCs/>
          <w:u w:val="single"/>
        </w:rPr>
        <w:t xml:space="preserve">Consistency </w:t>
      </w:r>
      <w:r w:rsidR="00A12BB1">
        <w:rPr>
          <w:b/>
          <w:bCs/>
          <w:u w:val="single"/>
        </w:rPr>
        <w:t>with</w:t>
      </w:r>
      <w:r>
        <w:rPr>
          <w:b/>
          <w:bCs/>
          <w:u w:val="single"/>
        </w:rPr>
        <w:t xml:space="preserve"> the Guidelines in 5 CFR 1320.5 (d) (2)</w:t>
      </w:r>
    </w:p>
    <w:p w:rsidR="00CD1F12" w:rsidRDefault="00CD1F12">
      <w:pPr>
        <w:widowControl/>
        <w:ind w:right="90"/>
        <w:rPr>
          <w:b/>
          <w:bCs/>
        </w:rPr>
      </w:pPr>
    </w:p>
    <w:p w:rsidR="00CD1F12" w:rsidRDefault="00CD1F12" w:rsidP="00CD1F12">
      <w:pPr>
        <w:widowControl/>
        <w:tabs>
          <w:tab w:val="left" w:pos="7984"/>
        </w:tabs>
        <w:ind w:right="90"/>
      </w:pPr>
      <w:r>
        <w:t xml:space="preserve">This information collection fully complies with 5 CFR 1320.5 (d) (2). </w:t>
      </w:r>
    </w:p>
    <w:p w:rsidR="00CD1F12" w:rsidRDefault="00CD1F12">
      <w:pPr>
        <w:widowControl/>
        <w:ind w:right="90"/>
      </w:pPr>
    </w:p>
    <w:p w:rsidR="00CD1F12" w:rsidRDefault="00CD1F12">
      <w:pPr>
        <w:widowControl/>
        <w:tabs>
          <w:tab w:val="left" w:pos="-1440"/>
        </w:tabs>
        <w:ind w:left="720" w:hanging="720"/>
        <w:rPr>
          <w:b/>
          <w:bCs/>
          <w:u w:val="single"/>
        </w:rPr>
      </w:pPr>
      <w:r>
        <w:rPr>
          <w:b/>
          <w:bCs/>
        </w:rPr>
        <w:lastRenderedPageBreak/>
        <w:t>8.</w:t>
      </w:r>
      <w:r>
        <w:rPr>
          <w:b/>
          <w:bCs/>
        </w:rPr>
        <w:tab/>
      </w:r>
      <w:r>
        <w:rPr>
          <w:b/>
          <w:bCs/>
          <w:u w:val="single"/>
        </w:rPr>
        <w:t xml:space="preserve">Consultation </w:t>
      </w:r>
      <w:proofErr w:type="gramStart"/>
      <w:r w:rsidR="00C40F53">
        <w:rPr>
          <w:b/>
          <w:bCs/>
          <w:u w:val="single"/>
        </w:rPr>
        <w:t>O</w:t>
      </w:r>
      <w:r w:rsidR="00A12BB1">
        <w:rPr>
          <w:b/>
          <w:bCs/>
          <w:u w:val="single"/>
        </w:rPr>
        <w:t>utside</w:t>
      </w:r>
      <w:proofErr w:type="gramEnd"/>
      <w:r>
        <w:rPr>
          <w:b/>
          <w:bCs/>
          <w:u w:val="single"/>
        </w:rPr>
        <w:t xml:space="preserve"> the Agency</w:t>
      </w:r>
    </w:p>
    <w:p w:rsidR="00CD1F12" w:rsidRDefault="00CD1F12">
      <w:pPr>
        <w:widowControl/>
        <w:tabs>
          <w:tab w:val="left" w:pos="-1440"/>
        </w:tabs>
        <w:ind w:left="720" w:hanging="720"/>
        <w:rPr>
          <w:b/>
          <w:bCs/>
        </w:rPr>
      </w:pPr>
    </w:p>
    <w:p w:rsidR="000A0C18" w:rsidRDefault="000A0C18" w:rsidP="000A0C18">
      <w:pPr>
        <w:widowControl/>
        <w:rPr>
          <w:bCs/>
        </w:rPr>
      </w:pPr>
      <w:r w:rsidRPr="002F4525">
        <w:rPr>
          <w:bCs/>
        </w:rPr>
        <w:t xml:space="preserve">The notice required in 5 CPR 1320.8 (d) was published on </w:t>
      </w:r>
      <w:r>
        <w:rPr>
          <w:bCs/>
        </w:rPr>
        <w:t>April 23, 2012 (Vol. 77</w:t>
      </w:r>
      <w:r w:rsidR="00AF1045">
        <w:rPr>
          <w:bCs/>
        </w:rPr>
        <w:t>,</w:t>
      </w:r>
      <w:r>
        <w:rPr>
          <w:bCs/>
        </w:rPr>
        <w:t xml:space="preserve"> p. 24211).  No comments were received.</w:t>
      </w:r>
    </w:p>
    <w:p w:rsidR="00CD1F12" w:rsidRDefault="00CD1F12">
      <w:pPr>
        <w:widowControl/>
        <w:rPr>
          <w:bCs/>
          <w:highlight w:val="yellow"/>
        </w:rPr>
      </w:pPr>
    </w:p>
    <w:p w:rsidR="00CD1F12" w:rsidRDefault="00CD1F12">
      <w:pPr>
        <w:widowControl/>
        <w:rPr>
          <w:bCs/>
        </w:rPr>
      </w:pPr>
      <w:r>
        <w:rPr>
          <w:bCs/>
        </w:rPr>
        <w:t xml:space="preserve">CSAT e-mailed the following potential respondents draft copies of the form on August 19, 2008 to solicit views on whether the information requested was reasonable and whether the form was written in plain, unambiguous language. </w:t>
      </w:r>
    </w:p>
    <w:p w:rsidR="00CD1F12" w:rsidRDefault="00CD1F12">
      <w:pPr>
        <w:widowControl/>
        <w:rPr>
          <w:bCs/>
        </w:rPr>
      </w:pPr>
    </w:p>
    <w:p w:rsidR="00CD1F12" w:rsidRPr="00FC7EAE" w:rsidRDefault="006627FE">
      <w:pPr>
        <w:widowControl/>
        <w:rPr>
          <w:bCs/>
        </w:rPr>
      </w:pPr>
      <w:r w:rsidRPr="00FC7EAE">
        <w:rPr>
          <w:bCs/>
        </w:rPr>
        <w:t>Debbie Bigham</w:t>
      </w:r>
    </w:p>
    <w:p w:rsidR="00CD1F12" w:rsidRPr="00FC7EAE" w:rsidRDefault="006627FE">
      <w:pPr>
        <w:widowControl/>
        <w:rPr>
          <w:bCs/>
        </w:rPr>
      </w:pPr>
      <w:r w:rsidRPr="00FC7EAE">
        <w:rPr>
          <w:bCs/>
        </w:rPr>
        <w:t>Ku Aloha Ola Mau</w:t>
      </w:r>
    </w:p>
    <w:p w:rsidR="00CD1F12" w:rsidRPr="00FC7EAE" w:rsidRDefault="006627FE">
      <w:pPr>
        <w:widowControl/>
        <w:rPr>
          <w:bCs/>
        </w:rPr>
      </w:pPr>
      <w:smartTag w:uri="urn:schemas-microsoft-com:office:smarttags" w:element="Street">
        <w:smartTag w:uri="urn:schemas-microsoft-com:office:smarttags" w:element="address">
          <w:r w:rsidRPr="00FC7EAE">
            <w:rPr>
              <w:bCs/>
            </w:rPr>
            <w:t>1130 N. Nimitz Highway</w:t>
          </w:r>
        </w:smartTag>
      </w:smartTag>
    </w:p>
    <w:p w:rsidR="00CD1F12" w:rsidRDefault="006627FE">
      <w:pPr>
        <w:widowControl/>
        <w:rPr>
          <w:bCs/>
        </w:rPr>
      </w:pPr>
      <w:smartTag w:uri="urn:schemas-microsoft-com:office:smarttags" w:element="place">
        <w:smartTag w:uri="urn:schemas-microsoft-com:office:smarttags" w:element="City">
          <w:r w:rsidRPr="00FC7EAE">
            <w:rPr>
              <w:bCs/>
            </w:rPr>
            <w:t>Honolulu</w:t>
          </w:r>
        </w:smartTag>
        <w:r w:rsidRPr="00FC7EAE">
          <w:rPr>
            <w:bCs/>
          </w:rPr>
          <w:t xml:space="preserve">, </w:t>
        </w:r>
        <w:smartTag w:uri="urn:schemas-microsoft-com:office:smarttags" w:element="State">
          <w:r w:rsidRPr="00FC7EAE">
            <w:rPr>
              <w:bCs/>
            </w:rPr>
            <w:t>HI</w:t>
          </w:r>
        </w:smartTag>
        <w:r w:rsidRPr="00FC7EAE">
          <w:rPr>
            <w:bCs/>
          </w:rPr>
          <w:t xml:space="preserve"> </w:t>
        </w:r>
        <w:r w:rsidR="00FC7EAE" w:rsidRPr="00FC7EAE">
          <w:rPr>
            <w:bCs/>
          </w:rPr>
          <w:t xml:space="preserve"> </w:t>
        </w:r>
        <w:smartTag w:uri="urn:schemas-microsoft-com:office:smarttags" w:element="PostalCode">
          <w:r w:rsidR="00FC7EAE" w:rsidRPr="00FC7EAE">
            <w:rPr>
              <w:bCs/>
            </w:rPr>
            <w:t>96817</w:t>
          </w:r>
        </w:smartTag>
      </w:smartTag>
    </w:p>
    <w:p w:rsidR="00A64275" w:rsidRDefault="00A64275">
      <w:pPr>
        <w:widowControl/>
        <w:rPr>
          <w:bCs/>
        </w:rPr>
      </w:pPr>
    </w:p>
    <w:p w:rsidR="00A64275" w:rsidRPr="00A64275" w:rsidRDefault="00A64275" w:rsidP="00A64275">
      <w:pPr>
        <w:widowControl/>
        <w:autoSpaceDE/>
        <w:autoSpaceDN/>
        <w:adjustRightInd/>
      </w:pPr>
      <w:r w:rsidRPr="00A64275">
        <w:t>Farah Parvez, MD, MPH</w:t>
      </w:r>
    </w:p>
    <w:p w:rsidR="00A64275" w:rsidRPr="00A64275" w:rsidRDefault="00A64275" w:rsidP="00A64275">
      <w:pPr>
        <w:widowControl/>
        <w:autoSpaceDE/>
        <w:autoSpaceDN/>
        <w:adjustRightInd/>
      </w:pPr>
      <w:r w:rsidRPr="00A64275">
        <w:t>CDR, USPHS</w:t>
      </w:r>
    </w:p>
    <w:p w:rsidR="00A64275" w:rsidRPr="00A64275" w:rsidRDefault="00A64275" w:rsidP="00A64275">
      <w:pPr>
        <w:widowControl/>
        <w:autoSpaceDE/>
        <w:autoSpaceDN/>
        <w:adjustRightInd/>
      </w:pPr>
      <w:r w:rsidRPr="00A64275">
        <w:t>Director, Office of Correctional Public Health</w:t>
      </w:r>
    </w:p>
    <w:p w:rsidR="00A64275" w:rsidRPr="00A64275" w:rsidRDefault="00A64275" w:rsidP="00A64275">
      <w:pPr>
        <w:widowControl/>
        <w:autoSpaceDE/>
        <w:autoSpaceDN/>
        <w:adjustRightInd/>
      </w:pPr>
      <w:r w:rsidRPr="00A64275">
        <w:t>New York City Department of Health and Mental Hygiene</w:t>
      </w:r>
    </w:p>
    <w:p w:rsidR="00A64275" w:rsidRPr="00A64275" w:rsidRDefault="00A64275" w:rsidP="00A64275">
      <w:pPr>
        <w:widowControl/>
        <w:autoSpaceDE/>
        <w:autoSpaceDN/>
        <w:adjustRightInd/>
      </w:pPr>
      <w:r w:rsidRPr="00A64275">
        <w:t>233 Broadway, 26th Floor, CN 52</w:t>
      </w:r>
    </w:p>
    <w:p w:rsidR="00A64275" w:rsidRPr="00A64275" w:rsidRDefault="00A64275" w:rsidP="00A64275">
      <w:pPr>
        <w:widowControl/>
        <w:autoSpaceDE/>
        <w:autoSpaceDN/>
        <w:adjustRightInd/>
      </w:pPr>
      <w:smartTag w:uri="urn:schemas-microsoft-com:office:smarttags" w:element="place">
        <w:smartTag w:uri="urn:schemas-microsoft-com:office:smarttags" w:element="City">
          <w:r w:rsidRPr="00A64275">
            <w:t>New York</w:t>
          </w:r>
        </w:smartTag>
        <w:r w:rsidRPr="00A64275">
          <w:t xml:space="preserve">, </w:t>
        </w:r>
        <w:smartTag w:uri="urn:schemas-microsoft-com:office:smarttags" w:element="State">
          <w:r w:rsidRPr="00A64275">
            <w:t>NY</w:t>
          </w:r>
        </w:smartTag>
        <w:r w:rsidRPr="00A64275">
          <w:t xml:space="preserve"> </w:t>
        </w:r>
        <w:smartTag w:uri="urn:schemas-microsoft-com:office:smarttags" w:element="PostalCode">
          <w:r w:rsidRPr="00A64275">
            <w:t>10279</w:t>
          </w:r>
        </w:smartTag>
      </w:smartTag>
    </w:p>
    <w:p w:rsidR="00CD1F12" w:rsidRDefault="00CD1F12">
      <w:pPr>
        <w:widowControl/>
        <w:rPr>
          <w:b/>
          <w:bCs/>
        </w:rPr>
      </w:pPr>
    </w:p>
    <w:p w:rsidR="00CD1F12" w:rsidRDefault="00CD1F12">
      <w:pPr>
        <w:widowControl/>
        <w:tabs>
          <w:tab w:val="left" w:pos="-1440"/>
        </w:tabs>
        <w:ind w:left="720" w:hanging="720"/>
        <w:rPr>
          <w:b/>
          <w:bCs/>
        </w:rPr>
      </w:pPr>
      <w:r>
        <w:rPr>
          <w:b/>
          <w:bCs/>
        </w:rPr>
        <w:t>9.</w:t>
      </w:r>
      <w:r>
        <w:rPr>
          <w:b/>
          <w:bCs/>
        </w:rPr>
        <w:tab/>
      </w:r>
      <w:r>
        <w:rPr>
          <w:b/>
          <w:bCs/>
          <w:u w:val="single"/>
        </w:rPr>
        <w:t>Payment to Respondents</w:t>
      </w:r>
    </w:p>
    <w:p w:rsidR="00CD1F12" w:rsidRDefault="00CD1F12">
      <w:pPr>
        <w:widowControl/>
        <w:rPr>
          <w:b/>
          <w:bCs/>
        </w:rPr>
      </w:pPr>
      <w:r>
        <w:rPr>
          <w:b/>
          <w:bCs/>
        </w:rPr>
        <w:t xml:space="preserve">      </w:t>
      </w:r>
    </w:p>
    <w:p w:rsidR="00CD1F12" w:rsidRDefault="00CD1F12">
      <w:pPr>
        <w:widowControl/>
      </w:pPr>
      <w:r>
        <w:t>Respondents will not be paid.</w:t>
      </w:r>
    </w:p>
    <w:p w:rsidR="00CD1F12" w:rsidRDefault="00CD1F12">
      <w:pPr>
        <w:widowControl/>
        <w:rPr>
          <w:b/>
          <w:bCs/>
        </w:rPr>
      </w:pPr>
    </w:p>
    <w:p w:rsidR="00CD1F12" w:rsidRDefault="00CD1F12">
      <w:pPr>
        <w:widowControl/>
        <w:tabs>
          <w:tab w:val="left" w:pos="-1440"/>
        </w:tabs>
        <w:ind w:left="720" w:hanging="720"/>
        <w:rPr>
          <w:b/>
          <w:bCs/>
        </w:rPr>
      </w:pPr>
      <w:r>
        <w:rPr>
          <w:b/>
          <w:bCs/>
        </w:rPr>
        <w:t>10.</w:t>
      </w:r>
      <w:r>
        <w:rPr>
          <w:b/>
          <w:bCs/>
        </w:rPr>
        <w:tab/>
      </w:r>
      <w:r>
        <w:rPr>
          <w:b/>
          <w:bCs/>
          <w:u w:val="single"/>
        </w:rPr>
        <w:t>Assurance of Confidentiality</w:t>
      </w:r>
    </w:p>
    <w:p w:rsidR="00CD1F12" w:rsidRDefault="00CD1F12">
      <w:pPr>
        <w:widowControl/>
        <w:rPr>
          <w:b/>
          <w:bCs/>
        </w:rPr>
      </w:pPr>
    </w:p>
    <w:p w:rsidR="006C6742" w:rsidRDefault="00E454EE">
      <w:pPr>
        <w:widowControl/>
      </w:pPr>
      <w:r>
        <w:t xml:space="preserve">The information the </w:t>
      </w:r>
      <w:r w:rsidR="00CD1F12" w:rsidRPr="00565F21">
        <w:t>form</w:t>
      </w:r>
      <w:r>
        <w:t xml:space="preserve">s are </w:t>
      </w:r>
      <w:r w:rsidR="00CD1F12" w:rsidRPr="00565F21">
        <w:t xml:space="preserve">stored and compiled by a contractor which has experience in </w:t>
      </w:r>
      <w:r w:rsidR="00FA5322">
        <w:t>securing the information collected during the collection</w:t>
      </w:r>
      <w:r w:rsidR="008A0AB5">
        <w:t xml:space="preserve"> </w:t>
      </w:r>
      <w:r w:rsidR="00FA5322">
        <w:t xml:space="preserve">processing </w:t>
      </w:r>
      <w:r w:rsidR="008A0AB5">
        <w:t xml:space="preserve">(electronically via unique secured </w:t>
      </w:r>
      <w:r w:rsidR="00B17A9A">
        <w:t>password)</w:t>
      </w:r>
      <w:r w:rsidR="00CD1F12">
        <w:t xml:space="preserve">. </w:t>
      </w:r>
      <w:r w:rsidR="00CD1F12" w:rsidRPr="00565F21">
        <w:t>The contractor recognizes the importance of restricting access to data of this nature</w:t>
      </w:r>
      <w:r w:rsidR="00CD1F12">
        <w:t xml:space="preserve">. </w:t>
      </w:r>
      <w:r w:rsidR="00CD1F12" w:rsidRPr="00565F21">
        <w:t xml:space="preserve">The information will be </w:t>
      </w:r>
      <w:r w:rsidR="00B9631C">
        <w:t xml:space="preserve">compiled </w:t>
      </w:r>
      <w:r w:rsidR="00CD1F12" w:rsidRPr="00565F21">
        <w:t xml:space="preserve">in </w:t>
      </w:r>
      <w:r w:rsidR="00953F57">
        <w:t xml:space="preserve">aggregated </w:t>
      </w:r>
      <w:r w:rsidR="00CD1F12" w:rsidRPr="00565F21">
        <w:t>form only.</w:t>
      </w:r>
    </w:p>
    <w:p w:rsidR="00335F15" w:rsidRDefault="00335F15">
      <w:pPr>
        <w:widowControl/>
        <w:rPr>
          <w:b/>
          <w:bCs/>
        </w:rPr>
      </w:pPr>
    </w:p>
    <w:p w:rsidR="00CD1F12" w:rsidRDefault="00CD1F12">
      <w:pPr>
        <w:widowControl/>
        <w:tabs>
          <w:tab w:val="left" w:pos="-1440"/>
        </w:tabs>
        <w:ind w:left="720" w:hanging="720"/>
        <w:rPr>
          <w:b/>
          <w:bCs/>
        </w:rPr>
      </w:pPr>
      <w:r>
        <w:rPr>
          <w:b/>
          <w:bCs/>
        </w:rPr>
        <w:t>11.</w:t>
      </w:r>
      <w:r>
        <w:rPr>
          <w:b/>
          <w:bCs/>
        </w:rPr>
        <w:tab/>
      </w:r>
      <w:r>
        <w:rPr>
          <w:b/>
          <w:bCs/>
          <w:u w:val="single"/>
        </w:rPr>
        <w:t>Questions of a Sensitive Nature</w:t>
      </w:r>
    </w:p>
    <w:p w:rsidR="00CD1F12" w:rsidRDefault="00CD1F12">
      <w:pPr>
        <w:widowControl/>
        <w:rPr>
          <w:b/>
          <w:bCs/>
        </w:rPr>
      </w:pPr>
    </w:p>
    <w:p w:rsidR="001928C6" w:rsidRPr="00335F15" w:rsidRDefault="00CD1F12" w:rsidP="00CD1F12">
      <w:r>
        <w:t>The information collection include</w:t>
      </w:r>
      <w:r w:rsidR="00DF6A1C">
        <w:t>s</w:t>
      </w:r>
      <w:r>
        <w:t xml:space="preserve"> questions concerning sensitive information such as the patient’s risk f</w:t>
      </w:r>
      <w:r w:rsidR="00DF6A1C">
        <w:t>actors, and no patient identifying</w:t>
      </w:r>
      <w:r>
        <w:t xml:space="preserve"> information is collected. The information collected relates the normal use of hepatitis vaccination and testing in the community. The opioid treatment program retains all patient </w:t>
      </w:r>
      <w:r w:rsidR="00DF6A1C">
        <w:t xml:space="preserve">identifying </w:t>
      </w:r>
      <w:r>
        <w:t xml:space="preserve">information and the code by which a specific patient can be identified. The Federal </w:t>
      </w:r>
      <w:r w:rsidR="00C40F53">
        <w:t>G</w:t>
      </w:r>
      <w:r>
        <w:t xml:space="preserve">overnment receives only a </w:t>
      </w:r>
      <w:r w:rsidR="00DF6A1C">
        <w:t xml:space="preserve">randomly assigned </w:t>
      </w:r>
      <w:r>
        <w:t>patient identifier which can only be used to determine that a specific unknown patient received the test kit and that certain demographic and referral information.</w:t>
      </w:r>
    </w:p>
    <w:p w:rsidR="001928C6" w:rsidRDefault="001928C6" w:rsidP="00CD1F12">
      <w:pPr>
        <w:rPr>
          <w:b/>
          <w:bCs/>
        </w:rPr>
      </w:pPr>
    </w:p>
    <w:p w:rsidR="001928C6" w:rsidRDefault="001928C6" w:rsidP="00CD1F12">
      <w:pPr>
        <w:rPr>
          <w:b/>
          <w:bCs/>
        </w:rPr>
      </w:pPr>
    </w:p>
    <w:p w:rsidR="00CD1F12" w:rsidRDefault="00CD1F12">
      <w:pPr>
        <w:widowControl/>
        <w:tabs>
          <w:tab w:val="left" w:pos="-1440"/>
        </w:tabs>
        <w:ind w:left="720" w:hanging="720"/>
        <w:rPr>
          <w:b/>
          <w:bCs/>
        </w:rPr>
      </w:pPr>
      <w:r>
        <w:rPr>
          <w:b/>
          <w:bCs/>
        </w:rPr>
        <w:t>12.</w:t>
      </w:r>
      <w:r>
        <w:rPr>
          <w:b/>
          <w:bCs/>
        </w:rPr>
        <w:tab/>
      </w:r>
      <w:r>
        <w:rPr>
          <w:b/>
          <w:bCs/>
          <w:u w:val="single"/>
        </w:rPr>
        <w:t>Estimates of Project Hour Burden</w:t>
      </w:r>
    </w:p>
    <w:p w:rsidR="00CD1F12" w:rsidRDefault="00CD1F12">
      <w:pPr>
        <w:widowControl/>
        <w:rPr>
          <w:b/>
          <w:bCs/>
        </w:rPr>
      </w:pPr>
    </w:p>
    <w:p w:rsidR="00711B1B" w:rsidRDefault="00711B1B">
      <w:pPr>
        <w:widowContro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214"/>
        <w:gridCol w:w="1443"/>
        <w:gridCol w:w="1443"/>
        <w:gridCol w:w="1790"/>
        <w:gridCol w:w="1209"/>
        <w:gridCol w:w="1199"/>
        <w:gridCol w:w="1278"/>
      </w:tblGrid>
      <w:tr w:rsidR="00C06817" w:rsidTr="00931C46">
        <w:tc>
          <w:tcPr>
            <w:tcW w:w="1214" w:type="dxa"/>
          </w:tcPr>
          <w:p w:rsidR="00711B1B" w:rsidRDefault="00711B1B" w:rsidP="00931C46">
            <w:pPr>
              <w:widowControl/>
            </w:pPr>
            <w:r>
              <w:lastRenderedPageBreak/>
              <w:t>Form</w:t>
            </w:r>
          </w:p>
        </w:tc>
        <w:tc>
          <w:tcPr>
            <w:tcW w:w="1443" w:type="dxa"/>
          </w:tcPr>
          <w:p w:rsidR="00711B1B" w:rsidRDefault="00711B1B" w:rsidP="00931C46">
            <w:pPr>
              <w:widowControl/>
            </w:pPr>
            <w:r>
              <w:t>Number of</w:t>
            </w:r>
          </w:p>
          <w:p w:rsidR="009568E9" w:rsidRDefault="009568E9" w:rsidP="00931C46">
            <w:pPr>
              <w:widowControl/>
            </w:pPr>
            <w:r>
              <w:t>Screened</w:t>
            </w:r>
          </w:p>
          <w:p w:rsidR="00711B1B" w:rsidRDefault="00711B1B" w:rsidP="00931C46">
            <w:pPr>
              <w:widowControl/>
            </w:pPr>
            <w:r>
              <w:t>Respondents</w:t>
            </w:r>
          </w:p>
        </w:tc>
        <w:tc>
          <w:tcPr>
            <w:tcW w:w="1443" w:type="dxa"/>
          </w:tcPr>
          <w:p w:rsidR="00711B1B" w:rsidRDefault="00711B1B" w:rsidP="00931C46">
            <w:pPr>
              <w:widowControl/>
            </w:pPr>
            <w:r>
              <w:t>Responses/</w:t>
            </w:r>
          </w:p>
          <w:p w:rsidR="00711B1B" w:rsidRDefault="00711B1B" w:rsidP="00931C46">
            <w:pPr>
              <w:widowControl/>
            </w:pPr>
            <w:r>
              <w:t>Respondents</w:t>
            </w:r>
          </w:p>
        </w:tc>
        <w:tc>
          <w:tcPr>
            <w:tcW w:w="1790" w:type="dxa"/>
          </w:tcPr>
          <w:p w:rsidR="00711B1B" w:rsidRDefault="00711B1B" w:rsidP="00931C46">
            <w:pPr>
              <w:widowControl/>
            </w:pPr>
            <w:r>
              <w:t>Hours/Response</w:t>
            </w:r>
          </w:p>
        </w:tc>
        <w:tc>
          <w:tcPr>
            <w:tcW w:w="1209" w:type="dxa"/>
          </w:tcPr>
          <w:p w:rsidR="00711B1B" w:rsidRDefault="00711B1B" w:rsidP="00931C46">
            <w:pPr>
              <w:widowControl/>
            </w:pPr>
            <w:r>
              <w:t>Total Hour</w:t>
            </w:r>
          </w:p>
          <w:p w:rsidR="00711B1B" w:rsidRDefault="00711B1B" w:rsidP="00931C46">
            <w:pPr>
              <w:widowControl/>
            </w:pPr>
            <w:r>
              <w:t>Burden</w:t>
            </w:r>
          </w:p>
        </w:tc>
        <w:tc>
          <w:tcPr>
            <w:tcW w:w="1199" w:type="dxa"/>
          </w:tcPr>
          <w:p w:rsidR="00711B1B" w:rsidRDefault="00711B1B" w:rsidP="00931C46">
            <w:pPr>
              <w:widowControl/>
            </w:pPr>
            <w:r>
              <w:t>Hourly</w:t>
            </w:r>
          </w:p>
          <w:p w:rsidR="00711B1B" w:rsidRDefault="00711B1B" w:rsidP="00931C46">
            <w:pPr>
              <w:widowControl/>
            </w:pPr>
            <w:r>
              <w:t>Wage Cost</w:t>
            </w:r>
          </w:p>
        </w:tc>
        <w:tc>
          <w:tcPr>
            <w:tcW w:w="1278" w:type="dxa"/>
          </w:tcPr>
          <w:p w:rsidR="00711B1B" w:rsidRDefault="00711B1B" w:rsidP="00931C46">
            <w:pPr>
              <w:widowControl/>
            </w:pPr>
            <w:r>
              <w:t>Total Hour Cost</w:t>
            </w:r>
          </w:p>
        </w:tc>
      </w:tr>
      <w:tr w:rsidR="00C06817" w:rsidTr="00931C46">
        <w:tc>
          <w:tcPr>
            <w:tcW w:w="1214" w:type="dxa"/>
          </w:tcPr>
          <w:p w:rsidR="00711B1B" w:rsidRDefault="00711B1B" w:rsidP="00931C46">
            <w:pPr>
              <w:widowControl/>
            </w:pPr>
            <w:r w:rsidRPr="00931C46">
              <w:rPr>
                <w:sz w:val="20"/>
                <w:szCs w:val="20"/>
              </w:rPr>
              <w:t>Hepatitis Test and Vaccine Tracking Form</w:t>
            </w:r>
          </w:p>
        </w:tc>
        <w:tc>
          <w:tcPr>
            <w:tcW w:w="1443" w:type="dxa"/>
          </w:tcPr>
          <w:p w:rsidR="00711B1B" w:rsidRDefault="00711B1B" w:rsidP="00931C46">
            <w:pPr>
              <w:widowControl/>
            </w:pPr>
            <w:r>
              <w:t>50,000</w:t>
            </w:r>
          </w:p>
        </w:tc>
        <w:tc>
          <w:tcPr>
            <w:tcW w:w="1443" w:type="dxa"/>
          </w:tcPr>
          <w:p w:rsidR="00711B1B" w:rsidRDefault="00711B1B" w:rsidP="00931C46">
            <w:pPr>
              <w:widowControl/>
            </w:pPr>
            <w:r>
              <w:t>1</w:t>
            </w:r>
          </w:p>
        </w:tc>
        <w:tc>
          <w:tcPr>
            <w:tcW w:w="1790" w:type="dxa"/>
          </w:tcPr>
          <w:p w:rsidR="00711B1B" w:rsidRDefault="00711B1B" w:rsidP="00931C46">
            <w:pPr>
              <w:widowControl/>
            </w:pPr>
            <w:r>
              <w:t>0.</w:t>
            </w:r>
            <w:r w:rsidR="008777CC">
              <w:t>0</w:t>
            </w:r>
            <w:r>
              <w:t>5</w:t>
            </w:r>
          </w:p>
        </w:tc>
        <w:tc>
          <w:tcPr>
            <w:tcW w:w="1209" w:type="dxa"/>
          </w:tcPr>
          <w:p w:rsidR="00711B1B" w:rsidRDefault="008777CC" w:rsidP="00931C46">
            <w:pPr>
              <w:widowControl/>
            </w:pPr>
            <w:r>
              <w:t>2</w:t>
            </w:r>
            <w:r w:rsidR="00711B1B">
              <w:t>,</w:t>
            </w:r>
            <w:r>
              <w:t>500</w:t>
            </w:r>
          </w:p>
        </w:tc>
        <w:tc>
          <w:tcPr>
            <w:tcW w:w="1199" w:type="dxa"/>
          </w:tcPr>
          <w:p w:rsidR="00711B1B" w:rsidRDefault="00711B1B" w:rsidP="00931C46">
            <w:pPr>
              <w:widowControl/>
            </w:pPr>
            <w:r>
              <w:t>$38.15</w:t>
            </w:r>
          </w:p>
        </w:tc>
        <w:tc>
          <w:tcPr>
            <w:tcW w:w="1278" w:type="dxa"/>
          </w:tcPr>
          <w:p w:rsidR="00711B1B" w:rsidRDefault="00711B1B" w:rsidP="00931C46">
            <w:pPr>
              <w:widowControl/>
            </w:pPr>
            <w:r>
              <w:t>$250,500</w:t>
            </w:r>
          </w:p>
        </w:tc>
      </w:tr>
    </w:tbl>
    <w:p w:rsidR="00711B1B" w:rsidRPr="00BE056C" w:rsidRDefault="00711B1B">
      <w:pPr>
        <w:widowControl/>
      </w:pPr>
    </w:p>
    <w:p w:rsidR="00CD1F12" w:rsidRDefault="00CD1F12">
      <w:pPr>
        <w:keepNext/>
        <w:keepLines/>
        <w:widowControl/>
        <w:tabs>
          <w:tab w:val="left" w:pos="-1440"/>
        </w:tabs>
        <w:ind w:left="720" w:hanging="720"/>
        <w:rPr>
          <w:b/>
          <w:bCs/>
        </w:rPr>
      </w:pPr>
      <w:r>
        <w:rPr>
          <w:b/>
          <w:bCs/>
        </w:rPr>
        <w:t>13.</w:t>
      </w:r>
      <w:r>
        <w:rPr>
          <w:b/>
          <w:bCs/>
        </w:rPr>
        <w:tab/>
      </w:r>
      <w:r>
        <w:rPr>
          <w:b/>
          <w:bCs/>
          <w:u w:val="single"/>
        </w:rPr>
        <w:t>Estimates of Annualized Cost Burden to Respondents</w:t>
      </w:r>
    </w:p>
    <w:p w:rsidR="00CD1F12" w:rsidRDefault="00CD1F12">
      <w:pPr>
        <w:keepNext/>
        <w:keepLines/>
        <w:widowControl/>
        <w:rPr>
          <w:b/>
          <w:bCs/>
        </w:rPr>
      </w:pPr>
    </w:p>
    <w:p w:rsidR="00CD1F12" w:rsidRDefault="00CD1F12">
      <w:pPr>
        <w:keepLines/>
        <w:widowControl/>
      </w:pPr>
      <w:r>
        <w:t>This information is routinely collected and stored</w:t>
      </w:r>
      <w:r w:rsidR="0087168A">
        <w:t xml:space="preserve">. </w:t>
      </w:r>
      <w:r>
        <w:t>There are no system, technology acquisition, capital, or start-up costs associated with its collection.</w:t>
      </w:r>
    </w:p>
    <w:p w:rsidR="008425EA" w:rsidRDefault="008425EA">
      <w:pPr>
        <w:keepLines/>
        <w:widowControl/>
      </w:pPr>
    </w:p>
    <w:p w:rsidR="00CD1F12" w:rsidRDefault="00CD1F12" w:rsidP="008425EA">
      <w:pPr>
        <w:widowControl/>
        <w:numPr>
          <w:ilvl w:val="0"/>
          <w:numId w:val="22"/>
        </w:numPr>
        <w:tabs>
          <w:tab w:val="clear" w:pos="720"/>
          <w:tab w:val="left" w:pos="-1440"/>
          <w:tab w:val="num" w:pos="0"/>
        </w:tabs>
        <w:ind w:hanging="720"/>
        <w:rPr>
          <w:b/>
          <w:bCs/>
          <w:u w:val="single"/>
        </w:rPr>
      </w:pPr>
      <w:r>
        <w:rPr>
          <w:b/>
          <w:bCs/>
          <w:u w:val="single"/>
        </w:rPr>
        <w:t>Estimates of the Annualized Cost to the Government</w:t>
      </w:r>
    </w:p>
    <w:p w:rsidR="00FA5322" w:rsidRDefault="00FA5322" w:rsidP="00FA5322">
      <w:pPr>
        <w:widowControl/>
        <w:tabs>
          <w:tab w:val="left" w:pos="-1440"/>
        </w:tabs>
        <w:ind w:left="360"/>
        <w:rPr>
          <w:b/>
          <w:bCs/>
        </w:rPr>
      </w:pPr>
    </w:p>
    <w:p w:rsidR="001713C3" w:rsidRDefault="009C75A2" w:rsidP="00CD1F12">
      <w:pPr>
        <w:widowControl/>
      </w:pPr>
      <w:r>
        <w:t>The annualized cost to the government is approximately $93,000 which will be expended to cover distribution and collection of the tracking form.</w:t>
      </w:r>
      <w:r w:rsidR="005E5872">
        <w:t xml:space="preserve"> </w:t>
      </w:r>
      <w:r w:rsidR="00A32173">
        <w:t>This cost includes a 5</w:t>
      </w:r>
      <w:r w:rsidR="00C40F53">
        <w:t xml:space="preserve"> percent</w:t>
      </w:r>
      <w:r w:rsidR="00A32173">
        <w:t xml:space="preserve"> time commitment of Federal FTE</w:t>
      </w:r>
      <w:r w:rsidR="00AA4649">
        <w:t xml:space="preserve"> a</w:t>
      </w:r>
      <w:r w:rsidR="00F93CC3">
        <w:t>t GS- 14 level at an estimated cost</w:t>
      </w:r>
      <w:r w:rsidR="00AA4649">
        <w:t xml:space="preserve"> of $5,500 annually</w:t>
      </w:r>
      <w:r w:rsidR="00A32173">
        <w:t>.</w:t>
      </w:r>
      <w:r w:rsidR="005E5872">
        <w:t xml:space="preserve">        </w:t>
      </w:r>
    </w:p>
    <w:p w:rsidR="009A5E50" w:rsidRDefault="009A5E50">
      <w:pPr>
        <w:widowControl/>
        <w:rPr>
          <w:b/>
          <w:bCs/>
        </w:rPr>
      </w:pPr>
    </w:p>
    <w:p w:rsidR="00CD1F12" w:rsidRDefault="00CD1F12">
      <w:pPr>
        <w:widowControl/>
        <w:tabs>
          <w:tab w:val="left" w:pos="-1440"/>
        </w:tabs>
        <w:ind w:left="720" w:hanging="720"/>
        <w:rPr>
          <w:b/>
          <w:bCs/>
        </w:rPr>
      </w:pPr>
      <w:r>
        <w:rPr>
          <w:b/>
          <w:bCs/>
        </w:rPr>
        <w:t>15.</w:t>
      </w:r>
      <w:r>
        <w:rPr>
          <w:b/>
          <w:bCs/>
        </w:rPr>
        <w:tab/>
      </w:r>
      <w:r>
        <w:rPr>
          <w:b/>
          <w:bCs/>
          <w:u w:val="single"/>
        </w:rPr>
        <w:t>Changes in Burden</w:t>
      </w:r>
    </w:p>
    <w:p w:rsidR="00CD1F12" w:rsidRDefault="00CD1F12">
      <w:pPr>
        <w:widowControl/>
        <w:rPr>
          <w:b/>
          <w:bCs/>
        </w:rPr>
      </w:pPr>
    </w:p>
    <w:p w:rsidR="00CD1F12" w:rsidRDefault="003D1535">
      <w:pPr>
        <w:widowControl/>
      </w:pPr>
      <w:r>
        <w:t>There is no burden change</w:t>
      </w:r>
      <w:r w:rsidR="00CD1F12">
        <w:t>.</w:t>
      </w:r>
    </w:p>
    <w:p w:rsidR="00FA5322" w:rsidRDefault="00FA5322">
      <w:pPr>
        <w:widowControl/>
      </w:pPr>
    </w:p>
    <w:p w:rsidR="005E5872" w:rsidRDefault="00CD1F12" w:rsidP="00FA5322">
      <w:pPr>
        <w:widowControl/>
        <w:numPr>
          <w:ilvl w:val="0"/>
          <w:numId w:val="14"/>
        </w:numPr>
        <w:tabs>
          <w:tab w:val="clear" w:pos="1080"/>
          <w:tab w:val="left" w:pos="-1440"/>
          <w:tab w:val="num" w:pos="360"/>
        </w:tabs>
        <w:ind w:left="0" w:firstLine="0"/>
        <w:rPr>
          <w:b/>
          <w:bCs/>
        </w:rPr>
      </w:pPr>
      <w:r>
        <w:rPr>
          <w:b/>
          <w:bCs/>
          <w:u w:val="single"/>
        </w:rPr>
        <w:t>Time Schedule, Publication, and Analysis Plans</w:t>
      </w:r>
    </w:p>
    <w:p w:rsidR="005E5872" w:rsidRDefault="005E5872" w:rsidP="005E5872">
      <w:pPr>
        <w:widowControl/>
        <w:tabs>
          <w:tab w:val="left" w:pos="-1440"/>
        </w:tabs>
        <w:ind w:left="360"/>
        <w:rPr>
          <w:b/>
          <w:bCs/>
        </w:rPr>
      </w:pPr>
    </w:p>
    <w:p w:rsidR="00CD1F12" w:rsidRPr="005E5872" w:rsidRDefault="005E5872" w:rsidP="00FA5322">
      <w:pPr>
        <w:widowControl/>
        <w:tabs>
          <w:tab w:val="left" w:pos="-1440"/>
        </w:tabs>
      </w:pPr>
      <w:r>
        <w:rPr>
          <w:bCs/>
        </w:rPr>
        <w:t>The interpretation or publication of this information may</w:t>
      </w:r>
      <w:r w:rsidR="00D6426C">
        <w:rPr>
          <w:bCs/>
        </w:rPr>
        <w:t xml:space="preserve"> </w:t>
      </w:r>
      <w:r>
        <w:rPr>
          <w:bCs/>
        </w:rPr>
        <w:t xml:space="preserve">be used at SAMHSA sponsored conferences, reports to </w:t>
      </w:r>
      <w:r w:rsidR="00787C2E">
        <w:rPr>
          <w:bCs/>
        </w:rPr>
        <w:t xml:space="preserve">the </w:t>
      </w:r>
      <w:r>
        <w:rPr>
          <w:bCs/>
        </w:rPr>
        <w:t>Secretary of Health or Congress</w:t>
      </w:r>
      <w:r w:rsidR="00787C2E">
        <w:rPr>
          <w:bCs/>
        </w:rPr>
        <w:t xml:space="preserve">. </w:t>
      </w:r>
      <w:r>
        <w:rPr>
          <w:bCs/>
        </w:rPr>
        <w:t xml:space="preserve"> </w:t>
      </w:r>
    </w:p>
    <w:p w:rsidR="00D36DFB" w:rsidRDefault="00D36DFB">
      <w:pPr>
        <w:rPr>
          <w:bCs/>
        </w:rPr>
      </w:pPr>
    </w:p>
    <w:p w:rsidR="00437BDC" w:rsidRDefault="00CD1F12">
      <w:pPr>
        <w:rPr>
          <w:b/>
          <w:bCs/>
          <w:i/>
          <w:u w:val="single"/>
        </w:rPr>
      </w:pPr>
      <w:r>
        <w:rPr>
          <w:b/>
          <w:bCs/>
          <w:i/>
          <w:u w:val="single"/>
        </w:rPr>
        <w:t>Activity</w:t>
      </w:r>
      <w:r w:rsidR="008E3D1D">
        <w:rPr>
          <w:b/>
          <w:bCs/>
          <w:i/>
          <w:u w:val="single"/>
        </w:rPr>
        <w:t xml:space="preserve"> and time schedule</w:t>
      </w:r>
    </w:p>
    <w:p w:rsidR="00CD1F12" w:rsidRDefault="00CD1F12">
      <w:pPr>
        <w:rPr>
          <w:b/>
          <w:bCs/>
          <w:i/>
          <w:u w:val="single"/>
        </w:rPr>
      </w:pPr>
      <w:r>
        <w:rPr>
          <w:b/>
          <w:bCs/>
          <w:i/>
        </w:rPr>
        <w:tab/>
      </w:r>
      <w:r>
        <w:rPr>
          <w:b/>
          <w:bCs/>
          <w:i/>
        </w:rPr>
        <w:tab/>
      </w:r>
      <w:r>
        <w:rPr>
          <w:b/>
          <w:bCs/>
          <w:i/>
        </w:rPr>
        <w:tab/>
      </w:r>
      <w:r>
        <w:rPr>
          <w:b/>
          <w:bCs/>
          <w:i/>
        </w:rPr>
        <w:tab/>
      </w:r>
      <w:r>
        <w:rPr>
          <w:b/>
          <w:bCs/>
          <w:i/>
        </w:rPr>
        <w:tab/>
      </w:r>
      <w:r>
        <w:rPr>
          <w:b/>
          <w:bCs/>
          <w:i/>
        </w:rPr>
        <w:tab/>
      </w:r>
      <w:r>
        <w:rPr>
          <w:b/>
          <w:bCs/>
          <w:i/>
        </w:rPr>
        <w:tab/>
      </w:r>
    </w:p>
    <w:p w:rsidR="00F93CC3" w:rsidRDefault="008E3D1D" w:rsidP="00503731">
      <w:pPr>
        <w:widowControl/>
        <w:autoSpaceDE/>
        <w:autoSpaceDN/>
        <w:adjustRightInd/>
        <w:rPr>
          <w:szCs w:val="17"/>
        </w:rPr>
      </w:pPr>
      <w:r>
        <w:rPr>
          <w:szCs w:val="17"/>
        </w:rPr>
        <w:t xml:space="preserve">The information is collected </w:t>
      </w:r>
      <w:r w:rsidR="00A32173">
        <w:rPr>
          <w:szCs w:val="17"/>
        </w:rPr>
        <w:t xml:space="preserve">on a </w:t>
      </w:r>
      <w:r>
        <w:rPr>
          <w:szCs w:val="17"/>
        </w:rPr>
        <w:t>continuous</w:t>
      </w:r>
      <w:r w:rsidR="00A32173">
        <w:rPr>
          <w:szCs w:val="17"/>
        </w:rPr>
        <w:t xml:space="preserve"> basis</w:t>
      </w:r>
      <w:r w:rsidR="00F93CC3">
        <w:rPr>
          <w:szCs w:val="17"/>
        </w:rPr>
        <w:t xml:space="preserve"> by the grantee</w:t>
      </w:r>
      <w:r>
        <w:rPr>
          <w:szCs w:val="17"/>
        </w:rPr>
        <w:t xml:space="preserve">. </w:t>
      </w:r>
      <w:r w:rsidR="00F93CC3">
        <w:rPr>
          <w:szCs w:val="17"/>
        </w:rPr>
        <w:t>The information</w:t>
      </w:r>
    </w:p>
    <w:p w:rsidR="008E3D1D" w:rsidRDefault="00437BDC" w:rsidP="00503731">
      <w:pPr>
        <w:widowControl/>
        <w:autoSpaceDE/>
        <w:autoSpaceDN/>
        <w:adjustRightInd/>
        <w:rPr>
          <w:szCs w:val="17"/>
        </w:rPr>
      </w:pPr>
      <w:proofErr w:type="gramStart"/>
      <w:r>
        <w:rPr>
          <w:szCs w:val="17"/>
        </w:rPr>
        <w:t>w</w:t>
      </w:r>
      <w:r w:rsidR="00F93CC3">
        <w:rPr>
          <w:szCs w:val="17"/>
        </w:rPr>
        <w:t>ill</w:t>
      </w:r>
      <w:proofErr w:type="gramEnd"/>
      <w:r w:rsidR="00F93CC3">
        <w:rPr>
          <w:szCs w:val="17"/>
        </w:rPr>
        <w:t xml:space="preserve"> be complied</w:t>
      </w:r>
      <w:r w:rsidR="00787C2E">
        <w:rPr>
          <w:szCs w:val="17"/>
        </w:rPr>
        <w:t xml:space="preserve"> by the contractor</w:t>
      </w:r>
      <w:r w:rsidR="00F93CC3">
        <w:rPr>
          <w:szCs w:val="17"/>
        </w:rPr>
        <w:t xml:space="preserve"> and sent to SAMHSA quarterly. </w:t>
      </w:r>
      <w:r w:rsidR="008E3D1D">
        <w:rPr>
          <w:szCs w:val="17"/>
        </w:rPr>
        <w:t xml:space="preserve"> </w:t>
      </w:r>
    </w:p>
    <w:p w:rsidR="00CD1F12" w:rsidRDefault="00CD1F12" w:rsidP="00503731">
      <w:pPr>
        <w:widowControl/>
        <w:autoSpaceDE/>
        <w:autoSpaceDN/>
        <w:adjustRightInd/>
        <w:rPr>
          <w:b/>
          <w:bCs/>
        </w:rPr>
      </w:pPr>
      <w:r w:rsidRPr="00E9682C">
        <w:rPr>
          <w:szCs w:val="17"/>
        </w:rPr>
        <w:tab/>
      </w:r>
    </w:p>
    <w:p w:rsidR="00CD1F12" w:rsidRDefault="00CD1F12">
      <w:pPr>
        <w:widowControl/>
        <w:tabs>
          <w:tab w:val="left" w:pos="-1440"/>
        </w:tabs>
        <w:ind w:left="720" w:hanging="720"/>
        <w:rPr>
          <w:b/>
          <w:bCs/>
        </w:rPr>
      </w:pPr>
      <w:r>
        <w:rPr>
          <w:b/>
          <w:bCs/>
        </w:rPr>
        <w:t>17.</w:t>
      </w:r>
      <w:r>
        <w:rPr>
          <w:b/>
          <w:bCs/>
        </w:rPr>
        <w:tab/>
      </w:r>
      <w:r>
        <w:rPr>
          <w:b/>
          <w:bCs/>
          <w:u w:val="single"/>
        </w:rPr>
        <w:t>Display of Expiration Date</w:t>
      </w:r>
    </w:p>
    <w:p w:rsidR="00CD1F12" w:rsidRDefault="00CD1F12">
      <w:pPr>
        <w:widowControl/>
        <w:rPr>
          <w:b/>
          <w:bCs/>
        </w:rPr>
      </w:pPr>
    </w:p>
    <w:p w:rsidR="00CD1F12" w:rsidRDefault="00CD1F12">
      <w:pPr>
        <w:widowControl/>
      </w:pPr>
      <w:r>
        <w:t>The expiration date for OMB approval will be displayed.</w:t>
      </w:r>
    </w:p>
    <w:p w:rsidR="00787C2E" w:rsidRDefault="00787C2E">
      <w:pPr>
        <w:widowControl/>
        <w:rPr>
          <w:b/>
          <w:bCs/>
        </w:rPr>
      </w:pPr>
    </w:p>
    <w:p w:rsidR="00CD1F12" w:rsidRDefault="00CD1F12">
      <w:pPr>
        <w:widowControl/>
        <w:tabs>
          <w:tab w:val="left" w:pos="-1440"/>
        </w:tabs>
        <w:ind w:left="720" w:hanging="720"/>
        <w:rPr>
          <w:b/>
          <w:bCs/>
        </w:rPr>
      </w:pPr>
      <w:r>
        <w:rPr>
          <w:b/>
          <w:bCs/>
        </w:rPr>
        <w:t>18.</w:t>
      </w:r>
      <w:r>
        <w:rPr>
          <w:b/>
          <w:bCs/>
        </w:rPr>
        <w:tab/>
      </w:r>
      <w:r>
        <w:rPr>
          <w:b/>
          <w:bCs/>
          <w:u w:val="single"/>
        </w:rPr>
        <w:t>Exceptions to Certification Statement</w:t>
      </w:r>
    </w:p>
    <w:p w:rsidR="00CD1F12" w:rsidRDefault="00CD1F12">
      <w:pPr>
        <w:widowControl/>
        <w:rPr>
          <w:b/>
          <w:bCs/>
        </w:rPr>
      </w:pPr>
    </w:p>
    <w:p w:rsidR="0088270C" w:rsidRPr="00E02BFE" w:rsidRDefault="00CD1F12" w:rsidP="000519D2">
      <w:pPr>
        <w:widowControl/>
        <w:rPr>
          <w:rFonts w:ascii="Arial" w:hAnsi="Arial" w:cs="Arial"/>
          <w:b/>
        </w:rPr>
      </w:pPr>
      <w:r>
        <w:t>This collection of information involves no exceptions to the Certification for Paperwork Reduction Act Submissions. The certifications are included in this submission.</w:t>
      </w:r>
      <w:r w:rsidR="00E02BFE">
        <w:rPr>
          <w:rFonts w:ascii="Arial" w:hAnsi="Arial" w:cs="Arial"/>
          <w:b/>
        </w:rPr>
        <w:t xml:space="preserve">        </w:t>
      </w:r>
    </w:p>
    <w:sectPr w:rsidR="0088270C" w:rsidRPr="00E02BFE" w:rsidSect="009A5E50">
      <w:footerReference w:type="even" r:id="rId8"/>
      <w:footerReference w:type="default" r:id="rId9"/>
      <w:pgSz w:w="12240" w:h="15840"/>
      <w:pgMar w:top="1260" w:right="1440" w:bottom="1440" w:left="1440" w:header="1440" w:footer="144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0F53" w:rsidRDefault="00C40F53">
      <w:r>
        <w:separator/>
      </w:r>
    </w:p>
  </w:endnote>
  <w:endnote w:type="continuationSeparator" w:id="0">
    <w:p w:rsidR="00C40F53" w:rsidRDefault="00C40F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F53" w:rsidRDefault="00041D2D" w:rsidP="00CD1F12">
    <w:pPr>
      <w:pStyle w:val="Footer"/>
      <w:framePr w:wrap="around" w:vAnchor="text" w:hAnchor="margin" w:xAlign="center" w:y="1"/>
      <w:rPr>
        <w:rStyle w:val="PageNumber"/>
      </w:rPr>
    </w:pPr>
    <w:r>
      <w:rPr>
        <w:rStyle w:val="PageNumber"/>
      </w:rPr>
      <w:fldChar w:fldCharType="begin"/>
    </w:r>
    <w:r w:rsidR="00C40F53">
      <w:rPr>
        <w:rStyle w:val="PageNumber"/>
      </w:rPr>
      <w:instrText xml:space="preserve">PAGE  </w:instrText>
    </w:r>
    <w:r>
      <w:rPr>
        <w:rStyle w:val="PageNumber"/>
      </w:rPr>
      <w:fldChar w:fldCharType="end"/>
    </w:r>
  </w:p>
  <w:p w:rsidR="00C40F53" w:rsidRDefault="00C40F5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F53" w:rsidRDefault="00041D2D" w:rsidP="00CD1F12">
    <w:pPr>
      <w:pStyle w:val="Footer"/>
      <w:framePr w:wrap="around" w:vAnchor="text" w:hAnchor="margin" w:xAlign="center" w:y="1"/>
      <w:rPr>
        <w:rStyle w:val="PageNumber"/>
      </w:rPr>
    </w:pPr>
    <w:r>
      <w:rPr>
        <w:rStyle w:val="PageNumber"/>
      </w:rPr>
      <w:fldChar w:fldCharType="begin"/>
    </w:r>
    <w:r w:rsidR="00C40F53">
      <w:rPr>
        <w:rStyle w:val="PageNumber"/>
      </w:rPr>
      <w:instrText xml:space="preserve">PAGE  </w:instrText>
    </w:r>
    <w:r>
      <w:rPr>
        <w:rStyle w:val="PageNumber"/>
      </w:rPr>
      <w:fldChar w:fldCharType="separate"/>
    </w:r>
    <w:r w:rsidR="00A46B2A">
      <w:rPr>
        <w:rStyle w:val="PageNumber"/>
        <w:noProof/>
      </w:rPr>
      <w:t>1</w:t>
    </w:r>
    <w:r>
      <w:rPr>
        <w:rStyle w:val="PageNumber"/>
      </w:rPr>
      <w:fldChar w:fldCharType="end"/>
    </w:r>
  </w:p>
  <w:p w:rsidR="00C40F53" w:rsidRDefault="00C40F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0F53" w:rsidRDefault="00C40F53">
      <w:r>
        <w:separator/>
      </w:r>
    </w:p>
  </w:footnote>
  <w:footnote w:type="continuationSeparator" w:id="0">
    <w:p w:rsidR="00C40F53" w:rsidRDefault="00C40F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A7A92"/>
    <w:multiLevelType w:val="hybridMultilevel"/>
    <w:tmpl w:val="3E4E80C2"/>
    <w:lvl w:ilvl="0" w:tplc="8D72E66E">
      <w:start w:val="1"/>
      <w:numFmt w:val="decimal"/>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5F1110"/>
    <w:multiLevelType w:val="hybridMultilevel"/>
    <w:tmpl w:val="A6EAF9C8"/>
    <w:lvl w:ilvl="0" w:tplc="04090015">
      <w:start w:val="2"/>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F2E0F41"/>
    <w:multiLevelType w:val="hybridMultilevel"/>
    <w:tmpl w:val="BC940388"/>
    <w:lvl w:ilvl="0" w:tplc="EF9A9648">
      <w:start w:val="14"/>
      <w:numFmt w:val="decimal"/>
      <w:lvlText w:val="%1."/>
      <w:lvlJc w:val="left"/>
      <w:pPr>
        <w:tabs>
          <w:tab w:val="num" w:pos="450"/>
        </w:tabs>
        <w:ind w:left="450" w:hanging="360"/>
      </w:pPr>
      <w:rPr>
        <w:rFonts w:hint="default"/>
        <w:u w:val="none"/>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
    <w:nsid w:val="158A7163"/>
    <w:multiLevelType w:val="hybridMultilevel"/>
    <w:tmpl w:val="2B54939A"/>
    <w:lvl w:ilvl="0" w:tplc="63B6CFB0">
      <w:start w:val="14"/>
      <w:numFmt w:val="decimal"/>
      <w:lvlText w:val="%1."/>
      <w:lvlJc w:val="left"/>
      <w:pPr>
        <w:tabs>
          <w:tab w:val="num" w:pos="720"/>
        </w:tabs>
        <w:ind w:left="720" w:hanging="72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9394323"/>
    <w:multiLevelType w:val="hybridMultilevel"/>
    <w:tmpl w:val="B82E5512"/>
    <w:lvl w:ilvl="0" w:tplc="78B6750C">
      <w:start w:val="5"/>
      <w:numFmt w:val="decimal"/>
      <w:lvlText w:val="%1."/>
      <w:lvlJc w:val="left"/>
      <w:pPr>
        <w:ind w:left="450" w:hanging="360"/>
      </w:pPr>
      <w:rPr>
        <w:rFonts w:hint="default"/>
        <w:i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1D2E3457"/>
    <w:multiLevelType w:val="hybridMultilevel"/>
    <w:tmpl w:val="4BBE3882"/>
    <w:lvl w:ilvl="0" w:tplc="8D72E66E">
      <w:start w:val="1"/>
      <w:numFmt w:val="decimal"/>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1341B3"/>
    <w:multiLevelType w:val="hybridMultilevel"/>
    <w:tmpl w:val="5D2E0D94"/>
    <w:lvl w:ilvl="0" w:tplc="8D72E66E">
      <w:start w:val="1"/>
      <w:numFmt w:val="decimal"/>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286212"/>
    <w:multiLevelType w:val="hybridMultilevel"/>
    <w:tmpl w:val="3D4AB4B6"/>
    <w:lvl w:ilvl="0" w:tplc="05BC6D2A">
      <w:start w:val="1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32C1929"/>
    <w:multiLevelType w:val="hybridMultilevel"/>
    <w:tmpl w:val="AA3C7520"/>
    <w:lvl w:ilvl="0" w:tplc="0409000F">
      <w:start w:val="14"/>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5DD35FC"/>
    <w:multiLevelType w:val="hybridMultilevel"/>
    <w:tmpl w:val="33BAF476"/>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AAB13BC"/>
    <w:multiLevelType w:val="hybridMultilevel"/>
    <w:tmpl w:val="26747356"/>
    <w:lvl w:ilvl="0" w:tplc="0409000F">
      <w:start w:val="1"/>
      <w:numFmt w:val="decimal"/>
      <w:lvlText w:val="%1."/>
      <w:lvlJc w:val="left"/>
      <w:pPr>
        <w:tabs>
          <w:tab w:val="num" w:pos="720"/>
        </w:tabs>
        <w:ind w:left="720" w:hanging="360"/>
      </w:pPr>
    </w:lvl>
    <w:lvl w:ilvl="1" w:tplc="DFEC2172">
      <w:start w:val="1"/>
      <w:numFmt w:val="lowerLetter"/>
      <w:lvlText w:val="%2."/>
      <w:lvlJc w:val="left"/>
      <w:pPr>
        <w:tabs>
          <w:tab w:val="num" w:pos="1440"/>
        </w:tabs>
        <w:ind w:left="1440" w:hanging="360"/>
      </w:pPr>
      <w:rPr>
        <w:rFonts w:hint="default"/>
      </w:rPr>
    </w:lvl>
    <w:lvl w:ilvl="2" w:tplc="430C92F0">
      <w:start w:val="4"/>
      <w:numFmt w:val="bullet"/>
      <w:lvlText w:val=""/>
      <w:lvlJc w:val="left"/>
      <w:pPr>
        <w:tabs>
          <w:tab w:val="num" w:pos="2340"/>
        </w:tabs>
        <w:ind w:left="2340" w:hanging="360"/>
      </w:pPr>
      <w:rPr>
        <w:rFonts w:ascii="Wingdings 2" w:eastAsia="Times New Roman" w:hAnsi="Wingdings 2"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FFC2217"/>
    <w:multiLevelType w:val="hybridMultilevel"/>
    <w:tmpl w:val="D6D2F572"/>
    <w:lvl w:ilvl="0" w:tplc="73E81A8C">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2FA519E"/>
    <w:multiLevelType w:val="hybridMultilevel"/>
    <w:tmpl w:val="94F28F7A"/>
    <w:lvl w:ilvl="0" w:tplc="0409000F">
      <w:start w:val="14"/>
      <w:numFmt w:val="decimal"/>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34B66773"/>
    <w:multiLevelType w:val="hybridMultilevel"/>
    <w:tmpl w:val="D4E01E0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38D577B0"/>
    <w:multiLevelType w:val="hybridMultilevel"/>
    <w:tmpl w:val="6A7C9988"/>
    <w:lvl w:ilvl="0" w:tplc="04090013">
      <w:start w:val="1"/>
      <w:numFmt w:val="upperRoman"/>
      <w:lvlText w:val="%1."/>
      <w:lvlJc w:val="right"/>
      <w:pPr>
        <w:tabs>
          <w:tab w:val="num" w:pos="720"/>
        </w:tabs>
        <w:ind w:left="720" w:hanging="180"/>
      </w:pPr>
    </w:lvl>
    <w:lvl w:ilvl="1" w:tplc="ABC085B6">
      <w:start w:val="1"/>
      <w:numFmt w:val="upperLetter"/>
      <w:lvlText w:val="%2."/>
      <w:lvlJc w:val="left"/>
      <w:pPr>
        <w:tabs>
          <w:tab w:val="num" w:pos="1440"/>
        </w:tabs>
        <w:ind w:left="1440" w:hanging="36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BAB6194"/>
    <w:multiLevelType w:val="hybridMultilevel"/>
    <w:tmpl w:val="8F088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56879AE"/>
    <w:multiLevelType w:val="hybridMultilevel"/>
    <w:tmpl w:val="B2ECBA0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4BB82122"/>
    <w:multiLevelType w:val="hybridMultilevel"/>
    <w:tmpl w:val="C6961C90"/>
    <w:lvl w:ilvl="0" w:tplc="41FE037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2F2581E"/>
    <w:multiLevelType w:val="hybridMultilevel"/>
    <w:tmpl w:val="B99873AA"/>
    <w:lvl w:ilvl="0" w:tplc="0409000F">
      <w:start w:val="14"/>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4A346FE"/>
    <w:multiLevelType w:val="hybridMultilevel"/>
    <w:tmpl w:val="63C0488C"/>
    <w:lvl w:ilvl="0" w:tplc="C47A1EEE">
      <w:start w:val="2"/>
      <w:numFmt w:val="decimal"/>
      <w:lvlText w:val="%1."/>
      <w:lvlJc w:val="left"/>
      <w:pPr>
        <w:tabs>
          <w:tab w:val="num" w:pos="360"/>
        </w:tabs>
        <w:ind w:left="360" w:hanging="360"/>
      </w:pPr>
      <w:rPr>
        <w:rFonts w:hint="default"/>
      </w:rPr>
    </w:lvl>
    <w:lvl w:ilvl="1" w:tplc="8306112E">
      <w:start w:val="2"/>
      <w:numFmt w:val="decimal"/>
      <w:lvlText w:val="%2."/>
      <w:lvlJc w:val="left"/>
      <w:pPr>
        <w:tabs>
          <w:tab w:val="num" w:pos="810"/>
        </w:tabs>
        <w:ind w:left="810" w:hanging="720"/>
      </w:pPr>
      <w:rPr>
        <w:rFonts w:hint="default"/>
        <w:i w:val="0"/>
      </w:r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0">
    <w:nsid w:val="5592180B"/>
    <w:multiLevelType w:val="hybridMultilevel"/>
    <w:tmpl w:val="D014475A"/>
    <w:lvl w:ilvl="0" w:tplc="04090015">
      <w:start w:val="1"/>
      <w:numFmt w:val="upperLetter"/>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5E5243E2"/>
    <w:multiLevelType w:val="hybridMultilevel"/>
    <w:tmpl w:val="E826B8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34F23F9"/>
    <w:multiLevelType w:val="hybridMultilevel"/>
    <w:tmpl w:val="98D81F6A"/>
    <w:lvl w:ilvl="0" w:tplc="C744F85C">
      <w:start w:val="3"/>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nsid w:val="69217527"/>
    <w:multiLevelType w:val="hybridMultilevel"/>
    <w:tmpl w:val="B6CC47A8"/>
    <w:lvl w:ilvl="0" w:tplc="C0201352">
      <w:start w:val="14"/>
      <w:numFmt w:val="decimal"/>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6C124680"/>
    <w:multiLevelType w:val="hybridMultilevel"/>
    <w:tmpl w:val="256E5DE0"/>
    <w:lvl w:ilvl="0" w:tplc="51D491A6">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5">
    <w:nsid w:val="6F1427E8"/>
    <w:multiLevelType w:val="hybridMultilevel"/>
    <w:tmpl w:val="3692E6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769B6E96"/>
    <w:multiLevelType w:val="hybridMultilevel"/>
    <w:tmpl w:val="02688F8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nsid w:val="7E765786"/>
    <w:multiLevelType w:val="hybridMultilevel"/>
    <w:tmpl w:val="19A06EFA"/>
    <w:lvl w:ilvl="0" w:tplc="0F0C897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5"/>
  </w:num>
  <w:num w:numId="2">
    <w:abstractNumId w:val="17"/>
  </w:num>
  <w:num w:numId="3">
    <w:abstractNumId w:val="10"/>
  </w:num>
  <w:num w:numId="4">
    <w:abstractNumId w:val="21"/>
  </w:num>
  <w:num w:numId="5">
    <w:abstractNumId w:val="16"/>
  </w:num>
  <w:num w:numId="6">
    <w:abstractNumId w:val="1"/>
  </w:num>
  <w:num w:numId="7">
    <w:abstractNumId w:val="13"/>
  </w:num>
  <w:num w:numId="8">
    <w:abstractNumId w:val="20"/>
  </w:num>
  <w:num w:numId="9">
    <w:abstractNumId w:val="22"/>
  </w:num>
  <w:num w:numId="10">
    <w:abstractNumId w:val="14"/>
  </w:num>
  <w:num w:numId="11">
    <w:abstractNumId w:val="27"/>
  </w:num>
  <w:num w:numId="12">
    <w:abstractNumId w:val="11"/>
  </w:num>
  <w:num w:numId="13">
    <w:abstractNumId w:val="15"/>
  </w:num>
  <w:num w:numId="14">
    <w:abstractNumId w:val="7"/>
  </w:num>
  <w:num w:numId="15">
    <w:abstractNumId w:val="3"/>
  </w:num>
  <w:num w:numId="16">
    <w:abstractNumId w:val="19"/>
  </w:num>
  <w:num w:numId="17">
    <w:abstractNumId w:val="9"/>
  </w:num>
  <w:num w:numId="18">
    <w:abstractNumId w:val="2"/>
  </w:num>
  <w:num w:numId="19">
    <w:abstractNumId w:val="23"/>
  </w:num>
  <w:num w:numId="20">
    <w:abstractNumId w:val="8"/>
  </w:num>
  <w:num w:numId="21">
    <w:abstractNumId w:val="12"/>
  </w:num>
  <w:num w:numId="22">
    <w:abstractNumId w:val="18"/>
  </w:num>
  <w:num w:numId="23">
    <w:abstractNumId w:val="26"/>
  </w:num>
  <w:num w:numId="24">
    <w:abstractNumId w:val="4"/>
  </w:num>
  <w:num w:numId="25">
    <w:abstractNumId w:val="0"/>
  </w:num>
  <w:num w:numId="26">
    <w:abstractNumId w:val="24"/>
  </w:num>
  <w:num w:numId="27">
    <w:abstractNumId w:val="6"/>
  </w:num>
  <w:num w:numId="2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8369"/>
  </w:hdrShapeDefaults>
  <w:footnotePr>
    <w:footnote w:id="-1"/>
    <w:footnote w:id="0"/>
  </w:footnotePr>
  <w:endnotePr>
    <w:endnote w:id="-1"/>
    <w:endnote w:id="0"/>
  </w:endnotePr>
  <w:compat/>
  <w:rsids>
    <w:rsidRoot w:val="00835302"/>
    <w:rsid w:val="00037248"/>
    <w:rsid w:val="00041D2D"/>
    <w:rsid w:val="00044423"/>
    <w:rsid w:val="000519D2"/>
    <w:rsid w:val="00054E5E"/>
    <w:rsid w:val="00072698"/>
    <w:rsid w:val="00080E5C"/>
    <w:rsid w:val="0009208D"/>
    <w:rsid w:val="000A0C18"/>
    <w:rsid w:val="000D0994"/>
    <w:rsid w:val="000D6180"/>
    <w:rsid w:val="000E0AE8"/>
    <w:rsid w:val="000F1C3A"/>
    <w:rsid w:val="000F420B"/>
    <w:rsid w:val="00112BC4"/>
    <w:rsid w:val="00115CF9"/>
    <w:rsid w:val="001268E0"/>
    <w:rsid w:val="00134653"/>
    <w:rsid w:val="00152720"/>
    <w:rsid w:val="001713C3"/>
    <w:rsid w:val="001928C6"/>
    <w:rsid w:val="001A772C"/>
    <w:rsid w:val="001B4A17"/>
    <w:rsid w:val="001D7919"/>
    <w:rsid w:val="00233449"/>
    <w:rsid w:val="002430A3"/>
    <w:rsid w:val="0024412D"/>
    <w:rsid w:val="0024422E"/>
    <w:rsid w:val="00245A1F"/>
    <w:rsid w:val="00246986"/>
    <w:rsid w:val="00262887"/>
    <w:rsid w:val="00262B5D"/>
    <w:rsid w:val="00273D2B"/>
    <w:rsid w:val="0028701C"/>
    <w:rsid w:val="002C11AB"/>
    <w:rsid w:val="002F1B83"/>
    <w:rsid w:val="00322829"/>
    <w:rsid w:val="00326411"/>
    <w:rsid w:val="00335F15"/>
    <w:rsid w:val="003371AF"/>
    <w:rsid w:val="00347EEF"/>
    <w:rsid w:val="00357D3B"/>
    <w:rsid w:val="003860A5"/>
    <w:rsid w:val="00387CC8"/>
    <w:rsid w:val="00397882"/>
    <w:rsid w:val="003A3C5E"/>
    <w:rsid w:val="003A5F2C"/>
    <w:rsid w:val="003D1535"/>
    <w:rsid w:val="003F6C5A"/>
    <w:rsid w:val="00402F57"/>
    <w:rsid w:val="00412EBA"/>
    <w:rsid w:val="00437BDC"/>
    <w:rsid w:val="004463AB"/>
    <w:rsid w:val="00455978"/>
    <w:rsid w:val="00464B27"/>
    <w:rsid w:val="004674B1"/>
    <w:rsid w:val="0047660B"/>
    <w:rsid w:val="00480CCC"/>
    <w:rsid w:val="004A755A"/>
    <w:rsid w:val="004B2346"/>
    <w:rsid w:val="004B5A49"/>
    <w:rsid w:val="004D3A4E"/>
    <w:rsid w:val="004E43F0"/>
    <w:rsid w:val="004E46EC"/>
    <w:rsid w:val="00503731"/>
    <w:rsid w:val="005078E3"/>
    <w:rsid w:val="00543078"/>
    <w:rsid w:val="005A04E9"/>
    <w:rsid w:val="005A523C"/>
    <w:rsid w:val="005A6433"/>
    <w:rsid w:val="005D1515"/>
    <w:rsid w:val="005D1D42"/>
    <w:rsid w:val="005E3612"/>
    <w:rsid w:val="005E5872"/>
    <w:rsid w:val="005F0F7C"/>
    <w:rsid w:val="005F6851"/>
    <w:rsid w:val="00601F3D"/>
    <w:rsid w:val="00602892"/>
    <w:rsid w:val="006324F9"/>
    <w:rsid w:val="00635CAF"/>
    <w:rsid w:val="00641317"/>
    <w:rsid w:val="00646297"/>
    <w:rsid w:val="00651599"/>
    <w:rsid w:val="0065301B"/>
    <w:rsid w:val="006627FE"/>
    <w:rsid w:val="00677642"/>
    <w:rsid w:val="00680002"/>
    <w:rsid w:val="00692359"/>
    <w:rsid w:val="006B087F"/>
    <w:rsid w:val="006B2AF4"/>
    <w:rsid w:val="006B2F90"/>
    <w:rsid w:val="006B6A37"/>
    <w:rsid w:val="006C6742"/>
    <w:rsid w:val="006D09E4"/>
    <w:rsid w:val="006D341B"/>
    <w:rsid w:val="006D4B7D"/>
    <w:rsid w:val="006D5DD0"/>
    <w:rsid w:val="00711B1B"/>
    <w:rsid w:val="0072394A"/>
    <w:rsid w:val="00733005"/>
    <w:rsid w:val="00740871"/>
    <w:rsid w:val="00753541"/>
    <w:rsid w:val="00776178"/>
    <w:rsid w:val="00780412"/>
    <w:rsid w:val="00787C2E"/>
    <w:rsid w:val="00790270"/>
    <w:rsid w:val="007C596E"/>
    <w:rsid w:val="007E2B55"/>
    <w:rsid w:val="007F7D2D"/>
    <w:rsid w:val="00802E50"/>
    <w:rsid w:val="008135ED"/>
    <w:rsid w:val="00814D76"/>
    <w:rsid w:val="00835302"/>
    <w:rsid w:val="008425EA"/>
    <w:rsid w:val="00855367"/>
    <w:rsid w:val="0087168A"/>
    <w:rsid w:val="008777CC"/>
    <w:rsid w:val="0088270C"/>
    <w:rsid w:val="008863BA"/>
    <w:rsid w:val="00890801"/>
    <w:rsid w:val="008910F8"/>
    <w:rsid w:val="008A0AB5"/>
    <w:rsid w:val="008A7085"/>
    <w:rsid w:val="008A7559"/>
    <w:rsid w:val="008C4CC2"/>
    <w:rsid w:val="008E3D1D"/>
    <w:rsid w:val="008F3206"/>
    <w:rsid w:val="0090093A"/>
    <w:rsid w:val="009011D4"/>
    <w:rsid w:val="00924D27"/>
    <w:rsid w:val="00924D8E"/>
    <w:rsid w:val="00931C46"/>
    <w:rsid w:val="0094301D"/>
    <w:rsid w:val="00945C33"/>
    <w:rsid w:val="00953F57"/>
    <w:rsid w:val="009568E9"/>
    <w:rsid w:val="00957142"/>
    <w:rsid w:val="009666D2"/>
    <w:rsid w:val="00975AF9"/>
    <w:rsid w:val="009A5E50"/>
    <w:rsid w:val="009B61DB"/>
    <w:rsid w:val="009C75A2"/>
    <w:rsid w:val="009E072F"/>
    <w:rsid w:val="00A12BB1"/>
    <w:rsid w:val="00A13F62"/>
    <w:rsid w:val="00A20B5D"/>
    <w:rsid w:val="00A32173"/>
    <w:rsid w:val="00A3735A"/>
    <w:rsid w:val="00A4011A"/>
    <w:rsid w:val="00A46B2A"/>
    <w:rsid w:val="00A64275"/>
    <w:rsid w:val="00A67D3F"/>
    <w:rsid w:val="00A81D6E"/>
    <w:rsid w:val="00A8562C"/>
    <w:rsid w:val="00AA4649"/>
    <w:rsid w:val="00AA7E94"/>
    <w:rsid w:val="00AD26E0"/>
    <w:rsid w:val="00AF1045"/>
    <w:rsid w:val="00B17A9A"/>
    <w:rsid w:val="00B27C9D"/>
    <w:rsid w:val="00B40F4B"/>
    <w:rsid w:val="00B4356C"/>
    <w:rsid w:val="00B5173C"/>
    <w:rsid w:val="00B720F1"/>
    <w:rsid w:val="00B7515D"/>
    <w:rsid w:val="00B929D7"/>
    <w:rsid w:val="00B9631C"/>
    <w:rsid w:val="00BB6F1E"/>
    <w:rsid w:val="00BC5425"/>
    <w:rsid w:val="00BC5FF6"/>
    <w:rsid w:val="00BD7CE9"/>
    <w:rsid w:val="00C06817"/>
    <w:rsid w:val="00C15698"/>
    <w:rsid w:val="00C34F89"/>
    <w:rsid w:val="00C369B9"/>
    <w:rsid w:val="00C40F53"/>
    <w:rsid w:val="00C46A8E"/>
    <w:rsid w:val="00C64C3E"/>
    <w:rsid w:val="00C7067E"/>
    <w:rsid w:val="00CA2FA6"/>
    <w:rsid w:val="00CB1453"/>
    <w:rsid w:val="00CB5B07"/>
    <w:rsid w:val="00CC4119"/>
    <w:rsid w:val="00CC5C42"/>
    <w:rsid w:val="00CD1F12"/>
    <w:rsid w:val="00CE542C"/>
    <w:rsid w:val="00D04EAF"/>
    <w:rsid w:val="00D11824"/>
    <w:rsid w:val="00D33345"/>
    <w:rsid w:val="00D36DFB"/>
    <w:rsid w:val="00D4176D"/>
    <w:rsid w:val="00D45A5E"/>
    <w:rsid w:val="00D53ECC"/>
    <w:rsid w:val="00D6426C"/>
    <w:rsid w:val="00D81D18"/>
    <w:rsid w:val="00DA111F"/>
    <w:rsid w:val="00DA47C7"/>
    <w:rsid w:val="00DD5DB2"/>
    <w:rsid w:val="00DE5E23"/>
    <w:rsid w:val="00DF319B"/>
    <w:rsid w:val="00DF6A1C"/>
    <w:rsid w:val="00E02BFE"/>
    <w:rsid w:val="00E23595"/>
    <w:rsid w:val="00E454EE"/>
    <w:rsid w:val="00E7358F"/>
    <w:rsid w:val="00E80B24"/>
    <w:rsid w:val="00E85043"/>
    <w:rsid w:val="00E9682C"/>
    <w:rsid w:val="00EA4505"/>
    <w:rsid w:val="00EC143D"/>
    <w:rsid w:val="00F0244C"/>
    <w:rsid w:val="00F0652D"/>
    <w:rsid w:val="00F250AD"/>
    <w:rsid w:val="00F3091F"/>
    <w:rsid w:val="00F3464E"/>
    <w:rsid w:val="00F4110F"/>
    <w:rsid w:val="00F5730B"/>
    <w:rsid w:val="00F73BC0"/>
    <w:rsid w:val="00F84A99"/>
    <w:rsid w:val="00F84E1E"/>
    <w:rsid w:val="00F92FAA"/>
    <w:rsid w:val="00F93CC3"/>
    <w:rsid w:val="00FA5322"/>
    <w:rsid w:val="00FB6208"/>
    <w:rsid w:val="00FC6EB5"/>
    <w:rsid w:val="00FC7EAE"/>
    <w:rsid w:val="00FE5AB2"/>
    <w:rsid w:val="00FF6D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583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4D76"/>
    <w:pPr>
      <w:widowControl w:val="0"/>
      <w:autoSpaceDE w:val="0"/>
      <w:autoSpaceDN w:val="0"/>
      <w:adjustRightInd w:val="0"/>
    </w:pPr>
    <w:rPr>
      <w:sz w:val="24"/>
      <w:szCs w:val="24"/>
    </w:rPr>
  </w:style>
  <w:style w:type="paragraph" w:styleId="Heading1">
    <w:name w:val="heading 1"/>
    <w:basedOn w:val="Normal"/>
    <w:next w:val="Normal"/>
    <w:qFormat/>
    <w:rsid w:val="00814D76"/>
    <w:pPr>
      <w:keepNext/>
      <w:widowControl/>
      <w:autoSpaceDE/>
      <w:autoSpaceDN/>
      <w:adjustRightInd/>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14D76"/>
  </w:style>
  <w:style w:type="character" w:customStyle="1" w:styleId="Hypertext">
    <w:name w:val="Hypertext"/>
    <w:rsid w:val="00814D76"/>
    <w:rPr>
      <w:color w:val="0000FF"/>
      <w:u w:val="single"/>
    </w:rPr>
  </w:style>
  <w:style w:type="paragraph" w:styleId="Footer">
    <w:name w:val="footer"/>
    <w:basedOn w:val="Normal"/>
    <w:rsid w:val="00814D76"/>
    <w:pPr>
      <w:tabs>
        <w:tab w:val="center" w:pos="4320"/>
        <w:tab w:val="right" w:pos="8640"/>
      </w:tabs>
    </w:pPr>
  </w:style>
  <w:style w:type="character" w:styleId="PageNumber">
    <w:name w:val="page number"/>
    <w:basedOn w:val="DefaultParagraphFont"/>
    <w:rsid w:val="00814D76"/>
  </w:style>
  <w:style w:type="paragraph" w:styleId="Header">
    <w:name w:val="header"/>
    <w:basedOn w:val="Normal"/>
    <w:rsid w:val="00814D76"/>
    <w:pPr>
      <w:tabs>
        <w:tab w:val="center" w:pos="4320"/>
        <w:tab w:val="right" w:pos="8640"/>
      </w:tabs>
    </w:pPr>
  </w:style>
  <w:style w:type="paragraph" w:styleId="Title">
    <w:name w:val="Title"/>
    <w:basedOn w:val="Normal"/>
    <w:qFormat/>
    <w:rsid w:val="00814D76"/>
    <w:pPr>
      <w:widowControl/>
      <w:jc w:val="center"/>
    </w:pPr>
    <w:rPr>
      <w:b/>
      <w:bCs/>
    </w:rPr>
  </w:style>
  <w:style w:type="paragraph" w:styleId="Subtitle">
    <w:name w:val="Subtitle"/>
    <w:basedOn w:val="Normal"/>
    <w:qFormat/>
    <w:rsid w:val="00814D76"/>
    <w:pPr>
      <w:widowControl/>
      <w:tabs>
        <w:tab w:val="center" w:pos="4680"/>
      </w:tabs>
      <w:jc w:val="center"/>
    </w:pPr>
    <w:rPr>
      <w:b/>
      <w:bCs/>
    </w:rPr>
  </w:style>
  <w:style w:type="paragraph" w:styleId="NormalWeb">
    <w:name w:val="Normal (Web)"/>
    <w:basedOn w:val="Normal"/>
    <w:rsid w:val="00814D76"/>
    <w:pPr>
      <w:widowControl/>
      <w:autoSpaceDE/>
      <w:autoSpaceDN/>
      <w:adjustRightInd/>
      <w:spacing w:before="100" w:beforeAutospacing="1" w:after="100" w:afterAutospacing="1"/>
    </w:pPr>
  </w:style>
  <w:style w:type="paragraph" w:styleId="BalloonText">
    <w:name w:val="Balloon Text"/>
    <w:basedOn w:val="Normal"/>
    <w:semiHidden/>
    <w:rsid w:val="00814D76"/>
    <w:rPr>
      <w:rFonts w:ascii="Tahoma" w:hAnsi="Tahoma" w:cs="Tahoma"/>
      <w:sz w:val="16"/>
      <w:szCs w:val="16"/>
    </w:rPr>
  </w:style>
  <w:style w:type="paragraph" w:styleId="BodyTextIndent">
    <w:name w:val="Body Text Indent"/>
    <w:basedOn w:val="Normal"/>
    <w:rsid w:val="00814D76"/>
    <w:pPr>
      <w:widowControl/>
      <w:autoSpaceDE/>
      <w:autoSpaceDN/>
      <w:adjustRightInd/>
      <w:ind w:left="1440"/>
    </w:pPr>
    <w:rPr>
      <w:rFonts w:ascii="Arial" w:hAnsi="Arial" w:cs="Arial"/>
      <w:sz w:val="20"/>
      <w:szCs w:val="20"/>
    </w:rPr>
  </w:style>
  <w:style w:type="paragraph" w:styleId="HTMLPreformatted">
    <w:name w:val="HTML Preformatted"/>
    <w:basedOn w:val="Normal"/>
    <w:rsid w:val="00814D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styleId="Hyperlink">
    <w:name w:val="Hyperlink"/>
    <w:basedOn w:val="DefaultParagraphFont"/>
    <w:rsid w:val="00814D76"/>
    <w:rPr>
      <w:color w:val="0000FF"/>
      <w:u w:val="single"/>
    </w:rPr>
  </w:style>
  <w:style w:type="paragraph" w:styleId="DocumentMap">
    <w:name w:val="Document Map"/>
    <w:basedOn w:val="Normal"/>
    <w:semiHidden/>
    <w:rsid w:val="00A364AB"/>
    <w:pPr>
      <w:shd w:val="clear" w:color="auto" w:fill="000080"/>
    </w:pPr>
    <w:rPr>
      <w:rFonts w:ascii="Tahoma" w:hAnsi="Tahoma" w:cs="Tahoma"/>
      <w:sz w:val="20"/>
      <w:szCs w:val="20"/>
    </w:rPr>
  </w:style>
  <w:style w:type="table" w:styleId="TableGrid">
    <w:name w:val="Table Grid"/>
    <w:basedOn w:val="TableNormal"/>
    <w:rsid w:val="00877C1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4F1DFB"/>
    <w:pPr>
      <w:widowControl/>
      <w:autoSpaceDE/>
      <w:autoSpaceDN/>
      <w:adjustRightInd/>
    </w:pPr>
  </w:style>
  <w:style w:type="paragraph" w:styleId="BodyText">
    <w:name w:val="Body Text"/>
    <w:basedOn w:val="Normal"/>
    <w:rsid w:val="003371AF"/>
    <w:pPr>
      <w:spacing w:after="120"/>
    </w:pPr>
  </w:style>
  <w:style w:type="character" w:customStyle="1" w:styleId="StyleFootnoteReferenceCustomColorRGB343031">
    <w:name w:val="Style Footnote Reference + Custom Color(RGB(343031))"/>
    <w:basedOn w:val="FootnoteReference"/>
    <w:rsid w:val="003371AF"/>
    <w:rPr>
      <w:color w:val="221E1F"/>
      <w:position w:val="8"/>
      <w:sz w:val="18"/>
      <w:szCs w:val="18"/>
    </w:rPr>
  </w:style>
  <w:style w:type="paragraph" w:styleId="ListParagraph">
    <w:name w:val="List Paragraph"/>
    <w:basedOn w:val="Normal"/>
    <w:uiPriority w:val="34"/>
    <w:qFormat/>
    <w:rsid w:val="0047660B"/>
    <w:pPr>
      <w:widowControl/>
      <w:autoSpaceDE/>
      <w:autoSpaceDN/>
      <w:adjustRightInd/>
      <w:ind w:left="720"/>
      <w:contextualSpacing/>
    </w:pPr>
  </w:style>
</w:styles>
</file>

<file path=word/webSettings.xml><?xml version="1.0" encoding="utf-8"?>
<w:webSettings xmlns:r="http://schemas.openxmlformats.org/officeDocument/2006/relationships" xmlns:w="http://schemas.openxmlformats.org/wordprocessingml/2006/main">
  <w:divs>
    <w:div w:id="414981903">
      <w:bodyDiv w:val="1"/>
      <w:marLeft w:val="0"/>
      <w:marRight w:val="0"/>
      <w:marTop w:val="0"/>
      <w:marBottom w:val="0"/>
      <w:divBdr>
        <w:top w:val="none" w:sz="0" w:space="0" w:color="auto"/>
        <w:left w:val="none" w:sz="0" w:space="0" w:color="auto"/>
        <w:bottom w:val="none" w:sz="0" w:space="0" w:color="auto"/>
        <w:right w:val="none" w:sz="0" w:space="0" w:color="auto"/>
      </w:divBdr>
      <w:divsChild>
        <w:div w:id="1669946388">
          <w:marLeft w:val="0"/>
          <w:marRight w:val="0"/>
          <w:marTop w:val="0"/>
          <w:marBottom w:val="0"/>
          <w:divBdr>
            <w:top w:val="none" w:sz="0" w:space="0" w:color="auto"/>
            <w:left w:val="none" w:sz="0" w:space="0" w:color="auto"/>
            <w:bottom w:val="none" w:sz="0" w:space="0" w:color="auto"/>
            <w:right w:val="none" w:sz="0" w:space="0" w:color="auto"/>
          </w:divBdr>
          <w:divsChild>
            <w:div w:id="1348487519">
              <w:marLeft w:val="0"/>
              <w:marRight w:val="0"/>
              <w:marTop w:val="0"/>
              <w:marBottom w:val="0"/>
              <w:divBdr>
                <w:top w:val="none" w:sz="0" w:space="0" w:color="auto"/>
                <w:left w:val="none" w:sz="0" w:space="0" w:color="auto"/>
                <w:bottom w:val="none" w:sz="0" w:space="0" w:color="auto"/>
                <w:right w:val="none" w:sz="0" w:space="0" w:color="auto"/>
              </w:divBdr>
              <w:divsChild>
                <w:div w:id="15011486">
                  <w:marLeft w:val="0"/>
                  <w:marRight w:val="0"/>
                  <w:marTop w:val="0"/>
                  <w:marBottom w:val="0"/>
                  <w:divBdr>
                    <w:top w:val="none" w:sz="0" w:space="0" w:color="auto"/>
                    <w:left w:val="none" w:sz="0" w:space="0" w:color="auto"/>
                    <w:bottom w:val="none" w:sz="0" w:space="0" w:color="auto"/>
                    <w:right w:val="none" w:sz="0" w:space="0" w:color="auto"/>
                  </w:divBdr>
                  <w:divsChild>
                    <w:div w:id="69275559">
                      <w:marLeft w:val="0"/>
                      <w:marRight w:val="0"/>
                      <w:marTop w:val="0"/>
                      <w:marBottom w:val="0"/>
                      <w:divBdr>
                        <w:top w:val="none" w:sz="0" w:space="0" w:color="auto"/>
                        <w:left w:val="none" w:sz="0" w:space="0" w:color="auto"/>
                        <w:bottom w:val="none" w:sz="0" w:space="0" w:color="auto"/>
                        <w:right w:val="none" w:sz="0" w:space="0" w:color="auto"/>
                      </w:divBdr>
                      <w:divsChild>
                        <w:div w:id="623654817">
                          <w:marLeft w:val="0"/>
                          <w:marRight w:val="0"/>
                          <w:marTop w:val="0"/>
                          <w:marBottom w:val="0"/>
                          <w:divBdr>
                            <w:top w:val="none" w:sz="0" w:space="0" w:color="auto"/>
                            <w:left w:val="none" w:sz="0" w:space="0" w:color="auto"/>
                            <w:bottom w:val="none" w:sz="0" w:space="0" w:color="auto"/>
                            <w:right w:val="none" w:sz="0" w:space="0" w:color="auto"/>
                          </w:divBdr>
                        </w:div>
                        <w:div w:id="1093433344">
                          <w:marLeft w:val="0"/>
                          <w:marRight w:val="0"/>
                          <w:marTop w:val="0"/>
                          <w:marBottom w:val="0"/>
                          <w:divBdr>
                            <w:top w:val="none" w:sz="0" w:space="0" w:color="auto"/>
                            <w:left w:val="none" w:sz="0" w:space="0" w:color="auto"/>
                            <w:bottom w:val="none" w:sz="0" w:space="0" w:color="auto"/>
                            <w:right w:val="none" w:sz="0" w:space="0" w:color="auto"/>
                          </w:divBdr>
                        </w:div>
                        <w:div w:id="1358771678">
                          <w:marLeft w:val="0"/>
                          <w:marRight w:val="0"/>
                          <w:marTop w:val="0"/>
                          <w:marBottom w:val="0"/>
                          <w:divBdr>
                            <w:top w:val="none" w:sz="0" w:space="0" w:color="auto"/>
                            <w:left w:val="none" w:sz="0" w:space="0" w:color="auto"/>
                            <w:bottom w:val="none" w:sz="0" w:space="0" w:color="auto"/>
                            <w:right w:val="none" w:sz="0" w:space="0" w:color="auto"/>
                          </w:divBdr>
                        </w:div>
                        <w:div w:id="535239966">
                          <w:marLeft w:val="0"/>
                          <w:marRight w:val="0"/>
                          <w:marTop w:val="0"/>
                          <w:marBottom w:val="0"/>
                          <w:divBdr>
                            <w:top w:val="none" w:sz="0" w:space="0" w:color="auto"/>
                            <w:left w:val="none" w:sz="0" w:space="0" w:color="auto"/>
                            <w:bottom w:val="none" w:sz="0" w:space="0" w:color="auto"/>
                            <w:right w:val="none" w:sz="0" w:space="0" w:color="auto"/>
                          </w:divBdr>
                        </w:div>
                        <w:div w:id="48948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3825840">
      <w:bodyDiv w:val="1"/>
      <w:marLeft w:val="0"/>
      <w:marRight w:val="0"/>
      <w:marTop w:val="0"/>
      <w:marBottom w:val="0"/>
      <w:divBdr>
        <w:top w:val="none" w:sz="0" w:space="0" w:color="auto"/>
        <w:left w:val="none" w:sz="0" w:space="0" w:color="auto"/>
        <w:bottom w:val="none" w:sz="0" w:space="0" w:color="auto"/>
        <w:right w:val="none" w:sz="0" w:space="0" w:color="auto"/>
      </w:divBdr>
    </w:div>
    <w:div w:id="156167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amhs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1690</Words>
  <Characters>9786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Workplace Helpline Call Record Form</vt:lpstr>
    </vt:vector>
  </TitlesOfParts>
  <Company>DG</Company>
  <LinksUpToDate>false</LinksUpToDate>
  <CharactersWithSpaces>11454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Workplace Helpline Call Record Form</dc:title>
  <dc:subject/>
  <dc:creator>ezeller</dc:creator>
  <cp:keywords/>
  <cp:lastModifiedBy>DHHS</cp:lastModifiedBy>
  <cp:revision>5</cp:revision>
  <cp:lastPrinted>2012-06-28T13:42:00Z</cp:lastPrinted>
  <dcterms:created xsi:type="dcterms:W3CDTF">2012-06-28T13:44:00Z</dcterms:created>
  <dcterms:modified xsi:type="dcterms:W3CDTF">2012-07-09T14:31:00Z</dcterms:modified>
</cp:coreProperties>
</file>