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87" w:rsidRPr="00A93EDE" w:rsidRDefault="00BA2A87" w:rsidP="006241E7">
      <w:pPr>
        <w:widowControl/>
      </w:pPr>
    </w:p>
    <w:p w:rsidR="00BA2A87" w:rsidRPr="00A93EDE" w:rsidRDefault="00BA2A87" w:rsidP="006241E7">
      <w:pPr>
        <w:widowControl/>
      </w:pPr>
    </w:p>
    <w:p w:rsidR="00BA2A87" w:rsidRDefault="00BA2A87" w:rsidP="006241E7">
      <w:pPr>
        <w:widowControl/>
      </w:pPr>
    </w:p>
    <w:p w:rsidR="002D6B94" w:rsidRDefault="002D6B94" w:rsidP="006241E7">
      <w:pPr>
        <w:widowControl/>
      </w:pPr>
    </w:p>
    <w:p w:rsidR="002D6B94" w:rsidRDefault="002D6B94" w:rsidP="006241E7">
      <w:pPr>
        <w:widowControl/>
      </w:pPr>
    </w:p>
    <w:p w:rsidR="002D6B94" w:rsidRDefault="002D6B94" w:rsidP="006241E7">
      <w:pPr>
        <w:widowControl/>
      </w:pPr>
    </w:p>
    <w:p w:rsidR="002D6B94" w:rsidRDefault="002D6B94" w:rsidP="006241E7">
      <w:pPr>
        <w:widowControl/>
      </w:pPr>
    </w:p>
    <w:p w:rsidR="002D6B94" w:rsidRDefault="002D6B94" w:rsidP="006241E7">
      <w:pPr>
        <w:widowControl/>
      </w:pPr>
    </w:p>
    <w:p w:rsidR="00BA2A87" w:rsidRDefault="00BA2A87" w:rsidP="006241E7">
      <w:pPr>
        <w:widowControl/>
        <w:jc w:val="center"/>
        <w:rPr>
          <w:b/>
          <w:bCs/>
        </w:rPr>
      </w:pPr>
      <w:r w:rsidRPr="002D6B94">
        <w:rPr>
          <w:b/>
          <w:bCs/>
        </w:rPr>
        <w:t>Information Collection Request</w:t>
      </w:r>
      <w:r w:rsidR="002012D6">
        <w:rPr>
          <w:b/>
          <w:bCs/>
        </w:rPr>
        <w:t xml:space="preserve"> Renewal</w:t>
      </w:r>
    </w:p>
    <w:p w:rsidR="002012D6" w:rsidRPr="002D6B94" w:rsidRDefault="002012D6" w:rsidP="002012D6">
      <w:pPr>
        <w:widowControl/>
        <w:jc w:val="center"/>
        <w:rPr>
          <w:b/>
          <w:bCs/>
        </w:rPr>
      </w:pPr>
      <w:r w:rsidRPr="002D6B94">
        <w:rPr>
          <w:b/>
          <w:bCs/>
        </w:rPr>
        <w:t>Supporting Statement</w:t>
      </w:r>
    </w:p>
    <w:p w:rsidR="002012D6" w:rsidRPr="002D6B94" w:rsidRDefault="002012D6" w:rsidP="006241E7">
      <w:pPr>
        <w:widowControl/>
        <w:jc w:val="center"/>
        <w:rPr>
          <w:b/>
          <w:bCs/>
        </w:rPr>
      </w:pPr>
    </w:p>
    <w:p w:rsidR="00BA2A87" w:rsidRPr="00A93EDE" w:rsidRDefault="00BA2A87" w:rsidP="006241E7">
      <w:pPr>
        <w:widowControl/>
        <w:jc w:val="center"/>
      </w:pPr>
    </w:p>
    <w:p w:rsidR="00BA2A87" w:rsidRPr="00A93EDE" w:rsidRDefault="00BA2A87" w:rsidP="006241E7">
      <w:pPr>
        <w:widowControl/>
        <w:jc w:val="center"/>
      </w:pPr>
    </w:p>
    <w:p w:rsidR="00BA2A87" w:rsidRPr="00A93EDE" w:rsidRDefault="00BA2A87" w:rsidP="006241E7">
      <w:pPr>
        <w:widowControl/>
        <w:jc w:val="center"/>
      </w:pPr>
    </w:p>
    <w:p w:rsidR="00BA2A87" w:rsidRPr="00993985" w:rsidRDefault="00BA2A87" w:rsidP="006241E7">
      <w:pPr>
        <w:widowControl/>
        <w:jc w:val="center"/>
        <w:rPr>
          <w:b/>
        </w:rPr>
      </w:pPr>
      <w:r w:rsidRPr="00993985">
        <w:rPr>
          <w:b/>
        </w:rPr>
        <w:t>Nonconformance Penalties for Heavy-Duty Engines</w:t>
      </w:r>
    </w:p>
    <w:p w:rsidR="00BA2A87" w:rsidRPr="00A93EDE" w:rsidRDefault="00BA2A87" w:rsidP="006241E7">
      <w:pPr>
        <w:widowControl/>
        <w:jc w:val="center"/>
      </w:pPr>
      <w:proofErr w:type="gramStart"/>
      <w:r w:rsidRPr="00993985">
        <w:rPr>
          <w:b/>
        </w:rPr>
        <w:t>and</w:t>
      </w:r>
      <w:proofErr w:type="gramEnd"/>
      <w:r w:rsidRPr="00993985">
        <w:rPr>
          <w:b/>
        </w:rPr>
        <w:t xml:space="preserve"> Heavy-Duty Vehicles, Including Light-Duty</w:t>
      </w:r>
      <w:r w:rsidR="002012D6">
        <w:rPr>
          <w:b/>
        </w:rPr>
        <w:t xml:space="preserve"> </w:t>
      </w:r>
      <w:r w:rsidRPr="00993985">
        <w:rPr>
          <w:b/>
        </w:rPr>
        <w:t>Trucks</w:t>
      </w:r>
    </w:p>
    <w:p w:rsidR="00BA2A87" w:rsidRPr="00A93EDE" w:rsidRDefault="00BA2A87" w:rsidP="006241E7">
      <w:pPr>
        <w:widowControl/>
        <w:jc w:val="center"/>
      </w:pPr>
    </w:p>
    <w:p w:rsidR="00BA2A87" w:rsidRPr="00A93EDE" w:rsidRDefault="00BA2A87" w:rsidP="006241E7">
      <w:pPr>
        <w:widowControl/>
        <w:jc w:val="center"/>
      </w:pPr>
    </w:p>
    <w:p w:rsidR="00BA2A87" w:rsidRPr="00A93EDE" w:rsidRDefault="00BA2A87" w:rsidP="006241E7">
      <w:pPr>
        <w:widowControl/>
        <w:jc w:val="center"/>
      </w:pPr>
    </w:p>
    <w:p w:rsidR="00BA2A87" w:rsidRPr="00A93EDE" w:rsidRDefault="00BA2A87" w:rsidP="006241E7">
      <w:pPr>
        <w:widowControl/>
        <w:jc w:val="center"/>
      </w:pPr>
    </w:p>
    <w:p w:rsidR="00BA2A87" w:rsidRPr="00A93EDE" w:rsidRDefault="00BA2A87" w:rsidP="006241E7">
      <w:pPr>
        <w:widowControl/>
        <w:jc w:val="center"/>
      </w:pPr>
    </w:p>
    <w:p w:rsidR="00BA2A87" w:rsidRPr="00A93EDE" w:rsidRDefault="00BA402F" w:rsidP="006241E7">
      <w:pPr>
        <w:widowControl/>
        <w:jc w:val="center"/>
      </w:pPr>
      <w:r>
        <w:t>EPA Number 1285.07</w:t>
      </w:r>
    </w:p>
    <w:p w:rsidR="00BA2A87" w:rsidRPr="00A93EDE" w:rsidRDefault="00BA2A87" w:rsidP="006241E7">
      <w:pPr>
        <w:widowControl/>
        <w:jc w:val="center"/>
      </w:pPr>
      <w:smartTag w:uri="urn:schemas-microsoft-com:office:smarttags" w:element="PersonName">
        <w:smartTag w:uri="urn:schemas:contacts" w:element="GivenName">
          <w:r w:rsidRPr="00A93EDE">
            <w:t>OMB</w:t>
          </w:r>
        </w:smartTag>
        <w:r w:rsidRPr="00A93EDE">
          <w:t xml:space="preserve"> </w:t>
        </w:r>
        <w:smartTag w:uri="urn:schemas:contacts" w:element="middlename">
          <w:r w:rsidRPr="00A93EDE">
            <w:t>No.</w:t>
          </w:r>
        </w:smartTag>
      </w:smartTag>
      <w:r w:rsidR="00A93EDE">
        <w:t xml:space="preserve"> </w:t>
      </w:r>
      <w:r w:rsidRPr="00A93EDE">
        <w:t>2060-0132</w:t>
      </w:r>
    </w:p>
    <w:p w:rsidR="00BA2A87" w:rsidRPr="00A93EDE" w:rsidRDefault="00BA2A87" w:rsidP="006241E7">
      <w:pPr>
        <w:widowControl/>
        <w:jc w:val="center"/>
      </w:pPr>
    </w:p>
    <w:p w:rsidR="00BA2A87" w:rsidRDefault="00BA2A87" w:rsidP="006241E7">
      <w:pPr>
        <w:widowControl/>
        <w:jc w:val="center"/>
      </w:pPr>
    </w:p>
    <w:p w:rsidR="002D6B94" w:rsidRDefault="002D6B94" w:rsidP="006241E7">
      <w:pPr>
        <w:widowControl/>
        <w:jc w:val="center"/>
      </w:pPr>
    </w:p>
    <w:p w:rsidR="002D6B94" w:rsidRPr="00A93EDE" w:rsidRDefault="002D6B94" w:rsidP="006241E7">
      <w:pPr>
        <w:widowControl/>
        <w:jc w:val="center"/>
      </w:pPr>
    </w:p>
    <w:p w:rsidR="00BA2A87" w:rsidRPr="00A93EDE" w:rsidRDefault="00BA2A87" w:rsidP="006241E7">
      <w:pPr>
        <w:widowControl/>
        <w:jc w:val="center"/>
      </w:pPr>
    </w:p>
    <w:p w:rsidR="00BA2A87" w:rsidRDefault="00143AE8" w:rsidP="006241E7">
      <w:pPr>
        <w:widowControl/>
        <w:jc w:val="center"/>
      </w:pPr>
      <w:r>
        <w:t xml:space="preserve">40 CFR </w:t>
      </w:r>
      <w:proofErr w:type="gramStart"/>
      <w:r>
        <w:t>Part</w:t>
      </w:r>
      <w:proofErr w:type="gramEnd"/>
      <w:r>
        <w:t xml:space="preserve"> 86, Subpart L</w:t>
      </w:r>
    </w:p>
    <w:p w:rsidR="00C76676" w:rsidRDefault="00C76676" w:rsidP="006241E7">
      <w:pPr>
        <w:widowControl/>
        <w:jc w:val="center"/>
      </w:pPr>
    </w:p>
    <w:p w:rsidR="00C76676" w:rsidRPr="00A93EDE" w:rsidRDefault="00C76676" w:rsidP="006241E7">
      <w:pPr>
        <w:widowControl/>
        <w:jc w:val="center"/>
      </w:pPr>
      <w:r>
        <w:t>April 2012</w:t>
      </w:r>
    </w:p>
    <w:p w:rsidR="00BA2A87" w:rsidRDefault="00BA2A87" w:rsidP="006241E7">
      <w:pPr>
        <w:widowControl/>
        <w:jc w:val="center"/>
      </w:pPr>
    </w:p>
    <w:p w:rsidR="002D6B94" w:rsidRDefault="002D6B94" w:rsidP="006241E7">
      <w:pPr>
        <w:widowControl/>
        <w:jc w:val="center"/>
      </w:pPr>
    </w:p>
    <w:p w:rsidR="002D6B94" w:rsidRDefault="002D6B94" w:rsidP="006241E7">
      <w:pPr>
        <w:widowControl/>
        <w:jc w:val="center"/>
      </w:pPr>
    </w:p>
    <w:p w:rsidR="002D6B94" w:rsidRDefault="002D6B94" w:rsidP="006241E7">
      <w:pPr>
        <w:widowControl/>
        <w:jc w:val="center"/>
      </w:pPr>
    </w:p>
    <w:p w:rsidR="002D6B94" w:rsidRPr="00A93EDE" w:rsidRDefault="002D6B94" w:rsidP="006241E7">
      <w:pPr>
        <w:widowControl/>
        <w:jc w:val="center"/>
      </w:pPr>
    </w:p>
    <w:p w:rsidR="00BA2A87" w:rsidRPr="00A93EDE" w:rsidRDefault="00BA2A87" w:rsidP="006241E7">
      <w:pPr>
        <w:widowControl/>
        <w:jc w:val="center"/>
      </w:pPr>
    </w:p>
    <w:p w:rsidR="00BA2A87" w:rsidRPr="00A93EDE" w:rsidRDefault="00BA2A87" w:rsidP="006241E7">
      <w:pPr>
        <w:widowControl/>
        <w:jc w:val="center"/>
      </w:pPr>
    </w:p>
    <w:p w:rsidR="00BA2A87" w:rsidRPr="00A93EDE" w:rsidRDefault="00BA2A87" w:rsidP="006241E7">
      <w:pPr>
        <w:widowControl/>
        <w:jc w:val="center"/>
      </w:pPr>
      <w:r w:rsidRPr="00A93EDE">
        <w:t>Certification &amp; Compliance Division</w:t>
      </w:r>
    </w:p>
    <w:p w:rsidR="00BA2A87" w:rsidRPr="00A93EDE" w:rsidRDefault="00BA2A87" w:rsidP="006241E7">
      <w:pPr>
        <w:widowControl/>
        <w:jc w:val="center"/>
      </w:pPr>
      <w:r w:rsidRPr="00A93EDE">
        <w:t>Office of Transportation and Air Quality</w:t>
      </w:r>
    </w:p>
    <w:p w:rsidR="00BA2A87" w:rsidRPr="00A93EDE" w:rsidRDefault="00BA2A87" w:rsidP="006241E7">
      <w:pPr>
        <w:widowControl/>
        <w:jc w:val="center"/>
      </w:pPr>
      <w:r w:rsidRPr="00A93EDE">
        <w:t>Office of Air and Radiation</w:t>
      </w:r>
    </w:p>
    <w:p w:rsidR="002D6B94" w:rsidRDefault="00BA2A87" w:rsidP="006241E7">
      <w:pPr>
        <w:widowControl/>
        <w:jc w:val="center"/>
        <w:sectPr w:rsidR="002D6B94" w:rsidSect="002012D6">
          <w:footerReference w:type="default" r:id="rId8"/>
          <w:type w:val="continuous"/>
          <w:pgSz w:w="12240" w:h="15840"/>
          <w:pgMar w:top="1440" w:right="1440" w:bottom="1440" w:left="1440" w:header="634" w:footer="1296" w:gutter="0"/>
          <w:cols w:space="720"/>
          <w:noEndnote/>
        </w:sectPr>
      </w:pPr>
      <w:smartTag w:uri="urn:schemas-microsoft-com:office:smarttags" w:element="place">
        <w:smartTag w:uri="urn:schemas-microsoft-com:office:smarttags" w:element="country-region">
          <w:r w:rsidRPr="00A93EDE">
            <w:t>U.S.</w:t>
          </w:r>
        </w:smartTag>
      </w:smartTag>
      <w:r w:rsidRPr="00A93EDE">
        <w:t xml:space="preserve"> Environmental Protection Agency</w:t>
      </w:r>
    </w:p>
    <w:p w:rsidR="00BA2A87" w:rsidRPr="002D6B94" w:rsidRDefault="00BA2A87" w:rsidP="006241E7">
      <w:pPr>
        <w:widowControl/>
        <w:rPr>
          <w:b/>
        </w:rPr>
      </w:pPr>
      <w:r w:rsidRPr="002D6B94">
        <w:rPr>
          <w:b/>
        </w:rPr>
        <w:lastRenderedPageBreak/>
        <w:t>1.</w:t>
      </w:r>
      <w:r w:rsidR="001A0D02" w:rsidRPr="002D6B94">
        <w:rPr>
          <w:b/>
        </w:rPr>
        <w:t xml:space="preserve">  </w:t>
      </w:r>
      <w:r w:rsidRPr="002D6B94">
        <w:rPr>
          <w:b/>
        </w:rPr>
        <w:t>Identification of the Information Collection</w:t>
      </w:r>
    </w:p>
    <w:p w:rsidR="00BA2A87" w:rsidRPr="00A93EDE" w:rsidRDefault="00BA2A87" w:rsidP="006241E7">
      <w:pPr>
        <w:widowControl/>
      </w:pPr>
    </w:p>
    <w:p w:rsidR="00BA2A87" w:rsidRPr="00111FAC" w:rsidRDefault="00BA2A87" w:rsidP="006241E7">
      <w:pPr>
        <w:widowControl/>
        <w:ind w:left="360"/>
        <w:rPr>
          <w:b/>
        </w:rPr>
      </w:pPr>
      <w:r w:rsidRPr="00111FAC">
        <w:rPr>
          <w:b/>
        </w:rPr>
        <w:t>1(a</w:t>
      </w:r>
      <w:proofErr w:type="gramStart"/>
      <w:r w:rsidRPr="00111FAC">
        <w:rPr>
          <w:b/>
        </w:rPr>
        <w:t>)</w:t>
      </w:r>
      <w:r w:rsidR="001A0D02" w:rsidRPr="00111FAC">
        <w:rPr>
          <w:b/>
        </w:rPr>
        <w:t xml:space="preserve">  </w:t>
      </w:r>
      <w:r w:rsidRPr="00111FAC">
        <w:rPr>
          <w:b/>
        </w:rPr>
        <w:t>Title</w:t>
      </w:r>
      <w:proofErr w:type="gramEnd"/>
      <w:r w:rsidRPr="00111FAC">
        <w:rPr>
          <w:b/>
        </w:rPr>
        <w:t xml:space="preserve"> and Number of the Information Collection</w:t>
      </w:r>
    </w:p>
    <w:p w:rsidR="00BA2A87" w:rsidRPr="00A93EDE" w:rsidRDefault="00BA2A87" w:rsidP="006241E7">
      <w:pPr>
        <w:widowControl/>
      </w:pPr>
    </w:p>
    <w:p w:rsidR="00BA2A87" w:rsidRPr="00A93EDE" w:rsidRDefault="00BA2A87" w:rsidP="006241E7">
      <w:pPr>
        <w:widowControl/>
        <w:ind w:firstLine="720"/>
      </w:pPr>
      <w:proofErr w:type="gramStart"/>
      <w:r w:rsidRPr="00A93EDE">
        <w:t>Nonconformance Penalties for Heavy-Duty Engines and Heavy-Duty</w:t>
      </w:r>
      <w:r w:rsidR="00C9011D" w:rsidRPr="00A93EDE">
        <w:t xml:space="preserve"> </w:t>
      </w:r>
      <w:r w:rsidRPr="00A93EDE">
        <w:t>Vehicles, Including Light-Duty Trucks; EPA ICR Number 1285.0</w:t>
      </w:r>
      <w:r w:rsidR="00C76676">
        <w:t>8</w:t>
      </w:r>
      <w:r w:rsidRPr="00A93EDE">
        <w:t>, OMB Control Number 2060-0132.</w:t>
      </w:r>
      <w:proofErr w:type="gramEnd"/>
    </w:p>
    <w:p w:rsidR="00BA2A87" w:rsidRPr="00A93EDE" w:rsidRDefault="00BA2A87" w:rsidP="006241E7">
      <w:pPr>
        <w:widowControl/>
      </w:pPr>
    </w:p>
    <w:p w:rsidR="00BA2A87" w:rsidRPr="00111FAC" w:rsidRDefault="00BA2A87" w:rsidP="006241E7">
      <w:pPr>
        <w:widowControl/>
        <w:ind w:left="360"/>
        <w:rPr>
          <w:b/>
        </w:rPr>
      </w:pPr>
      <w:r w:rsidRPr="00111FAC">
        <w:rPr>
          <w:b/>
        </w:rPr>
        <w:t>1(b</w:t>
      </w:r>
      <w:proofErr w:type="gramStart"/>
      <w:r w:rsidRPr="00111FAC">
        <w:rPr>
          <w:b/>
        </w:rPr>
        <w:t>)</w:t>
      </w:r>
      <w:r w:rsidR="001A0D02" w:rsidRPr="00111FAC">
        <w:rPr>
          <w:b/>
        </w:rPr>
        <w:t xml:space="preserve">  </w:t>
      </w:r>
      <w:r w:rsidRPr="00111FAC">
        <w:rPr>
          <w:b/>
        </w:rPr>
        <w:t>Short</w:t>
      </w:r>
      <w:proofErr w:type="gramEnd"/>
      <w:r w:rsidRPr="00111FAC">
        <w:rPr>
          <w:b/>
        </w:rPr>
        <w:t xml:space="preserve"> Characterization</w:t>
      </w:r>
    </w:p>
    <w:p w:rsidR="00BA2A87" w:rsidRPr="00A93EDE" w:rsidRDefault="00BA2A87" w:rsidP="006241E7">
      <w:pPr>
        <w:widowControl/>
      </w:pPr>
    </w:p>
    <w:p w:rsidR="00B40734" w:rsidRDefault="00BA2A87" w:rsidP="006241E7">
      <w:pPr>
        <w:widowControl/>
        <w:ind w:firstLine="720"/>
      </w:pPr>
      <w:r w:rsidRPr="00A93EDE">
        <w:t>Nonconformance pe</w:t>
      </w:r>
      <w:r w:rsidR="00F158C0">
        <w:t>nalties (NCP) provisions allow</w:t>
      </w:r>
      <w:r w:rsidRPr="00A93EDE">
        <w:t xml:space="preserve"> manufacturer</w:t>
      </w:r>
      <w:r w:rsidR="00F158C0">
        <w:t>s</w:t>
      </w:r>
      <w:r w:rsidRPr="00A93EDE">
        <w:t xml:space="preserve"> to introduce into commerce heavy-duty engines</w:t>
      </w:r>
      <w:r w:rsidR="00FA5DA7">
        <w:t xml:space="preserve"> </w:t>
      </w:r>
      <w:r w:rsidRPr="00A93EDE">
        <w:t>(HDEs) or heavy-duty vehicles (HDVs)</w:t>
      </w:r>
      <w:r w:rsidR="00EC57E5">
        <w:t xml:space="preserve"> and/or </w:t>
      </w:r>
      <w:r w:rsidRPr="00A93EDE">
        <w:t>light-duty trucks</w:t>
      </w:r>
      <w:r w:rsidR="002012D6">
        <w:t xml:space="preserve"> that</w:t>
      </w:r>
      <w:r w:rsidRPr="00A93EDE">
        <w:t xml:space="preserve"> fail to conform </w:t>
      </w:r>
      <w:r w:rsidR="00A07E27" w:rsidRPr="00A93EDE">
        <w:t>to</w:t>
      </w:r>
      <w:r w:rsidRPr="00A93EDE">
        <w:t xml:space="preserve"> certain emission standards upon payment of a monetary penalty.</w:t>
      </w:r>
      <w:r w:rsidR="00C76676">
        <w:t xml:space="preserve">  </w:t>
      </w:r>
      <w:r w:rsidR="00D43FC8">
        <w:t>The information collected from</w:t>
      </w:r>
      <w:r w:rsidR="00D43FC8" w:rsidRPr="002F1F6A">
        <w:t xml:space="preserve"> manufacturer</w:t>
      </w:r>
      <w:r w:rsidR="00EC57E5">
        <w:t>s</w:t>
      </w:r>
      <w:r w:rsidR="00D43FC8" w:rsidRPr="002F1F6A">
        <w:t xml:space="preserve"> electing t</w:t>
      </w:r>
      <w:r w:rsidR="00D43FC8">
        <w:t>o pay an NCP includes a description of their product(s) and</w:t>
      </w:r>
      <w:r w:rsidR="00D43FC8" w:rsidRPr="002F1F6A">
        <w:t xml:space="preserve"> test data to verify compliance. </w:t>
      </w:r>
    </w:p>
    <w:p w:rsidR="00D43FC8" w:rsidRDefault="00D43FC8" w:rsidP="006241E7">
      <w:pPr>
        <w:widowControl/>
        <w:ind w:firstLine="720"/>
      </w:pPr>
    </w:p>
    <w:p w:rsidR="00BA2A87" w:rsidRDefault="00BA2A87" w:rsidP="006241E7">
      <w:pPr>
        <w:widowControl/>
        <w:ind w:firstLine="720"/>
      </w:pPr>
      <w:r w:rsidRPr="00A93EDE">
        <w:t xml:space="preserve">This information is collected by the </w:t>
      </w:r>
      <w:r w:rsidR="00C76676">
        <w:t>Diesel Engine Compliance Center (DECC)</w:t>
      </w:r>
      <w:r w:rsidRPr="00A93EDE">
        <w:t xml:space="preserve"> in </w:t>
      </w:r>
      <w:r w:rsidR="00B40734" w:rsidRPr="00A93EDE">
        <w:t>the Comp</w:t>
      </w:r>
      <w:r w:rsidR="00B40734">
        <w:t>liance</w:t>
      </w:r>
      <w:r w:rsidR="00B40734" w:rsidRPr="00A93EDE">
        <w:t xml:space="preserve"> Division</w:t>
      </w:r>
      <w:r w:rsidR="00B40734">
        <w:t xml:space="preserve"> (C</w:t>
      </w:r>
      <w:r w:rsidR="00B40734" w:rsidRPr="00A93EDE">
        <w:t>D), Office of Transportation and Air Quality, Office of Air and Radiation (OAR), of the U.S. Envir</w:t>
      </w:r>
      <w:r w:rsidR="00B40734">
        <w:t>onmental Protection Agency</w:t>
      </w:r>
      <w:r w:rsidR="00B40734" w:rsidRPr="00A93EDE">
        <w:t xml:space="preserve">. </w:t>
      </w:r>
      <w:r w:rsidR="00B40734">
        <w:t xml:space="preserve"> </w:t>
      </w:r>
      <w:r w:rsidRPr="00A93EDE">
        <w:t xml:space="preserve"> </w:t>
      </w:r>
      <w:r w:rsidR="00B40734">
        <w:t>DECC</w:t>
      </w:r>
      <w:r w:rsidR="00B40734" w:rsidRPr="00A93EDE">
        <w:t xml:space="preserve"> uses this information to ensure that manufacturers are in compliance with Clean Air Act (Act) </w:t>
      </w:r>
      <w:r w:rsidR="00B40734">
        <w:t>r</w:t>
      </w:r>
      <w:r w:rsidR="00B40734" w:rsidRPr="00A93EDE">
        <w:t>egulations and</w:t>
      </w:r>
      <w:r w:rsidR="00B40734">
        <w:t xml:space="preserve"> are</w:t>
      </w:r>
      <w:r w:rsidR="00B40734" w:rsidRPr="00A93EDE">
        <w:t xml:space="preserve"> paying the appropriate penalties.  </w:t>
      </w:r>
      <w:r w:rsidRPr="00A93EDE">
        <w:t xml:space="preserve">Besides </w:t>
      </w:r>
      <w:r w:rsidR="00B40734">
        <w:t>DECC</w:t>
      </w:r>
      <w:r w:rsidRPr="00A93EDE">
        <w:t xml:space="preserve">, this information could be used by the Office of Enforcement </w:t>
      </w:r>
      <w:r w:rsidR="00B40734">
        <w:t xml:space="preserve">and Compliance Assurance </w:t>
      </w:r>
      <w:r w:rsidRPr="00A93EDE">
        <w:t>and the Department of Justice for enforcement purposes.</w:t>
      </w:r>
      <w:r w:rsidR="001A0D02">
        <w:t xml:space="preserve"> </w:t>
      </w:r>
      <w:r w:rsidRPr="00A93EDE">
        <w:t xml:space="preserve"> Non Confidential Business Information</w:t>
      </w:r>
      <w:r w:rsidR="00EC004E">
        <w:t xml:space="preserve"> </w:t>
      </w:r>
      <w:r w:rsidR="00B40734">
        <w:t xml:space="preserve">(CBI) </w:t>
      </w:r>
      <w:r w:rsidRPr="00A93EDE">
        <w:t xml:space="preserve">information </w:t>
      </w:r>
      <w:r w:rsidR="00B40734">
        <w:t>may be</w:t>
      </w:r>
      <w:r w:rsidRPr="00A93EDE">
        <w:t xml:space="preserve"> disclosed in a public database and over the Internet. </w:t>
      </w:r>
      <w:r w:rsidR="001A0D02">
        <w:t xml:space="preserve"> </w:t>
      </w:r>
      <w:r w:rsidR="00B40734">
        <w:t>Public data</w:t>
      </w:r>
      <w:r w:rsidRPr="00A93EDE">
        <w:t xml:space="preserve"> is used by trade associations, environmental groups, and the public.</w:t>
      </w:r>
      <w:r w:rsidR="001A0D02">
        <w:t xml:space="preserve"> </w:t>
      </w:r>
      <w:r w:rsidRPr="00A93EDE">
        <w:t xml:space="preserve"> The information is usually submitted in an electronic format, and it is stored in </w:t>
      </w:r>
      <w:r w:rsidR="00003D7C" w:rsidRPr="00A93EDE">
        <w:t>HDNEG</w:t>
      </w:r>
      <w:r w:rsidR="00EC004E">
        <w:t>’</w:t>
      </w:r>
      <w:r w:rsidRPr="00A93EDE">
        <w:t>s certification database.</w:t>
      </w:r>
    </w:p>
    <w:p w:rsidR="00B40734" w:rsidRDefault="00B40734" w:rsidP="006241E7">
      <w:pPr>
        <w:widowControl/>
        <w:ind w:firstLine="720"/>
      </w:pPr>
    </w:p>
    <w:p w:rsidR="00B40734" w:rsidRPr="00F33AD2" w:rsidRDefault="00B40734" w:rsidP="00B40734">
      <w:pPr>
        <w:ind w:firstLine="720"/>
      </w:pPr>
      <w:r>
        <w:t xml:space="preserve">Only one engine manufacturer has elected to use </w:t>
      </w:r>
      <w:r w:rsidR="005F2B23">
        <w:t xml:space="preserve">the </w:t>
      </w:r>
      <w:r>
        <w:t>NCP provision</w:t>
      </w:r>
      <w:r w:rsidR="005F2B23">
        <w:t>s</w:t>
      </w:r>
      <w:r>
        <w:t xml:space="preserve"> in the last several years. EPA expects that only one </w:t>
      </w:r>
      <w:r w:rsidRPr="00025C31">
        <w:t xml:space="preserve">manufacturer will respond to this collection with an approximate </w:t>
      </w:r>
      <w:r>
        <w:t xml:space="preserve">annual </w:t>
      </w:r>
      <w:r w:rsidRPr="00025C31">
        <w:t xml:space="preserve">cost of </w:t>
      </w:r>
      <w:r w:rsidR="005F2B23" w:rsidRPr="00FD639B">
        <w:t>$</w:t>
      </w:r>
      <w:r w:rsidR="005F2B23">
        <w:t>81,163</w:t>
      </w:r>
      <w:r w:rsidRPr="00025C31">
        <w:t>.</w:t>
      </w:r>
      <w:r w:rsidRPr="00F33AD2">
        <w:t xml:space="preserve">  </w:t>
      </w:r>
      <w:r>
        <w:t xml:space="preserve"> </w:t>
      </w:r>
    </w:p>
    <w:p w:rsidR="00B40734" w:rsidRPr="00A93EDE" w:rsidRDefault="00B40734" w:rsidP="006241E7">
      <w:pPr>
        <w:widowControl/>
        <w:ind w:firstLine="720"/>
      </w:pPr>
    </w:p>
    <w:p w:rsidR="00BA2A87" w:rsidRPr="00A93EDE" w:rsidRDefault="00BA2A87" w:rsidP="006241E7">
      <w:pPr>
        <w:widowControl/>
      </w:pPr>
    </w:p>
    <w:p w:rsidR="00BA2A87" w:rsidRPr="002D6B94" w:rsidRDefault="00BA2A87" w:rsidP="006241E7">
      <w:pPr>
        <w:keepNext/>
        <w:widowControl/>
        <w:rPr>
          <w:b/>
        </w:rPr>
      </w:pPr>
      <w:r w:rsidRPr="002D6B94">
        <w:rPr>
          <w:b/>
        </w:rPr>
        <w:t>2.</w:t>
      </w:r>
      <w:r w:rsidR="001A0D02" w:rsidRPr="002D6B94">
        <w:rPr>
          <w:b/>
        </w:rPr>
        <w:t xml:space="preserve">  </w:t>
      </w:r>
      <w:r w:rsidRPr="002D6B94">
        <w:rPr>
          <w:b/>
        </w:rPr>
        <w:t>Need for and Use of the Collection</w:t>
      </w:r>
    </w:p>
    <w:p w:rsidR="00BA2A87" w:rsidRPr="00A93EDE" w:rsidRDefault="00BA2A87" w:rsidP="006241E7">
      <w:pPr>
        <w:keepNext/>
        <w:widowControl/>
      </w:pPr>
    </w:p>
    <w:p w:rsidR="00BA2A87" w:rsidRPr="00111FAC" w:rsidRDefault="00BA2A87" w:rsidP="006241E7">
      <w:pPr>
        <w:keepNext/>
        <w:widowControl/>
        <w:ind w:left="360"/>
        <w:rPr>
          <w:b/>
        </w:rPr>
      </w:pPr>
      <w:r w:rsidRPr="00111FAC">
        <w:rPr>
          <w:b/>
        </w:rPr>
        <w:t>2(a</w:t>
      </w:r>
      <w:proofErr w:type="gramStart"/>
      <w:r w:rsidRPr="00111FAC">
        <w:rPr>
          <w:b/>
        </w:rPr>
        <w:t>)</w:t>
      </w:r>
      <w:r w:rsidR="001A0D02" w:rsidRPr="00111FAC">
        <w:rPr>
          <w:b/>
        </w:rPr>
        <w:t xml:space="preserve">  </w:t>
      </w:r>
      <w:r w:rsidRPr="00111FAC">
        <w:rPr>
          <w:b/>
        </w:rPr>
        <w:t>Need</w:t>
      </w:r>
      <w:proofErr w:type="gramEnd"/>
      <w:r w:rsidRPr="00111FAC">
        <w:rPr>
          <w:b/>
        </w:rPr>
        <w:t xml:space="preserve">/Authority for the </w:t>
      </w:r>
      <w:r w:rsidR="00111FAC" w:rsidRPr="00111FAC">
        <w:rPr>
          <w:b/>
        </w:rPr>
        <w:t>C</w:t>
      </w:r>
      <w:r w:rsidRPr="00111FAC">
        <w:rPr>
          <w:b/>
        </w:rPr>
        <w:t>ollection</w:t>
      </w:r>
    </w:p>
    <w:p w:rsidR="00BA2A87" w:rsidRPr="00A93EDE" w:rsidRDefault="00BA2A87" w:rsidP="006241E7">
      <w:pPr>
        <w:keepNext/>
        <w:widowControl/>
      </w:pPr>
    </w:p>
    <w:p w:rsidR="00BA2A87" w:rsidRPr="00A93EDE" w:rsidRDefault="00BA2A87" w:rsidP="006241E7">
      <w:pPr>
        <w:widowControl/>
        <w:ind w:firstLine="720"/>
      </w:pPr>
      <w:r w:rsidRPr="00A93EDE">
        <w:t xml:space="preserve">Under Title II of the Clean Air Act, (42 USC 7521 et seq.), EPA is charged with issuing certificates of conformity for those vehicles and engines that comply with applicable emission standards. </w:t>
      </w:r>
      <w:r w:rsidR="001A0D02">
        <w:t xml:space="preserve"> </w:t>
      </w:r>
      <w:r w:rsidRPr="00A93EDE">
        <w:t>Such certificates must be issued before vehicles or engines are legally introduced into commerce.</w:t>
      </w:r>
      <w:r w:rsidR="001A0D02">
        <w:t xml:space="preserve"> </w:t>
      </w:r>
      <w:r w:rsidRPr="00A93EDE">
        <w:t xml:space="preserve"> To ensure compliance with these statutes, EPA reviews product information and manufacturers</w:t>
      </w:r>
      <w:r w:rsidR="002012D6">
        <w:t>'</w:t>
      </w:r>
      <w:r w:rsidRPr="00A93EDE">
        <w:t xml:space="preserve"> test results; EPA also tests some vehicles and engines to confirm manufacturers</w:t>
      </w:r>
      <w:r w:rsidR="002012D6">
        <w:t>'</w:t>
      </w:r>
      <w:r w:rsidRPr="00A93EDE">
        <w:t xml:space="preserve"> results.</w:t>
      </w:r>
    </w:p>
    <w:p w:rsidR="00BA2A87" w:rsidRPr="00A93EDE" w:rsidRDefault="00BA2A87" w:rsidP="006241E7">
      <w:pPr>
        <w:widowControl/>
      </w:pPr>
    </w:p>
    <w:p w:rsidR="00BA2A87" w:rsidRPr="00A93EDE" w:rsidRDefault="00BA2A87" w:rsidP="006241E7">
      <w:pPr>
        <w:widowControl/>
        <w:ind w:firstLine="720"/>
      </w:pPr>
      <w:r w:rsidRPr="00A93EDE">
        <w:t>EPA</w:t>
      </w:r>
      <w:r w:rsidR="002012D6">
        <w:t>'</w:t>
      </w:r>
      <w:r w:rsidRPr="00A93EDE">
        <w:t xml:space="preserve">s emission certification programs are statutorily mandated; the </w:t>
      </w:r>
      <w:r w:rsidR="002012D6">
        <w:t>A</w:t>
      </w:r>
      <w:r w:rsidR="002012D6" w:rsidRPr="00A93EDE">
        <w:t xml:space="preserve">gency </w:t>
      </w:r>
      <w:r w:rsidRPr="00A93EDE">
        <w:t>does not have discretion to cease these functions.</w:t>
      </w:r>
      <w:r w:rsidR="001A0D02">
        <w:t xml:space="preserve"> </w:t>
      </w:r>
      <w:r w:rsidRPr="00A93EDE">
        <w:t xml:space="preserve"> Under Section 206(g</w:t>
      </w:r>
      <w:proofErr w:type="gramStart"/>
      <w:r w:rsidRPr="00A93EDE">
        <w:t>)(</w:t>
      </w:r>
      <w:proofErr w:type="gramEnd"/>
      <w:r w:rsidRPr="00A93EDE">
        <w:t>1) of the Act as amended (42 USC 7525):</w:t>
      </w:r>
    </w:p>
    <w:p w:rsidR="00BA2A87" w:rsidRPr="00A93EDE" w:rsidRDefault="00BA2A87" w:rsidP="006241E7">
      <w:pPr>
        <w:widowControl/>
      </w:pPr>
    </w:p>
    <w:p w:rsidR="00BA2A87" w:rsidRPr="0052386B" w:rsidRDefault="00BA2A87" w:rsidP="006241E7">
      <w:pPr>
        <w:widowControl/>
        <w:ind w:left="720"/>
        <w:rPr>
          <w:sz w:val="20"/>
          <w:szCs w:val="20"/>
        </w:rPr>
      </w:pPr>
      <w:r w:rsidRPr="004718E0">
        <w:rPr>
          <w:sz w:val="20"/>
          <w:szCs w:val="20"/>
        </w:rPr>
        <w:lastRenderedPageBreak/>
        <w:t>In the case of any class or category of heavy-duty vehicles or engines to which a standard promulgated under section 202(a) of this Act applies, except as provided in paragraph (2), a certificate of conformity shall be issued under subsection (a) and shall not be suspended or revoked under subsection (b) for such vehicle or engines manufactured by a manufacturer notwithstanding the failure of such vehicles or engines to meet such standard if such manufacturer pays a nonconformance penalty as provided under regulations promulgated by the Administrator after notice and opportunity for public hearing.</w:t>
      </w:r>
    </w:p>
    <w:p w:rsidR="00BA2A87" w:rsidRPr="00A93EDE" w:rsidRDefault="00BA2A87" w:rsidP="006241E7">
      <w:pPr>
        <w:widowControl/>
      </w:pPr>
    </w:p>
    <w:p w:rsidR="00B40734" w:rsidRDefault="00B40734" w:rsidP="006241E7">
      <w:pPr>
        <w:widowControl/>
        <w:ind w:left="360"/>
        <w:rPr>
          <w:b/>
        </w:rPr>
      </w:pPr>
    </w:p>
    <w:p w:rsidR="00BA2A87" w:rsidRPr="00111FAC" w:rsidRDefault="00BA2A87" w:rsidP="006241E7">
      <w:pPr>
        <w:widowControl/>
        <w:ind w:left="360"/>
        <w:rPr>
          <w:b/>
        </w:rPr>
      </w:pPr>
      <w:r w:rsidRPr="00111FAC">
        <w:rPr>
          <w:b/>
        </w:rPr>
        <w:t>2(b</w:t>
      </w:r>
      <w:proofErr w:type="gramStart"/>
      <w:r w:rsidRPr="00111FAC">
        <w:rPr>
          <w:b/>
        </w:rPr>
        <w:t>)</w:t>
      </w:r>
      <w:r w:rsidR="001A0D02" w:rsidRPr="00111FAC">
        <w:rPr>
          <w:b/>
        </w:rPr>
        <w:t xml:space="preserve">  </w:t>
      </w:r>
      <w:r w:rsidRPr="00111FAC">
        <w:rPr>
          <w:b/>
        </w:rPr>
        <w:t>Practical</w:t>
      </w:r>
      <w:proofErr w:type="gramEnd"/>
      <w:r w:rsidRPr="00111FAC">
        <w:rPr>
          <w:b/>
        </w:rPr>
        <w:t xml:space="preserve"> Utility/Users of the Data</w:t>
      </w:r>
    </w:p>
    <w:p w:rsidR="00BA2A87" w:rsidRPr="00A93EDE" w:rsidRDefault="00BA2A87" w:rsidP="006241E7">
      <w:pPr>
        <w:widowControl/>
      </w:pPr>
    </w:p>
    <w:p w:rsidR="00BA2A87" w:rsidRPr="00A93EDE" w:rsidRDefault="00BA2A87" w:rsidP="006241E7">
      <w:pPr>
        <w:widowControl/>
        <w:ind w:firstLine="720"/>
      </w:pPr>
      <w:r w:rsidRPr="00A93EDE">
        <w:t>EPA uses the data to ensure manufacturers are complying with the regulations and that appropriate nonconformance penalties are being paid by the participants.</w:t>
      </w:r>
    </w:p>
    <w:p w:rsidR="00BA2A87" w:rsidRPr="00A93EDE" w:rsidRDefault="00BA2A87" w:rsidP="006241E7">
      <w:pPr>
        <w:widowControl/>
      </w:pPr>
    </w:p>
    <w:p w:rsidR="00BA2A87" w:rsidRPr="00A93EDE" w:rsidRDefault="00BA2A87" w:rsidP="006241E7">
      <w:pPr>
        <w:widowControl/>
        <w:ind w:firstLine="720"/>
      </w:pPr>
      <w:r w:rsidRPr="00A93EDE">
        <w:t xml:space="preserve">The information will be received and used by </w:t>
      </w:r>
      <w:r w:rsidR="00B40734">
        <w:t>DECC</w:t>
      </w:r>
      <w:r w:rsidRPr="00A93EDE">
        <w:t xml:space="preserve">, </w:t>
      </w:r>
      <w:r w:rsidR="00790E6C" w:rsidRPr="00A93EDE">
        <w:t>CD</w:t>
      </w:r>
      <w:r w:rsidRPr="00A93EDE">
        <w:t xml:space="preserve">, OTAQ, OAR.  Non-confidential portions of the information submitted to </w:t>
      </w:r>
      <w:r w:rsidR="001D4772" w:rsidRPr="00A93EDE">
        <w:t xml:space="preserve">HDNEG </w:t>
      </w:r>
      <w:r w:rsidRPr="00A93EDE">
        <w:t>are available to and used by manufacturers, engine users, environmental groups, members of the public and state and local government organizations.</w:t>
      </w:r>
    </w:p>
    <w:p w:rsidR="008B247B" w:rsidRDefault="008B247B" w:rsidP="006241E7">
      <w:pPr>
        <w:widowControl/>
      </w:pPr>
    </w:p>
    <w:p w:rsidR="00B40734" w:rsidRDefault="00B40734" w:rsidP="006241E7">
      <w:pPr>
        <w:widowControl/>
      </w:pPr>
    </w:p>
    <w:p w:rsidR="00B40734" w:rsidRPr="00A93EDE" w:rsidRDefault="00B40734" w:rsidP="006241E7">
      <w:pPr>
        <w:widowControl/>
      </w:pPr>
    </w:p>
    <w:p w:rsidR="00BA2A87" w:rsidRPr="002D6B94" w:rsidRDefault="00BA2A87" w:rsidP="006241E7">
      <w:pPr>
        <w:widowControl/>
        <w:rPr>
          <w:b/>
        </w:rPr>
      </w:pPr>
      <w:r w:rsidRPr="002D6B94">
        <w:rPr>
          <w:b/>
        </w:rPr>
        <w:t>3.</w:t>
      </w:r>
      <w:r w:rsidR="001A0D02" w:rsidRPr="002D6B94">
        <w:rPr>
          <w:b/>
        </w:rPr>
        <w:t xml:space="preserve">  </w:t>
      </w:r>
      <w:proofErr w:type="spellStart"/>
      <w:r w:rsidRPr="002D6B94">
        <w:rPr>
          <w:b/>
        </w:rPr>
        <w:t>Nonduplication</w:t>
      </w:r>
      <w:proofErr w:type="spellEnd"/>
      <w:r w:rsidRPr="002D6B94">
        <w:rPr>
          <w:b/>
        </w:rPr>
        <w:t>, Consultations and Other Collection Criteria</w:t>
      </w:r>
    </w:p>
    <w:p w:rsidR="00BA2A87" w:rsidRPr="00A93EDE" w:rsidRDefault="00BA2A87" w:rsidP="006241E7">
      <w:pPr>
        <w:widowControl/>
      </w:pPr>
    </w:p>
    <w:p w:rsidR="00B40734" w:rsidRDefault="00B40734" w:rsidP="006241E7">
      <w:pPr>
        <w:widowControl/>
        <w:ind w:left="360"/>
        <w:rPr>
          <w:b/>
        </w:rPr>
      </w:pPr>
    </w:p>
    <w:p w:rsidR="00BA2A87" w:rsidRPr="00111FAC" w:rsidRDefault="00BA2A87" w:rsidP="006241E7">
      <w:pPr>
        <w:widowControl/>
        <w:ind w:left="360"/>
        <w:rPr>
          <w:b/>
        </w:rPr>
      </w:pPr>
      <w:r w:rsidRPr="00111FAC">
        <w:rPr>
          <w:b/>
        </w:rPr>
        <w:t>3(a</w:t>
      </w:r>
      <w:proofErr w:type="gramStart"/>
      <w:r w:rsidRPr="00111FAC">
        <w:rPr>
          <w:b/>
        </w:rPr>
        <w:t>)</w:t>
      </w:r>
      <w:r w:rsidR="001A0D02" w:rsidRPr="00111FAC">
        <w:rPr>
          <w:b/>
        </w:rPr>
        <w:t xml:space="preserve">  </w:t>
      </w:r>
      <w:proofErr w:type="spellStart"/>
      <w:r w:rsidRPr="00111FAC">
        <w:rPr>
          <w:b/>
        </w:rPr>
        <w:t>Nonduplication</w:t>
      </w:r>
      <w:proofErr w:type="spellEnd"/>
      <w:proofErr w:type="gramEnd"/>
    </w:p>
    <w:p w:rsidR="00BA2A87" w:rsidRPr="00A93EDE" w:rsidRDefault="00BA2A87" w:rsidP="006241E7">
      <w:pPr>
        <w:widowControl/>
      </w:pPr>
    </w:p>
    <w:p w:rsidR="00BA2A87" w:rsidRPr="00A93EDE" w:rsidRDefault="00BA2A87" w:rsidP="006241E7">
      <w:pPr>
        <w:widowControl/>
        <w:ind w:firstLine="720"/>
      </w:pPr>
      <w:r w:rsidRPr="00A93EDE">
        <w:t>The information requested under this ICR is required by statute.  Because of its specialized (and sometimes confidential) nature, and the fact that it must be submitted to EPA prior to the start of production, the information collected is not available from any other source.</w:t>
      </w:r>
    </w:p>
    <w:p w:rsidR="00BA2A87" w:rsidRPr="00A93EDE" w:rsidRDefault="00BA2A87" w:rsidP="006241E7">
      <w:pPr>
        <w:widowControl/>
      </w:pPr>
    </w:p>
    <w:p w:rsidR="00B40734" w:rsidRDefault="00B40734" w:rsidP="006241E7">
      <w:pPr>
        <w:widowControl/>
        <w:ind w:left="360"/>
        <w:rPr>
          <w:b/>
        </w:rPr>
      </w:pPr>
    </w:p>
    <w:p w:rsidR="00BA2A87" w:rsidRPr="00111FAC" w:rsidRDefault="00BA2A87" w:rsidP="006241E7">
      <w:pPr>
        <w:widowControl/>
        <w:ind w:left="360"/>
        <w:rPr>
          <w:b/>
        </w:rPr>
      </w:pPr>
      <w:r w:rsidRPr="00111FAC">
        <w:rPr>
          <w:b/>
        </w:rPr>
        <w:t>3(b</w:t>
      </w:r>
      <w:proofErr w:type="gramStart"/>
      <w:r w:rsidRPr="00111FAC">
        <w:rPr>
          <w:b/>
        </w:rPr>
        <w:t>)</w:t>
      </w:r>
      <w:r w:rsidR="001A0D02" w:rsidRPr="00111FAC">
        <w:rPr>
          <w:b/>
        </w:rPr>
        <w:t xml:space="preserve">  </w:t>
      </w:r>
      <w:r w:rsidRPr="00111FAC">
        <w:rPr>
          <w:b/>
        </w:rPr>
        <w:t>Public</w:t>
      </w:r>
      <w:proofErr w:type="gramEnd"/>
      <w:r w:rsidRPr="00111FAC">
        <w:rPr>
          <w:b/>
        </w:rPr>
        <w:t xml:space="preserve"> Notice Required Prior to ICR Submission to OMB</w:t>
      </w:r>
    </w:p>
    <w:p w:rsidR="00B40734" w:rsidRDefault="00B40734" w:rsidP="00B40734">
      <w:pPr>
        <w:keepNext/>
        <w:keepLines/>
      </w:pPr>
    </w:p>
    <w:p w:rsidR="00B40734" w:rsidRPr="00A42B5B" w:rsidRDefault="00B40734" w:rsidP="00B40734">
      <w:pPr>
        <w:keepNext/>
        <w:keepLines/>
      </w:pPr>
      <w:r w:rsidRPr="00F33AD2">
        <w:tab/>
        <w:t xml:space="preserve">An announcement of the public comment period for this ICR renewal was published in the </w:t>
      </w:r>
      <w:r w:rsidRPr="00F33AD2">
        <w:rPr>
          <w:u w:val="single"/>
        </w:rPr>
        <w:t>Federal Register</w:t>
      </w:r>
      <w:r w:rsidRPr="00F33AD2">
        <w:t xml:space="preserve"> (7</w:t>
      </w:r>
      <w:r>
        <w:t>7</w:t>
      </w:r>
      <w:r w:rsidRPr="00F33AD2">
        <w:t xml:space="preserve"> FR </w:t>
      </w:r>
      <w:r>
        <w:t>18802</w:t>
      </w:r>
      <w:r w:rsidRPr="00F33AD2">
        <w:t xml:space="preserve">) on </w:t>
      </w:r>
      <w:smartTag w:uri="urn:schemas-microsoft-com:office:smarttags" w:element="date">
        <w:smartTagPr>
          <w:attr w:name="Year" w:val="2012"/>
          <w:attr w:name="Day" w:val="28"/>
          <w:attr w:name="Month" w:val="3"/>
          <w:attr w:name="ls" w:val="trans"/>
        </w:smartTagPr>
        <w:r>
          <w:t>March 28, 2012</w:t>
        </w:r>
      </w:smartTag>
      <w:r>
        <w:t>.  This document may be accessed through the Federal Register</w:t>
      </w:r>
      <w:smartTag w:uri="urn:schemas-microsoft-com:office:smarttags" w:element="PersonName">
        <w:r>
          <w:t>'</w:t>
        </w:r>
      </w:smartTag>
      <w:r>
        <w:t xml:space="preserve">s website at </w:t>
      </w:r>
      <w:hyperlink r:id="rId9" w:history="1">
        <w:r w:rsidRPr="00D10E09">
          <w:rPr>
            <w:rStyle w:val="Hyperlink"/>
          </w:rPr>
          <w:t>http://www.gpoaccess.gov/fr/index.html</w:t>
        </w:r>
      </w:hyperlink>
      <w:r>
        <w:t xml:space="preserve">.  </w:t>
      </w:r>
    </w:p>
    <w:p w:rsidR="00B40734" w:rsidRPr="00F33AD2" w:rsidRDefault="00B40734" w:rsidP="00B40734"/>
    <w:p w:rsidR="00B40734" w:rsidRDefault="00B40734" w:rsidP="00B40734">
      <w:pPr>
        <w:ind w:firstLine="720"/>
      </w:pPr>
      <w:r>
        <w:t xml:space="preserve">No comments were received in response to this ICR renewal.  </w:t>
      </w:r>
    </w:p>
    <w:p w:rsidR="00BA2A87" w:rsidRPr="00A93EDE" w:rsidRDefault="00BA2A87" w:rsidP="006241E7">
      <w:pPr>
        <w:widowControl/>
      </w:pPr>
    </w:p>
    <w:p w:rsidR="00B40734" w:rsidRDefault="00B40734" w:rsidP="006241E7">
      <w:pPr>
        <w:keepNext/>
        <w:keepLines/>
        <w:widowControl/>
        <w:ind w:left="360"/>
        <w:rPr>
          <w:b/>
        </w:rPr>
      </w:pPr>
    </w:p>
    <w:p w:rsidR="00BA2A87" w:rsidRPr="00111FAC" w:rsidRDefault="001A0D02" w:rsidP="006241E7">
      <w:pPr>
        <w:keepNext/>
        <w:keepLines/>
        <w:widowControl/>
        <w:ind w:left="360"/>
        <w:rPr>
          <w:b/>
        </w:rPr>
      </w:pPr>
      <w:r w:rsidRPr="00111FAC">
        <w:rPr>
          <w:b/>
        </w:rPr>
        <w:t>3(c</w:t>
      </w:r>
      <w:proofErr w:type="gramStart"/>
      <w:r w:rsidRPr="00111FAC">
        <w:rPr>
          <w:b/>
        </w:rPr>
        <w:t xml:space="preserve">)  </w:t>
      </w:r>
      <w:r w:rsidR="00BA2A87" w:rsidRPr="00111FAC">
        <w:rPr>
          <w:b/>
        </w:rPr>
        <w:t>Consultations</w:t>
      </w:r>
      <w:proofErr w:type="gramEnd"/>
    </w:p>
    <w:p w:rsidR="00BA2A87" w:rsidRPr="00A93EDE" w:rsidRDefault="00BA2A87" w:rsidP="006241E7">
      <w:pPr>
        <w:keepNext/>
        <w:keepLines/>
        <w:widowControl/>
      </w:pPr>
    </w:p>
    <w:p w:rsidR="00BA2A87" w:rsidRPr="00A93EDE" w:rsidRDefault="00BA2A87" w:rsidP="006241E7">
      <w:pPr>
        <w:keepLines/>
        <w:widowControl/>
        <w:ind w:firstLine="720"/>
      </w:pPr>
      <w:r w:rsidRPr="00A93EDE">
        <w:t xml:space="preserve">Under the existing ICR, only one manufacturer has elected to participate in the NCP program.  Given this low level of activity, EPA did not attempt to contact potential respondents, and chose instead to use the burden estimates provided by the respondents under the existing ICR.    </w:t>
      </w:r>
    </w:p>
    <w:p w:rsidR="00BA2A87" w:rsidRPr="00A93EDE" w:rsidRDefault="00BA2A87" w:rsidP="006241E7">
      <w:pPr>
        <w:widowControl/>
      </w:pPr>
    </w:p>
    <w:p w:rsidR="00BA2A87" w:rsidRPr="00111FAC" w:rsidRDefault="001A0D02" w:rsidP="006241E7">
      <w:pPr>
        <w:widowControl/>
        <w:ind w:left="360"/>
        <w:rPr>
          <w:b/>
        </w:rPr>
      </w:pPr>
      <w:r w:rsidRPr="00111FAC">
        <w:rPr>
          <w:b/>
        </w:rPr>
        <w:t>3(d</w:t>
      </w:r>
      <w:proofErr w:type="gramStart"/>
      <w:r w:rsidRPr="00111FAC">
        <w:rPr>
          <w:b/>
        </w:rPr>
        <w:t xml:space="preserve">)  </w:t>
      </w:r>
      <w:r w:rsidR="00BA2A87" w:rsidRPr="00111FAC">
        <w:rPr>
          <w:b/>
        </w:rPr>
        <w:t>Effects</w:t>
      </w:r>
      <w:proofErr w:type="gramEnd"/>
      <w:r w:rsidR="00BA2A87" w:rsidRPr="00111FAC">
        <w:rPr>
          <w:b/>
        </w:rPr>
        <w:t xml:space="preserve"> of Less Frequent Collection</w:t>
      </w:r>
    </w:p>
    <w:p w:rsidR="00BA2A87" w:rsidRPr="00A93EDE" w:rsidRDefault="00BA2A87" w:rsidP="006241E7">
      <w:pPr>
        <w:widowControl/>
      </w:pPr>
    </w:p>
    <w:p w:rsidR="00F0798B" w:rsidRPr="0066309A" w:rsidRDefault="00BA2A87" w:rsidP="006241E7">
      <w:pPr>
        <w:widowControl/>
        <w:ind w:firstLine="720"/>
      </w:pPr>
      <w:r w:rsidRPr="0066309A">
        <w:t>The CAA states that emission certification must be done on a</w:t>
      </w:r>
      <w:r w:rsidR="002F1F6A" w:rsidRPr="0066309A">
        <w:t xml:space="preserve"> </w:t>
      </w:r>
      <w:r w:rsidRPr="0066309A">
        <w:t>yearly basis (CAA 206(a</w:t>
      </w:r>
      <w:proofErr w:type="gramStart"/>
      <w:r w:rsidRPr="0066309A">
        <w:t>)(</w:t>
      </w:r>
      <w:proofErr w:type="gramEnd"/>
      <w:r w:rsidRPr="0066309A">
        <w:t>1)), coinciding with the industry</w:t>
      </w:r>
      <w:r w:rsidR="001A0D02" w:rsidRPr="0066309A">
        <w:t>'</w:t>
      </w:r>
      <w:r w:rsidRPr="0066309A">
        <w:t>s "model</w:t>
      </w:r>
      <w:r w:rsidR="002F1F6A" w:rsidRPr="0066309A">
        <w:t xml:space="preserve"> </w:t>
      </w:r>
      <w:r w:rsidRPr="0066309A">
        <w:t xml:space="preserve">year." </w:t>
      </w:r>
      <w:r w:rsidR="001A0D02" w:rsidRPr="0066309A">
        <w:t xml:space="preserve"> </w:t>
      </w:r>
      <w:r w:rsidRPr="0066309A">
        <w:t>Major product changes typically occur at the start of a model</w:t>
      </w:r>
      <w:r w:rsidR="002F1F6A" w:rsidRPr="0066309A">
        <w:t xml:space="preserve"> </w:t>
      </w:r>
      <w:r w:rsidRPr="0066309A">
        <w:t xml:space="preserve">year. For these reasons, </w:t>
      </w:r>
      <w:r w:rsidR="0066309A" w:rsidRPr="0066309A">
        <w:t>manufacturers declare their intent to use NCPs once a year, at the time of certification. A</w:t>
      </w:r>
      <w:r w:rsidRPr="0066309A">
        <w:t xml:space="preserve"> collection frequency of less than a model</w:t>
      </w:r>
      <w:r w:rsidR="002F1F6A" w:rsidRPr="0066309A">
        <w:t xml:space="preserve"> </w:t>
      </w:r>
      <w:r w:rsidRPr="0066309A">
        <w:t xml:space="preserve">year is not possible. </w:t>
      </w:r>
      <w:r w:rsidR="001A0D02" w:rsidRPr="0066309A">
        <w:t xml:space="preserve"> </w:t>
      </w:r>
      <w:r w:rsidRPr="0066309A">
        <w:t xml:space="preserve">However, EPA only requires the collection of </w:t>
      </w:r>
      <w:r w:rsidR="00134511" w:rsidRPr="0066309A">
        <w:t xml:space="preserve">Production Compliance Audit (PCA) </w:t>
      </w:r>
      <w:r w:rsidRPr="0066309A">
        <w:t>inf</w:t>
      </w:r>
      <w:r w:rsidR="002F1F6A" w:rsidRPr="0066309A">
        <w:t xml:space="preserve">ormation </w:t>
      </w:r>
      <w:r w:rsidRPr="0066309A">
        <w:t>when a manufacturer elects to pay a nonconformance</w:t>
      </w:r>
      <w:r w:rsidR="002F1F6A" w:rsidRPr="0066309A">
        <w:t xml:space="preserve"> penalty and conduct a PCA. </w:t>
      </w:r>
      <w:r w:rsidR="001A0D02" w:rsidRPr="0066309A">
        <w:t xml:space="preserve"> </w:t>
      </w:r>
    </w:p>
    <w:p w:rsidR="00F0798B" w:rsidRPr="0066309A" w:rsidRDefault="00F0798B" w:rsidP="006241E7">
      <w:pPr>
        <w:widowControl/>
        <w:ind w:firstLine="720"/>
      </w:pPr>
    </w:p>
    <w:p w:rsidR="00F0798B" w:rsidRDefault="0066309A" w:rsidP="006241E7">
      <w:pPr>
        <w:widowControl/>
        <w:ind w:firstLine="720"/>
      </w:pPr>
      <w:r w:rsidRPr="0066309A">
        <w:t xml:space="preserve">However, </w:t>
      </w:r>
      <w:r w:rsidR="00BA2A87" w:rsidRPr="0066309A">
        <w:t>the NCP payment and associated repo</w:t>
      </w:r>
      <w:r w:rsidRPr="0066309A">
        <w:t>rt be submitted quarterly</w:t>
      </w:r>
      <w:r w:rsidR="00BA2A87" w:rsidRPr="0066309A">
        <w:t>.</w:t>
      </w:r>
      <w:r w:rsidR="001A0D02" w:rsidRPr="0066309A">
        <w:t xml:space="preserve"> </w:t>
      </w:r>
      <w:r w:rsidR="00F0798B" w:rsidRPr="0066309A">
        <w:t>This frequency reflects the fact that engine manufacturing companies update their internal production volume reports every quarter.  Thus quarterly reports and payments allow manufacturers to pay only what is needed, instead of making annual projections that may not reflect true production levels.</w:t>
      </w:r>
      <w:r>
        <w:t xml:space="preserve">  This quarterly reporting is consistent with other EPA programs, such as Production-Line Testing, covered under other ICRs.</w:t>
      </w:r>
    </w:p>
    <w:p w:rsidR="00F0798B" w:rsidRDefault="00F0798B" w:rsidP="006241E7">
      <w:pPr>
        <w:widowControl/>
        <w:ind w:firstLine="720"/>
      </w:pPr>
    </w:p>
    <w:p w:rsidR="00BA2A87" w:rsidRPr="00A93EDE" w:rsidRDefault="00BA2A87" w:rsidP="006241E7">
      <w:pPr>
        <w:widowControl/>
      </w:pPr>
    </w:p>
    <w:p w:rsidR="00BA2A87" w:rsidRPr="00111FAC" w:rsidRDefault="001A0D02" w:rsidP="006241E7">
      <w:pPr>
        <w:widowControl/>
        <w:ind w:left="360"/>
        <w:rPr>
          <w:b/>
        </w:rPr>
      </w:pPr>
      <w:r w:rsidRPr="00111FAC">
        <w:rPr>
          <w:b/>
        </w:rPr>
        <w:t>3(e</w:t>
      </w:r>
      <w:proofErr w:type="gramStart"/>
      <w:r w:rsidRPr="00111FAC">
        <w:rPr>
          <w:b/>
        </w:rPr>
        <w:t xml:space="preserve">)  </w:t>
      </w:r>
      <w:r w:rsidR="00BA2A87" w:rsidRPr="00111FAC">
        <w:rPr>
          <w:b/>
        </w:rPr>
        <w:t>General</w:t>
      </w:r>
      <w:proofErr w:type="gramEnd"/>
      <w:r w:rsidR="00BA2A87" w:rsidRPr="00111FAC">
        <w:rPr>
          <w:b/>
        </w:rPr>
        <w:t xml:space="preserve"> Guidelines</w:t>
      </w:r>
    </w:p>
    <w:p w:rsidR="00BA2A87" w:rsidRPr="00A93EDE" w:rsidRDefault="00BA2A87" w:rsidP="006241E7">
      <w:pPr>
        <w:widowControl/>
      </w:pPr>
    </w:p>
    <w:p w:rsidR="00BA2A87" w:rsidRPr="00A93EDE" w:rsidRDefault="00BA2A87" w:rsidP="006241E7">
      <w:pPr>
        <w:widowControl/>
        <w:ind w:firstLine="720"/>
      </w:pPr>
      <w:r w:rsidRPr="00A93EDE">
        <w:t>Manufacturers are required t</w:t>
      </w:r>
      <w:r w:rsidR="002F1F6A">
        <w:t>o establish, maintain</w:t>
      </w:r>
      <w:r w:rsidR="00614796">
        <w:t>,</w:t>
      </w:r>
      <w:r w:rsidR="002F1F6A">
        <w:t xml:space="preserve"> and retain</w:t>
      </w:r>
      <w:r w:rsidR="00614796">
        <w:t xml:space="preserve"> </w:t>
      </w:r>
      <w:r w:rsidRPr="00A93EDE">
        <w:t xml:space="preserve">specific records under the regulation pertaining to all equipment used to test engines or vehicles, individual test results, information and test data, and a complete record of all emission tests performed.  Required records shall be maintained by the manufacturer for a period of six years.  The six-year recordkeeping requirement stems from the CAA mandate that manufacturers recall engines failing to meet emission standards throughout their useful lives.  Records may be retained as hard copy or reduced to microfilm, </w:t>
      </w:r>
      <w:r w:rsidR="001633B0">
        <w:t>automated data processing (</w:t>
      </w:r>
      <w:r w:rsidRPr="00A93EDE">
        <w:t>ADP</w:t>
      </w:r>
      <w:r w:rsidR="001633B0">
        <w:t>)</w:t>
      </w:r>
      <w:r w:rsidRPr="00A93EDE">
        <w:t xml:space="preserve"> film, etc., depending on the manufacturer</w:t>
      </w:r>
      <w:r w:rsidR="002012D6">
        <w:t>'</w:t>
      </w:r>
      <w:r w:rsidRPr="00A93EDE">
        <w:t>s record retention procedure, provided that in every case all the information contained in the hard copy is retained.</w:t>
      </w:r>
    </w:p>
    <w:p w:rsidR="00BA2A87" w:rsidRPr="00A93EDE" w:rsidRDefault="00BA2A87" w:rsidP="006241E7">
      <w:pPr>
        <w:widowControl/>
      </w:pPr>
    </w:p>
    <w:p w:rsidR="00BA2A87" w:rsidRPr="00A93EDE" w:rsidRDefault="00BA2A87" w:rsidP="006241E7">
      <w:pPr>
        <w:widowControl/>
        <w:ind w:firstLine="720"/>
      </w:pPr>
      <w:r w:rsidRPr="00A93EDE">
        <w:t>Manufacturers are required to submit confidential business</w:t>
      </w:r>
      <w:r w:rsidR="001A0D02">
        <w:t xml:space="preserve"> </w:t>
      </w:r>
      <w:r w:rsidRPr="00A93EDE">
        <w:t>information such as sales data and certain sensitive technical</w:t>
      </w:r>
      <w:r w:rsidR="001A0D02">
        <w:t xml:space="preserve"> </w:t>
      </w:r>
      <w:r w:rsidRPr="00A93EDE">
        <w:t>descriptions (</w:t>
      </w:r>
      <w:r w:rsidR="001A0D02">
        <w:t>p</w:t>
      </w:r>
      <w:r w:rsidRPr="00A93EDE">
        <w:t>lease see section 4(b</w:t>
      </w:r>
      <w:proofErr w:type="gramStart"/>
      <w:r w:rsidRPr="00A93EDE">
        <w:t>)(</w:t>
      </w:r>
      <w:proofErr w:type="gramEnd"/>
      <w:r w:rsidRPr="00A93EDE">
        <w:t xml:space="preserve">i) for reference). </w:t>
      </w:r>
      <w:r w:rsidR="001A0D02">
        <w:t xml:space="preserve"> </w:t>
      </w:r>
      <w:r w:rsidRPr="00A93EDE">
        <w:t>This</w:t>
      </w:r>
      <w:r w:rsidR="001A0D02">
        <w:t xml:space="preserve"> </w:t>
      </w:r>
      <w:r w:rsidRPr="00A93EDE">
        <w:t>information is kept confidential in accordance with the Freedom of</w:t>
      </w:r>
      <w:r w:rsidR="001A0D02">
        <w:t xml:space="preserve"> </w:t>
      </w:r>
      <w:r w:rsidRPr="00A93EDE">
        <w:t>Information Act, EPA regulations at 40 CFR Part 2, and class</w:t>
      </w:r>
      <w:r w:rsidR="001A0D02">
        <w:t xml:space="preserve"> </w:t>
      </w:r>
      <w:r w:rsidRPr="00A93EDE">
        <w:t>determinations issued by EPA</w:t>
      </w:r>
      <w:r w:rsidR="001A0D02">
        <w:t>'</w:t>
      </w:r>
      <w:r w:rsidRPr="00A93EDE">
        <w:t>s Office of General Counsel.</w:t>
      </w:r>
      <w:r w:rsidR="00111FAC">
        <w:t xml:space="preserve"> </w:t>
      </w:r>
      <w:r w:rsidRPr="00A93EDE">
        <w:t xml:space="preserve"> Also, nonproprietary information submitted by manufacturers is held as</w:t>
      </w:r>
      <w:r w:rsidR="001A0D02">
        <w:t xml:space="preserve"> </w:t>
      </w:r>
      <w:r w:rsidRPr="00A93EDE">
        <w:t>confidential until the specific vehicle or engine to which it pertains is available for purchase.</w:t>
      </w:r>
    </w:p>
    <w:p w:rsidR="00BA2A87" w:rsidRPr="00A93EDE" w:rsidRDefault="00BA2A87" w:rsidP="006241E7">
      <w:pPr>
        <w:widowControl/>
      </w:pPr>
    </w:p>
    <w:p w:rsidR="00BA2A87" w:rsidRPr="00A93EDE" w:rsidRDefault="00BA2A87" w:rsidP="006241E7">
      <w:pPr>
        <w:widowControl/>
        <w:ind w:firstLine="720"/>
      </w:pPr>
      <w:r w:rsidRPr="00A93EDE">
        <w:t>No other general guideline is exceeded by this information</w:t>
      </w:r>
      <w:r w:rsidR="002F1F6A">
        <w:t xml:space="preserve"> </w:t>
      </w:r>
      <w:r w:rsidRPr="00A93EDE">
        <w:t>collection.</w:t>
      </w:r>
    </w:p>
    <w:p w:rsidR="00BA2A87" w:rsidRPr="00A93EDE" w:rsidRDefault="00BA2A87" w:rsidP="006241E7">
      <w:pPr>
        <w:widowControl/>
      </w:pPr>
    </w:p>
    <w:p w:rsidR="00BA2A87" w:rsidRPr="00111FAC" w:rsidRDefault="00BA2A87" w:rsidP="00D62097">
      <w:pPr>
        <w:keepNext/>
        <w:widowControl/>
        <w:ind w:left="360"/>
        <w:rPr>
          <w:b/>
        </w:rPr>
      </w:pPr>
      <w:r w:rsidRPr="00111FAC">
        <w:rPr>
          <w:b/>
        </w:rPr>
        <w:t>3(f</w:t>
      </w:r>
      <w:proofErr w:type="gramStart"/>
      <w:r w:rsidRPr="00111FAC">
        <w:rPr>
          <w:b/>
        </w:rPr>
        <w:t>)</w:t>
      </w:r>
      <w:r w:rsidR="00111FAC" w:rsidRPr="00111FAC">
        <w:rPr>
          <w:b/>
        </w:rPr>
        <w:t xml:space="preserve">  </w:t>
      </w:r>
      <w:r w:rsidRPr="00111FAC">
        <w:rPr>
          <w:b/>
        </w:rPr>
        <w:t>Confidentiality</w:t>
      </w:r>
      <w:proofErr w:type="gramEnd"/>
    </w:p>
    <w:p w:rsidR="00BA2A87" w:rsidRPr="00A93EDE" w:rsidRDefault="00BA2A87" w:rsidP="00D62097">
      <w:pPr>
        <w:keepNext/>
        <w:widowControl/>
      </w:pPr>
    </w:p>
    <w:p w:rsidR="00BA2A87" w:rsidRPr="00A93EDE" w:rsidRDefault="00BA2A87" w:rsidP="006241E7">
      <w:pPr>
        <w:widowControl/>
        <w:ind w:firstLine="720"/>
      </w:pPr>
      <w:r w:rsidRPr="00A93EDE">
        <w:t>Manufacturers are allowed to assert a claim of confidentiality</w:t>
      </w:r>
      <w:r w:rsidR="00111FAC">
        <w:t xml:space="preserve"> </w:t>
      </w:r>
      <w:r w:rsidRPr="00A93EDE">
        <w:t xml:space="preserve">over information provided to EPA. </w:t>
      </w:r>
      <w:r w:rsidR="00111FAC">
        <w:t xml:space="preserve"> </w:t>
      </w:r>
      <w:r w:rsidRPr="00A93EDE">
        <w:t>Confidentiality is provided in</w:t>
      </w:r>
      <w:r w:rsidR="00111FAC">
        <w:t xml:space="preserve"> </w:t>
      </w:r>
      <w:r w:rsidRPr="00A93EDE">
        <w:t>accordance with the Freedom of Information Act and EPA regulations at 40 CFR Part 2. For further detail, refer to section 3(e).</w:t>
      </w:r>
    </w:p>
    <w:p w:rsidR="00BA2A87" w:rsidRDefault="00BA2A87" w:rsidP="006241E7">
      <w:pPr>
        <w:widowControl/>
      </w:pPr>
    </w:p>
    <w:p w:rsidR="00D050C0" w:rsidRPr="00A93EDE" w:rsidRDefault="00D050C0" w:rsidP="006241E7">
      <w:pPr>
        <w:widowControl/>
      </w:pPr>
    </w:p>
    <w:p w:rsidR="00BA2A87" w:rsidRPr="00111FAC" w:rsidRDefault="00BA2A87" w:rsidP="006241E7">
      <w:pPr>
        <w:widowControl/>
        <w:ind w:left="360"/>
        <w:rPr>
          <w:b/>
        </w:rPr>
      </w:pPr>
      <w:r w:rsidRPr="00111FAC">
        <w:rPr>
          <w:b/>
        </w:rPr>
        <w:t>3(g</w:t>
      </w:r>
      <w:proofErr w:type="gramStart"/>
      <w:r w:rsidRPr="00111FAC">
        <w:rPr>
          <w:b/>
        </w:rPr>
        <w:t>)</w:t>
      </w:r>
      <w:r w:rsidR="00111FAC" w:rsidRPr="00111FAC">
        <w:rPr>
          <w:b/>
        </w:rPr>
        <w:t xml:space="preserve">  </w:t>
      </w:r>
      <w:r w:rsidRPr="00111FAC">
        <w:rPr>
          <w:b/>
        </w:rPr>
        <w:t>Sensitive</w:t>
      </w:r>
      <w:proofErr w:type="gramEnd"/>
      <w:r w:rsidRPr="00111FAC">
        <w:rPr>
          <w:b/>
        </w:rPr>
        <w:t xml:space="preserve"> Questions</w:t>
      </w:r>
    </w:p>
    <w:p w:rsidR="00BA2A87" w:rsidRPr="00A93EDE" w:rsidRDefault="00BA2A87" w:rsidP="006241E7">
      <w:pPr>
        <w:widowControl/>
      </w:pPr>
    </w:p>
    <w:p w:rsidR="00BA2A87" w:rsidRDefault="00BA2A87" w:rsidP="006241E7">
      <w:pPr>
        <w:widowControl/>
        <w:ind w:firstLine="720"/>
      </w:pPr>
      <w:r w:rsidRPr="00A93EDE">
        <w:lastRenderedPageBreak/>
        <w:t>No sensitive questions are asked in this information collection.</w:t>
      </w:r>
    </w:p>
    <w:p w:rsidR="00D050C0" w:rsidRDefault="00D050C0" w:rsidP="006241E7">
      <w:pPr>
        <w:widowControl/>
        <w:ind w:firstLine="720"/>
      </w:pPr>
    </w:p>
    <w:p w:rsidR="00D050C0" w:rsidRPr="00A93EDE" w:rsidRDefault="00D050C0" w:rsidP="006241E7">
      <w:pPr>
        <w:widowControl/>
        <w:ind w:firstLine="720"/>
      </w:pPr>
    </w:p>
    <w:p w:rsidR="00BA2A87" w:rsidRPr="002D6B94" w:rsidRDefault="00BA2A87" w:rsidP="006241E7">
      <w:pPr>
        <w:widowControl/>
        <w:rPr>
          <w:b/>
        </w:rPr>
      </w:pPr>
      <w:r w:rsidRPr="002D6B94">
        <w:rPr>
          <w:b/>
        </w:rPr>
        <w:t>4.</w:t>
      </w:r>
      <w:r w:rsidR="00111FAC" w:rsidRPr="002D6B94">
        <w:rPr>
          <w:b/>
        </w:rPr>
        <w:t xml:space="preserve">  </w:t>
      </w:r>
      <w:r w:rsidRPr="002D6B94">
        <w:rPr>
          <w:b/>
        </w:rPr>
        <w:t>Respondents and Information Requested</w:t>
      </w:r>
    </w:p>
    <w:p w:rsidR="00BA2A87" w:rsidRPr="00A93EDE" w:rsidRDefault="00BA2A87" w:rsidP="006241E7">
      <w:pPr>
        <w:widowControl/>
      </w:pPr>
    </w:p>
    <w:p w:rsidR="00BA2A87" w:rsidRPr="00111FAC" w:rsidRDefault="00BA2A87" w:rsidP="006241E7">
      <w:pPr>
        <w:widowControl/>
        <w:ind w:left="360"/>
        <w:rPr>
          <w:b/>
        </w:rPr>
      </w:pPr>
      <w:r w:rsidRPr="00111FAC">
        <w:rPr>
          <w:b/>
        </w:rPr>
        <w:t>4(a</w:t>
      </w:r>
      <w:proofErr w:type="gramStart"/>
      <w:r w:rsidRPr="00111FAC">
        <w:rPr>
          <w:b/>
        </w:rPr>
        <w:t>)</w:t>
      </w:r>
      <w:r w:rsidR="00111FAC" w:rsidRPr="00111FAC">
        <w:rPr>
          <w:b/>
        </w:rPr>
        <w:t xml:space="preserve">  </w:t>
      </w:r>
      <w:r w:rsidRPr="00111FAC">
        <w:rPr>
          <w:b/>
        </w:rPr>
        <w:t>Respondents</w:t>
      </w:r>
      <w:proofErr w:type="gramEnd"/>
      <w:r w:rsidRPr="00111FAC">
        <w:rPr>
          <w:b/>
        </w:rPr>
        <w:t>/NAICS Codes</w:t>
      </w:r>
    </w:p>
    <w:p w:rsidR="00BA2A87" w:rsidRPr="00A93EDE" w:rsidRDefault="00BA2A87" w:rsidP="006241E7">
      <w:pPr>
        <w:widowControl/>
      </w:pPr>
    </w:p>
    <w:p w:rsidR="00BA2A87" w:rsidRPr="00A93EDE" w:rsidRDefault="00BA2A87" w:rsidP="006241E7">
      <w:pPr>
        <w:widowControl/>
        <w:ind w:firstLine="720"/>
      </w:pPr>
      <w:r w:rsidRPr="00A93EDE">
        <w:t>The respondents are manufacturers or importers of large on</w:t>
      </w:r>
      <w:r w:rsidR="001633B0">
        <w:t>-</w:t>
      </w:r>
      <w:r w:rsidRPr="00A93EDE">
        <w:t>highway heavy duty engines. The following North American Industry Classification System (NAICS) codes are associated with this information collection:</w:t>
      </w:r>
    </w:p>
    <w:p w:rsidR="00BA2A87" w:rsidRPr="00A93EDE" w:rsidRDefault="00BA2A87" w:rsidP="006241E7">
      <w:pPr>
        <w:widowControl/>
      </w:pPr>
    </w:p>
    <w:p w:rsidR="00BA2A87" w:rsidRPr="00C03868" w:rsidRDefault="00BA2A87" w:rsidP="006241E7">
      <w:pPr>
        <w:widowControl/>
        <w:ind w:left="360"/>
      </w:pPr>
      <w:r w:rsidRPr="00C03868">
        <w:t>333924</w:t>
      </w:r>
      <w:r w:rsidRPr="00C03868">
        <w:tab/>
        <w:t>Industrial Truck, Tr</w:t>
      </w:r>
      <w:r w:rsidR="002F1F6A" w:rsidRPr="00C03868">
        <w:t xml:space="preserve">actor, Trailer, and Stacker </w:t>
      </w:r>
      <w:r w:rsidRPr="00C03868">
        <w:t>Machinery Manufacturing</w:t>
      </w:r>
    </w:p>
    <w:p w:rsidR="00BA2A87" w:rsidRPr="00C03868" w:rsidRDefault="00BA2A87" w:rsidP="006241E7">
      <w:pPr>
        <w:widowControl/>
        <w:ind w:left="360"/>
      </w:pPr>
      <w:r w:rsidRPr="00C03868">
        <w:t>336112</w:t>
      </w:r>
      <w:r w:rsidRPr="00C03868">
        <w:tab/>
        <w:t>Light Truck and Utility Vehicle Manufacturing</w:t>
      </w:r>
    </w:p>
    <w:p w:rsidR="00BA2A87" w:rsidRPr="00C03868" w:rsidRDefault="00BA2A87" w:rsidP="006241E7">
      <w:pPr>
        <w:widowControl/>
        <w:ind w:left="360"/>
      </w:pPr>
      <w:r w:rsidRPr="00C03868">
        <w:t>336120</w:t>
      </w:r>
      <w:r w:rsidRPr="00C03868">
        <w:tab/>
        <w:t>Heavy Duty Truck Manufacturing</w:t>
      </w:r>
    </w:p>
    <w:p w:rsidR="00BA2A87" w:rsidRPr="00C03868" w:rsidRDefault="00BA2A87" w:rsidP="006241E7">
      <w:pPr>
        <w:widowControl/>
        <w:ind w:left="360"/>
      </w:pPr>
      <w:r w:rsidRPr="00C03868">
        <w:t>336312</w:t>
      </w:r>
      <w:r w:rsidRPr="00C03868">
        <w:tab/>
        <w:t>Gasoline Engine and Engine Parts Manufacturing</w:t>
      </w:r>
    </w:p>
    <w:p w:rsidR="00BA2A87" w:rsidRDefault="00BA2A87" w:rsidP="006241E7">
      <w:pPr>
        <w:widowControl/>
        <w:ind w:left="360"/>
      </w:pPr>
      <w:r w:rsidRPr="00C03868">
        <w:t>336322</w:t>
      </w:r>
      <w:r w:rsidRPr="00C03868">
        <w:tab/>
        <w:t>Other Motor Vehicl</w:t>
      </w:r>
      <w:r w:rsidR="002F1F6A" w:rsidRPr="00C03868">
        <w:t xml:space="preserve">e Electrical and Electronic </w:t>
      </w:r>
      <w:r w:rsidRPr="00C03868">
        <w:t>Equipment Manufacturing</w:t>
      </w:r>
    </w:p>
    <w:p w:rsidR="00BA2A87" w:rsidRPr="00A93EDE" w:rsidRDefault="00BA2A87" w:rsidP="006241E7">
      <w:pPr>
        <w:widowControl/>
      </w:pPr>
    </w:p>
    <w:p w:rsidR="00D050C0" w:rsidRDefault="00D050C0" w:rsidP="006241E7">
      <w:pPr>
        <w:widowControl/>
        <w:ind w:left="360"/>
        <w:rPr>
          <w:b/>
        </w:rPr>
      </w:pPr>
    </w:p>
    <w:p w:rsidR="00BA2A87" w:rsidRPr="00111FAC" w:rsidRDefault="00BA2A87" w:rsidP="006241E7">
      <w:pPr>
        <w:widowControl/>
        <w:ind w:left="360"/>
        <w:rPr>
          <w:b/>
        </w:rPr>
      </w:pPr>
      <w:r w:rsidRPr="00111FAC">
        <w:rPr>
          <w:b/>
        </w:rPr>
        <w:t>4(b</w:t>
      </w:r>
      <w:proofErr w:type="gramStart"/>
      <w:r w:rsidRPr="00111FAC">
        <w:rPr>
          <w:b/>
        </w:rPr>
        <w:t>)</w:t>
      </w:r>
      <w:r w:rsidR="00111FAC" w:rsidRPr="00111FAC">
        <w:rPr>
          <w:b/>
        </w:rPr>
        <w:t xml:space="preserve">  </w:t>
      </w:r>
      <w:r w:rsidRPr="00111FAC">
        <w:rPr>
          <w:b/>
        </w:rPr>
        <w:t>Information</w:t>
      </w:r>
      <w:proofErr w:type="gramEnd"/>
      <w:r w:rsidRPr="00111FAC">
        <w:rPr>
          <w:b/>
        </w:rPr>
        <w:t xml:space="preserve"> Requested</w:t>
      </w:r>
    </w:p>
    <w:p w:rsidR="00BA2A87" w:rsidRDefault="00BA2A87" w:rsidP="006241E7">
      <w:pPr>
        <w:widowControl/>
      </w:pPr>
    </w:p>
    <w:p w:rsidR="0066309A" w:rsidRPr="00A93EDE" w:rsidRDefault="0066309A" w:rsidP="0066309A">
      <w:pPr>
        <w:widowControl/>
        <w:ind w:firstLine="720"/>
      </w:pPr>
      <w:r w:rsidRPr="00A93EDE">
        <w:t>EPA requires a manufacturer that elects to pay an NCP to conduct a Production Compliance Audit (P</w:t>
      </w:r>
      <w:r>
        <w:t>CA) on the engines or vehicles the manufacturer selected for the program</w:t>
      </w:r>
      <w:r w:rsidRPr="00A93EDE">
        <w:t>.  Selection of engines or vehicles for PCA testing m</w:t>
      </w:r>
      <w:r>
        <w:t>ust be initiated no later than five</w:t>
      </w:r>
      <w:r w:rsidRPr="00A93EDE">
        <w:t xml:space="preserve"> days after the start of assembly line production of the specified engine family. </w:t>
      </w:r>
      <w:r>
        <w:t xml:space="preserve"> </w:t>
      </w:r>
      <w:r w:rsidRPr="00A93EDE">
        <w:t>The manufacturer must</w:t>
      </w:r>
      <w:r>
        <w:t xml:space="preserve"> then pay the NCP, which is </w:t>
      </w:r>
      <w:r w:rsidRPr="00A93EDE">
        <w:t>calculated</w:t>
      </w:r>
      <w:r>
        <w:t xml:space="preserve"> according to formula specified in the regulations. The formula </w:t>
      </w:r>
      <w:r w:rsidR="001B6208">
        <w:t>takes into account current emission standards and</w:t>
      </w:r>
      <w:r>
        <w:t xml:space="preserve"> how much the engine family exceeds the standards</w:t>
      </w:r>
      <w:r w:rsidRPr="00A93EDE">
        <w:t xml:space="preserve"> as</w:t>
      </w:r>
      <w:r>
        <w:t xml:space="preserve"> indicated in the</w:t>
      </w:r>
      <w:r w:rsidRPr="00A93EDE">
        <w:t xml:space="preserve"> PCA testing. </w:t>
      </w:r>
      <w:r>
        <w:t xml:space="preserve"> </w:t>
      </w:r>
      <w:r w:rsidRPr="00A93EDE">
        <w:t>The manufacturer must agree to recall any engines or vehicles introduced into commerce if the compliance level of the engine or vehicle exceeds the upper limit as determined by the PCA.</w:t>
      </w:r>
    </w:p>
    <w:p w:rsidR="0066309A" w:rsidRDefault="0066309A" w:rsidP="006241E7">
      <w:pPr>
        <w:widowControl/>
      </w:pPr>
    </w:p>
    <w:p w:rsidR="0066309A" w:rsidRPr="00A93EDE" w:rsidRDefault="0066309A" w:rsidP="006241E7">
      <w:pPr>
        <w:widowControl/>
      </w:pPr>
    </w:p>
    <w:p w:rsidR="00BA2A87" w:rsidRPr="002F1F6A" w:rsidRDefault="001B6208" w:rsidP="006241E7">
      <w:pPr>
        <w:widowControl/>
        <w:ind w:firstLine="720"/>
      </w:pPr>
      <w:r>
        <w:t>The information collected from</w:t>
      </w:r>
      <w:r w:rsidR="00BA2A87" w:rsidRPr="002F1F6A">
        <w:t xml:space="preserve"> manufacturer electing t</w:t>
      </w:r>
      <w:r w:rsidR="00F6029E">
        <w:t xml:space="preserve">o pay an NCP </w:t>
      </w:r>
      <w:r>
        <w:t xml:space="preserve">includes a description of </w:t>
      </w:r>
      <w:r w:rsidR="00F6029E">
        <w:t>their</w:t>
      </w:r>
      <w:r w:rsidR="00111FAC">
        <w:t xml:space="preserve"> </w:t>
      </w:r>
      <w:r>
        <w:t>product(s) and</w:t>
      </w:r>
      <w:r w:rsidR="00BA2A87" w:rsidRPr="002F1F6A">
        <w:t xml:space="preserve"> test data to verify compliance. </w:t>
      </w:r>
      <w:r w:rsidR="00111FAC">
        <w:t xml:space="preserve"> </w:t>
      </w:r>
      <w:r w:rsidR="00BA2A87" w:rsidRPr="002F1F6A">
        <w:t>This information is organized by "engine family" groups expected to have similar emission characteristics.</w:t>
      </w:r>
      <w:r w:rsidR="00111FAC">
        <w:t xml:space="preserve"> </w:t>
      </w:r>
      <w:r w:rsidR="00BA2A87" w:rsidRPr="002F1F6A">
        <w:t xml:space="preserve"> Manufacturers must also retain needed records.</w:t>
      </w:r>
    </w:p>
    <w:p w:rsidR="00BA2A87" w:rsidRPr="00A93EDE" w:rsidRDefault="00BA2A87" w:rsidP="006241E7">
      <w:pPr>
        <w:widowControl/>
      </w:pPr>
    </w:p>
    <w:p w:rsidR="00BA2A87" w:rsidRPr="00A93EDE" w:rsidRDefault="00BA2A87" w:rsidP="006241E7">
      <w:pPr>
        <w:widowControl/>
        <w:ind w:firstLine="720"/>
      </w:pPr>
      <w:r w:rsidRPr="00A93EDE">
        <w:t>The burden for a given engine family is reduced after the model</w:t>
      </w:r>
      <w:r w:rsidR="001A0D02">
        <w:t>'</w:t>
      </w:r>
      <w:r w:rsidRPr="00A93EDE">
        <w:t>s first production year, because data and information from previous years can be "carried over" when no significant changes have occurred.</w:t>
      </w:r>
      <w:r w:rsidR="00111FAC">
        <w:t xml:space="preserve"> </w:t>
      </w:r>
      <w:r w:rsidRPr="00A93EDE">
        <w:t xml:space="preserve"> For instance, an engine fa</w:t>
      </w:r>
      <w:r w:rsidR="00D050C0">
        <w:t>mily certified in model year 2012 can be certified in the 2013</w:t>
      </w:r>
      <w:r w:rsidRPr="00A93EDE">
        <w:t xml:space="preserve"> model year by "carry over" of </w:t>
      </w:r>
      <w:r w:rsidR="00D050C0">
        <w:t>data and paperwork from the 2012</w:t>
      </w:r>
      <w:r w:rsidRPr="00A93EDE">
        <w:t xml:space="preserve"> model year if no significant changes have occurred to the engine family between model years. </w:t>
      </w:r>
      <w:r w:rsidR="00111FAC">
        <w:t xml:space="preserve"> </w:t>
      </w:r>
      <w:r w:rsidRPr="00A93EDE">
        <w:t xml:space="preserve">Allowing manufacturers to carry over data and paperwork </w:t>
      </w:r>
      <w:r w:rsidR="001B6208">
        <w:t>reduces testing costs, as well as eases significantly the burden of putting together the application</w:t>
      </w:r>
      <w:r w:rsidRPr="00A93EDE">
        <w:t>. Carry over reduces the need to conduct a PCA for each engine family on an annual basis as PCA data may be carried over to subsequent model years when appropriate.</w:t>
      </w:r>
    </w:p>
    <w:p w:rsidR="00BA2A87" w:rsidRPr="00A93EDE" w:rsidRDefault="00BA2A87" w:rsidP="006241E7">
      <w:pPr>
        <w:widowControl/>
      </w:pPr>
    </w:p>
    <w:p w:rsidR="00BA2A87" w:rsidRPr="00111FAC" w:rsidRDefault="00BA2A87" w:rsidP="006241E7">
      <w:pPr>
        <w:keepNext/>
        <w:keepLines/>
        <w:widowControl/>
        <w:ind w:firstLine="720"/>
        <w:rPr>
          <w:b/>
        </w:rPr>
      </w:pPr>
      <w:r w:rsidRPr="00111FAC">
        <w:rPr>
          <w:b/>
        </w:rPr>
        <w:lastRenderedPageBreak/>
        <w:t xml:space="preserve">(i) </w:t>
      </w:r>
      <w:r w:rsidR="00111FAC" w:rsidRPr="00111FAC">
        <w:rPr>
          <w:b/>
        </w:rPr>
        <w:t xml:space="preserve"> </w:t>
      </w:r>
      <w:r w:rsidRPr="00111FAC">
        <w:rPr>
          <w:b/>
        </w:rPr>
        <w:t>Data Items</w:t>
      </w:r>
    </w:p>
    <w:p w:rsidR="00BA2A87" w:rsidRPr="00A93EDE" w:rsidRDefault="00BA2A87" w:rsidP="006241E7">
      <w:pPr>
        <w:keepNext/>
        <w:keepLines/>
        <w:widowControl/>
      </w:pPr>
    </w:p>
    <w:p w:rsidR="00BA2A87" w:rsidRDefault="00BA2A87" w:rsidP="006241E7">
      <w:pPr>
        <w:keepLines/>
        <w:widowControl/>
        <w:ind w:firstLine="720"/>
      </w:pPr>
      <w:r w:rsidRPr="00A93EDE">
        <w:t xml:space="preserve">The data items in Tables A </w:t>
      </w:r>
      <w:r w:rsidR="00625714">
        <w:t>through</w:t>
      </w:r>
      <w:r w:rsidRPr="00A93EDE">
        <w:t xml:space="preserve"> C </w:t>
      </w:r>
      <w:r w:rsidR="00625714">
        <w:t xml:space="preserve">below </w:t>
      </w:r>
      <w:r w:rsidRPr="00A93EDE">
        <w:t>are required under this</w:t>
      </w:r>
      <w:r w:rsidR="002D6B94">
        <w:t xml:space="preserve"> </w:t>
      </w:r>
      <w:r w:rsidRPr="00A93EDE">
        <w:t>information collection.</w:t>
      </w:r>
      <w:r w:rsidR="00625714">
        <w:t xml:space="preserve">  Each manufacturer is required to </w:t>
      </w:r>
      <w:r w:rsidR="00D50D10">
        <w:t xml:space="preserve">maintain records containing the information items in Tables A and B and </w:t>
      </w:r>
      <w:r w:rsidR="00625714">
        <w:t>submit the information items listed in</w:t>
      </w:r>
      <w:r w:rsidR="00D50D10">
        <w:t xml:space="preserve"> Table C</w:t>
      </w:r>
      <w:r w:rsidR="00625714">
        <w:t>.</w:t>
      </w:r>
    </w:p>
    <w:p w:rsidR="00BA2A87" w:rsidRDefault="00BA2A87" w:rsidP="006241E7">
      <w:pPr>
        <w:widowControl/>
      </w:pPr>
    </w:p>
    <w:p w:rsidR="00111FAC" w:rsidRPr="00A93EDE" w:rsidRDefault="00111FAC" w:rsidP="006241E7">
      <w:pPr>
        <w:widowControl/>
      </w:pPr>
    </w:p>
    <w:p w:rsidR="00BA2A87" w:rsidRDefault="00BA2A87" w:rsidP="006241E7">
      <w:pPr>
        <w:widowControl/>
        <w:jc w:val="center"/>
        <w:rPr>
          <w:b/>
        </w:rPr>
      </w:pPr>
      <w:r w:rsidRPr="00111FAC">
        <w:rPr>
          <w:b/>
        </w:rPr>
        <w:t>Table A</w:t>
      </w:r>
    </w:p>
    <w:p w:rsidR="00625714" w:rsidRPr="00111FAC" w:rsidRDefault="00625714" w:rsidP="006241E7">
      <w:pPr>
        <w:widowControl/>
        <w:jc w:val="center"/>
        <w:rPr>
          <w:b/>
        </w:rPr>
      </w:pPr>
      <w:r>
        <w:rPr>
          <w:b/>
        </w:rPr>
        <w:t>General Information Required for NCPs</w:t>
      </w:r>
    </w:p>
    <w:p w:rsidR="00BA2A87" w:rsidRPr="00A93EDE" w:rsidRDefault="00BA2A87" w:rsidP="006241E7">
      <w:pPr>
        <w:widowControl/>
      </w:pPr>
    </w:p>
    <w:tbl>
      <w:tblPr>
        <w:tblW w:w="8640" w:type="dxa"/>
        <w:jc w:val="center"/>
        <w:tblLayout w:type="fixed"/>
        <w:tblCellMar>
          <w:top w:w="72" w:type="dxa"/>
          <w:left w:w="72" w:type="dxa"/>
          <w:bottom w:w="72" w:type="dxa"/>
          <w:right w:w="72" w:type="dxa"/>
        </w:tblCellMar>
        <w:tblLook w:val="0000"/>
      </w:tblPr>
      <w:tblGrid>
        <w:gridCol w:w="4320"/>
        <w:gridCol w:w="4320"/>
      </w:tblGrid>
      <w:tr w:rsidR="00BA2A87" w:rsidRPr="00111FAC" w:rsidTr="00111FAC">
        <w:trPr>
          <w:jc w:val="center"/>
        </w:trPr>
        <w:tc>
          <w:tcPr>
            <w:tcW w:w="4320" w:type="dxa"/>
            <w:tcBorders>
              <w:top w:val="single" w:sz="8" w:space="0" w:color="000000"/>
              <w:left w:val="single" w:sz="8" w:space="0" w:color="000000"/>
              <w:bottom w:val="single" w:sz="8" w:space="0" w:color="000000"/>
              <w:right w:val="single" w:sz="8" w:space="0" w:color="000000"/>
            </w:tcBorders>
            <w:shd w:val="pct10" w:color="auto" w:fill="auto"/>
            <w:vAlign w:val="bottom"/>
          </w:tcPr>
          <w:p w:rsidR="00BA2A87" w:rsidRPr="00111FAC" w:rsidRDefault="00BA2A87" w:rsidP="006241E7">
            <w:pPr>
              <w:widowControl/>
              <w:jc w:val="center"/>
              <w:rPr>
                <w:b/>
                <w:sz w:val="22"/>
                <w:szCs w:val="22"/>
              </w:rPr>
            </w:pPr>
            <w:r w:rsidRPr="00111FAC">
              <w:rPr>
                <w:b/>
                <w:sz w:val="22"/>
                <w:szCs w:val="22"/>
              </w:rPr>
              <w:t>Information Item</w:t>
            </w:r>
          </w:p>
        </w:tc>
        <w:tc>
          <w:tcPr>
            <w:tcW w:w="4320" w:type="dxa"/>
            <w:tcBorders>
              <w:top w:val="single" w:sz="8" w:space="0" w:color="000000"/>
              <w:left w:val="single" w:sz="8" w:space="0" w:color="000000"/>
              <w:bottom w:val="single" w:sz="8" w:space="0" w:color="000000"/>
              <w:right w:val="single" w:sz="8" w:space="0" w:color="000000"/>
            </w:tcBorders>
            <w:shd w:val="pct10" w:color="auto" w:fill="auto"/>
            <w:vAlign w:val="bottom"/>
          </w:tcPr>
          <w:p w:rsidR="00BA2A87" w:rsidRPr="00111FAC" w:rsidRDefault="00BA2A87" w:rsidP="006241E7">
            <w:pPr>
              <w:widowControl/>
              <w:jc w:val="center"/>
              <w:rPr>
                <w:b/>
                <w:sz w:val="22"/>
                <w:szCs w:val="22"/>
              </w:rPr>
            </w:pPr>
            <w:r w:rsidRPr="00111FAC">
              <w:rPr>
                <w:b/>
                <w:sz w:val="22"/>
                <w:szCs w:val="22"/>
              </w:rPr>
              <w:t>On</w:t>
            </w:r>
            <w:r w:rsidR="00D50D10">
              <w:rPr>
                <w:b/>
                <w:sz w:val="22"/>
                <w:szCs w:val="22"/>
              </w:rPr>
              <w:t>-</w:t>
            </w:r>
            <w:r w:rsidRPr="00111FAC">
              <w:rPr>
                <w:b/>
                <w:sz w:val="22"/>
                <w:szCs w:val="22"/>
              </w:rPr>
              <w:t>Highway</w:t>
            </w:r>
          </w:p>
        </w:tc>
      </w:tr>
      <w:tr w:rsidR="00BA2A87" w:rsidRPr="00111FAC" w:rsidTr="00111FAC">
        <w:trPr>
          <w:jc w:val="center"/>
        </w:trPr>
        <w:tc>
          <w:tcPr>
            <w:tcW w:w="4320" w:type="dxa"/>
            <w:tcBorders>
              <w:top w:val="single" w:sz="8"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Description of Test Equipment</w:t>
            </w:r>
          </w:p>
        </w:tc>
        <w:tc>
          <w:tcPr>
            <w:tcW w:w="4320" w:type="dxa"/>
            <w:tcBorders>
              <w:top w:val="single" w:sz="8"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1108(a)(1)</w:t>
            </w:r>
          </w:p>
        </w:tc>
      </w:tr>
      <w:tr w:rsidR="00BA2A87" w:rsidRPr="00111FAC" w:rsidTr="00111FAC">
        <w:trPr>
          <w:jc w:val="center"/>
        </w:trPr>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Date and location of each test</w:t>
            </w:r>
          </w:p>
        </w:tc>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1108(a)(2)(i)</w:t>
            </w:r>
          </w:p>
        </w:tc>
      </w:tr>
      <w:tr w:rsidR="00BA2A87" w:rsidRPr="00111FAC" w:rsidTr="00111FAC">
        <w:trPr>
          <w:jc w:val="center"/>
        </w:trPr>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Service mileage/hour accumulation</w:t>
            </w:r>
          </w:p>
        </w:tc>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1108(a)(2)(ii)</w:t>
            </w:r>
          </w:p>
        </w:tc>
      </w:tr>
      <w:tr w:rsidR="00BA2A87" w:rsidRPr="00111FAC" w:rsidTr="00111FAC">
        <w:trPr>
          <w:jc w:val="center"/>
        </w:trPr>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Personnel contacts</w:t>
            </w:r>
          </w:p>
        </w:tc>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1108(a)(2)(iii)</w:t>
            </w:r>
          </w:p>
        </w:tc>
      </w:tr>
      <w:tr w:rsidR="00BA2A87" w:rsidRPr="00111FAC" w:rsidTr="00111FAC">
        <w:trPr>
          <w:jc w:val="center"/>
        </w:trPr>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Repair descriptions and records</w:t>
            </w:r>
          </w:p>
        </w:tc>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1108(a)(2)(iv)</w:t>
            </w:r>
          </w:p>
        </w:tc>
      </w:tr>
      <w:tr w:rsidR="00BA2A87" w:rsidRPr="00111FAC" w:rsidTr="00111FAC">
        <w:trPr>
          <w:jc w:val="center"/>
        </w:trPr>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Date engine or vehicle shipped and received</w:t>
            </w:r>
          </w:p>
        </w:tc>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1108(a)(2)(v)</w:t>
            </w:r>
          </w:p>
        </w:tc>
      </w:tr>
      <w:tr w:rsidR="00BA2A87" w:rsidRPr="00111FAC" w:rsidTr="00111FAC">
        <w:trPr>
          <w:jc w:val="center"/>
        </w:trPr>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Emission test records</w:t>
            </w:r>
          </w:p>
        </w:tc>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1108(a)(2)(vi)</w:t>
            </w:r>
          </w:p>
        </w:tc>
      </w:tr>
      <w:tr w:rsidR="00BA2A87" w:rsidRPr="00111FAC" w:rsidTr="00111FAC">
        <w:trPr>
          <w:jc w:val="center"/>
        </w:trPr>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Description of extraordinary</w:t>
            </w:r>
            <w:r w:rsidR="00111FAC">
              <w:rPr>
                <w:sz w:val="20"/>
                <w:szCs w:val="20"/>
              </w:rPr>
              <w:t xml:space="preserve"> </w:t>
            </w:r>
            <w:r w:rsidRPr="00111FAC">
              <w:rPr>
                <w:sz w:val="20"/>
                <w:szCs w:val="20"/>
              </w:rPr>
              <w:t>events during PCA</w:t>
            </w:r>
          </w:p>
        </w:tc>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1108(a)(2)(vii)</w:t>
            </w:r>
          </w:p>
        </w:tc>
      </w:tr>
      <w:tr w:rsidR="00BA2A87" w:rsidRPr="00111FAC" w:rsidTr="00111FAC">
        <w:trPr>
          <w:jc w:val="center"/>
        </w:trPr>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Records Retention (6 years)</w:t>
            </w:r>
          </w:p>
        </w:tc>
        <w:tc>
          <w:tcPr>
            <w:tcW w:w="4320" w:type="dxa"/>
            <w:tcBorders>
              <w:top w:val="single" w:sz="7" w:space="0" w:color="000000"/>
              <w:left w:val="single" w:sz="7" w:space="0" w:color="000000"/>
              <w:bottom w:val="single" w:sz="7" w:space="0" w:color="000000"/>
              <w:right w:val="single" w:sz="7" w:space="0" w:color="000000"/>
            </w:tcBorders>
          </w:tcPr>
          <w:p w:rsidR="00BA2A87" w:rsidRPr="00111FAC" w:rsidRDefault="00BA2A87" w:rsidP="006241E7">
            <w:pPr>
              <w:widowControl/>
              <w:rPr>
                <w:sz w:val="20"/>
                <w:szCs w:val="20"/>
              </w:rPr>
            </w:pPr>
            <w:r w:rsidRPr="00111FAC">
              <w:rPr>
                <w:sz w:val="20"/>
                <w:szCs w:val="20"/>
              </w:rPr>
              <w:t>86. 1108(b)</w:t>
            </w:r>
          </w:p>
        </w:tc>
      </w:tr>
    </w:tbl>
    <w:p w:rsidR="00BA2A87" w:rsidRPr="00A93EDE" w:rsidRDefault="00BA2A87" w:rsidP="006241E7">
      <w:pPr>
        <w:widowControl/>
        <w:jc w:val="center"/>
      </w:pPr>
    </w:p>
    <w:p w:rsidR="00BA2A87" w:rsidRPr="00A93EDE" w:rsidRDefault="00BA2A87" w:rsidP="006241E7">
      <w:pPr>
        <w:widowControl/>
        <w:jc w:val="center"/>
      </w:pPr>
    </w:p>
    <w:p w:rsidR="00BA2A87" w:rsidRPr="002D6B94" w:rsidRDefault="00BA2A87" w:rsidP="006241E7">
      <w:pPr>
        <w:widowControl/>
        <w:jc w:val="center"/>
        <w:rPr>
          <w:b/>
        </w:rPr>
      </w:pPr>
      <w:r w:rsidRPr="002D6B94">
        <w:rPr>
          <w:b/>
        </w:rPr>
        <w:t>Table B</w:t>
      </w:r>
    </w:p>
    <w:p w:rsidR="00BA2A87" w:rsidRPr="002D6B94" w:rsidRDefault="00BA2A87" w:rsidP="006241E7">
      <w:pPr>
        <w:widowControl/>
        <w:jc w:val="center"/>
        <w:rPr>
          <w:b/>
        </w:rPr>
      </w:pPr>
      <w:r w:rsidRPr="002D6B94">
        <w:rPr>
          <w:b/>
        </w:rPr>
        <w:t>Production Compliance Auditing</w:t>
      </w:r>
    </w:p>
    <w:p w:rsidR="00BA2A87" w:rsidRPr="00A93EDE" w:rsidRDefault="00BA2A87" w:rsidP="006241E7">
      <w:pPr>
        <w:widowControl/>
      </w:pPr>
    </w:p>
    <w:tbl>
      <w:tblPr>
        <w:tblW w:w="8982" w:type="dxa"/>
        <w:jc w:val="center"/>
        <w:tblLayout w:type="fixed"/>
        <w:tblCellMar>
          <w:top w:w="72" w:type="dxa"/>
          <w:left w:w="72" w:type="dxa"/>
          <w:bottom w:w="72" w:type="dxa"/>
          <w:right w:w="72" w:type="dxa"/>
        </w:tblCellMar>
        <w:tblLook w:val="0000"/>
      </w:tblPr>
      <w:tblGrid>
        <w:gridCol w:w="5022"/>
        <w:gridCol w:w="3960"/>
      </w:tblGrid>
      <w:tr w:rsidR="002D6B94" w:rsidRPr="002D6B94" w:rsidTr="002D6B94">
        <w:trPr>
          <w:jc w:val="center"/>
        </w:trPr>
        <w:tc>
          <w:tcPr>
            <w:tcW w:w="5022" w:type="dxa"/>
            <w:tcBorders>
              <w:top w:val="single" w:sz="8" w:space="0" w:color="000000"/>
              <w:left w:val="single" w:sz="8" w:space="0" w:color="000000"/>
              <w:bottom w:val="single" w:sz="8" w:space="0" w:color="000000"/>
              <w:right w:val="single" w:sz="8" w:space="0" w:color="000000"/>
            </w:tcBorders>
            <w:shd w:val="pct10" w:color="auto" w:fill="auto"/>
            <w:vAlign w:val="bottom"/>
          </w:tcPr>
          <w:p w:rsidR="002D6B94" w:rsidRPr="002D6B94" w:rsidRDefault="002D6B94" w:rsidP="006241E7">
            <w:pPr>
              <w:widowControl/>
              <w:jc w:val="center"/>
              <w:rPr>
                <w:b/>
                <w:sz w:val="22"/>
                <w:szCs w:val="22"/>
              </w:rPr>
            </w:pPr>
            <w:r w:rsidRPr="002D6B94">
              <w:rPr>
                <w:b/>
                <w:sz w:val="22"/>
                <w:szCs w:val="22"/>
              </w:rPr>
              <w:t>Information Item</w:t>
            </w:r>
          </w:p>
        </w:tc>
        <w:tc>
          <w:tcPr>
            <w:tcW w:w="3960" w:type="dxa"/>
            <w:tcBorders>
              <w:top w:val="single" w:sz="8" w:space="0" w:color="000000"/>
              <w:left w:val="single" w:sz="8" w:space="0" w:color="000000"/>
              <w:bottom w:val="single" w:sz="8" w:space="0" w:color="000000"/>
              <w:right w:val="single" w:sz="8" w:space="0" w:color="000000"/>
            </w:tcBorders>
            <w:shd w:val="pct10" w:color="auto" w:fill="auto"/>
            <w:vAlign w:val="bottom"/>
          </w:tcPr>
          <w:p w:rsidR="002D6B94" w:rsidRPr="002D6B94" w:rsidRDefault="002D6B94" w:rsidP="006241E7">
            <w:pPr>
              <w:widowControl/>
              <w:jc w:val="center"/>
              <w:rPr>
                <w:b/>
                <w:sz w:val="22"/>
                <w:szCs w:val="22"/>
              </w:rPr>
            </w:pPr>
            <w:r w:rsidRPr="002D6B94">
              <w:rPr>
                <w:b/>
                <w:sz w:val="22"/>
                <w:szCs w:val="22"/>
              </w:rPr>
              <w:t>On</w:t>
            </w:r>
            <w:r w:rsidR="00D50D10">
              <w:rPr>
                <w:b/>
                <w:sz w:val="22"/>
                <w:szCs w:val="22"/>
              </w:rPr>
              <w:t>-</w:t>
            </w:r>
            <w:r w:rsidRPr="002D6B94">
              <w:rPr>
                <w:b/>
                <w:sz w:val="22"/>
                <w:szCs w:val="22"/>
              </w:rPr>
              <w:t>Highway</w:t>
            </w:r>
          </w:p>
        </w:tc>
      </w:tr>
      <w:tr w:rsidR="002D6B94" w:rsidRPr="002D6B94" w:rsidTr="002D6B94">
        <w:trPr>
          <w:jc w:val="center"/>
        </w:trPr>
        <w:tc>
          <w:tcPr>
            <w:tcW w:w="5022" w:type="dxa"/>
            <w:tcBorders>
              <w:top w:val="single" w:sz="8"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Test engine sample selection</w:t>
            </w:r>
          </w:p>
        </w:tc>
        <w:tc>
          <w:tcPr>
            <w:tcW w:w="3960" w:type="dxa"/>
            <w:tcBorders>
              <w:top w:val="single" w:sz="8"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86. 1110-87</w:t>
            </w:r>
          </w:p>
        </w:tc>
      </w:tr>
      <w:tr w:rsidR="002D6B94" w:rsidRPr="002D6B94" w:rsidTr="002D6B94">
        <w:trPr>
          <w:trHeight w:val="21"/>
          <w:jc w:val="center"/>
        </w:trPr>
        <w:tc>
          <w:tcPr>
            <w:tcW w:w="5022" w:type="dxa"/>
            <w:tcBorders>
              <w:top w:val="single" w:sz="7"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Test procedure for PCA testing</w:t>
            </w:r>
          </w:p>
        </w:tc>
        <w:tc>
          <w:tcPr>
            <w:tcW w:w="3960" w:type="dxa"/>
            <w:tcBorders>
              <w:top w:val="single" w:sz="7"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86. 1111-87(a)(1)</w:t>
            </w:r>
          </w:p>
        </w:tc>
      </w:tr>
      <w:tr w:rsidR="002D6B94" w:rsidRPr="002D6B94" w:rsidTr="002D6B94">
        <w:trPr>
          <w:jc w:val="center"/>
        </w:trPr>
        <w:tc>
          <w:tcPr>
            <w:tcW w:w="5022" w:type="dxa"/>
            <w:tcBorders>
              <w:top w:val="single" w:sz="7"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Service Accumulation</w:t>
            </w:r>
          </w:p>
        </w:tc>
        <w:tc>
          <w:tcPr>
            <w:tcW w:w="3960" w:type="dxa"/>
            <w:tcBorders>
              <w:top w:val="single" w:sz="7"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86. 1111-87(c)</w:t>
            </w:r>
          </w:p>
        </w:tc>
      </w:tr>
      <w:tr w:rsidR="002D6B94" w:rsidRPr="002D6B94" w:rsidTr="002D6B94">
        <w:trPr>
          <w:jc w:val="center"/>
        </w:trPr>
        <w:tc>
          <w:tcPr>
            <w:tcW w:w="5022" w:type="dxa"/>
            <w:tcBorders>
              <w:top w:val="single" w:sz="7"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Shipment to test facility</w:t>
            </w:r>
          </w:p>
        </w:tc>
        <w:tc>
          <w:tcPr>
            <w:tcW w:w="3960" w:type="dxa"/>
            <w:tcBorders>
              <w:top w:val="single" w:sz="7"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86. 1111-87(e)</w:t>
            </w:r>
          </w:p>
        </w:tc>
      </w:tr>
      <w:tr w:rsidR="002D6B94" w:rsidRPr="002D6B94" w:rsidTr="002D6B94">
        <w:trPr>
          <w:jc w:val="center"/>
        </w:trPr>
        <w:tc>
          <w:tcPr>
            <w:tcW w:w="5022" w:type="dxa"/>
            <w:tcBorders>
              <w:top w:val="single" w:sz="7"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Determination of Compliance Level</w:t>
            </w:r>
          </w:p>
        </w:tc>
        <w:tc>
          <w:tcPr>
            <w:tcW w:w="3960" w:type="dxa"/>
            <w:tcBorders>
              <w:top w:val="single" w:sz="7" w:space="0" w:color="000000"/>
              <w:left w:val="single" w:sz="7" w:space="0" w:color="000000"/>
              <w:bottom w:val="single" w:sz="7" w:space="0" w:color="000000"/>
              <w:right w:val="single" w:sz="7" w:space="0" w:color="000000"/>
            </w:tcBorders>
          </w:tcPr>
          <w:p w:rsidR="002D6B94" w:rsidRPr="002D6B94" w:rsidRDefault="002D6B94" w:rsidP="006241E7">
            <w:pPr>
              <w:widowControl/>
              <w:rPr>
                <w:sz w:val="20"/>
                <w:szCs w:val="20"/>
              </w:rPr>
            </w:pPr>
            <w:r w:rsidRPr="002D6B94">
              <w:rPr>
                <w:sz w:val="20"/>
                <w:szCs w:val="20"/>
              </w:rPr>
              <w:t>86. 1112-87(a)</w:t>
            </w:r>
          </w:p>
        </w:tc>
      </w:tr>
    </w:tbl>
    <w:p w:rsidR="00BA2A87" w:rsidRDefault="00BA2A87" w:rsidP="006241E7">
      <w:pPr>
        <w:widowControl/>
        <w:jc w:val="center"/>
        <w:rPr>
          <w:sz w:val="20"/>
          <w:szCs w:val="20"/>
        </w:rPr>
      </w:pPr>
    </w:p>
    <w:p w:rsidR="002D6B94" w:rsidRPr="002D6B94" w:rsidRDefault="002D6B94" w:rsidP="006241E7">
      <w:pPr>
        <w:widowControl/>
        <w:jc w:val="center"/>
        <w:rPr>
          <w:sz w:val="20"/>
          <w:szCs w:val="20"/>
        </w:rPr>
      </w:pPr>
    </w:p>
    <w:p w:rsidR="00625714" w:rsidRPr="002D6B94" w:rsidRDefault="00625714" w:rsidP="00625714">
      <w:pPr>
        <w:keepNext/>
        <w:keepLines/>
        <w:pageBreakBefore/>
        <w:widowControl/>
        <w:jc w:val="center"/>
        <w:rPr>
          <w:b/>
        </w:rPr>
      </w:pPr>
      <w:r w:rsidRPr="002D6B94">
        <w:rPr>
          <w:b/>
        </w:rPr>
        <w:lastRenderedPageBreak/>
        <w:t>Table C</w:t>
      </w:r>
    </w:p>
    <w:p w:rsidR="00625714" w:rsidRPr="002D6B94" w:rsidRDefault="00625714" w:rsidP="00625714">
      <w:pPr>
        <w:keepNext/>
        <w:keepLines/>
        <w:widowControl/>
        <w:jc w:val="center"/>
        <w:rPr>
          <w:b/>
        </w:rPr>
      </w:pPr>
      <w:r w:rsidRPr="002D6B94">
        <w:rPr>
          <w:b/>
        </w:rPr>
        <w:t>Calculation and Payment of Penalty</w:t>
      </w:r>
    </w:p>
    <w:p w:rsidR="00625714" w:rsidRPr="00A93EDE" w:rsidRDefault="00625714" w:rsidP="00625714">
      <w:pPr>
        <w:keepNext/>
        <w:keepLines/>
        <w:widowControl/>
        <w:jc w:val="center"/>
      </w:pPr>
    </w:p>
    <w:tbl>
      <w:tblPr>
        <w:tblW w:w="8640" w:type="dxa"/>
        <w:jc w:val="center"/>
        <w:tblLayout w:type="fixed"/>
        <w:tblCellMar>
          <w:top w:w="72" w:type="dxa"/>
          <w:left w:w="72" w:type="dxa"/>
          <w:bottom w:w="72" w:type="dxa"/>
          <w:right w:w="72" w:type="dxa"/>
        </w:tblCellMar>
        <w:tblLook w:val="0000"/>
      </w:tblPr>
      <w:tblGrid>
        <w:gridCol w:w="4320"/>
        <w:gridCol w:w="4320"/>
      </w:tblGrid>
      <w:tr w:rsidR="00625714" w:rsidRPr="002D6B94" w:rsidTr="00D50CC6">
        <w:trPr>
          <w:jc w:val="center"/>
        </w:trPr>
        <w:tc>
          <w:tcPr>
            <w:tcW w:w="4356" w:type="dxa"/>
            <w:tcBorders>
              <w:top w:val="single" w:sz="8" w:space="0" w:color="000000"/>
              <w:left w:val="single" w:sz="8" w:space="0" w:color="000000"/>
              <w:bottom w:val="single" w:sz="8" w:space="0" w:color="000000"/>
              <w:right w:val="single" w:sz="8" w:space="0" w:color="000000"/>
            </w:tcBorders>
            <w:shd w:val="pct10" w:color="auto" w:fill="auto"/>
            <w:vAlign w:val="bottom"/>
          </w:tcPr>
          <w:p w:rsidR="00625714" w:rsidRPr="002D6B94" w:rsidRDefault="00625714" w:rsidP="00D50CC6">
            <w:pPr>
              <w:keepNext/>
              <w:keepLines/>
              <w:widowControl/>
              <w:jc w:val="center"/>
              <w:rPr>
                <w:b/>
                <w:sz w:val="22"/>
                <w:szCs w:val="22"/>
              </w:rPr>
            </w:pPr>
            <w:r w:rsidRPr="002D6B94">
              <w:rPr>
                <w:b/>
                <w:sz w:val="22"/>
                <w:szCs w:val="22"/>
              </w:rPr>
              <w:t>Information Item</w:t>
            </w:r>
          </w:p>
        </w:tc>
        <w:tc>
          <w:tcPr>
            <w:tcW w:w="4356" w:type="dxa"/>
            <w:tcBorders>
              <w:top w:val="single" w:sz="8" w:space="0" w:color="000000"/>
              <w:left w:val="single" w:sz="8" w:space="0" w:color="000000"/>
              <w:bottom w:val="single" w:sz="8" w:space="0" w:color="000000"/>
              <w:right w:val="single" w:sz="8" w:space="0" w:color="000000"/>
            </w:tcBorders>
            <w:shd w:val="pct10" w:color="auto" w:fill="auto"/>
            <w:vAlign w:val="bottom"/>
          </w:tcPr>
          <w:p w:rsidR="00625714" w:rsidRPr="002D6B94" w:rsidRDefault="00625714" w:rsidP="00D50CC6">
            <w:pPr>
              <w:keepNext/>
              <w:keepLines/>
              <w:widowControl/>
              <w:jc w:val="center"/>
              <w:rPr>
                <w:b/>
                <w:sz w:val="22"/>
                <w:szCs w:val="22"/>
              </w:rPr>
            </w:pPr>
            <w:r w:rsidRPr="002D6B94">
              <w:rPr>
                <w:b/>
                <w:sz w:val="22"/>
                <w:szCs w:val="22"/>
              </w:rPr>
              <w:t>On</w:t>
            </w:r>
            <w:r w:rsidR="00D50D10">
              <w:rPr>
                <w:b/>
                <w:sz w:val="22"/>
                <w:szCs w:val="22"/>
              </w:rPr>
              <w:t>-</w:t>
            </w:r>
            <w:r w:rsidRPr="002D6B94">
              <w:rPr>
                <w:b/>
                <w:sz w:val="22"/>
                <w:szCs w:val="22"/>
              </w:rPr>
              <w:t>Highway</w:t>
            </w:r>
          </w:p>
        </w:tc>
      </w:tr>
      <w:tr w:rsidR="00625714" w:rsidRPr="002D6B94" w:rsidTr="00D50CC6">
        <w:trPr>
          <w:jc w:val="center"/>
        </w:trPr>
        <w:tc>
          <w:tcPr>
            <w:tcW w:w="4356" w:type="dxa"/>
            <w:tcBorders>
              <w:top w:val="single" w:sz="8" w:space="0" w:color="000000"/>
              <w:left w:val="single" w:sz="7" w:space="0" w:color="000000"/>
              <w:bottom w:val="single" w:sz="7" w:space="0" w:color="000000"/>
              <w:right w:val="single" w:sz="7" w:space="0" w:color="000000"/>
            </w:tcBorders>
          </w:tcPr>
          <w:p w:rsidR="00625714" w:rsidRPr="002D6B94" w:rsidRDefault="00625714" w:rsidP="00D50CC6">
            <w:pPr>
              <w:keepNext/>
              <w:keepLines/>
              <w:widowControl/>
              <w:rPr>
                <w:sz w:val="20"/>
                <w:szCs w:val="20"/>
              </w:rPr>
            </w:pPr>
            <w:r w:rsidRPr="002D6B94">
              <w:rPr>
                <w:sz w:val="20"/>
                <w:szCs w:val="20"/>
              </w:rPr>
              <w:t>NCP Calculation</w:t>
            </w:r>
          </w:p>
        </w:tc>
        <w:tc>
          <w:tcPr>
            <w:tcW w:w="4356" w:type="dxa"/>
            <w:tcBorders>
              <w:top w:val="single" w:sz="8" w:space="0" w:color="000000"/>
              <w:left w:val="single" w:sz="7" w:space="0" w:color="000000"/>
              <w:bottom w:val="single" w:sz="7" w:space="0" w:color="000000"/>
              <w:right w:val="single" w:sz="7" w:space="0" w:color="000000"/>
            </w:tcBorders>
          </w:tcPr>
          <w:p w:rsidR="00625714" w:rsidRPr="002D6B94" w:rsidRDefault="00625714" w:rsidP="00D50CC6">
            <w:pPr>
              <w:keepNext/>
              <w:keepLines/>
              <w:widowControl/>
              <w:rPr>
                <w:sz w:val="20"/>
                <w:szCs w:val="20"/>
              </w:rPr>
            </w:pPr>
            <w:r w:rsidRPr="002D6B94">
              <w:rPr>
                <w:sz w:val="20"/>
                <w:szCs w:val="20"/>
              </w:rPr>
              <w:t>89.1113-87(a)</w:t>
            </w:r>
          </w:p>
        </w:tc>
      </w:tr>
      <w:tr w:rsidR="00625714" w:rsidRPr="002D6B94" w:rsidTr="00D50CC6">
        <w:trPr>
          <w:jc w:val="center"/>
        </w:trPr>
        <w:tc>
          <w:tcPr>
            <w:tcW w:w="4356" w:type="dxa"/>
            <w:tcBorders>
              <w:top w:val="single" w:sz="7" w:space="0" w:color="000000"/>
              <w:left w:val="single" w:sz="7" w:space="0" w:color="000000"/>
              <w:bottom w:val="single" w:sz="7" w:space="0" w:color="000000"/>
              <w:right w:val="single" w:sz="7" w:space="0" w:color="000000"/>
            </w:tcBorders>
          </w:tcPr>
          <w:p w:rsidR="00625714" w:rsidRPr="002D6B94" w:rsidRDefault="00625714" w:rsidP="00D50CC6">
            <w:pPr>
              <w:keepNext/>
              <w:keepLines/>
              <w:widowControl/>
              <w:rPr>
                <w:sz w:val="20"/>
                <w:szCs w:val="20"/>
              </w:rPr>
            </w:pPr>
            <w:r w:rsidRPr="002D6B94">
              <w:rPr>
                <w:sz w:val="20"/>
                <w:szCs w:val="20"/>
              </w:rPr>
              <w:t>Quarterly Penalty Payment</w:t>
            </w:r>
          </w:p>
        </w:tc>
        <w:tc>
          <w:tcPr>
            <w:tcW w:w="4356" w:type="dxa"/>
            <w:tcBorders>
              <w:top w:val="single" w:sz="7" w:space="0" w:color="000000"/>
              <w:left w:val="single" w:sz="7" w:space="0" w:color="000000"/>
              <w:bottom w:val="single" w:sz="7" w:space="0" w:color="000000"/>
              <w:right w:val="single" w:sz="7" w:space="0" w:color="000000"/>
            </w:tcBorders>
          </w:tcPr>
          <w:p w:rsidR="00625714" w:rsidRPr="002D6B94" w:rsidRDefault="00625714" w:rsidP="00D50CC6">
            <w:pPr>
              <w:keepNext/>
              <w:keepLines/>
              <w:widowControl/>
              <w:rPr>
                <w:sz w:val="20"/>
                <w:szCs w:val="20"/>
              </w:rPr>
            </w:pPr>
            <w:r w:rsidRPr="002D6B94">
              <w:rPr>
                <w:sz w:val="20"/>
                <w:szCs w:val="20"/>
              </w:rPr>
              <w:t>86.1113-87(g)(1)</w:t>
            </w:r>
          </w:p>
        </w:tc>
      </w:tr>
      <w:tr w:rsidR="00625714" w:rsidRPr="002D6B94" w:rsidTr="00D50CC6">
        <w:trPr>
          <w:jc w:val="center"/>
        </w:trPr>
        <w:tc>
          <w:tcPr>
            <w:tcW w:w="4356" w:type="dxa"/>
            <w:tcBorders>
              <w:top w:val="single" w:sz="7" w:space="0" w:color="000000"/>
              <w:left w:val="single" w:sz="7" w:space="0" w:color="000000"/>
              <w:bottom w:val="single" w:sz="7" w:space="0" w:color="000000"/>
              <w:right w:val="single" w:sz="7" w:space="0" w:color="000000"/>
            </w:tcBorders>
          </w:tcPr>
          <w:p w:rsidR="00625714" w:rsidRPr="002D6B94" w:rsidRDefault="00625714" w:rsidP="00D50CC6">
            <w:pPr>
              <w:keepLines/>
              <w:widowControl/>
              <w:rPr>
                <w:sz w:val="20"/>
                <w:szCs w:val="20"/>
              </w:rPr>
            </w:pPr>
            <w:r w:rsidRPr="002D6B94">
              <w:rPr>
                <w:sz w:val="20"/>
                <w:szCs w:val="20"/>
              </w:rPr>
              <w:t>Quarterly Information Reporting</w:t>
            </w:r>
          </w:p>
        </w:tc>
        <w:tc>
          <w:tcPr>
            <w:tcW w:w="4356" w:type="dxa"/>
            <w:tcBorders>
              <w:top w:val="single" w:sz="7" w:space="0" w:color="000000"/>
              <w:left w:val="single" w:sz="7" w:space="0" w:color="000000"/>
              <w:bottom w:val="single" w:sz="7" w:space="0" w:color="000000"/>
              <w:right w:val="single" w:sz="7" w:space="0" w:color="000000"/>
            </w:tcBorders>
          </w:tcPr>
          <w:p w:rsidR="00625714" w:rsidRPr="002D6B94" w:rsidRDefault="00625714" w:rsidP="00D50CC6">
            <w:pPr>
              <w:keepLines/>
              <w:widowControl/>
              <w:rPr>
                <w:sz w:val="20"/>
                <w:szCs w:val="20"/>
              </w:rPr>
            </w:pPr>
            <w:r w:rsidRPr="002D6B94">
              <w:rPr>
                <w:sz w:val="20"/>
                <w:szCs w:val="20"/>
              </w:rPr>
              <w:t>86.1113-87(g)(1)</w:t>
            </w:r>
          </w:p>
        </w:tc>
      </w:tr>
    </w:tbl>
    <w:p w:rsidR="00BA2A87" w:rsidRDefault="00BA2A87" w:rsidP="006241E7">
      <w:pPr>
        <w:widowControl/>
      </w:pPr>
    </w:p>
    <w:p w:rsidR="001B6208" w:rsidRDefault="001B6208" w:rsidP="006241E7">
      <w:pPr>
        <w:widowControl/>
      </w:pPr>
    </w:p>
    <w:p w:rsidR="001B6208" w:rsidRPr="00A93EDE" w:rsidRDefault="001B6208" w:rsidP="006241E7">
      <w:pPr>
        <w:widowControl/>
      </w:pPr>
      <w:r>
        <w:tab/>
        <w:t>EPA is currently working on expanding the pollutants and years manufacturers can use NCPs for. The information collected and burden will remain the same.</w:t>
      </w:r>
    </w:p>
    <w:p w:rsidR="00BA2A87" w:rsidRPr="00A93EDE" w:rsidRDefault="00BA2A87" w:rsidP="006241E7">
      <w:pPr>
        <w:widowControl/>
      </w:pPr>
    </w:p>
    <w:p w:rsidR="00BA2A87" w:rsidRPr="002D6B94" w:rsidRDefault="00BA2A87" w:rsidP="006241E7">
      <w:pPr>
        <w:widowControl/>
        <w:ind w:left="720"/>
        <w:rPr>
          <w:b/>
        </w:rPr>
      </w:pPr>
      <w:r w:rsidRPr="002D6B94">
        <w:rPr>
          <w:b/>
        </w:rPr>
        <w:t xml:space="preserve">(ii) </w:t>
      </w:r>
      <w:r w:rsidR="002D6B94">
        <w:rPr>
          <w:b/>
        </w:rPr>
        <w:t xml:space="preserve"> </w:t>
      </w:r>
      <w:r w:rsidRPr="002D6B94">
        <w:rPr>
          <w:b/>
        </w:rPr>
        <w:t>Respondent Activities</w:t>
      </w:r>
    </w:p>
    <w:p w:rsidR="00BA2A87" w:rsidRPr="00A93EDE" w:rsidRDefault="00BA2A87" w:rsidP="006241E7">
      <w:pPr>
        <w:widowControl/>
      </w:pPr>
    </w:p>
    <w:p w:rsidR="00BA2A87" w:rsidRPr="00A93EDE" w:rsidRDefault="00BA2A87" w:rsidP="006241E7">
      <w:pPr>
        <w:widowControl/>
        <w:ind w:firstLine="720"/>
      </w:pPr>
      <w:r w:rsidRPr="00A93EDE">
        <w:t>The type of activities a manufacturer would conduct to</w:t>
      </w:r>
      <w:r w:rsidR="002D6B94">
        <w:t xml:space="preserve"> </w:t>
      </w:r>
      <w:r w:rsidRPr="00A93EDE">
        <w:t>participate in the nonconformance penalty program for a specified</w:t>
      </w:r>
      <w:r w:rsidR="002D6B94">
        <w:t xml:space="preserve"> </w:t>
      </w:r>
      <w:r w:rsidRPr="00A93EDE">
        <w:t>engine family are as follows:</w:t>
      </w:r>
    </w:p>
    <w:p w:rsidR="00BA2A87" w:rsidRPr="00A93EDE" w:rsidRDefault="00BA2A87" w:rsidP="006241E7">
      <w:pPr>
        <w:widowControl/>
      </w:pPr>
    </w:p>
    <w:p w:rsidR="00BA2A87" w:rsidRPr="00A93EDE" w:rsidRDefault="002D6B94" w:rsidP="006241E7">
      <w:pPr>
        <w:widowControl/>
        <w:ind w:left="810" w:hanging="450"/>
      </w:pPr>
      <w:r>
        <w:t>●</w:t>
      </w:r>
      <w:r>
        <w:tab/>
        <w:t>R</w:t>
      </w:r>
      <w:r w:rsidR="00BA2A87" w:rsidRPr="00A93EDE">
        <w:t>eview the regulations</w:t>
      </w:r>
    </w:p>
    <w:p w:rsidR="00BA2A87" w:rsidRPr="00A93EDE" w:rsidRDefault="002D6B94" w:rsidP="006241E7">
      <w:pPr>
        <w:widowControl/>
        <w:ind w:left="810" w:hanging="450"/>
      </w:pPr>
      <w:r>
        <w:t>●</w:t>
      </w:r>
      <w:r>
        <w:tab/>
        <w:t>T</w:t>
      </w:r>
      <w:r w:rsidR="00BA2A87" w:rsidRPr="00A93EDE">
        <w:t>est engines for production compliance audit</w:t>
      </w:r>
    </w:p>
    <w:p w:rsidR="00BA2A87" w:rsidRPr="00A93EDE" w:rsidRDefault="002D6B94" w:rsidP="006241E7">
      <w:pPr>
        <w:widowControl/>
        <w:ind w:left="810" w:hanging="450"/>
      </w:pPr>
      <w:r>
        <w:t>●</w:t>
      </w:r>
      <w:r>
        <w:tab/>
        <w:t>G</w:t>
      </w:r>
      <w:r w:rsidR="00BA2A87" w:rsidRPr="00A93EDE">
        <w:t>ather emission data</w:t>
      </w:r>
    </w:p>
    <w:p w:rsidR="00BA2A87" w:rsidRPr="00A93EDE" w:rsidRDefault="002D6B94" w:rsidP="006241E7">
      <w:pPr>
        <w:widowControl/>
        <w:ind w:left="810" w:hanging="450"/>
      </w:pPr>
      <w:r>
        <w:t>●</w:t>
      </w:r>
      <w:r>
        <w:tab/>
      </w:r>
      <w:r w:rsidR="00BA2A87" w:rsidRPr="00A93EDE">
        <w:t>Conduct Performance Compliance Audit (PCA)</w:t>
      </w:r>
    </w:p>
    <w:p w:rsidR="00BA2A87" w:rsidRPr="00A93EDE" w:rsidRDefault="002D6B94" w:rsidP="006241E7">
      <w:pPr>
        <w:widowControl/>
        <w:ind w:left="810" w:hanging="450"/>
      </w:pPr>
      <w:r>
        <w:t>●</w:t>
      </w:r>
      <w:r>
        <w:tab/>
        <w:t>S</w:t>
      </w:r>
      <w:r w:rsidR="00BA2A87" w:rsidRPr="00A93EDE">
        <w:t>ubmit the PCA data/report</w:t>
      </w:r>
    </w:p>
    <w:p w:rsidR="00BA2A87" w:rsidRPr="00A93EDE" w:rsidRDefault="002D6B94" w:rsidP="006241E7">
      <w:pPr>
        <w:widowControl/>
        <w:ind w:left="810" w:hanging="450"/>
      </w:pPr>
      <w:r>
        <w:t>●</w:t>
      </w:r>
      <w:r>
        <w:tab/>
        <w:t>R</w:t>
      </w:r>
      <w:r w:rsidR="00BA2A87" w:rsidRPr="00A93EDE">
        <w:t>etain and maintain records</w:t>
      </w:r>
    </w:p>
    <w:p w:rsidR="00BA2A87" w:rsidRPr="00A93EDE" w:rsidRDefault="002D6B94" w:rsidP="006241E7">
      <w:pPr>
        <w:widowControl/>
        <w:ind w:left="810" w:hanging="450"/>
      </w:pPr>
      <w:r>
        <w:t>●</w:t>
      </w:r>
      <w:r>
        <w:tab/>
        <w:t>S</w:t>
      </w:r>
      <w:r w:rsidR="00BA2A87" w:rsidRPr="00A93EDE">
        <w:t>ubmit quarterly production reports and NCP payments</w:t>
      </w:r>
    </w:p>
    <w:p w:rsidR="00BA2A87" w:rsidRDefault="00BA2A87" w:rsidP="006241E7">
      <w:pPr>
        <w:widowControl/>
      </w:pPr>
    </w:p>
    <w:p w:rsidR="00D50D10" w:rsidRDefault="00D50D10" w:rsidP="006241E7">
      <w:pPr>
        <w:widowControl/>
      </w:pPr>
    </w:p>
    <w:p w:rsidR="00BA2A87" w:rsidRPr="006241E7" w:rsidRDefault="00BA2A87" w:rsidP="006241E7">
      <w:pPr>
        <w:widowControl/>
        <w:ind w:left="317" w:hanging="317"/>
        <w:rPr>
          <w:b/>
        </w:rPr>
      </w:pPr>
      <w:r w:rsidRPr="006241E7">
        <w:rPr>
          <w:b/>
        </w:rPr>
        <w:t>5.</w:t>
      </w:r>
      <w:r w:rsidR="002D6B94" w:rsidRPr="006241E7">
        <w:rPr>
          <w:b/>
        </w:rPr>
        <w:t xml:space="preserve">  </w:t>
      </w:r>
      <w:r w:rsidRPr="006241E7">
        <w:rPr>
          <w:b/>
        </w:rPr>
        <w:t>The Information Collected</w:t>
      </w:r>
      <w:r w:rsidR="002D6B94" w:rsidRPr="006241E7">
        <w:rPr>
          <w:b/>
        </w:rPr>
        <w:t xml:space="preserve"> </w:t>
      </w:r>
      <w:r w:rsidRPr="006241E7">
        <w:rPr>
          <w:b/>
        </w:rPr>
        <w:t>--</w:t>
      </w:r>
      <w:r w:rsidR="002D6B94" w:rsidRPr="006241E7">
        <w:rPr>
          <w:b/>
        </w:rPr>
        <w:t xml:space="preserve"> </w:t>
      </w:r>
      <w:r w:rsidRPr="006241E7">
        <w:rPr>
          <w:b/>
        </w:rPr>
        <w:t>Agency Activities, Collection</w:t>
      </w:r>
      <w:r w:rsidR="002F1F6A" w:rsidRPr="006241E7">
        <w:rPr>
          <w:b/>
        </w:rPr>
        <w:t xml:space="preserve"> </w:t>
      </w:r>
      <w:r w:rsidRPr="006241E7">
        <w:rPr>
          <w:b/>
        </w:rPr>
        <w:t>Methodology, and Information Management</w:t>
      </w:r>
    </w:p>
    <w:p w:rsidR="00BA2A87" w:rsidRPr="00A93EDE" w:rsidRDefault="00BA2A87" w:rsidP="006241E7">
      <w:pPr>
        <w:widowControl/>
      </w:pPr>
    </w:p>
    <w:p w:rsidR="00BA2A87" w:rsidRPr="002D6B94" w:rsidRDefault="002D6B94" w:rsidP="006241E7">
      <w:pPr>
        <w:widowControl/>
        <w:ind w:left="360"/>
        <w:rPr>
          <w:b/>
        </w:rPr>
      </w:pPr>
      <w:r w:rsidRPr="002D6B94">
        <w:rPr>
          <w:b/>
        </w:rPr>
        <w:t xml:space="preserve">5(a) </w:t>
      </w:r>
      <w:r w:rsidR="00BA2A87" w:rsidRPr="002D6B94">
        <w:rPr>
          <w:b/>
        </w:rPr>
        <w:t>Agency Activities</w:t>
      </w:r>
    </w:p>
    <w:p w:rsidR="00BA2A87" w:rsidRPr="00A93EDE" w:rsidRDefault="00BA2A87" w:rsidP="006241E7">
      <w:pPr>
        <w:widowControl/>
      </w:pPr>
    </w:p>
    <w:p w:rsidR="00BA2A87" w:rsidRDefault="00BA2A87" w:rsidP="00835E5C">
      <w:pPr>
        <w:widowControl/>
        <w:ind w:firstLine="720"/>
      </w:pPr>
      <w:r w:rsidRPr="00A93EDE">
        <w:t>A significant portion of EPA</w:t>
      </w:r>
      <w:smartTag w:uri="urn:schemas-microsoft-com:office:smarttags" w:element="PersonName">
        <w:r w:rsidR="001A0D02">
          <w:t>'</w:t>
        </w:r>
      </w:smartTag>
      <w:r w:rsidRPr="00A93EDE">
        <w:t>s NCP activity is spent reviewing</w:t>
      </w:r>
      <w:r w:rsidR="002D6B94">
        <w:t xml:space="preserve"> </w:t>
      </w:r>
      <w:r w:rsidRPr="00A93EDE">
        <w:t>the application, verifying that the correct engines have been selected and appropriately tested, determining the applicable compliance level and corresponding nonconformance penalty, ensuring applicable fees are paid, storing the data and answering manufacturers</w:t>
      </w:r>
      <w:r w:rsidR="002012D6">
        <w:t>'</w:t>
      </w:r>
      <w:r w:rsidRPr="00A93EDE">
        <w:t xml:space="preserve"> questions. </w:t>
      </w:r>
      <w:r w:rsidR="002D6B94">
        <w:t xml:space="preserve"> </w:t>
      </w:r>
      <w:r w:rsidRPr="00A93EDE">
        <w:t>A part of the NCP process involves determining if "carry</w:t>
      </w:r>
      <w:r w:rsidR="00D50D10">
        <w:t>-</w:t>
      </w:r>
      <w:r w:rsidRPr="00A93EDE">
        <w:t>over" of data from a previous model year is appropriate or if new testing will be required.</w:t>
      </w:r>
      <w:r w:rsidR="002D6B94">
        <w:t xml:space="preserve">  </w:t>
      </w:r>
      <w:r w:rsidRPr="00A93EDE">
        <w:t>The agency also analyzes requests for confidentiality and provides</w:t>
      </w:r>
      <w:r w:rsidR="00D050C0">
        <w:t xml:space="preserve"> </w:t>
      </w:r>
      <w:r w:rsidRPr="00A93EDE">
        <w:t>appropriate protection.</w:t>
      </w:r>
    </w:p>
    <w:p w:rsidR="00D050C0" w:rsidRPr="00A93EDE" w:rsidRDefault="00D050C0" w:rsidP="006241E7">
      <w:pPr>
        <w:widowControl/>
      </w:pPr>
    </w:p>
    <w:p w:rsidR="00BA2A87" w:rsidRPr="002D6B94" w:rsidRDefault="002D6B94" w:rsidP="006241E7">
      <w:pPr>
        <w:widowControl/>
        <w:ind w:left="360"/>
        <w:rPr>
          <w:b/>
        </w:rPr>
      </w:pPr>
      <w:r>
        <w:rPr>
          <w:b/>
        </w:rPr>
        <w:t>5(b</w:t>
      </w:r>
      <w:proofErr w:type="gramStart"/>
      <w:r>
        <w:rPr>
          <w:b/>
        </w:rPr>
        <w:t xml:space="preserve">)  </w:t>
      </w:r>
      <w:r w:rsidR="00BA2A87" w:rsidRPr="002D6B94">
        <w:rPr>
          <w:b/>
        </w:rPr>
        <w:t>Collection</w:t>
      </w:r>
      <w:proofErr w:type="gramEnd"/>
      <w:r w:rsidR="00BA2A87" w:rsidRPr="002D6B94">
        <w:rPr>
          <w:b/>
        </w:rPr>
        <w:t xml:space="preserve"> Methodology and Management</w:t>
      </w:r>
    </w:p>
    <w:p w:rsidR="00BA2A87" w:rsidRPr="00A93EDE" w:rsidRDefault="00BA2A87" w:rsidP="006241E7">
      <w:pPr>
        <w:widowControl/>
      </w:pPr>
    </w:p>
    <w:p w:rsidR="001B6208" w:rsidRDefault="00BA2A87" w:rsidP="006241E7">
      <w:pPr>
        <w:widowControl/>
        <w:ind w:firstLine="720"/>
      </w:pPr>
      <w:r w:rsidRPr="00A93EDE">
        <w:t xml:space="preserve">EPA currently makes extensive use of computers in </w:t>
      </w:r>
      <w:r w:rsidR="001B6208">
        <w:t xml:space="preserve">gathering and </w:t>
      </w:r>
      <w:r w:rsidRPr="00A93EDE">
        <w:t>evaluating</w:t>
      </w:r>
      <w:r w:rsidR="002D6B94">
        <w:t xml:space="preserve"> </w:t>
      </w:r>
      <w:r w:rsidRPr="00A93EDE">
        <w:t xml:space="preserve">information from vehicle and engine manufacturers. </w:t>
      </w:r>
      <w:r w:rsidR="001B6208">
        <w:t xml:space="preserve">Today, most of the information is received through electronic means, such as our secured web portals, email and CDs. </w:t>
      </w:r>
      <w:r w:rsidR="002D6B94">
        <w:t xml:space="preserve"> </w:t>
      </w:r>
    </w:p>
    <w:p w:rsidR="001B6208" w:rsidRDefault="001B6208" w:rsidP="006241E7">
      <w:pPr>
        <w:widowControl/>
        <w:ind w:firstLine="720"/>
      </w:pPr>
    </w:p>
    <w:p w:rsidR="00134511" w:rsidRDefault="00BA2A87" w:rsidP="001B6208">
      <w:pPr>
        <w:widowControl/>
        <w:ind w:firstLine="720"/>
        <w:rPr>
          <w:color w:val="000000"/>
        </w:rPr>
      </w:pPr>
      <w:r w:rsidRPr="00A93EDE">
        <w:lastRenderedPageBreak/>
        <w:t xml:space="preserve">Once </w:t>
      </w:r>
      <w:r w:rsidR="001B6208">
        <w:t xml:space="preserve">an NCP </w:t>
      </w:r>
      <w:r w:rsidRPr="00A93EDE">
        <w:t xml:space="preserve">application is received, </w:t>
      </w:r>
      <w:r w:rsidR="00134511">
        <w:t>t</w:t>
      </w:r>
      <w:r w:rsidRPr="00A93EDE">
        <w:t xml:space="preserve">he </w:t>
      </w:r>
      <w:r w:rsidR="001B6208">
        <w:t xml:space="preserve">information is stored in a database so facilitate its review and analysis. Quarterly reports are submitted electronically or on paper, per manufacturer’s preference. </w:t>
      </w:r>
      <w:r w:rsidRPr="00A93EDE">
        <w:t>Non</w:t>
      </w:r>
      <w:r w:rsidR="00D50D10">
        <w:t>-</w:t>
      </w:r>
      <w:r w:rsidRPr="00A93EDE">
        <w:t>confidential parts of the application can be</w:t>
      </w:r>
      <w:r w:rsidR="002D6B94">
        <w:t xml:space="preserve"> </w:t>
      </w:r>
      <w:r w:rsidRPr="00A93EDE">
        <w:t xml:space="preserve">accessed by the public by contacting the </w:t>
      </w:r>
      <w:r w:rsidR="00D050C0">
        <w:t>DECC</w:t>
      </w:r>
      <w:r w:rsidRPr="00D51FFD">
        <w:t>.</w:t>
      </w:r>
    </w:p>
    <w:p w:rsidR="001B6208" w:rsidRPr="00A93EDE" w:rsidRDefault="001B6208" w:rsidP="001B6208">
      <w:pPr>
        <w:widowControl/>
        <w:ind w:firstLine="720"/>
        <w:rPr>
          <w:color w:val="000000"/>
        </w:rPr>
      </w:pPr>
    </w:p>
    <w:p w:rsidR="00BA2A87" w:rsidRPr="00A93EDE" w:rsidRDefault="00BA2A87" w:rsidP="006241E7">
      <w:pPr>
        <w:widowControl/>
        <w:rPr>
          <w:color w:val="000000"/>
        </w:rPr>
      </w:pPr>
    </w:p>
    <w:p w:rsidR="00BA2A87" w:rsidRPr="002D6B94" w:rsidRDefault="00BA2A87" w:rsidP="006241E7">
      <w:pPr>
        <w:keepNext/>
        <w:keepLines/>
        <w:widowControl/>
        <w:ind w:left="360"/>
        <w:rPr>
          <w:b/>
          <w:color w:val="000000"/>
        </w:rPr>
      </w:pPr>
      <w:r w:rsidRPr="002D6B94">
        <w:rPr>
          <w:b/>
          <w:color w:val="000000"/>
        </w:rPr>
        <w:t>5(c</w:t>
      </w:r>
      <w:proofErr w:type="gramStart"/>
      <w:r w:rsidRPr="002D6B94">
        <w:rPr>
          <w:b/>
          <w:color w:val="000000"/>
        </w:rPr>
        <w:t>)</w:t>
      </w:r>
      <w:r w:rsidR="002D6B94">
        <w:rPr>
          <w:b/>
          <w:color w:val="000000"/>
        </w:rPr>
        <w:t xml:space="preserve">  </w:t>
      </w:r>
      <w:r w:rsidRPr="002D6B94">
        <w:rPr>
          <w:b/>
          <w:color w:val="000000"/>
        </w:rPr>
        <w:t>Small</w:t>
      </w:r>
      <w:proofErr w:type="gramEnd"/>
      <w:r w:rsidRPr="002D6B94">
        <w:rPr>
          <w:b/>
          <w:color w:val="000000"/>
        </w:rPr>
        <w:t xml:space="preserve"> Entity Flexibility</w:t>
      </w:r>
    </w:p>
    <w:p w:rsidR="00BA2A87" w:rsidRPr="00A93EDE" w:rsidRDefault="00BA2A87" w:rsidP="006241E7">
      <w:pPr>
        <w:keepNext/>
        <w:keepLines/>
        <w:widowControl/>
        <w:rPr>
          <w:color w:val="000000"/>
        </w:rPr>
      </w:pPr>
    </w:p>
    <w:p w:rsidR="00BA2A87" w:rsidRPr="00A93EDE" w:rsidRDefault="00BA2A87" w:rsidP="006241E7">
      <w:pPr>
        <w:keepLines/>
        <w:widowControl/>
        <w:ind w:firstLine="720"/>
        <w:rPr>
          <w:color w:val="000000"/>
        </w:rPr>
      </w:pPr>
      <w:r w:rsidRPr="00A93EDE">
        <w:rPr>
          <w:color w:val="000000"/>
        </w:rPr>
        <w:t xml:space="preserve">There is no small entity flexibility specific to the NCP requirements. </w:t>
      </w:r>
      <w:r w:rsidR="002D6B94">
        <w:rPr>
          <w:color w:val="000000"/>
        </w:rPr>
        <w:t xml:space="preserve"> </w:t>
      </w:r>
      <w:r w:rsidRPr="00A93EDE">
        <w:rPr>
          <w:color w:val="000000"/>
        </w:rPr>
        <w:t>However, small on-highway engine manufacturers may use</w:t>
      </w:r>
      <w:r w:rsidR="002D6B94">
        <w:rPr>
          <w:color w:val="000000"/>
        </w:rPr>
        <w:t xml:space="preserve"> </w:t>
      </w:r>
      <w:r w:rsidRPr="00A93EDE">
        <w:rPr>
          <w:color w:val="000000"/>
        </w:rPr>
        <w:t>optional procedures outlined in 86.098-14 to demonstrate compliance</w:t>
      </w:r>
      <w:r w:rsidR="002D6B94">
        <w:rPr>
          <w:color w:val="000000"/>
        </w:rPr>
        <w:t xml:space="preserve"> </w:t>
      </w:r>
      <w:r w:rsidRPr="00A93EDE">
        <w:rPr>
          <w:color w:val="000000"/>
        </w:rPr>
        <w:t>with the general standards and specific emission requirements.</w:t>
      </w:r>
    </w:p>
    <w:p w:rsidR="00BA2A87" w:rsidRPr="00A93EDE" w:rsidRDefault="00BA2A87" w:rsidP="006241E7">
      <w:pPr>
        <w:widowControl/>
        <w:rPr>
          <w:color w:val="000000"/>
        </w:rPr>
      </w:pPr>
    </w:p>
    <w:p w:rsidR="00BA2A87" w:rsidRPr="00A93EDE" w:rsidRDefault="00BA2A87" w:rsidP="006241E7">
      <w:pPr>
        <w:widowControl/>
        <w:ind w:firstLine="720"/>
        <w:rPr>
          <w:color w:val="000000"/>
        </w:rPr>
      </w:pPr>
      <w:r w:rsidRPr="00A93EDE">
        <w:rPr>
          <w:color w:val="000000"/>
        </w:rPr>
        <w:t>The information being requested is considered to be the minimum needed to effectively conduct and maintain integrity of the NCP program.</w:t>
      </w:r>
    </w:p>
    <w:p w:rsidR="00BA2A87" w:rsidRDefault="00BA2A87" w:rsidP="006241E7">
      <w:pPr>
        <w:widowControl/>
        <w:rPr>
          <w:color w:val="000000"/>
        </w:rPr>
      </w:pPr>
    </w:p>
    <w:p w:rsidR="00D050C0" w:rsidRPr="00A93EDE" w:rsidRDefault="00D050C0" w:rsidP="006241E7">
      <w:pPr>
        <w:widowControl/>
        <w:rPr>
          <w:color w:val="000000"/>
        </w:rPr>
      </w:pPr>
    </w:p>
    <w:p w:rsidR="00BA2A87" w:rsidRPr="002D6B94" w:rsidRDefault="002D6B94" w:rsidP="006241E7">
      <w:pPr>
        <w:widowControl/>
        <w:ind w:left="360"/>
        <w:rPr>
          <w:b/>
          <w:color w:val="000000"/>
        </w:rPr>
      </w:pPr>
      <w:r>
        <w:rPr>
          <w:b/>
          <w:color w:val="000000"/>
        </w:rPr>
        <w:t>5(d</w:t>
      </w:r>
      <w:proofErr w:type="gramStart"/>
      <w:r>
        <w:rPr>
          <w:b/>
          <w:color w:val="000000"/>
        </w:rPr>
        <w:t xml:space="preserve">)  </w:t>
      </w:r>
      <w:r w:rsidR="00BA2A87" w:rsidRPr="002D6B94">
        <w:rPr>
          <w:b/>
          <w:color w:val="000000"/>
        </w:rPr>
        <w:t>Collection</w:t>
      </w:r>
      <w:proofErr w:type="gramEnd"/>
      <w:r w:rsidR="00BA2A87" w:rsidRPr="002D6B94">
        <w:rPr>
          <w:b/>
          <w:color w:val="000000"/>
        </w:rPr>
        <w:t xml:space="preserve"> Schedule</w:t>
      </w:r>
    </w:p>
    <w:p w:rsidR="00BA2A87" w:rsidRPr="00A93EDE" w:rsidRDefault="00BA2A87" w:rsidP="006241E7">
      <w:pPr>
        <w:widowControl/>
        <w:rPr>
          <w:color w:val="000000"/>
        </w:rPr>
      </w:pPr>
    </w:p>
    <w:p w:rsidR="00BA2A87" w:rsidRPr="00A93EDE" w:rsidRDefault="00BA2A87" w:rsidP="006241E7">
      <w:pPr>
        <w:widowControl/>
        <w:ind w:firstLine="720"/>
        <w:rPr>
          <w:color w:val="000000"/>
        </w:rPr>
      </w:pPr>
      <w:r w:rsidRPr="00A93EDE">
        <w:rPr>
          <w:color w:val="000000"/>
        </w:rPr>
        <w:t>Required data must be submitted for each engine family on a</w:t>
      </w:r>
      <w:r w:rsidR="002D6B94">
        <w:rPr>
          <w:color w:val="000000"/>
        </w:rPr>
        <w:t xml:space="preserve"> </w:t>
      </w:r>
      <w:r w:rsidRPr="00A93EDE">
        <w:rPr>
          <w:color w:val="000000"/>
        </w:rPr>
        <w:t>yearly basis for each "model year" that a manufacturer intends to</w:t>
      </w:r>
      <w:r w:rsidR="002D6B94">
        <w:rPr>
          <w:color w:val="000000"/>
        </w:rPr>
        <w:t xml:space="preserve"> </w:t>
      </w:r>
      <w:r w:rsidRPr="00A93EDE">
        <w:rPr>
          <w:color w:val="000000"/>
        </w:rPr>
        <w:t xml:space="preserve">build (or import) an engine model. </w:t>
      </w:r>
      <w:r w:rsidR="002D6B94">
        <w:rPr>
          <w:color w:val="000000"/>
        </w:rPr>
        <w:t xml:space="preserve"> </w:t>
      </w:r>
      <w:r w:rsidRPr="00A93EDE">
        <w:rPr>
          <w:color w:val="000000"/>
        </w:rPr>
        <w:t>Taking these considerations into</w:t>
      </w:r>
      <w:r w:rsidR="002D6B94">
        <w:rPr>
          <w:color w:val="000000"/>
        </w:rPr>
        <w:t xml:space="preserve"> </w:t>
      </w:r>
      <w:r w:rsidRPr="00A93EDE">
        <w:rPr>
          <w:color w:val="000000"/>
        </w:rPr>
        <w:t>account, manufacturers normally submit information on an annual basis and submit their applications at their earliest convenience.</w:t>
      </w:r>
    </w:p>
    <w:p w:rsidR="00BA2A87" w:rsidRPr="00A93EDE" w:rsidRDefault="00BA2A87" w:rsidP="006241E7">
      <w:pPr>
        <w:widowControl/>
        <w:rPr>
          <w:color w:val="000000"/>
        </w:rPr>
      </w:pPr>
    </w:p>
    <w:p w:rsidR="00BA2A87" w:rsidRPr="00A93EDE" w:rsidRDefault="00BA2A87" w:rsidP="006241E7">
      <w:pPr>
        <w:widowControl/>
        <w:ind w:firstLine="720"/>
        <w:rPr>
          <w:color w:val="000000"/>
        </w:rPr>
      </w:pPr>
      <w:r w:rsidRPr="00A93EDE">
        <w:rPr>
          <w:color w:val="000000"/>
        </w:rPr>
        <w:t>Nonconformance penalties must be paid by specified quarterly due dates or according to such schedule as the Administrator may approve based on a manufacturer request.</w:t>
      </w:r>
      <w:r w:rsidR="002D6B94">
        <w:rPr>
          <w:color w:val="000000"/>
        </w:rPr>
        <w:t xml:space="preserve"> </w:t>
      </w:r>
      <w:r w:rsidRPr="00A93EDE">
        <w:rPr>
          <w:color w:val="000000"/>
        </w:rPr>
        <w:t xml:space="preserve"> The manufacturer must submit corporate identification, identification and quantity of engines or vehicles subject to the NCP, certificate identification number and date, NCP payment calculations, and a statement of compliance with requirements and endorsement.</w:t>
      </w:r>
    </w:p>
    <w:p w:rsidR="00BA2A87" w:rsidRPr="00A93EDE" w:rsidRDefault="00BA2A87" w:rsidP="006241E7">
      <w:pPr>
        <w:widowControl/>
        <w:rPr>
          <w:color w:val="000000"/>
        </w:rPr>
      </w:pPr>
    </w:p>
    <w:p w:rsidR="00D050C0" w:rsidRDefault="00D050C0" w:rsidP="006241E7">
      <w:pPr>
        <w:widowControl/>
        <w:rPr>
          <w:b/>
          <w:color w:val="000000"/>
        </w:rPr>
      </w:pPr>
    </w:p>
    <w:p w:rsidR="00D050C0" w:rsidRDefault="00D050C0" w:rsidP="006241E7">
      <w:pPr>
        <w:widowControl/>
        <w:rPr>
          <w:b/>
          <w:color w:val="000000"/>
        </w:rPr>
      </w:pPr>
    </w:p>
    <w:p w:rsidR="00BA2A87" w:rsidRPr="002D6B94" w:rsidRDefault="00BA2A87" w:rsidP="006241E7">
      <w:pPr>
        <w:widowControl/>
        <w:rPr>
          <w:b/>
          <w:color w:val="000000"/>
        </w:rPr>
      </w:pPr>
      <w:r w:rsidRPr="002D6B94">
        <w:rPr>
          <w:b/>
          <w:color w:val="000000"/>
        </w:rPr>
        <w:t>6.</w:t>
      </w:r>
      <w:r w:rsidR="006241E7">
        <w:rPr>
          <w:b/>
          <w:color w:val="000000"/>
        </w:rPr>
        <w:t xml:space="preserve">  </w:t>
      </w:r>
      <w:r w:rsidRPr="002D6B94">
        <w:rPr>
          <w:b/>
          <w:color w:val="000000"/>
        </w:rPr>
        <w:t>Estimating the Burden and Cost of the Collection</w:t>
      </w:r>
    </w:p>
    <w:p w:rsidR="00BA2A87" w:rsidRPr="00A93EDE" w:rsidRDefault="00BA2A87" w:rsidP="006241E7">
      <w:pPr>
        <w:widowControl/>
        <w:rPr>
          <w:color w:val="000000"/>
        </w:rPr>
      </w:pPr>
    </w:p>
    <w:p w:rsidR="00BA2A87" w:rsidRPr="00A93EDE" w:rsidRDefault="00DF6D74" w:rsidP="006241E7">
      <w:pPr>
        <w:widowControl/>
        <w:ind w:firstLine="720"/>
        <w:rPr>
          <w:color w:val="000000"/>
        </w:rPr>
      </w:pPr>
      <w:r>
        <w:rPr>
          <w:color w:val="000000"/>
        </w:rPr>
        <w:t>Please refer to Tables E</w:t>
      </w:r>
      <w:r w:rsidR="001C21AA">
        <w:rPr>
          <w:color w:val="000000"/>
        </w:rPr>
        <w:t xml:space="preserve"> and </w:t>
      </w:r>
      <w:r>
        <w:rPr>
          <w:color w:val="000000"/>
        </w:rPr>
        <w:t>F</w:t>
      </w:r>
      <w:r w:rsidR="001C21AA">
        <w:rPr>
          <w:color w:val="000000"/>
        </w:rPr>
        <w:t xml:space="preserve"> for details.</w:t>
      </w:r>
    </w:p>
    <w:p w:rsidR="00BA2A87" w:rsidRPr="00A93EDE" w:rsidRDefault="00BA2A87" w:rsidP="006241E7">
      <w:pPr>
        <w:widowControl/>
        <w:rPr>
          <w:color w:val="000000"/>
        </w:rPr>
      </w:pPr>
    </w:p>
    <w:p w:rsidR="00BA2A87" w:rsidRPr="006241E7" w:rsidRDefault="006241E7" w:rsidP="006241E7">
      <w:pPr>
        <w:widowControl/>
        <w:ind w:left="360"/>
        <w:rPr>
          <w:b/>
          <w:color w:val="000000"/>
        </w:rPr>
      </w:pPr>
      <w:r>
        <w:rPr>
          <w:b/>
          <w:color w:val="000000"/>
        </w:rPr>
        <w:t>6(a</w:t>
      </w:r>
      <w:proofErr w:type="gramStart"/>
      <w:r>
        <w:rPr>
          <w:b/>
          <w:color w:val="000000"/>
        </w:rPr>
        <w:t xml:space="preserve">)  </w:t>
      </w:r>
      <w:r w:rsidR="00BA2A87" w:rsidRPr="006241E7">
        <w:rPr>
          <w:b/>
          <w:color w:val="000000"/>
        </w:rPr>
        <w:t>Estimating</w:t>
      </w:r>
      <w:proofErr w:type="gramEnd"/>
      <w:r w:rsidR="00BA2A87" w:rsidRPr="006241E7">
        <w:rPr>
          <w:b/>
          <w:color w:val="000000"/>
        </w:rPr>
        <w:t xml:space="preserve"> Respondent Burden</w:t>
      </w:r>
    </w:p>
    <w:p w:rsidR="00BA2A87" w:rsidRPr="00A93EDE" w:rsidRDefault="00BA2A87" w:rsidP="006241E7">
      <w:pPr>
        <w:widowControl/>
        <w:rPr>
          <w:color w:val="000000"/>
        </w:rPr>
      </w:pPr>
    </w:p>
    <w:p w:rsidR="00BA2A87" w:rsidRPr="00A93EDE" w:rsidRDefault="00BA2A87" w:rsidP="006241E7">
      <w:pPr>
        <w:widowControl/>
        <w:ind w:firstLine="720"/>
        <w:rPr>
          <w:color w:val="000000"/>
        </w:rPr>
      </w:pPr>
      <w:r w:rsidRPr="00A93EDE">
        <w:rPr>
          <w:color w:val="000000"/>
        </w:rPr>
        <w:t>Under the existing ICR, only one manufacturer has elected to participate in the NCP program.  Given this low level of activity, EPA did not attempt to contact potential respondents, and chose instead to use the burden estimates provided by the respondents under the existing ICR</w:t>
      </w:r>
      <w:r w:rsidR="0041304F">
        <w:rPr>
          <w:color w:val="000000"/>
        </w:rPr>
        <w:t>.</w:t>
      </w:r>
    </w:p>
    <w:p w:rsidR="00D050C0" w:rsidRDefault="00D050C0" w:rsidP="00D050C0">
      <w:pPr>
        <w:widowControl/>
        <w:ind w:firstLine="720"/>
      </w:pPr>
    </w:p>
    <w:p w:rsidR="00D050C0" w:rsidRDefault="00D050C0" w:rsidP="00D050C0">
      <w:pPr>
        <w:widowControl/>
        <w:ind w:firstLine="720"/>
      </w:pPr>
      <w:r w:rsidRPr="00E50D98">
        <w:t>In estimating respondent burden for the NCP program, time was</w:t>
      </w:r>
      <w:r>
        <w:t xml:space="preserve"> </w:t>
      </w:r>
      <w:r w:rsidRPr="00E50D98">
        <w:t>allocated for regulation review, training, records maintenance,</w:t>
      </w:r>
      <w:r>
        <w:t xml:space="preserve"> </w:t>
      </w:r>
      <w:r w:rsidRPr="00E50D98">
        <w:t>quarterly reporting and production compliance auditing. Performing</w:t>
      </w:r>
      <w:r>
        <w:t xml:space="preserve"> </w:t>
      </w:r>
      <w:r w:rsidRPr="00E50D98">
        <w:t>the PCA includes hours for engine selection, engine service</w:t>
      </w:r>
      <w:r>
        <w:t xml:space="preserve"> </w:t>
      </w:r>
      <w:r w:rsidRPr="00E50D98">
        <w:t>accumulation to stabilize new engine performance, engine testing,</w:t>
      </w:r>
      <w:r>
        <w:t xml:space="preserve"> </w:t>
      </w:r>
      <w:proofErr w:type="gramStart"/>
      <w:r w:rsidRPr="00E50D98">
        <w:t>engine</w:t>
      </w:r>
      <w:proofErr w:type="gramEnd"/>
      <w:r w:rsidRPr="00E50D98">
        <w:t xml:space="preserve"> reallocation within the manufacturer</w:t>
      </w:r>
      <w:r>
        <w:t>'</w:t>
      </w:r>
      <w:r w:rsidRPr="00E50D98">
        <w:t xml:space="preserve">s </w:t>
      </w:r>
      <w:r w:rsidRPr="00E50D98">
        <w:lastRenderedPageBreak/>
        <w:t>distribution system,</w:t>
      </w:r>
      <w:r>
        <w:t xml:space="preserve"> </w:t>
      </w:r>
      <w:r w:rsidRPr="00E50D98">
        <w:t xml:space="preserve">preparation of the PCA report and maintenance of PCA testing records. </w:t>
      </w:r>
      <w:r w:rsidR="00576134">
        <w:t xml:space="preserve"> </w:t>
      </w:r>
      <w:r w:rsidR="0041304F">
        <w:rPr>
          <w:color w:val="000000"/>
        </w:rPr>
        <w:t>See Table E in section 6(e</w:t>
      </w:r>
      <w:proofErr w:type="gramStart"/>
      <w:r w:rsidR="0041304F">
        <w:rPr>
          <w:color w:val="000000"/>
        </w:rPr>
        <w:t>)(</w:t>
      </w:r>
      <w:proofErr w:type="gramEnd"/>
      <w:r w:rsidR="0041304F">
        <w:rPr>
          <w:color w:val="000000"/>
        </w:rPr>
        <w:t>i) for details.</w:t>
      </w:r>
    </w:p>
    <w:p w:rsidR="00D050C0" w:rsidRPr="00E50D98" w:rsidRDefault="00D050C0" w:rsidP="00D050C0">
      <w:pPr>
        <w:widowControl/>
        <w:ind w:firstLine="720"/>
      </w:pPr>
    </w:p>
    <w:p w:rsidR="00BA2A87" w:rsidRPr="00A93EDE" w:rsidRDefault="00BA2A87" w:rsidP="006241E7">
      <w:pPr>
        <w:widowControl/>
        <w:rPr>
          <w:color w:val="000000"/>
        </w:rPr>
      </w:pPr>
    </w:p>
    <w:p w:rsidR="00821D6F" w:rsidRPr="00821D6F" w:rsidRDefault="006241E7" w:rsidP="00821D6F">
      <w:pPr>
        <w:widowControl/>
        <w:ind w:left="360"/>
        <w:rPr>
          <w:b/>
          <w:color w:val="000000"/>
        </w:rPr>
      </w:pPr>
      <w:r>
        <w:rPr>
          <w:b/>
          <w:color w:val="000000"/>
        </w:rPr>
        <w:t>6(b</w:t>
      </w:r>
      <w:proofErr w:type="gramStart"/>
      <w:r>
        <w:rPr>
          <w:b/>
          <w:color w:val="000000"/>
        </w:rPr>
        <w:t xml:space="preserve">)  </w:t>
      </w:r>
      <w:r w:rsidR="00BA2A87" w:rsidRPr="006241E7">
        <w:rPr>
          <w:b/>
          <w:color w:val="000000"/>
        </w:rPr>
        <w:t>Estimating</w:t>
      </w:r>
      <w:proofErr w:type="gramEnd"/>
      <w:r w:rsidR="00BA2A87" w:rsidRPr="006241E7">
        <w:rPr>
          <w:b/>
          <w:color w:val="000000"/>
        </w:rPr>
        <w:t xml:space="preserve"> Respondent Costs</w:t>
      </w:r>
    </w:p>
    <w:p w:rsidR="00BA2A87" w:rsidRPr="00A93EDE" w:rsidRDefault="00BA2A87" w:rsidP="006241E7">
      <w:pPr>
        <w:widowControl/>
        <w:rPr>
          <w:color w:val="000000"/>
        </w:rPr>
      </w:pPr>
    </w:p>
    <w:p w:rsidR="00BA2A87" w:rsidRPr="006241E7" w:rsidRDefault="006241E7" w:rsidP="006241E7">
      <w:pPr>
        <w:widowControl/>
        <w:ind w:firstLine="720"/>
        <w:rPr>
          <w:b/>
          <w:color w:val="000000"/>
        </w:rPr>
      </w:pPr>
      <w:r>
        <w:rPr>
          <w:b/>
          <w:color w:val="000000"/>
        </w:rPr>
        <w:t xml:space="preserve">(i)  </w:t>
      </w:r>
      <w:r w:rsidR="00BA2A87" w:rsidRPr="006241E7">
        <w:rPr>
          <w:b/>
          <w:color w:val="000000"/>
        </w:rPr>
        <w:t>Estimating Labor Costs</w:t>
      </w:r>
    </w:p>
    <w:p w:rsidR="00BA2A87" w:rsidRPr="00A93EDE" w:rsidRDefault="00BA2A87" w:rsidP="006241E7">
      <w:pPr>
        <w:widowControl/>
        <w:ind w:firstLine="720"/>
        <w:rPr>
          <w:color w:val="000000"/>
        </w:rPr>
      </w:pPr>
    </w:p>
    <w:p w:rsidR="00D050C0" w:rsidRPr="00F33AD2" w:rsidRDefault="00D050C0" w:rsidP="00D050C0">
      <w:pPr>
        <w:numPr>
          <w:ilvl w:val="12"/>
          <w:numId w:val="0"/>
        </w:numPr>
      </w:pPr>
      <w:r w:rsidRPr="00F33AD2">
        <w:tab/>
        <w:t>To estimate labor costs, EPA used the Bureau of Labor Statistics</w:t>
      </w:r>
      <w:smartTag w:uri="urn:schemas-microsoft-com:office:smarttags" w:element="PersonName">
        <w:r>
          <w:t>'</w:t>
        </w:r>
      </w:smartTag>
      <w:r w:rsidRPr="00F33AD2">
        <w:t xml:space="preserve"> </w:t>
      </w:r>
      <w:r>
        <w:t xml:space="preserve">(BLS) </w:t>
      </w:r>
      <w:r w:rsidRPr="00F33AD2">
        <w:t>National Industry-specific Occupational Wage Estimates (May 20</w:t>
      </w:r>
      <w:r>
        <w:t>11</w:t>
      </w:r>
      <w:r w:rsidRPr="00F33AD2">
        <w:t>) for the E</w:t>
      </w:r>
      <w:r>
        <w:t>ngine and Turbines Industry under Standard Industrial Classification (SIC) code</w:t>
      </w:r>
      <w:r w:rsidRPr="00F33AD2">
        <w:t xml:space="preserve"> 351 and increased by a factor of 2</w:t>
      </w:r>
      <w:r>
        <w:t>.</w:t>
      </w:r>
      <w:r w:rsidRPr="00F33AD2">
        <w:t>1 to account for benefits and overhead.</w:t>
      </w:r>
      <w:r>
        <w:t xml:space="preserve">  (</w:t>
      </w:r>
      <w:proofErr w:type="gramStart"/>
      <w:r>
        <w:t>see</w:t>
      </w:r>
      <w:proofErr w:type="gramEnd"/>
      <w:r>
        <w:t xml:space="preserve">: </w:t>
      </w:r>
      <w:hyperlink r:id="rId10" w:history="1">
        <w:r w:rsidRPr="00581CB3">
          <w:rPr>
            <w:rStyle w:val="Hyperlink"/>
          </w:rPr>
          <w:t>http://www.bls.gov/oes/current/naics4_333600.htm</w:t>
        </w:r>
      </w:hyperlink>
      <w:r>
        <w:t xml:space="preserve">).  A </w:t>
      </w:r>
      <w:proofErr w:type="spellStart"/>
      <w:r>
        <w:t>referencebetween</w:t>
      </w:r>
      <w:proofErr w:type="spellEnd"/>
      <w:r>
        <w:t xml:space="preserve"> the applicable SIC and NAICS codes used to update hourly rates for this ICR is available on the BLS website at:  </w:t>
      </w:r>
      <w:hyperlink r:id="rId11" w:history="1">
        <w:r w:rsidRPr="000A1C8F">
          <w:rPr>
            <w:rStyle w:val="Hyperlink"/>
          </w:rPr>
          <w:t>http://www.bls.gov/ppi/ppisicnaics14.htm</w:t>
        </w:r>
      </w:hyperlink>
      <w:r>
        <w:t>.</w:t>
      </w:r>
      <w:r w:rsidRPr="00F33AD2">
        <w:t xml:space="preserve">  Mean, hourly rates were used for this estimate</w:t>
      </w:r>
      <w:r>
        <w:t xml:space="preserve"> and are listed below</w:t>
      </w:r>
      <w:r w:rsidRPr="00F33AD2">
        <w:t>.</w:t>
      </w:r>
    </w:p>
    <w:p w:rsidR="00D050C0" w:rsidRDefault="00D050C0" w:rsidP="00D050C0">
      <w:pPr>
        <w:numPr>
          <w:ilvl w:val="12"/>
          <w:numId w:val="0"/>
        </w:numPr>
      </w:pPr>
    </w:p>
    <w:p w:rsidR="00D050C0" w:rsidRDefault="00D050C0" w:rsidP="00D050C0">
      <w:pPr>
        <w:keepNext/>
        <w:keepLines/>
        <w:numPr>
          <w:ilvl w:val="12"/>
          <w:numId w:val="0"/>
        </w:numPr>
        <w:jc w:val="center"/>
        <w:rPr>
          <w:b/>
          <w:bCs/>
        </w:rPr>
      </w:pPr>
      <w:r w:rsidRPr="00AC2066">
        <w:rPr>
          <w:b/>
          <w:bCs/>
        </w:rPr>
        <w:t>Table</w:t>
      </w:r>
      <w:r w:rsidR="00821D6F">
        <w:rPr>
          <w:b/>
          <w:bCs/>
        </w:rPr>
        <w:t xml:space="preserve"> D</w:t>
      </w:r>
      <w:r>
        <w:rPr>
          <w:b/>
          <w:bCs/>
        </w:rPr>
        <w:br/>
      </w:r>
      <w:r w:rsidRPr="00F33AD2">
        <w:rPr>
          <w:b/>
          <w:bCs/>
        </w:rPr>
        <w:t>Labor Costs Estimates</w:t>
      </w:r>
    </w:p>
    <w:p w:rsidR="00D050C0" w:rsidRDefault="00D050C0" w:rsidP="00D050C0">
      <w:pPr>
        <w:keepNext/>
        <w:keepLines/>
        <w:numPr>
          <w:ilvl w:val="12"/>
          <w:numId w:val="0"/>
        </w:numPr>
        <w:jc w:val="center"/>
        <w:rPr>
          <w:b/>
          <w:bCs/>
        </w:rPr>
      </w:pPr>
    </w:p>
    <w:tbl>
      <w:tblPr>
        <w:tblW w:w="6940" w:type="dxa"/>
        <w:jc w:val="center"/>
        <w:tblLook w:val="04A0"/>
      </w:tblPr>
      <w:tblGrid>
        <w:gridCol w:w="2560"/>
        <w:gridCol w:w="1420"/>
        <w:gridCol w:w="1720"/>
        <w:gridCol w:w="1240"/>
      </w:tblGrid>
      <w:tr w:rsidR="00D050C0" w:rsidRPr="00C506D2" w:rsidTr="00145BD0">
        <w:trPr>
          <w:trHeight w:val="510"/>
          <w:jc w:val="center"/>
        </w:trPr>
        <w:tc>
          <w:tcPr>
            <w:tcW w:w="2560" w:type="dxa"/>
            <w:tcBorders>
              <w:top w:val="single" w:sz="4" w:space="0" w:color="auto"/>
              <w:left w:val="single" w:sz="4" w:space="0" w:color="auto"/>
              <w:bottom w:val="single" w:sz="4" w:space="0" w:color="auto"/>
              <w:right w:val="single" w:sz="4" w:space="0" w:color="auto"/>
            </w:tcBorders>
            <w:shd w:val="clear" w:color="000000" w:fill="C0C0C0"/>
            <w:hideMark/>
          </w:tcPr>
          <w:p w:rsidR="00D050C0" w:rsidRPr="00C506D2" w:rsidRDefault="00D050C0" w:rsidP="00145BD0">
            <w:pPr>
              <w:autoSpaceDE/>
              <w:autoSpaceDN/>
              <w:adjustRightInd/>
              <w:jc w:val="center"/>
              <w:rPr>
                <w:rFonts w:ascii="Arial" w:hAnsi="Arial" w:cs="Arial"/>
                <w:b/>
                <w:bCs/>
                <w:sz w:val="20"/>
                <w:szCs w:val="20"/>
              </w:rPr>
            </w:pPr>
            <w:r w:rsidRPr="00C506D2">
              <w:rPr>
                <w:rFonts w:ascii="Arial" w:hAnsi="Arial" w:cs="Arial"/>
                <w:b/>
                <w:bCs/>
                <w:sz w:val="20"/>
                <w:szCs w:val="20"/>
              </w:rPr>
              <w:t>Occupation</w:t>
            </w:r>
          </w:p>
        </w:tc>
        <w:tc>
          <w:tcPr>
            <w:tcW w:w="1420" w:type="dxa"/>
            <w:tcBorders>
              <w:top w:val="single" w:sz="4" w:space="0" w:color="auto"/>
              <w:left w:val="nil"/>
              <w:bottom w:val="single" w:sz="4" w:space="0" w:color="auto"/>
              <w:right w:val="single" w:sz="4" w:space="0" w:color="auto"/>
            </w:tcBorders>
            <w:shd w:val="clear" w:color="000000" w:fill="C0C0C0"/>
            <w:hideMark/>
          </w:tcPr>
          <w:p w:rsidR="00D050C0" w:rsidRPr="00C506D2" w:rsidRDefault="00D050C0" w:rsidP="00145BD0">
            <w:pPr>
              <w:autoSpaceDE/>
              <w:autoSpaceDN/>
              <w:adjustRightInd/>
              <w:jc w:val="center"/>
              <w:rPr>
                <w:rFonts w:ascii="Arial" w:hAnsi="Arial" w:cs="Arial"/>
                <w:b/>
                <w:bCs/>
                <w:sz w:val="20"/>
                <w:szCs w:val="20"/>
              </w:rPr>
            </w:pPr>
            <w:r w:rsidRPr="00C506D2">
              <w:rPr>
                <w:rFonts w:ascii="Arial" w:hAnsi="Arial" w:cs="Arial"/>
                <w:b/>
                <w:bCs/>
                <w:sz w:val="20"/>
                <w:szCs w:val="20"/>
              </w:rPr>
              <w:t>SOC Code Number</w:t>
            </w:r>
          </w:p>
        </w:tc>
        <w:tc>
          <w:tcPr>
            <w:tcW w:w="1720" w:type="dxa"/>
            <w:tcBorders>
              <w:top w:val="single" w:sz="4" w:space="0" w:color="auto"/>
              <w:left w:val="nil"/>
              <w:bottom w:val="single" w:sz="4" w:space="0" w:color="auto"/>
              <w:right w:val="single" w:sz="4" w:space="0" w:color="auto"/>
            </w:tcBorders>
            <w:shd w:val="clear" w:color="000000" w:fill="C0C0C0"/>
            <w:hideMark/>
          </w:tcPr>
          <w:p w:rsidR="00D050C0" w:rsidRPr="00C506D2" w:rsidRDefault="00D050C0" w:rsidP="00145BD0">
            <w:pPr>
              <w:autoSpaceDE/>
              <w:autoSpaceDN/>
              <w:adjustRightInd/>
              <w:jc w:val="center"/>
              <w:rPr>
                <w:rFonts w:ascii="Arial" w:hAnsi="Arial" w:cs="Arial"/>
                <w:b/>
                <w:bCs/>
                <w:sz w:val="20"/>
                <w:szCs w:val="20"/>
              </w:rPr>
            </w:pPr>
            <w:r w:rsidRPr="00C506D2">
              <w:rPr>
                <w:rFonts w:ascii="Arial" w:hAnsi="Arial" w:cs="Arial"/>
                <w:b/>
                <w:bCs/>
                <w:sz w:val="20"/>
                <w:szCs w:val="20"/>
              </w:rPr>
              <w:t>Mean Hourly Rate (BLS)</w:t>
            </w:r>
          </w:p>
        </w:tc>
        <w:tc>
          <w:tcPr>
            <w:tcW w:w="1240" w:type="dxa"/>
            <w:tcBorders>
              <w:top w:val="single" w:sz="4" w:space="0" w:color="auto"/>
              <w:left w:val="nil"/>
              <w:bottom w:val="single" w:sz="4" w:space="0" w:color="auto"/>
              <w:right w:val="single" w:sz="4" w:space="0" w:color="auto"/>
            </w:tcBorders>
            <w:shd w:val="clear" w:color="000000" w:fill="C0C0C0"/>
            <w:hideMark/>
          </w:tcPr>
          <w:p w:rsidR="00D050C0" w:rsidRPr="00C506D2" w:rsidRDefault="00D050C0" w:rsidP="00145BD0">
            <w:pPr>
              <w:autoSpaceDE/>
              <w:autoSpaceDN/>
              <w:adjustRightInd/>
              <w:jc w:val="center"/>
              <w:rPr>
                <w:rFonts w:ascii="Arial" w:hAnsi="Arial" w:cs="Arial"/>
                <w:b/>
                <w:bCs/>
                <w:sz w:val="20"/>
                <w:szCs w:val="20"/>
              </w:rPr>
            </w:pPr>
            <w:r w:rsidRPr="00156DB8">
              <w:rPr>
                <w:b/>
                <w:sz w:val="22"/>
                <w:szCs w:val="22"/>
              </w:rPr>
              <w:t>Rate Increased by Factor of 2.1</w:t>
            </w:r>
          </w:p>
        </w:tc>
      </w:tr>
      <w:tr w:rsidR="00D050C0" w:rsidRPr="00C506D2" w:rsidTr="00145BD0">
        <w:trPr>
          <w:trHeight w:val="300"/>
          <w:jc w:val="center"/>
        </w:trPr>
        <w:tc>
          <w:tcPr>
            <w:tcW w:w="2560" w:type="dxa"/>
            <w:tcBorders>
              <w:top w:val="nil"/>
              <w:left w:val="single" w:sz="4" w:space="0" w:color="auto"/>
              <w:bottom w:val="single" w:sz="4" w:space="0" w:color="auto"/>
              <w:right w:val="single" w:sz="4" w:space="0" w:color="auto"/>
            </w:tcBorders>
            <w:shd w:val="clear" w:color="auto" w:fill="auto"/>
            <w:hideMark/>
          </w:tcPr>
          <w:p w:rsidR="00D050C0" w:rsidRPr="00C506D2" w:rsidRDefault="00D050C0" w:rsidP="00145BD0">
            <w:pPr>
              <w:autoSpaceDE/>
              <w:autoSpaceDN/>
              <w:adjustRightInd/>
              <w:rPr>
                <w:rFonts w:ascii="Arial" w:hAnsi="Arial" w:cs="Arial"/>
                <w:sz w:val="20"/>
                <w:szCs w:val="20"/>
              </w:rPr>
            </w:pPr>
            <w:r w:rsidRPr="00C506D2">
              <w:rPr>
                <w:rFonts w:ascii="Arial" w:hAnsi="Arial" w:cs="Arial"/>
                <w:sz w:val="20"/>
                <w:szCs w:val="20"/>
              </w:rPr>
              <w:t>Mechanical  Engineers</w:t>
            </w:r>
          </w:p>
        </w:tc>
        <w:tc>
          <w:tcPr>
            <w:tcW w:w="142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rFonts w:ascii="Arial" w:hAnsi="Arial" w:cs="Arial"/>
                <w:sz w:val="20"/>
                <w:szCs w:val="20"/>
              </w:rPr>
            </w:pPr>
            <w:r w:rsidRPr="00C506D2">
              <w:rPr>
                <w:rFonts w:ascii="Arial" w:hAnsi="Arial" w:cs="Arial"/>
                <w:sz w:val="20"/>
                <w:szCs w:val="20"/>
              </w:rPr>
              <w:t>17-2141</w:t>
            </w:r>
          </w:p>
        </w:tc>
        <w:tc>
          <w:tcPr>
            <w:tcW w:w="172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rFonts w:ascii="Arial" w:hAnsi="Arial" w:cs="Arial"/>
                <w:sz w:val="20"/>
                <w:szCs w:val="20"/>
              </w:rPr>
            </w:pPr>
            <w:r w:rsidRPr="00C506D2">
              <w:rPr>
                <w:rFonts w:ascii="Arial" w:hAnsi="Arial" w:cs="Arial"/>
                <w:sz w:val="20"/>
                <w:szCs w:val="20"/>
              </w:rPr>
              <w:t xml:space="preserve">$37.98 </w:t>
            </w:r>
          </w:p>
        </w:tc>
        <w:tc>
          <w:tcPr>
            <w:tcW w:w="124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rFonts w:ascii="Arial" w:hAnsi="Arial" w:cs="Arial"/>
                <w:sz w:val="20"/>
                <w:szCs w:val="20"/>
              </w:rPr>
            </w:pPr>
            <w:r w:rsidRPr="00C506D2">
              <w:rPr>
                <w:rFonts w:ascii="Arial" w:hAnsi="Arial" w:cs="Arial"/>
                <w:sz w:val="20"/>
                <w:szCs w:val="20"/>
              </w:rPr>
              <w:t xml:space="preserve">$79.76 </w:t>
            </w:r>
          </w:p>
        </w:tc>
      </w:tr>
      <w:tr w:rsidR="00D050C0" w:rsidRPr="00C506D2" w:rsidTr="00145BD0">
        <w:trPr>
          <w:trHeight w:val="300"/>
          <w:jc w:val="center"/>
        </w:trPr>
        <w:tc>
          <w:tcPr>
            <w:tcW w:w="2560" w:type="dxa"/>
            <w:tcBorders>
              <w:top w:val="nil"/>
              <w:left w:val="single" w:sz="4" w:space="0" w:color="auto"/>
              <w:bottom w:val="single" w:sz="4" w:space="0" w:color="auto"/>
              <w:right w:val="single" w:sz="4" w:space="0" w:color="auto"/>
            </w:tcBorders>
            <w:shd w:val="clear" w:color="auto" w:fill="auto"/>
            <w:hideMark/>
          </w:tcPr>
          <w:p w:rsidR="00D050C0" w:rsidRPr="00C506D2" w:rsidRDefault="00D050C0" w:rsidP="00145BD0">
            <w:pPr>
              <w:autoSpaceDE/>
              <w:autoSpaceDN/>
              <w:adjustRightInd/>
              <w:rPr>
                <w:rFonts w:ascii="Arial" w:hAnsi="Arial" w:cs="Arial"/>
                <w:sz w:val="20"/>
                <w:szCs w:val="20"/>
              </w:rPr>
            </w:pPr>
            <w:r w:rsidRPr="00C506D2">
              <w:rPr>
                <w:rFonts w:ascii="Arial" w:hAnsi="Arial" w:cs="Arial"/>
                <w:sz w:val="20"/>
                <w:szCs w:val="20"/>
              </w:rPr>
              <w:t>Engineering Managers</w:t>
            </w:r>
          </w:p>
        </w:tc>
        <w:tc>
          <w:tcPr>
            <w:tcW w:w="142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rFonts w:ascii="Arial" w:hAnsi="Arial" w:cs="Arial"/>
                <w:sz w:val="20"/>
                <w:szCs w:val="20"/>
              </w:rPr>
            </w:pPr>
            <w:r w:rsidRPr="00C506D2">
              <w:rPr>
                <w:rFonts w:ascii="Arial" w:hAnsi="Arial" w:cs="Arial"/>
                <w:sz w:val="20"/>
                <w:szCs w:val="20"/>
              </w:rPr>
              <w:t xml:space="preserve"> 11-9041</w:t>
            </w:r>
          </w:p>
        </w:tc>
        <w:tc>
          <w:tcPr>
            <w:tcW w:w="172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rFonts w:ascii="Arial" w:hAnsi="Arial" w:cs="Arial"/>
                <w:sz w:val="20"/>
                <w:szCs w:val="20"/>
              </w:rPr>
            </w:pPr>
            <w:r w:rsidRPr="00C506D2">
              <w:rPr>
                <w:rFonts w:ascii="Arial" w:hAnsi="Arial" w:cs="Arial"/>
                <w:sz w:val="20"/>
                <w:szCs w:val="20"/>
              </w:rPr>
              <w:t xml:space="preserve">$55.25 </w:t>
            </w:r>
          </w:p>
        </w:tc>
        <w:tc>
          <w:tcPr>
            <w:tcW w:w="124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rFonts w:ascii="Arial" w:hAnsi="Arial" w:cs="Arial"/>
                <w:sz w:val="20"/>
                <w:szCs w:val="20"/>
              </w:rPr>
            </w:pPr>
            <w:r w:rsidRPr="00C506D2">
              <w:rPr>
                <w:rFonts w:ascii="Arial" w:hAnsi="Arial" w:cs="Arial"/>
                <w:sz w:val="20"/>
                <w:szCs w:val="20"/>
              </w:rPr>
              <w:t xml:space="preserve">$116.03 </w:t>
            </w:r>
          </w:p>
        </w:tc>
      </w:tr>
      <w:tr w:rsidR="00D050C0" w:rsidRPr="00C506D2" w:rsidTr="00145BD0">
        <w:trPr>
          <w:trHeight w:val="510"/>
          <w:jc w:val="center"/>
        </w:trPr>
        <w:tc>
          <w:tcPr>
            <w:tcW w:w="2560" w:type="dxa"/>
            <w:tcBorders>
              <w:top w:val="nil"/>
              <w:left w:val="single" w:sz="4" w:space="0" w:color="auto"/>
              <w:bottom w:val="single" w:sz="4" w:space="0" w:color="auto"/>
              <w:right w:val="single" w:sz="4" w:space="0" w:color="auto"/>
            </w:tcBorders>
            <w:shd w:val="clear" w:color="auto" w:fill="auto"/>
            <w:hideMark/>
          </w:tcPr>
          <w:p w:rsidR="00D050C0" w:rsidRPr="00C506D2" w:rsidRDefault="00D050C0" w:rsidP="00145BD0">
            <w:pPr>
              <w:autoSpaceDE/>
              <w:autoSpaceDN/>
              <w:adjustRightInd/>
              <w:rPr>
                <w:rFonts w:ascii="Arial" w:hAnsi="Arial" w:cs="Arial"/>
                <w:sz w:val="20"/>
                <w:szCs w:val="20"/>
              </w:rPr>
            </w:pPr>
            <w:r w:rsidRPr="00C506D2">
              <w:rPr>
                <w:rFonts w:ascii="Arial" w:hAnsi="Arial" w:cs="Arial"/>
                <w:sz w:val="20"/>
                <w:szCs w:val="20"/>
              </w:rPr>
              <w:t>Secretaries, Except Legal, Medical and Executive</w:t>
            </w:r>
          </w:p>
        </w:tc>
        <w:tc>
          <w:tcPr>
            <w:tcW w:w="142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rFonts w:ascii="Arial" w:hAnsi="Arial" w:cs="Arial"/>
                <w:sz w:val="20"/>
                <w:szCs w:val="20"/>
              </w:rPr>
            </w:pPr>
            <w:r w:rsidRPr="00C506D2">
              <w:rPr>
                <w:rFonts w:ascii="Arial" w:hAnsi="Arial" w:cs="Arial"/>
                <w:sz w:val="20"/>
                <w:szCs w:val="20"/>
              </w:rPr>
              <w:t>43-6014</w:t>
            </w:r>
          </w:p>
        </w:tc>
        <w:tc>
          <w:tcPr>
            <w:tcW w:w="172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sz w:val="20"/>
                <w:szCs w:val="20"/>
              </w:rPr>
            </w:pPr>
            <w:r w:rsidRPr="00C506D2">
              <w:rPr>
                <w:sz w:val="20"/>
                <w:szCs w:val="20"/>
              </w:rPr>
              <w:t xml:space="preserve">$17.04 </w:t>
            </w:r>
          </w:p>
        </w:tc>
        <w:tc>
          <w:tcPr>
            <w:tcW w:w="1240" w:type="dxa"/>
            <w:tcBorders>
              <w:top w:val="nil"/>
              <w:left w:val="nil"/>
              <w:bottom w:val="single" w:sz="4" w:space="0" w:color="auto"/>
              <w:right w:val="single" w:sz="4" w:space="0" w:color="auto"/>
            </w:tcBorders>
            <w:shd w:val="clear" w:color="auto" w:fill="auto"/>
            <w:hideMark/>
          </w:tcPr>
          <w:p w:rsidR="00D050C0" w:rsidRPr="00C506D2" w:rsidRDefault="00D050C0" w:rsidP="00145BD0">
            <w:pPr>
              <w:autoSpaceDE/>
              <w:autoSpaceDN/>
              <w:adjustRightInd/>
              <w:jc w:val="center"/>
              <w:rPr>
                <w:rFonts w:ascii="Arial" w:hAnsi="Arial" w:cs="Arial"/>
                <w:sz w:val="20"/>
                <w:szCs w:val="20"/>
              </w:rPr>
            </w:pPr>
            <w:r w:rsidRPr="00C506D2">
              <w:rPr>
                <w:rFonts w:ascii="Arial" w:hAnsi="Arial" w:cs="Arial"/>
                <w:sz w:val="20"/>
                <w:szCs w:val="20"/>
              </w:rPr>
              <w:t xml:space="preserve">$35.78 </w:t>
            </w:r>
          </w:p>
        </w:tc>
      </w:tr>
    </w:tbl>
    <w:p w:rsidR="00D050C0" w:rsidRDefault="00D050C0" w:rsidP="00D050C0">
      <w:pPr>
        <w:numPr>
          <w:ilvl w:val="12"/>
          <w:numId w:val="0"/>
        </w:numPr>
      </w:pPr>
    </w:p>
    <w:p w:rsidR="00BA2A87" w:rsidRPr="00A93EDE" w:rsidRDefault="00BA2A87" w:rsidP="006241E7">
      <w:pPr>
        <w:widowControl/>
        <w:rPr>
          <w:color w:val="000000"/>
        </w:rPr>
      </w:pPr>
    </w:p>
    <w:p w:rsidR="00BA2A87" w:rsidRPr="00A93EDE" w:rsidRDefault="00BA2A87" w:rsidP="006241E7">
      <w:pPr>
        <w:widowControl/>
        <w:rPr>
          <w:color w:val="000000"/>
        </w:rPr>
      </w:pPr>
    </w:p>
    <w:p w:rsidR="00BA2A87" w:rsidRPr="006241E7" w:rsidRDefault="00BA2A87" w:rsidP="006241E7">
      <w:pPr>
        <w:widowControl/>
        <w:ind w:firstLine="720"/>
        <w:rPr>
          <w:b/>
          <w:color w:val="000000"/>
        </w:rPr>
      </w:pPr>
      <w:r w:rsidRPr="006241E7">
        <w:rPr>
          <w:b/>
          <w:color w:val="000000"/>
        </w:rPr>
        <w:t>(ii)</w:t>
      </w:r>
      <w:r w:rsidR="006241E7">
        <w:rPr>
          <w:b/>
          <w:color w:val="000000"/>
        </w:rPr>
        <w:t xml:space="preserve">  </w:t>
      </w:r>
      <w:r w:rsidRPr="006241E7">
        <w:rPr>
          <w:b/>
          <w:color w:val="000000"/>
        </w:rPr>
        <w:t>Estimating Capital and Operations and Maintenance Costs</w:t>
      </w:r>
    </w:p>
    <w:p w:rsidR="00BA2A87" w:rsidRPr="00A93EDE" w:rsidRDefault="00BA2A87" w:rsidP="006241E7">
      <w:pPr>
        <w:widowControl/>
        <w:rPr>
          <w:color w:val="000000"/>
        </w:rPr>
      </w:pPr>
    </w:p>
    <w:p w:rsidR="002C7D6C" w:rsidRDefault="00BA2A87" w:rsidP="0041304F">
      <w:pPr>
        <w:ind w:firstLine="720"/>
      </w:pPr>
      <w:r w:rsidRPr="00A93EDE">
        <w:rPr>
          <w:color w:val="000000"/>
        </w:rPr>
        <w:t xml:space="preserve">Operation and </w:t>
      </w:r>
      <w:r w:rsidR="009172D1">
        <w:rPr>
          <w:color w:val="000000"/>
        </w:rPr>
        <w:t>m</w:t>
      </w:r>
      <w:r w:rsidR="009172D1" w:rsidRPr="00A93EDE">
        <w:rPr>
          <w:color w:val="000000"/>
        </w:rPr>
        <w:t xml:space="preserve">aintenance </w:t>
      </w:r>
      <w:r w:rsidRPr="00A93EDE">
        <w:rPr>
          <w:color w:val="000000"/>
        </w:rPr>
        <w:t>costs associated with all programs</w:t>
      </w:r>
      <w:r w:rsidR="00515792">
        <w:rPr>
          <w:color w:val="000000"/>
        </w:rPr>
        <w:t xml:space="preserve"> </w:t>
      </w:r>
      <w:r w:rsidRPr="00A93EDE">
        <w:rPr>
          <w:color w:val="000000"/>
        </w:rPr>
        <w:t>covered by this</w:t>
      </w:r>
      <w:r w:rsidR="00515792">
        <w:rPr>
          <w:color w:val="000000"/>
        </w:rPr>
        <w:t xml:space="preserve"> </w:t>
      </w:r>
      <w:r w:rsidRPr="00A93EDE">
        <w:rPr>
          <w:color w:val="000000"/>
        </w:rPr>
        <w:t xml:space="preserve">information collection include </w:t>
      </w:r>
      <w:r w:rsidR="004D02C9">
        <w:rPr>
          <w:color w:val="000000"/>
        </w:rPr>
        <w:t>CDs used to submit electronic files</w:t>
      </w:r>
      <w:r w:rsidRPr="00A93EDE">
        <w:rPr>
          <w:color w:val="000000"/>
        </w:rPr>
        <w:t xml:space="preserve">, </w:t>
      </w:r>
      <w:r w:rsidR="004D02C9" w:rsidRPr="00A93EDE">
        <w:rPr>
          <w:color w:val="000000"/>
        </w:rPr>
        <w:t>postage</w:t>
      </w:r>
      <w:r w:rsidR="002C7D6C">
        <w:rPr>
          <w:color w:val="000000"/>
        </w:rPr>
        <w:t>, phone calls and testing</w:t>
      </w:r>
      <w:r w:rsidRPr="00A93EDE">
        <w:rPr>
          <w:color w:val="000000"/>
        </w:rPr>
        <w:t xml:space="preserve"> expenses</w:t>
      </w:r>
      <w:r w:rsidR="004D02C9">
        <w:rPr>
          <w:color w:val="000000"/>
        </w:rPr>
        <w:t>. It also includes</w:t>
      </w:r>
      <w:r w:rsidRPr="00A93EDE">
        <w:rPr>
          <w:color w:val="000000"/>
        </w:rPr>
        <w:t xml:space="preserve"> fuel costs related to PCA mileage accumulation and testing for selected test engines.</w:t>
      </w:r>
      <w:r w:rsidR="002C7D6C">
        <w:rPr>
          <w:color w:val="000000"/>
        </w:rPr>
        <w:t xml:space="preserve">  </w:t>
      </w:r>
      <w:r w:rsidR="002C7D6C">
        <w:t xml:space="preserve">Wherever possible, EPA obtained and used current costs.  For others, EPA used the </w:t>
      </w:r>
      <w:proofErr w:type="spellStart"/>
      <w:r w:rsidR="002C7D6C">
        <w:t>the</w:t>
      </w:r>
      <w:proofErr w:type="spellEnd"/>
      <w:r w:rsidR="002C7D6C">
        <w:t xml:space="preserve"> Consumer Price Index Inflation Calculator on the BLS website to determine the updated cost (available at </w:t>
      </w:r>
      <w:hyperlink r:id="rId12" w:history="1">
        <w:r w:rsidR="002C7D6C" w:rsidRPr="00575492">
          <w:rPr>
            <w:rStyle w:val="Hyperlink"/>
          </w:rPr>
          <w:t>http://www.bls.gov/data/inflation_calculator.htm</w:t>
        </w:r>
      </w:hyperlink>
      <w:r w:rsidR="002C7D6C">
        <w:t xml:space="preserve">), with the estimated value rounded to the nearest one hundred.  </w:t>
      </w:r>
    </w:p>
    <w:p w:rsidR="00BA2A87" w:rsidRPr="00A93EDE" w:rsidRDefault="00BA2A87" w:rsidP="00515792">
      <w:pPr>
        <w:widowControl/>
        <w:ind w:firstLine="720"/>
        <w:rPr>
          <w:color w:val="000000"/>
        </w:rPr>
      </w:pPr>
    </w:p>
    <w:p w:rsidR="00BA2A87" w:rsidRPr="00A93EDE" w:rsidRDefault="00BA2A87" w:rsidP="006241E7">
      <w:pPr>
        <w:widowControl/>
        <w:rPr>
          <w:color w:val="000000"/>
        </w:rPr>
      </w:pPr>
    </w:p>
    <w:p w:rsidR="00BA2A87" w:rsidRPr="00A93EDE" w:rsidRDefault="00BA2A87" w:rsidP="006241E7">
      <w:pPr>
        <w:widowControl/>
        <w:ind w:firstLine="720"/>
        <w:rPr>
          <w:color w:val="000000"/>
        </w:rPr>
      </w:pPr>
      <w:r w:rsidRPr="00A93EDE">
        <w:rPr>
          <w:color w:val="000000"/>
        </w:rPr>
        <w:t xml:space="preserve">There </w:t>
      </w:r>
      <w:proofErr w:type="gramStart"/>
      <w:r w:rsidRPr="00A93EDE">
        <w:rPr>
          <w:color w:val="000000"/>
        </w:rPr>
        <w:t>are</w:t>
      </w:r>
      <w:proofErr w:type="gramEnd"/>
      <w:r w:rsidRPr="00A93EDE">
        <w:rPr>
          <w:color w:val="000000"/>
        </w:rPr>
        <w:t xml:space="preserve"> no capital costs associated with this collection. </w:t>
      </w:r>
      <w:r w:rsidR="00515792">
        <w:rPr>
          <w:color w:val="000000"/>
        </w:rPr>
        <w:t xml:space="preserve"> </w:t>
      </w:r>
      <w:r w:rsidRPr="00A93EDE">
        <w:rPr>
          <w:color w:val="000000"/>
        </w:rPr>
        <w:t>Related capital costs for engine manufacturers for test equipment, computers and facilities are covered under the certification program. EPA does not expect any additional capital costs related to this NCP collection.</w:t>
      </w:r>
    </w:p>
    <w:p w:rsidR="00BA2A87" w:rsidRPr="00A93EDE" w:rsidRDefault="00BA2A87" w:rsidP="006241E7">
      <w:pPr>
        <w:widowControl/>
        <w:rPr>
          <w:color w:val="000000"/>
        </w:rPr>
      </w:pPr>
    </w:p>
    <w:p w:rsidR="00BA2A87" w:rsidRPr="006241E7" w:rsidRDefault="00BA2A87" w:rsidP="006241E7">
      <w:pPr>
        <w:widowControl/>
        <w:ind w:firstLine="720"/>
        <w:rPr>
          <w:b/>
          <w:color w:val="000000"/>
        </w:rPr>
      </w:pPr>
      <w:r w:rsidRPr="006241E7">
        <w:rPr>
          <w:b/>
          <w:color w:val="000000"/>
        </w:rPr>
        <w:t>(iii)</w:t>
      </w:r>
      <w:r w:rsidR="006241E7">
        <w:rPr>
          <w:b/>
          <w:color w:val="000000"/>
        </w:rPr>
        <w:t xml:space="preserve"> </w:t>
      </w:r>
      <w:r w:rsidRPr="006241E7">
        <w:rPr>
          <w:b/>
          <w:color w:val="000000"/>
        </w:rPr>
        <w:t xml:space="preserve"> Capital/Start</w:t>
      </w:r>
      <w:r w:rsidR="009172D1">
        <w:rPr>
          <w:b/>
          <w:color w:val="000000"/>
        </w:rPr>
        <w:t>-Up and Operations and Maintenance Costs</w:t>
      </w:r>
    </w:p>
    <w:p w:rsidR="00BA2A87" w:rsidRPr="00A93EDE" w:rsidRDefault="00BA2A87" w:rsidP="006241E7">
      <w:pPr>
        <w:widowControl/>
        <w:rPr>
          <w:color w:val="000000"/>
        </w:rPr>
      </w:pPr>
    </w:p>
    <w:p w:rsidR="009172D1" w:rsidRDefault="009172D1" w:rsidP="00515792">
      <w:pPr>
        <w:widowControl/>
        <w:ind w:firstLine="720"/>
        <w:rPr>
          <w:color w:val="000000"/>
        </w:rPr>
      </w:pPr>
      <w:r>
        <w:rPr>
          <w:color w:val="000000"/>
        </w:rPr>
        <w:lastRenderedPageBreak/>
        <w:t xml:space="preserve">Operation and </w:t>
      </w:r>
      <w:r w:rsidR="004D02C9">
        <w:rPr>
          <w:color w:val="000000"/>
        </w:rPr>
        <w:t>maintenance costs associated with</w:t>
      </w:r>
      <w:r>
        <w:rPr>
          <w:color w:val="000000"/>
        </w:rPr>
        <w:t xml:space="preserve"> all programs covered by this information collection are l</w:t>
      </w:r>
      <w:r w:rsidR="00821D6F">
        <w:rPr>
          <w:color w:val="000000"/>
        </w:rPr>
        <w:t>isted in</w:t>
      </w:r>
      <w:r w:rsidR="0036279F">
        <w:rPr>
          <w:color w:val="000000"/>
        </w:rPr>
        <w:t xml:space="preserve"> Section 6(e),</w:t>
      </w:r>
      <w:r w:rsidR="00821D6F">
        <w:rPr>
          <w:color w:val="000000"/>
        </w:rPr>
        <w:t xml:space="preserve"> Table E</w:t>
      </w:r>
      <w:r>
        <w:rPr>
          <w:color w:val="000000"/>
        </w:rPr>
        <w:t>.</w:t>
      </w:r>
      <w:r w:rsidR="00503341">
        <w:rPr>
          <w:color w:val="000000"/>
        </w:rPr>
        <w:t xml:space="preserve">  EPA has estimated that the one respondent to this collection will spend </w:t>
      </w:r>
      <w:r w:rsidR="00541B90">
        <w:rPr>
          <w:color w:val="000000"/>
        </w:rPr>
        <w:t>approximately $39,344</w:t>
      </w:r>
      <w:r w:rsidR="00503341">
        <w:rPr>
          <w:color w:val="000000"/>
        </w:rPr>
        <w:t xml:space="preserve"> in total O&amp;M costs </w:t>
      </w:r>
      <w:r w:rsidR="0041304F">
        <w:rPr>
          <w:color w:val="000000"/>
        </w:rPr>
        <w:t>for a total of</w:t>
      </w:r>
      <w:r w:rsidR="00503341">
        <w:rPr>
          <w:color w:val="000000"/>
        </w:rPr>
        <w:t xml:space="preserve"> four engine families</w:t>
      </w:r>
      <w:r w:rsidR="0041304F">
        <w:rPr>
          <w:color w:val="000000"/>
        </w:rPr>
        <w:t xml:space="preserve"> </w:t>
      </w:r>
      <w:proofErr w:type="gramStart"/>
      <w:r w:rsidR="00503341">
        <w:rPr>
          <w:color w:val="000000"/>
        </w:rPr>
        <w:t>The</w:t>
      </w:r>
      <w:proofErr w:type="gramEnd"/>
      <w:r w:rsidR="00503341">
        <w:rPr>
          <w:color w:val="000000"/>
        </w:rPr>
        <w:t xml:space="preserve"> largest expense is service accumulation testing at an approximate cost of $17,300 per engine family.  Service accumulation results can be carried from one year to the next, </w:t>
      </w:r>
      <w:r w:rsidR="00B5189C">
        <w:rPr>
          <w:color w:val="000000"/>
        </w:rPr>
        <w:t xml:space="preserve">so respondents don’t incur in this expense </w:t>
      </w:r>
      <w:r w:rsidR="00503341">
        <w:rPr>
          <w:color w:val="000000"/>
        </w:rPr>
        <w:t>for carry over families (see section 4(b) and 6(e</w:t>
      </w:r>
      <w:proofErr w:type="gramStart"/>
      <w:r w:rsidR="00503341">
        <w:rPr>
          <w:color w:val="000000"/>
        </w:rPr>
        <w:t>)</w:t>
      </w:r>
      <w:r w:rsidR="00541B90">
        <w:rPr>
          <w:color w:val="000000"/>
        </w:rPr>
        <w:t>(</w:t>
      </w:r>
      <w:proofErr w:type="gramEnd"/>
      <w:r w:rsidR="00541B90">
        <w:rPr>
          <w:color w:val="000000"/>
        </w:rPr>
        <w:t>i)</w:t>
      </w:r>
      <w:r w:rsidR="00503341">
        <w:rPr>
          <w:color w:val="000000"/>
        </w:rPr>
        <w:t xml:space="preserve"> for details).</w:t>
      </w:r>
      <w:r w:rsidR="0041304F">
        <w:rPr>
          <w:color w:val="000000"/>
        </w:rPr>
        <w:t xml:space="preserve"> Since EPA expects two of the four engine families to be carry-overs, this testing expense only applies to the remaining two engine families.</w:t>
      </w:r>
    </w:p>
    <w:p w:rsidR="009172D1" w:rsidRDefault="009172D1" w:rsidP="00515792">
      <w:pPr>
        <w:widowControl/>
        <w:ind w:firstLine="720"/>
        <w:rPr>
          <w:color w:val="000000"/>
        </w:rPr>
      </w:pPr>
    </w:p>
    <w:p w:rsidR="00BA2A87" w:rsidRPr="00A93EDE" w:rsidRDefault="00BA2A87" w:rsidP="00515792">
      <w:pPr>
        <w:widowControl/>
        <w:ind w:firstLine="720"/>
        <w:rPr>
          <w:color w:val="000000"/>
        </w:rPr>
      </w:pPr>
      <w:r w:rsidRPr="00A93EDE">
        <w:rPr>
          <w:color w:val="000000"/>
        </w:rPr>
        <w:t xml:space="preserve">There </w:t>
      </w:r>
      <w:proofErr w:type="gramStart"/>
      <w:r w:rsidRPr="00A93EDE">
        <w:rPr>
          <w:color w:val="000000"/>
        </w:rPr>
        <w:t>are no capital</w:t>
      </w:r>
      <w:proofErr w:type="gramEnd"/>
      <w:r w:rsidRPr="00A93EDE">
        <w:rPr>
          <w:color w:val="000000"/>
        </w:rPr>
        <w:t xml:space="preserve"> or start up costs associated with the</w:t>
      </w:r>
      <w:r w:rsidR="00515792">
        <w:rPr>
          <w:color w:val="000000"/>
        </w:rPr>
        <w:t xml:space="preserve"> </w:t>
      </w:r>
      <w:r w:rsidRPr="00A93EDE">
        <w:rPr>
          <w:color w:val="000000"/>
        </w:rPr>
        <w:t>renewal of this ICR. (See 6(b</w:t>
      </w:r>
      <w:proofErr w:type="gramStart"/>
      <w:r w:rsidRPr="00A93EDE">
        <w:rPr>
          <w:color w:val="000000"/>
        </w:rPr>
        <w:t>)(</w:t>
      </w:r>
      <w:proofErr w:type="gramEnd"/>
      <w:r w:rsidRPr="00A93EDE">
        <w:rPr>
          <w:color w:val="000000"/>
        </w:rPr>
        <w:t>ii) for details.)</w:t>
      </w:r>
    </w:p>
    <w:p w:rsidR="00BA2A87" w:rsidRPr="00A93EDE" w:rsidRDefault="00BA2A87" w:rsidP="006241E7">
      <w:pPr>
        <w:widowControl/>
        <w:rPr>
          <w:color w:val="000000"/>
        </w:rPr>
      </w:pPr>
    </w:p>
    <w:p w:rsidR="00BA2A87" w:rsidRPr="006241E7" w:rsidRDefault="00EA0E41" w:rsidP="006241E7">
      <w:pPr>
        <w:widowControl/>
        <w:ind w:firstLine="720"/>
        <w:rPr>
          <w:b/>
          <w:color w:val="000000"/>
        </w:rPr>
      </w:pPr>
      <w:proofErr w:type="gramStart"/>
      <w:r w:rsidRPr="006241E7">
        <w:rPr>
          <w:b/>
          <w:color w:val="000000"/>
        </w:rPr>
        <w:t xml:space="preserve">(iv)  </w:t>
      </w:r>
      <w:r w:rsidR="00BA2A87" w:rsidRPr="006241E7">
        <w:rPr>
          <w:b/>
          <w:color w:val="000000"/>
        </w:rPr>
        <w:t>Annualizing</w:t>
      </w:r>
      <w:proofErr w:type="gramEnd"/>
      <w:r w:rsidR="00BA2A87" w:rsidRPr="006241E7">
        <w:rPr>
          <w:b/>
          <w:color w:val="000000"/>
        </w:rPr>
        <w:t xml:space="preserve"> Capital Costs</w:t>
      </w:r>
    </w:p>
    <w:p w:rsidR="00BA2A87" w:rsidRPr="00A93EDE" w:rsidRDefault="00BA2A87" w:rsidP="006241E7">
      <w:pPr>
        <w:widowControl/>
        <w:rPr>
          <w:color w:val="000000"/>
        </w:rPr>
      </w:pPr>
    </w:p>
    <w:p w:rsidR="00BA2A87" w:rsidRPr="00A93EDE" w:rsidRDefault="00BA2A87" w:rsidP="006241E7">
      <w:pPr>
        <w:widowControl/>
        <w:ind w:firstLine="720"/>
        <w:rPr>
          <w:color w:val="000000"/>
        </w:rPr>
      </w:pPr>
      <w:r w:rsidRPr="00A93EDE">
        <w:rPr>
          <w:color w:val="000000"/>
        </w:rPr>
        <w:t xml:space="preserve">There </w:t>
      </w:r>
      <w:proofErr w:type="gramStart"/>
      <w:r w:rsidRPr="00A93EDE">
        <w:rPr>
          <w:color w:val="000000"/>
        </w:rPr>
        <w:t>are</w:t>
      </w:r>
      <w:proofErr w:type="gramEnd"/>
      <w:r w:rsidRPr="00A93EDE">
        <w:rPr>
          <w:color w:val="000000"/>
        </w:rPr>
        <w:t xml:space="preserve"> no capital costs associated with the renewal of this</w:t>
      </w:r>
      <w:r w:rsidR="00BF424E">
        <w:rPr>
          <w:color w:val="000000"/>
        </w:rPr>
        <w:t xml:space="preserve"> </w:t>
      </w:r>
      <w:r w:rsidRPr="00A93EDE">
        <w:rPr>
          <w:color w:val="000000"/>
        </w:rPr>
        <w:t>ICR. (See 6(b</w:t>
      </w:r>
      <w:proofErr w:type="gramStart"/>
      <w:r w:rsidRPr="00A93EDE">
        <w:rPr>
          <w:color w:val="000000"/>
        </w:rPr>
        <w:t>)(</w:t>
      </w:r>
      <w:proofErr w:type="gramEnd"/>
      <w:r w:rsidRPr="00A93EDE">
        <w:rPr>
          <w:color w:val="000000"/>
        </w:rPr>
        <w:t>ii) for details.)</w:t>
      </w:r>
    </w:p>
    <w:p w:rsidR="00BA2A87" w:rsidRPr="00A93EDE" w:rsidRDefault="00BA2A87" w:rsidP="006241E7">
      <w:pPr>
        <w:widowControl/>
        <w:rPr>
          <w:color w:val="000000"/>
        </w:rPr>
      </w:pPr>
    </w:p>
    <w:p w:rsidR="00BA2A87" w:rsidRPr="006241E7" w:rsidRDefault="00BA2A87" w:rsidP="006241E7">
      <w:pPr>
        <w:widowControl/>
        <w:ind w:left="360"/>
        <w:rPr>
          <w:b/>
          <w:color w:val="000000"/>
        </w:rPr>
      </w:pPr>
      <w:r w:rsidRPr="006241E7">
        <w:rPr>
          <w:b/>
          <w:color w:val="000000"/>
        </w:rPr>
        <w:t>6(c</w:t>
      </w:r>
      <w:proofErr w:type="gramStart"/>
      <w:r w:rsidRPr="006241E7">
        <w:rPr>
          <w:b/>
          <w:color w:val="000000"/>
        </w:rPr>
        <w:t>)</w:t>
      </w:r>
      <w:r w:rsidR="006241E7" w:rsidRPr="006241E7">
        <w:rPr>
          <w:b/>
          <w:color w:val="000000"/>
        </w:rPr>
        <w:t xml:space="preserve">  </w:t>
      </w:r>
      <w:r w:rsidRPr="006241E7">
        <w:rPr>
          <w:b/>
          <w:color w:val="000000"/>
        </w:rPr>
        <w:t>Estimating</w:t>
      </w:r>
      <w:proofErr w:type="gramEnd"/>
      <w:r w:rsidRPr="006241E7">
        <w:rPr>
          <w:b/>
          <w:color w:val="000000"/>
        </w:rPr>
        <w:t xml:space="preserve"> Agency Burden</w:t>
      </w:r>
    </w:p>
    <w:p w:rsidR="00BA2A87" w:rsidRPr="00A93EDE" w:rsidRDefault="00BA2A87" w:rsidP="006241E7">
      <w:pPr>
        <w:widowControl/>
        <w:rPr>
          <w:color w:val="000000"/>
        </w:rPr>
      </w:pPr>
    </w:p>
    <w:p w:rsidR="00675D9E" w:rsidRDefault="00675D9E" w:rsidP="00675D9E">
      <w:pPr>
        <w:widowControl/>
        <w:ind w:firstLine="720"/>
      </w:pPr>
      <w:r w:rsidRPr="00CF3CF9">
        <w:t>Government cost is based on GS-13</w:t>
      </w:r>
      <w:r>
        <w:t>/10</w:t>
      </w:r>
      <w:r w:rsidRPr="00CF3CF9">
        <w:t xml:space="preserve"> salary for professional engineers</w:t>
      </w:r>
      <w:r>
        <w:t xml:space="preserve"> &amp; lawyers</w:t>
      </w:r>
      <w:r w:rsidRPr="00CF3CF9">
        <w:t xml:space="preserve"> </w:t>
      </w:r>
      <w:r w:rsidRPr="007D29DE">
        <w:t>($</w:t>
      </w:r>
      <w:r>
        <w:t>44.65</w:t>
      </w:r>
      <w:r w:rsidRPr="007D29DE">
        <w:t>/hr</w:t>
      </w:r>
      <w:r w:rsidRPr="00CF3CF9">
        <w:t>), adjusted by a factor of 1.6 to account for government benefits, resulting in a final rate of $</w:t>
      </w:r>
      <w:r>
        <w:t>71.44</w:t>
      </w:r>
      <w:r w:rsidRPr="00CF3CF9">
        <w:t xml:space="preserve">/hr. </w:t>
      </w:r>
      <w:r>
        <w:t xml:space="preserve">For managers, the hourly rate used is that of a GS-14/10 at $52.76, for a final rate of $84.42.  </w:t>
      </w:r>
      <w:r w:rsidRPr="00CF3CF9">
        <w:t>The hourly rate was obtained from the Office of Personal Management, "Salary Table 20</w:t>
      </w:r>
      <w:r>
        <w:t>12</w:t>
      </w:r>
      <w:r w:rsidRPr="00CF3CF9">
        <w:t>-GS" (</w:t>
      </w:r>
      <w:hyperlink r:id="rId13" w:history="1">
        <w:r w:rsidRPr="00A51E2B">
          <w:rPr>
            <w:rStyle w:val="Hyperlink"/>
          </w:rPr>
          <w:t>http://www.opm.gov/oca/12tables/html/gs_h.asp</w:t>
        </w:r>
      </w:hyperlink>
      <w:r>
        <w:t xml:space="preserve"> </w:t>
      </w:r>
      <w:r w:rsidRPr="00CF3CF9">
        <w:t xml:space="preserve">). </w:t>
      </w:r>
      <w:r>
        <w:t xml:space="preserve"> Table F summarizes EPA’s burden.</w:t>
      </w:r>
    </w:p>
    <w:p w:rsidR="00675D9E" w:rsidRDefault="00675D9E" w:rsidP="00675D9E">
      <w:pPr>
        <w:widowControl/>
        <w:ind w:firstLine="720"/>
      </w:pPr>
    </w:p>
    <w:p w:rsidR="00BA2A87" w:rsidRPr="00CE00C1" w:rsidRDefault="00BA2A87" w:rsidP="006241E7">
      <w:pPr>
        <w:widowControl/>
        <w:numPr>
          <w:ilvl w:val="12"/>
          <w:numId w:val="0"/>
        </w:numPr>
        <w:ind w:firstLine="720"/>
      </w:pPr>
      <w:r w:rsidRPr="00A93EDE">
        <w:rPr>
          <w:color w:val="000000"/>
        </w:rPr>
        <w:t>Agency time is allocated for review of the NCP application, review of the PCA data, determination of the emission compliance level and review of the quarterly reports and NCP fee calculation.</w:t>
      </w:r>
    </w:p>
    <w:p w:rsidR="00BA2A87" w:rsidRPr="00A93EDE" w:rsidRDefault="00BA2A87" w:rsidP="006241E7">
      <w:pPr>
        <w:widowControl/>
        <w:rPr>
          <w:color w:val="000000"/>
        </w:rPr>
      </w:pPr>
    </w:p>
    <w:p w:rsidR="00BA2A87" w:rsidRPr="006241E7" w:rsidRDefault="00BA2A87" w:rsidP="00D62097">
      <w:pPr>
        <w:keepNext/>
        <w:widowControl/>
        <w:ind w:left="360"/>
        <w:rPr>
          <w:b/>
          <w:color w:val="000000"/>
        </w:rPr>
      </w:pPr>
      <w:r w:rsidRPr="006241E7">
        <w:rPr>
          <w:b/>
          <w:color w:val="000000"/>
        </w:rPr>
        <w:t>6(d</w:t>
      </w:r>
      <w:proofErr w:type="gramStart"/>
      <w:r w:rsidRPr="006241E7">
        <w:rPr>
          <w:b/>
          <w:color w:val="000000"/>
        </w:rPr>
        <w:t>)</w:t>
      </w:r>
      <w:r w:rsidR="006241E7" w:rsidRPr="006241E7">
        <w:rPr>
          <w:b/>
          <w:color w:val="000000"/>
        </w:rPr>
        <w:t xml:space="preserve">  </w:t>
      </w:r>
      <w:r w:rsidRPr="006241E7">
        <w:rPr>
          <w:b/>
          <w:color w:val="000000"/>
        </w:rPr>
        <w:t>Estimating</w:t>
      </w:r>
      <w:proofErr w:type="gramEnd"/>
      <w:r w:rsidRPr="006241E7">
        <w:rPr>
          <w:b/>
          <w:color w:val="000000"/>
        </w:rPr>
        <w:t xml:space="preserve"> the Respondent Universe and Total Burden and Costs</w:t>
      </w:r>
    </w:p>
    <w:p w:rsidR="00BA2A87" w:rsidRPr="00A93EDE" w:rsidRDefault="00BA2A87" w:rsidP="00D62097">
      <w:pPr>
        <w:keepNext/>
        <w:widowControl/>
        <w:rPr>
          <w:color w:val="000000"/>
        </w:rPr>
      </w:pPr>
    </w:p>
    <w:p w:rsidR="00821D6F" w:rsidRPr="00821D6F" w:rsidRDefault="00821D6F" w:rsidP="006241E7">
      <w:pPr>
        <w:widowControl/>
        <w:ind w:firstLine="720"/>
        <w:rPr>
          <w:color w:val="000000"/>
        </w:rPr>
      </w:pPr>
      <w:r w:rsidRPr="00821D6F">
        <w:rPr>
          <w:color w:val="000000"/>
        </w:rPr>
        <w:t>In the past several years, only one manufacturer has participated in the NCP program annually with three to four engine families each year. EPA expects that only this one manufacturer will need to utilize the program.  For purposes of estimating respondent burden, EPA has estimated that one manufacturer will use NCPs for four families each year.  Two of these families will require new testing while the other two will be carry over families that can utilize the results of the PCA performed previously. The numbers for the new testing families have been annualized</w:t>
      </w:r>
      <w:r>
        <w:rPr>
          <w:color w:val="000000"/>
        </w:rPr>
        <w:t xml:space="preserve">, since those will become </w:t>
      </w:r>
      <w:proofErr w:type="gramStart"/>
      <w:r>
        <w:rPr>
          <w:color w:val="000000"/>
        </w:rPr>
        <w:t>carry</w:t>
      </w:r>
      <w:proofErr w:type="gramEnd"/>
      <w:r>
        <w:rPr>
          <w:color w:val="000000"/>
        </w:rPr>
        <w:t xml:space="preserve"> over families on subsequent years</w:t>
      </w:r>
      <w:r w:rsidRPr="00821D6F">
        <w:rPr>
          <w:color w:val="000000"/>
        </w:rPr>
        <w:t>.</w:t>
      </w:r>
    </w:p>
    <w:p w:rsidR="004D02C9" w:rsidRPr="00A93EDE" w:rsidRDefault="004D02C9" w:rsidP="006241E7">
      <w:pPr>
        <w:widowControl/>
        <w:ind w:firstLine="720"/>
        <w:rPr>
          <w:color w:val="000000"/>
        </w:rPr>
      </w:pPr>
    </w:p>
    <w:p w:rsidR="00BA2A87" w:rsidRPr="00A93EDE" w:rsidRDefault="0042255A" w:rsidP="0042255A">
      <w:pPr>
        <w:widowControl/>
        <w:ind w:firstLine="720"/>
        <w:rPr>
          <w:color w:val="000000"/>
        </w:rPr>
      </w:pPr>
      <w:r>
        <w:rPr>
          <w:color w:val="000000"/>
        </w:rPr>
        <w:t>For each year that this respondent participates in the NCP program, it is expected to submit six reports:  one PCA notification, one PCA report and four quarterly reports per engine family.  Since our respondent is participating with four engine families, the total annual number of responses to this collection is of 24 (six reports per engine family for each of four engine families).</w:t>
      </w:r>
    </w:p>
    <w:p w:rsidR="003D688B" w:rsidRDefault="003D688B" w:rsidP="006241E7">
      <w:pPr>
        <w:widowControl/>
        <w:ind w:left="360"/>
        <w:rPr>
          <w:b/>
          <w:color w:val="000000"/>
        </w:rPr>
      </w:pPr>
    </w:p>
    <w:p w:rsidR="003D688B" w:rsidRDefault="003D688B" w:rsidP="006241E7">
      <w:pPr>
        <w:widowControl/>
        <w:ind w:left="360"/>
        <w:rPr>
          <w:b/>
          <w:color w:val="000000"/>
        </w:rPr>
      </w:pPr>
    </w:p>
    <w:p w:rsidR="003D688B" w:rsidRDefault="003D688B" w:rsidP="006241E7">
      <w:pPr>
        <w:widowControl/>
        <w:ind w:left="360"/>
        <w:rPr>
          <w:b/>
          <w:color w:val="000000"/>
        </w:rPr>
      </w:pPr>
    </w:p>
    <w:p w:rsidR="003D688B" w:rsidRDefault="003D688B" w:rsidP="006241E7">
      <w:pPr>
        <w:widowControl/>
        <w:ind w:left="360"/>
        <w:rPr>
          <w:b/>
          <w:color w:val="000000"/>
        </w:rPr>
      </w:pPr>
    </w:p>
    <w:p w:rsidR="003D688B" w:rsidRDefault="003D688B" w:rsidP="006241E7">
      <w:pPr>
        <w:widowControl/>
        <w:ind w:left="360"/>
        <w:rPr>
          <w:b/>
          <w:color w:val="000000"/>
        </w:rPr>
      </w:pPr>
    </w:p>
    <w:p w:rsidR="003D688B" w:rsidRDefault="003D688B" w:rsidP="006241E7">
      <w:pPr>
        <w:widowControl/>
        <w:ind w:left="360"/>
        <w:rPr>
          <w:b/>
          <w:color w:val="000000"/>
        </w:rPr>
      </w:pPr>
    </w:p>
    <w:p w:rsidR="00BA2A87" w:rsidRDefault="00BA2A87" w:rsidP="006241E7">
      <w:pPr>
        <w:widowControl/>
        <w:ind w:left="360"/>
        <w:rPr>
          <w:b/>
          <w:color w:val="000000"/>
        </w:rPr>
      </w:pPr>
      <w:r w:rsidRPr="006241E7">
        <w:rPr>
          <w:b/>
          <w:color w:val="000000"/>
        </w:rPr>
        <w:t>6(e</w:t>
      </w:r>
      <w:proofErr w:type="gramStart"/>
      <w:r w:rsidRPr="006241E7">
        <w:rPr>
          <w:b/>
          <w:color w:val="000000"/>
        </w:rPr>
        <w:t>)</w:t>
      </w:r>
      <w:r w:rsidR="006241E7" w:rsidRPr="006241E7">
        <w:rPr>
          <w:b/>
          <w:color w:val="000000"/>
        </w:rPr>
        <w:t xml:space="preserve">  </w:t>
      </w:r>
      <w:r w:rsidRPr="006241E7">
        <w:rPr>
          <w:b/>
          <w:color w:val="000000"/>
        </w:rPr>
        <w:t>Bottom</w:t>
      </w:r>
      <w:proofErr w:type="gramEnd"/>
      <w:r w:rsidRPr="006241E7">
        <w:rPr>
          <w:b/>
          <w:color w:val="000000"/>
        </w:rPr>
        <w:t xml:space="preserve"> Line Burden Hours and Cost Tables</w:t>
      </w:r>
    </w:p>
    <w:p w:rsidR="00E07ACB" w:rsidRDefault="00E07ACB" w:rsidP="006241E7">
      <w:pPr>
        <w:widowControl/>
        <w:ind w:left="360"/>
        <w:rPr>
          <w:b/>
          <w:color w:val="000000"/>
        </w:rPr>
      </w:pPr>
    </w:p>
    <w:p w:rsidR="00541B90" w:rsidRDefault="00541B90" w:rsidP="00541B90">
      <w:pPr>
        <w:widowControl/>
        <w:ind w:firstLine="720"/>
        <w:rPr>
          <w:b/>
          <w:color w:val="000000"/>
        </w:rPr>
      </w:pPr>
      <w:r w:rsidRPr="006241E7">
        <w:rPr>
          <w:b/>
          <w:color w:val="000000"/>
        </w:rPr>
        <w:t>(i)</w:t>
      </w:r>
      <w:r>
        <w:rPr>
          <w:b/>
          <w:color w:val="000000"/>
        </w:rPr>
        <w:t xml:space="preserve">  </w:t>
      </w:r>
      <w:r w:rsidRPr="006241E7">
        <w:rPr>
          <w:b/>
          <w:color w:val="000000"/>
        </w:rPr>
        <w:t>Respondent Tally</w:t>
      </w:r>
    </w:p>
    <w:p w:rsidR="00BA2A87" w:rsidRDefault="00BA2A87" w:rsidP="006241E7">
      <w:pPr>
        <w:widowControl/>
        <w:rPr>
          <w:color w:val="000000"/>
        </w:rPr>
      </w:pPr>
    </w:p>
    <w:p w:rsidR="00E07ACB" w:rsidRDefault="00E07ACB" w:rsidP="006241E7">
      <w:pPr>
        <w:widowControl/>
        <w:rPr>
          <w:color w:val="000000"/>
        </w:rPr>
      </w:pPr>
    </w:p>
    <w:p w:rsidR="0042255A" w:rsidRDefault="0042255A" w:rsidP="0042255A">
      <w:pPr>
        <w:widowControl/>
        <w:ind w:firstLine="720"/>
        <w:rPr>
          <w:color w:val="000000"/>
        </w:rPr>
      </w:pPr>
      <w:r>
        <w:rPr>
          <w:color w:val="000000"/>
        </w:rPr>
        <w:t xml:space="preserve">Table E below summarizes respondent burden and cost. The first column lists the different activities (a total of 10), that this respondent will need to engage in to comply with the requirements of the program. </w:t>
      </w:r>
    </w:p>
    <w:p w:rsidR="0042255A" w:rsidRDefault="0042255A" w:rsidP="0042255A">
      <w:pPr>
        <w:widowControl/>
        <w:rPr>
          <w:color w:val="000000"/>
        </w:rPr>
      </w:pPr>
    </w:p>
    <w:p w:rsidR="00E07ACB" w:rsidRDefault="00E07ACB" w:rsidP="00944FBA">
      <w:pPr>
        <w:widowControl/>
        <w:ind w:left="-720"/>
        <w:rPr>
          <w:color w:val="000000"/>
        </w:rPr>
      </w:pPr>
    </w:p>
    <w:bookmarkStart w:id="0" w:name="_MON_1414323256"/>
    <w:bookmarkEnd w:id="0"/>
    <w:p w:rsidR="00E07ACB" w:rsidRDefault="00944FBA" w:rsidP="00944FBA">
      <w:pPr>
        <w:widowControl/>
        <w:ind w:left="-1080"/>
        <w:rPr>
          <w:color w:val="000000"/>
        </w:rPr>
      </w:pPr>
      <w:r w:rsidRPr="00790475">
        <w:rPr>
          <w:color w:val="000000"/>
        </w:rPr>
        <w:object w:dxaOrig="11614" w:dyaOrig="6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331.5pt" o:ole="">
            <v:imagedata r:id="rId14" o:title=""/>
          </v:shape>
          <o:OLEObject Type="Embed" ProgID="Excel.Sheet.12" ShapeID="_x0000_i1025" DrawAspect="Content" ObjectID="_1416737228" r:id="rId15"/>
        </w:object>
      </w:r>
    </w:p>
    <w:p w:rsidR="00C32F0A" w:rsidRDefault="0042255A" w:rsidP="003D688B">
      <w:pPr>
        <w:widowControl/>
        <w:ind w:firstLine="720"/>
        <w:rPr>
          <w:color w:val="000000"/>
        </w:rPr>
      </w:pPr>
      <w:r>
        <w:rPr>
          <w:color w:val="000000"/>
        </w:rPr>
        <w:t>The fact that carry-over families have a lower burden and cost than new families is reflected in the ‘Number of E</w:t>
      </w:r>
      <w:r w:rsidR="003D688B">
        <w:rPr>
          <w:color w:val="000000"/>
        </w:rPr>
        <w:t xml:space="preserve">ngine </w:t>
      </w:r>
      <w:r>
        <w:rPr>
          <w:color w:val="000000"/>
        </w:rPr>
        <w:t>F</w:t>
      </w:r>
      <w:r w:rsidR="003D688B">
        <w:rPr>
          <w:color w:val="000000"/>
        </w:rPr>
        <w:t>amil</w:t>
      </w:r>
      <w:r>
        <w:rPr>
          <w:color w:val="000000"/>
        </w:rPr>
        <w:t>ies’</w:t>
      </w:r>
      <w:r w:rsidR="003D688B">
        <w:rPr>
          <w:color w:val="000000"/>
        </w:rPr>
        <w:t xml:space="preserve"> column</w:t>
      </w:r>
      <w:r>
        <w:rPr>
          <w:color w:val="000000"/>
        </w:rPr>
        <w:t xml:space="preserve">, which lists </w:t>
      </w:r>
      <w:r w:rsidR="003D688B">
        <w:rPr>
          <w:color w:val="000000"/>
        </w:rPr>
        <w:t>the actual number</w:t>
      </w:r>
      <w:r w:rsidR="00C32F0A">
        <w:rPr>
          <w:color w:val="000000"/>
        </w:rPr>
        <w:t xml:space="preserve"> of engine families for which each</w:t>
      </w:r>
      <w:r w:rsidR="003D688B">
        <w:rPr>
          <w:color w:val="000000"/>
        </w:rPr>
        <w:t xml:space="preserve"> activity must be </w:t>
      </w:r>
      <w:r w:rsidR="00C32F0A">
        <w:rPr>
          <w:color w:val="000000"/>
        </w:rPr>
        <w:t>performed</w:t>
      </w:r>
      <w:r w:rsidR="003D688B">
        <w:rPr>
          <w:color w:val="000000"/>
        </w:rPr>
        <w:t>.  Therefore, “four” means that the activity must be performed each year for all engine families, while a “two” means that the activity has to be performed only for the two new engine families</w:t>
      </w:r>
      <w:r>
        <w:rPr>
          <w:color w:val="000000"/>
        </w:rPr>
        <w:t xml:space="preserve">.  For the </w:t>
      </w:r>
      <w:r w:rsidR="00C32F0A">
        <w:rPr>
          <w:color w:val="000000"/>
        </w:rPr>
        <w:t xml:space="preserve">two </w:t>
      </w:r>
      <w:r>
        <w:rPr>
          <w:color w:val="000000"/>
        </w:rPr>
        <w:t>carry-over families, the respondent submits d</w:t>
      </w:r>
      <w:r w:rsidR="00C32F0A">
        <w:rPr>
          <w:color w:val="000000"/>
        </w:rPr>
        <w:t>ata gathered in previous years.</w:t>
      </w:r>
      <w:r w:rsidR="003D688B">
        <w:rPr>
          <w:color w:val="000000"/>
        </w:rPr>
        <w:t xml:space="preserve"> “One” denotes a one-time activity regardless </w:t>
      </w:r>
      <w:r w:rsidR="003D688B">
        <w:rPr>
          <w:color w:val="000000"/>
        </w:rPr>
        <w:lastRenderedPageBreak/>
        <w:t>of the number of engine families. “Frequency” refers to the number of times in a year that an activity occurs.</w:t>
      </w:r>
      <w:r w:rsidR="00C32F0A">
        <w:rPr>
          <w:color w:val="000000"/>
        </w:rPr>
        <w:t xml:space="preserve"> Most activities are carried out once a year, while others occur quarterly.</w:t>
      </w:r>
      <w:r w:rsidR="003D688B" w:rsidRPr="00503341">
        <w:rPr>
          <w:color w:val="000000"/>
        </w:rPr>
        <w:t xml:space="preserve"> </w:t>
      </w:r>
    </w:p>
    <w:p w:rsidR="00C32F0A" w:rsidRDefault="00C32F0A" w:rsidP="003D688B">
      <w:pPr>
        <w:widowControl/>
        <w:ind w:firstLine="720"/>
        <w:rPr>
          <w:color w:val="000000"/>
        </w:rPr>
      </w:pPr>
    </w:p>
    <w:p w:rsidR="003D688B" w:rsidRDefault="00C32F0A" w:rsidP="003D688B">
      <w:pPr>
        <w:widowControl/>
        <w:ind w:firstLine="720"/>
        <w:rPr>
          <w:color w:val="000000"/>
        </w:rPr>
      </w:pPr>
      <w:r>
        <w:rPr>
          <w:color w:val="000000"/>
        </w:rPr>
        <w:t>The total number of burden hours (541) was calculated by multiplying the number of hours each</w:t>
      </w:r>
      <w:r w:rsidR="003D688B">
        <w:rPr>
          <w:color w:val="000000"/>
        </w:rPr>
        <w:t xml:space="preserve"> employee </w:t>
      </w:r>
      <w:r>
        <w:rPr>
          <w:color w:val="000000"/>
        </w:rPr>
        <w:t xml:space="preserve">(manager, engineer and/or clerical staff) is </w:t>
      </w:r>
      <w:r w:rsidR="003D688B">
        <w:rPr>
          <w:color w:val="000000"/>
        </w:rPr>
        <w:t xml:space="preserve">expected to </w:t>
      </w:r>
      <w:r>
        <w:rPr>
          <w:color w:val="000000"/>
        </w:rPr>
        <w:t>spend</w:t>
      </w:r>
      <w:r w:rsidR="003D688B">
        <w:rPr>
          <w:color w:val="000000"/>
        </w:rPr>
        <w:t xml:space="preserve"> in each activity, by the frequenc</w:t>
      </w:r>
      <w:r>
        <w:rPr>
          <w:color w:val="000000"/>
        </w:rPr>
        <w:t>y each activity is carried out each year and the applicable number of engine families</w:t>
      </w:r>
      <w:r w:rsidR="003D688B">
        <w:rPr>
          <w:color w:val="000000"/>
        </w:rPr>
        <w:t>.</w:t>
      </w:r>
    </w:p>
    <w:p w:rsidR="003D688B" w:rsidRDefault="003D688B" w:rsidP="003D688B">
      <w:pPr>
        <w:widowControl/>
        <w:rPr>
          <w:color w:val="000000"/>
        </w:rPr>
      </w:pPr>
    </w:p>
    <w:p w:rsidR="003D688B" w:rsidRDefault="003D688B" w:rsidP="003D688B">
      <w:pPr>
        <w:widowControl/>
        <w:ind w:firstLine="720"/>
        <w:rPr>
          <w:color w:val="000000"/>
        </w:rPr>
      </w:pPr>
      <w:r>
        <w:rPr>
          <w:color w:val="000000"/>
        </w:rPr>
        <w:t>For an explanation of Capital Start-up and O&amp;M costs, please refer to section 6(b</w:t>
      </w:r>
      <w:proofErr w:type="gramStart"/>
      <w:r>
        <w:rPr>
          <w:color w:val="000000"/>
        </w:rPr>
        <w:t>)(</w:t>
      </w:r>
      <w:proofErr w:type="gramEnd"/>
      <w:r>
        <w:rPr>
          <w:color w:val="000000"/>
        </w:rPr>
        <w:t>iii).</w:t>
      </w:r>
    </w:p>
    <w:p w:rsidR="003D688B" w:rsidRDefault="003D688B" w:rsidP="00944FBA">
      <w:pPr>
        <w:widowControl/>
        <w:ind w:left="-1080"/>
        <w:rPr>
          <w:color w:val="000000"/>
        </w:rPr>
      </w:pPr>
    </w:p>
    <w:p w:rsidR="00E07ACB" w:rsidRDefault="00E07ACB" w:rsidP="006241E7">
      <w:pPr>
        <w:widowControl/>
        <w:rPr>
          <w:color w:val="000000"/>
        </w:rPr>
      </w:pPr>
    </w:p>
    <w:p w:rsidR="00E07ACB" w:rsidRDefault="00541B90" w:rsidP="006241E7">
      <w:pPr>
        <w:widowControl/>
        <w:rPr>
          <w:color w:val="000000"/>
        </w:rPr>
      </w:pPr>
      <w:r>
        <w:rPr>
          <w:color w:val="000000"/>
        </w:rPr>
        <w:t>Summary</w:t>
      </w:r>
    </w:p>
    <w:tbl>
      <w:tblPr>
        <w:tblW w:w="4950" w:type="dxa"/>
        <w:tblInd w:w="432" w:type="dxa"/>
        <w:tblLayout w:type="fixed"/>
        <w:tblCellMar>
          <w:top w:w="72" w:type="dxa"/>
          <w:left w:w="72" w:type="dxa"/>
          <w:bottom w:w="72" w:type="dxa"/>
          <w:right w:w="72" w:type="dxa"/>
        </w:tblCellMar>
        <w:tblLook w:val="0000"/>
      </w:tblPr>
      <w:tblGrid>
        <w:gridCol w:w="3915"/>
        <w:gridCol w:w="1035"/>
      </w:tblGrid>
      <w:tr w:rsidR="00FD639B" w:rsidRPr="0030028D" w:rsidTr="003D688B">
        <w:tc>
          <w:tcPr>
            <w:tcW w:w="3915" w:type="dxa"/>
          </w:tcPr>
          <w:p w:rsidR="00FD639B" w:rsidRPr="00FD639B" w:rsidRDefault="00FD639B" w:rsidP="00FD639B">
            <w:pPr>
              <w:widowControl/>
              <w:numPr>
                <w:ilvl w:val="0"/>
                <w:numId w:val="2"/>
              </w:numPr>
            </w:pPr>
            <w:r w:rsidRPr="00FD639B">
              <w:t>Number of Respondents:</w:t>
            </w:r>
          </w:p>
        </w:tc>
        <w:tc>
          <w:tcPr>
            <w:tcW w:w="1035" w:type="dxa"/>
          </w:tcPr>
          <w:p w:rsidR="00FD639B" w:rsidRPr="00FD639B" w:rsidRDefault="002C7D6C" w:rsidP="00145DCD">
            <w:pPr>
              <w:widowControl/>
            </w:pPr>
            <w:r>
              <w:t>1</w:t>
            </w:r>
          </w:p>
        </w:tc>
      </w:tr>
      <w:tr w:rsidR="00FD639B" w:rsidRPr="0030028D" w:rsidTr="003D688B">
        <w:tc>
          <w:tcPr>
            <w:tcW w:w="3915" w:type="dxa"/>
          </w:tcPr>
          <w:p w:rsidR="00FD639B" w:rsidRPr="00FD639B" w:rsidRDefault="00FD639B" w:rsidP="00FD639B">
            <w:pPr>
              <w:widowControl/>
              <w:numPr>
                <w:ilvl w:val="0"/>
                <w:numId w:val="2"/>
              </w:numPr>
            </w:pPr>
            <w:r w:rsidRPr="00FD639B">
              <w:t>Number of Activities:</w:t>
            </w:r>
          </w:p>
        </w:tc>
        <w:tc>
          <w:tcPr>
            <w:tcW w:w="1035" w:type="dxa"/>
          </w:tcPr>
          <w:p w:rsidR="00FD639B" w:rsidRPr="00FD639B" w:rsidRDefault="002C7D6C" w:rsidP="00145DCD">
            <w:pPr>
              <w:widowControl/>
            </w:pPr>
            <w:r>
              <w:t>10</w:t>
            </w:r>
          </w:p>
        </w:tc>
      </w:tr>
      <w:tr w:rsidR="00FD639B" w:rsidRPr="0030028D" w:rsidTr="003D688B">
        <w:tc>
          <w:tcPr>
            <w:tcW w:w="3915" w:type="dxa"/>
          </w:tcPr>
          <w:p w:rsidR="00FD639B" w:rsidRPr="00FD639B" w:rsidRDefault="00FD639B" w:rsidP="00FD639B">
            <w:pPr>
              <w:widowControl/>
              <w:numPr>
                <w:ilvl w:val="0"/>
                <w:numId w:val="2"/>
              </w:numPr>
            </w:pPr>
            <w:r w:rsidRPr="00FD639B">
              <w:t>Total Hours Per Year:</w:t>
            </w:r>
          </w:p>
        </w:tc>
        <w:tc>
          <w:tcPr>
            <w:tcW w:w="1035" w:type="dxa"/>
          </w:tcPr>
          <w:p w:rsidR="00FD639B" w:rsidRPr="00FD639B" w:rsidRDefault="002C7D6C" w:rsidP="00145DCD">
            <w:pPr>
              <w:widowControl/>
            </w:pPr>
            <w:r>
              <w:t>541</w:t>
            </w:r>
          </w:p>
        </w:tc>
      </w:tr>
      <w:tr w:rsidR="00FD639B" w:rsidRPr="0030028D" w:rsidTr="003D688B">
        <w:tc>
          <w:tcPr>
            <w:tcW w:w="3915" w:type="dxa"/>
          </w:tcPr>
          <w:p w:rsidR="00FD639B" w:rsidRPr="00FD639B" w:rsidRDefault="00FD639B" w:rsidP="00FD639B">
            <w:pPr>
              <w:widowControl/>
              <w:numPr>
                <w:ilvl w:val="0"/>
                <w:numId w:val="2"/>
              </w:numPr>
            </w:pPr>
            <w:r w:rsidRPr="00FD639B">
              <w:t>Total Labor Cost Per Year:</w:t>
            </w:r>
          </w:p>
        </w:tc>
        <w:tc>
          <w:tcPr>
            <w:tcW w:w="1035" w:type="dxa"/>
          </w:tcPr>
          <w:p w:rsidR="00FD639B" w:rsidRPr="00FD639B" w:rsidRDefault="00FD639B" w:rsidP="002C7D6C">
            <w:pPr>
              <w:widowControl/>
            </w:pPr>
            <w:r w:rsidRPr="00FD639B">
              <w:t>$</w:t>
            </w:r>
            <w:r w:rsidR="002C7D6C">
              <w:t>41,819</w:t>
            </w:r>
          </w:p>
        </w:tc>
      </w:tr>
      <w:tr w:rsidR="00FD639B" w:rsidRPr="0030028D" w:rsidTr="003D688B">
        <w:tc>
          <w:tcPr>
            <w:tcW w:w="3915" w:type="dxa"/>
          </w:tcPr>
          <w:p w:rsidR="00FD639B" w:rsidRPr="00FD639B" w:rsidRDefault="00FD639B" w:rsidP="00FD639B">
            <w:pPr>
              <w:widowControl/>
              <w:numPr>
                <w:ilvl w:val="0"/>
                <w:numId w:val="2"/>
              </w:numPr>
            </w:pPr>
            <w:r w:rsidRPr="00FD639B">
              <w:t>Total Annual Capital Cost:</w:t>
            </w:r>
          </w:p>
        </w:tc>
        <w:tc>
          <w:tcPr>
            <w:tcW w:w="1035" w:type="dxa"/>
          </w:tcPr>
          <w:p w:rsidR="00FD639B" w:rsidRPr="00FD639B" w:rsidRDefault="00FD639B" w:rsidP="00145DCD">
            <w:pPr>
              <w:widowControl/>
            </w:pPr>
            <w:r w:rsidRPr="00FD639B">
              <w:t>0</w:t>
            </w:r>
          </w:p>
        </w:tc>
      </w:tr>
      <w:tr w:rsidR="00FD639B" w:rsidRPr="0030028D" w:rsidTr="003D688B">
        <w:tc>
          <w:tcPr>
            <w:tcW w:w="3915" w:type="dxa"/>
          </w:tcPr>
          <w:p w:rsidR="00FD639B" w:rsidRPr="00FD639B" w:rsidRDefault="00FD639B" w:rsidP="00FD639B">
            <w:pPr>
              <w:widowControl/>
              <w:numPr>
                <w:ilvl w:val="0"/>
                <w:numId w:val="2"/>
              </w:numPr>
            </w:pPr>
            <w:r w:rsidRPr="00FD639B">
              <w:t>Total Annual O&amp;M Costs:</w:t>
            </w:r>
          </w:p>
        </w:tc>
        <w:tc>
          <w:tcPr>
            <w:tcW w:w="1035" w:type="dxa"/>
          </w:tcPr>
          <w:p w:rsidR="00FD639B" w:rsidRPr="00FD639B" w:rsidRDefault="00FD639B" w:rsidP="00145DCD">
            <w:pPr>
              <w:widowControl/>
            </w:pPr>
            <w:r w:rsidRPr="00FD639B">
              <w:t>$</w:t>
            </w:r>
            <w:r w:rsidR="002C7D6C">
              <w:t>39,344</w:t>
            </w:r>
          </w:p>
        </w:tc>
      </w:tr>
      <w:tr w:rsidR="00FD639B" w:rsidRPr="0030028D" w:rsidTr="003D688B">
        <w:tc>
          <w:tcPr>
            <w:tcW w:w="3915" w:type="dxa"/>
          </w:tcPr>
          <w:p w:rsidR="00FD639B" w:rsidRPr="00FD639B" w:rsidRDefault="00FD639B" w:rsidP="00FD639B">
            <w:pPr>
              <w:widowControl/>
              <w:numPr>
                <w:ilvl w:val="0"/>
                <w:numId w:val="2"/>
              </w:numPr>
            </w:pPr>
            <w:r w:rsidRPr="00FD639B">
              <w:t>Total Costs:</w:t>
            </w:r>
          </w:p>
        </w:tc>
        <w:tc>
          <w:tcPr>
            <w:tcW w:w="1035" w:type="dxa"/>
          </w:tcPr>
          <w:p w:rsidR="00FD639B" w:rsidRPr="00FD639B" w:rsidRDefault="00FD639B" w:rsidP="00145DCD">
            <w:pPr>
              <w:widowControl/>
            </w:pPr>
            <w:r w:rsidRPr="00FD639B">
              <w:t>$</w:t>
            </w:r>
            <w:r w:rsidR="002C7D6C">
              <w:t>81,163</w:t>
            </w:r>
          </w:p>
        </w:tc>
      </w:tr>
    </w:tbl>
    <w:p w:rsidR="00FD639B" w:rsidRPr="0007023B" w:rsidRDefault="00FD639B" w:rsidP="00FD639B">
      <w:pPr>
        <w:widowControl/>
      </w:pPr>
    </w:p>
    <w:p w:rsidR="00FD639B" w:rsidRPr="00611DFE" w:rsidRDefault="00FD639B" w:rsidP="00FD639B">
      <w:pPr>
        <w:keepNext/>
        <w:widowControl/>
        <w:ind w:firstLine="720"/>
        <w:rPr>
          <w:b/>
          <w:sz w:val="20"/>
          <w:szCs w:val="20"/>
        </w:rPr>
      </w:pPr>
      <w:r w:rsidRPr="0030028D">
        <w:rPr>
          <w:b/>
          <w:iCs/>
        </w:rPr>
        <w:lastRenderedPageBreak/>
        <w:t>(ii)</w:t>
      </w:r>
      <w:r>
        <w:rPr>
          <w:b/>
          <w:iCs/>
        </w:rPr>
        <w:t xml:space="preserve"> </w:t>
      </w:r>
      <w:r w:rsidRPr="0030028D">
        <w:rPr>
          <w:b/>
          <w:iCs/>
        </w:rPr>
        <w:t xml:space="preserve"> Agency Tally</w:t>
      </w:r>
    </w:p>
    <w:p w:rsidR="00FD639B" w:rsidRPr="00541B90" w:rsidRDefault="00FD639B" w:rsidP="00FD639B">
      <w:pPr>
        <w:keepNext/>
        <w:widowControl/>
      </w:pPr>
    </w:p>
    <w:p w:rsidR="00541B90" w:rsidRPr="00541B90" w:rsidRDefault="00541B90" w:rsidP="00FD639B">
      <w:pPr>
        <w:keepNext/>
        <w:widowControl/>
      </w:pPr>
      <w:r w:rsidRPr="00541B90">
        <w:tab/>
        <w:t>Tab</w:t>
      </w:r>
      <w:r>
        <w:t>l</w:t>
      </w:r>
      <w:r w:rsidRPr="00541B90">
        <w:t>e</w:t>
      </w:r>
      <w:r>
        <w:t xml:space="preserve"> F summarizes Agency burden and costs.</w:t>
      </w:r>
    </w:p>
    <w:p w:rsidR="00541B90" w:rsidRPr="00541B90" w:rsidRDefault="00541B90" w:rsidP="00FD639B">
      <w:pPr>
        <w:keepNext/>
        <w:widowControl/>
      </w:pPr>
    </w:p>
    <w:p w:rsidR="00541B90" w:rsidRDefault="00541B90" w:rsidP="00FD639B">
      <w:pPr>
        <w:keepNext/>
        <w:widowControl/>
      </w:pPr>
    </w:p>
    <w:bookmarkStart w:id="1" w:name="_MON_1414328275"/>
    <w:bookmarkEnd w:id="1"/>
    <w:p w:rsidR="00541B90" w:rsidRDefault="00541B90" w:rsidP="00541B90">
      <w:pPr>
        <w:keepNext/>
        <w:widowControl/>
        <w:ind w:left="-900"/>
      </w:pPr>
      <w:r>
        <w:object w:dxaOrig="11147" w:dyaOrig="6456">
          <v:shape id="_x0000_i1026" type="#_x0000_t75" style="width:557.25pt;height:322.5pt" o:ole="">
            <v:imagedata r:id="rId16" o:title=""/>
          </v:shape>
          <o:OLEObject Type="Embed" ProgID="Excel.Sheet.12" ShapeID="_x0000_i1026" DrawAspect="Content" ObjectID="_1416737229" r:id="rId17"/>
        </w:object>
      </w:r>
    </w:p>
    <w:p w:rsidR="00541B90" w:rsidRDefault="00541B90" w:rsidP="00FD639B">
      <w:pPr>
        <w:keepNext/>
        <w:widowControl/>
      </w:pPr>
    </w:p>
    <w:p w:rsidR="00541B90" w:rsidRDefault="00541B90" w:rsidP="00FD639B">
      <w:pPr>
        <w:keepNext/>
        <w:widowControl/>
      </w:pPr>
    </w:p>
    <w:p w:rsidR="00541B90" w:rsidRDefault="00541B90" w:rsidP="00FD639B">
      <w:pPr>
        <w:keepNext/>
        <w:widowControl/>
      </w:pPr>
    </w:p>
    <w:p w:rsidR="00541B90" w:rsidRDefault="00541B90" w:rsidP="00FD639B">
      <w:pPr>
        <w:keepNext/>
        <w:widowControl/>
      </w:pPr>
    </w:p>
    <w:p w:rsidR="00541B90" w:rsidRPr="00541B90" w:rsidRDefault="003D688B" w:rsidP="00FD639B">
      <w:pPr>
        <w:keepNext/>
        <w:widowControl/>
      </w:pPr>
      <w:bookmarkStart w:id="2" w:name="_GoBack"/>
      <w:r>
        <w:t>Summary</w:t>
      </w:r>
      <w:bookmarkEnd w:id="2"/>
    </w:p>
    <w:tbl>
      <w:tblPr>
        <w:tblW w:w="4680" w:type="dxa"/>
        <w:tblInd w:w="432" w:type="dxa"/>
        <w:tblLayout w:type="fixed"/>
        <w:tblCellMar>
          <w:top w:w="72" w:type="dxa"/>
          <w:left w:w="72" w:type="dxa"/>
          <w:bottom w:w="72" w:type="dxa"/>
          <w:right w:w="72" w:type="dxa"/>
        </w:tblCellMar>
        <w:tblLook w:val="0000"/>
      </w:tblPr>
      <w:tblGrid>
        <w:gridCol w:w="3780"/>
        <w:gridCol w:w="900"/>
      </w:tblGrid>
      <w:tr w:rsidR="00FD639B" w:rsidRPr="0030028D" w:rsidTr="003D688B">
        <w:tc>
          <w:tcPr>
            <w:tcW w:w="3780" w:type="dxa"/>
          </w:tcPr>
          <w:p w:rsidR="00FD639B" w:rsidRPr="00FD639B" w:rsidRDefault="00FD639B" w:rsidP="00FD639B">
            <w:pPr>
              <w:keepNext/>
              <w:widowControl/>
              <w:numPr>
                <w:ilvl w:val="0"/>
                <w:numId w:val="1"/>
              </w:numPr>
            </w:pPr>
            <w:r w:rsidRPr="00FD639B">
              <w:t>Number of Responses:</w:t>
            </w:r>
          </w:p>
        </w:tc>
        <w:tc>
          <w:tcPr>
            <w:tcW w:w="900" w:type="dxa"/>
          </w:tcPr>
          <w:p w:rsidR="00FD639B" w:rsidRPr="00FD639B" w:rsidRDefault="00332975" w:rsidP="00145DCD">
            <w:pPr>
              <w:keepNext/>
              <w:widowControl/>
            </w:pPr>
            <w:r>
              <w:t>1</w:t>
            </w:r>
          </w:p>
        </w:tc>
      </w:tr>
      <w:tr w:rsidR="00FD639B" w:rsidRPr="0030028D" w:rsidTr="003D688B">
        <w:tc>
          <w:tcPr>
            <w:tcW w:w="3780" w:type="dxa"/>
          </w:tcPr>
          <w:p w:rsidR="00FD639B" w:rsidRPr="00FD639B" w:rsidRDefault="00FD639B" w:rsidP="00FD639B">
            <w:pPr>
              <w:keepNext/>
              <w:widowControl/>
              <w:numPr>
                <w:ilvl w:val="0"/>
                <w:numId w:val="1"/>
              </w:numPr>
            </w:pPr>
            <w:r w:rsidRPr="00FD639B">
              <w:t>Number of Activities:</w:t>
            </w:r>
          </w:p>
        </w:tc>
        <w:tc>
          <w:tcPr>
            <w:tcW w:w="900" w:type="dxa"/>
          </w:tcPr>
          <w:p w:rsidR="00FD639B" w:rsidRPr="00FD639B" w:rsidRDefault="00332975" w:rsidP="00145DCD">
            <w:pPr>
              <w:keepNext/>
              <w:widowControl/>
            </w:pPr>
            <w:r>
              <w:t>4</w:t>
            </w:r>
          </w:p>
        </w:tc>
      </w:tr>
      <w:tr w:rsidR="00FD639B" w:rsidRPr="0030028D" w:rsidTr="003D688B">
        <w:tc>
          <w:tcPr>
            <w:tcW w:w="3780" w:type="dxa"/>
          </w:tcPr>
          <w:p w:rsidR="00FD639B" w:rsidRPr="00FD639B" w:rsidRDefault="00FD639B" w:rsidP="00FD639B">
            <w:pPr>
              <w:keepNext/>
              <w:widowControl/>
              <w:numPr>
                <w:ilvl w:val="0"/>
                <w:numId w:val="1"/>
              </w:numPr>
            </w:pPr>
            <w:r w:rsidRPr="00FD639B">
              <w:t>Total Hours Per Year:</w:t>
            </w:r>
          </w:p>
        </w:tc>
        <w:tc>
          <w:tcPr>
            <w:tcW w:w="900" w:type="dxa"/>
          </w:tcPr>
          <w:p w:rsidR="00FD639B" w:rsidRPr="00FD639B" w:rsidRDefault="00527986" w:rsidP="00145DCD">
            <w:pPr>
              <w:keepNext/>
              <w:widowControl/>
            </w:pPr>
            <w:r>
              <w:t>117</w:t>
            </w:r>
          </w:p>
        </w:tc>
      </w:tr>
      <w:tr w:rsidR="00FD639B" w:rsidRPr="0030028D" w:rsidTr="003D688B">
        <w:tc>
          <w:tcPr>
            <w:tcW w:w="3780" w:type="dxa"/>
          </w:tcPr>
          <w:p w:rsidR="00FD639B" w:rsidRPr="00FD639B" w:rsidRDefault="00FD639B" w:rsidP="00FD639B">
            <w:pPr>
              <w:keepNext/>
              <w:widowControl/>
              <w:numPr>
                <w:ilvl w:val="0"/>
                <w:numId w:val="1"/>
              </w:numPr>
            </w:pPr>
            <w:r w:rsidRPr="00FD639B">
              <w:t>Total Labor Cost Per Year:</w:t>
            </w:r>
          </w:p>
        </w:tc>
        <w:tc>
          <w:tcPr>
            <w:tcW w:w="900" w:type="dxa"/>
          </w:tcPr>
          <w:p w:rsidR="00FD639B" w:rsidRPr="00FD639B" w:rsidRDefault="00527986" w:rsidP="00145DCD">
            <w:pPr>
              <w:keepNext/>
              <w:widowControl/>
            </w:pPr>
            <w:r w:rsidRPr="00527986">
              <w:t>$8,839</w:t>
            </w:r>
          </w:p>
        </w:tc>
      </w:tr>
      <w:tr w:rsidR="00FD639B" w:rsidRPr="0030028D" w:rsidTr="003D688B">
        <w:tc>
          <w:tcPr>
            <w:tcW w:w="3780" w:type="dxa"/>
          </w:tcPr>
          <w:p w:rsidR="00FD639B" w:rsidRPr="00FD639B" w:rsidRDefault="00FD639B" w:rsidP="00FD639B">
            <w:pPr>
              <w:keepNext/>
              <w:widowControl/>
              <w:numPr>
                <w:ilvl w:val="0"/>
                <w:numId w:val="1"/>
              </w:numPr>
            </w:pPr>
            <w:r w:rsidRPr="00FD639B">
              <w:t>Total Annual Capital Cost:</w:t>
            </w:r>
          </w:p>
        </w:tc>
        <w:tc>
          <w:tcPr>
            <w:tcW w:w="900" w:type="dxa"/>
          </w:tcPr>
          <w:p w:rsidR="00FD639B" w:rsidRPr="00FD639B" w:rsidRDefault="00FD639B" w:rsidP="00145DCD">
            <w:pPr>
              <w:keepNext/>
              <w:widowControl/>
            </w:pPr>
            <w:r w:rsidRPr="00FD639B">
              <w:t>0</w:t>
            </w:r>
          </w:p>
        </w:tc>
      </w:tr>
      <w:tr w:rsidR="00FD639B" w:rsidRPr="0030028D" w:rsidTr="003D688B">
        <w:tc>
          <w:tcPr>
            <w:tcW w:w="3780" w:type="dxa"/>
          </w:tcPr>
          <w:p w:rsidR="00FD639B" w:rsidRPr="00FD639B" w:rsidRDefault="00FD639B" w:rsidP="00FD639B">
            <w:pPr>
              <w:keepNext/>
              <w:widowControl/>
              <w:numPr>
                <w:ilvl w:val="0"/>
                <w:numId w:val="1"/>
              </w:numPr>
            </w:pPr>
            <w:r w:rsidRPr="00FD639B">
              <w:t>Total Annual O &amp; M Costs:</w:t>
            </w:r>
          </w:p>
        </w:tc>
        <w:tc>
          <w:tcPr>
            <w:tcW w:w="900" w:type="dxa"/>
          </w:tcPr>
          <w:p w:rsidR="00FD639B" w:rsidRPr="00FD639B" w:rsidRDefault="00FD639B" w:rsidP="00145DCD">
            <w:pPr>
              <w:keepNext/>
              <w:widowControl/>
            </w:pPr>
            <w:r w:rsidRPr="00FD639B">
              <w:t>$</w:t>
            </w:r>
            <w:r w:rsidR="00527986">
              <w:t>56</w:t>
            </w:r>
          </w:p>
        </w:tc>
      </w:tr>
      <w:tr w:rsidR="00FD639B" w:rsidRPr="0030028D" w:rsidTr="003D688B">
        <w:tc>
          <w:tcPr>
            <w:tcW w:w="3780" w:type="dxa"/>
          </w:tcPr>
          <w:p w:rsidR="00FD639B" w:rsidRPr="00FD639B" w:rsidRDefault="00FD639B" w:rsidP="00FD639B">
            <w:pPr>
              <w:widowControl/>
              <w:numPr>
                <w:ilvl w:val="0"/>
                <w:numId w:val="1"/>
              </w:numPr>
            </w:pPr>
            <w:r w:rsidRPr="00FD639B">
              <w:t>Total Costs:</w:t>
            </w:r>
          </w:p>
        </w:tc>
        <w:tc>
          <w:tcPr>
            <w:tcW w:w="900" w:type="dxa"/>
          </w:tcPr>
          <w:p w:rsidR="00FD639B" w:rsidRPr="00FD639B" w:rsidRDefault="00FD639B" w:rsidP="00527986">
            <w:pPr>
              <w:widowControl/>
            </w:pPr>
            <w:r w:rsidRPr="00FD639B">
              <w:t>$</w:t>
            </w:r>
            <w:r w:rsidR="00527986">
              <w:t>8,895</w:t>
            </w:r>
          </w:p>
        </w:tc>
      </w:tr>
    </w:tbl>
    <w:p w:rsidR="00BA2A87" w:rsidRDefault="00BA2A87" w:rsidP="00C85D2E">
      <w:pPr>
        <w:keepNext/>
        <w:keepLines/>
        <w:widowControl/>
        <w:rPr>
          <w:color w:val="000000"/>
        </w:rPr>
      </w:pPr>
    </w:p>
    <w:p w:rsidR="00FD639B" w:rsidRPr="00614796" w:rsidRDefault="00FD639B" w:rsidP="006241E7">
      <w:pPr>
        <w:widowControl/>
      </w:pPr>
    </w:p>
    <w:p w:rsidR="00BA2A87" w:rsidRPr="00614796" w:rsidRDefault="00BA2A87" w:rsidP="00614796">
      <w:pPr>
        <w:widowControl/>
        <w:ind w:left="360"/>
        <w:rPr>
          <w:b/>
          <w:color w:val="000000"/>
        </w:rPr>
      </w:pPr>
      <w:r w:rsidRPr="00614796">
        <w:rPr>
          <w:b/>
          <w:color w:val="000000"/>
        </w:rPr>
        <w:t>6(f</w:t>
      </w:r>
      <w:proofErr w:type="gramStart"/>
      <w:r w:rsidRPr="00614796">
        <w:rPr>
          <w:b/>
          <w:color w:val="000000"/>
        </w:rPr>
        <w:t>)</w:t>
      </w:r>
      <w:r w:rsidR="00614796">
        <w:rPr>
          <w:b/>
          <w:color w:val="000000"/>
        </w:rPr>
        <w:t xml:space="preserve">  </w:t>
      </w:r>
      <w:r w:rsidRPr="00614796">
        <w:rPr>
          <w:b/>
          <w:color w:val="000000"/>
        </w:rPr>
        <w:t>Reasons</w:t>
      </w:r>
      <w:proofErr w:type="gramEnd"/>
      <w:r w:rsidRPr="00614796">
        <w:rPr>
          <w:b/>
          <w:color w:val="000000"/>
        </w:rPr>
        <w:t xml:space="preserve"> for Change in Burden</w:t>
      </w:r>
    </w:p>
    <w:p w:rsidR="00BA2A87" w:rsidRPr="00A93EDE" w:rsidRDefault="00BA2A87" w:rsidP="006241E7">
      <w:pPr>
        <w:widowControl/>
        <w:rPr>
          <w:color w:val="000000"/>
        </w:rPr>
      </w:pPr>
    </w:p>
    <w:p w:rsidR="00BA2A87" w:rsidRDefault="00263BAF" w:rsidP="006241E7">
      <w:pPr>
        <w:widowControl/>
        <w:ind w:firstLine="720"/>
        <w:rPr>
          <w:color w:val="000000"/>
        </w:rPr>
      </w:pPr>
      <w:r>
        <w:rPr>
          <w:color w:val="000000"/>
        </w:rPr>
        <w:t>T</w:t>
      </w:r>
      <w:r w:rsidR="00D43FC8">
        <w:rPr>
          <w:color w:val="000000"/>
        </w:rPr>
        <w:t xml:space="preserve">otal burden has </w:t>
      </w:r>
      <w:r w:rsidR="007F0ED7">
        <w:rPr>
          <w:color w:val="000000"/>
        </w:rPr>
        <w:t>decrease</w:t>
      </w:r>
      <w:r w:rsidR="00D43FC8">
        <w:rPr>
          <w:color w:val="000000"/>
        </w:rPr>
        <w:t>d due to a decrease</w:t>
      </w:r>
      <w:r w:rsidR="007F0ED7">
        <w:rPr>
          <w:color w:val="000000"/>
        </w:rPr>
        <w:t xml:space="preserve"> in the estimated amount of respondents and responses. While the previous ICR estimated that 2 manufacturers would utilize NCPs, with three engine families each.  Based on past and current experience, EPA now estimates that only one manufacturer will use NCPs with a total of 4 engine families.  </w:t>
      </w:r>
    </w:p>
    <w:p w:rsidR="007F0ED7" w:rsidRDefault="007F0ED7" w:rsidP="006241E7">
      <w:pPr>
        <w:widowControl/>
        <w:ind w:firstLine="720"/>
        <w:rPr>
          <w:color w:val="000000"/>
        </w:rPr>
      </w:pPr>
    </w:p>
    <w:p w:rsidR="007F0ED7" w:rsidRPr="00A93EDE" w:rsidRDefault="007F0ED7" w:rsidP="006241E7">
      <w:pPr>
        <w:widowControl/>
        <w:ind w:firstLine="720"/>
        <w:rPr>
          <w:color w:val="000000"/>
        </w:rPr>
      </w:pPr>
      <w:r>
        <w:rPr>
          <w:color w:val="000000"/>
        </w:rPr>
        <w:t>The average burden per response has decreased only by 0.5 hour (from 23 hours/response to 22.5). This reflects increase use of electronic methods for reporting and recordkeeping.</w:t>
      </w:r>
    </w:p>
    <w:p w:rsidR="00BA2A87" w:rsidRDefault="00BA2A87" w:rsidP="006241E7">
      <w:pPr>
        <w:widowControl/>
        <w:rPr>
          <w:color w:val="000000"/>
        </w:rPr>
      </w:pPr>
    </w:p>
    <w:p w:rsidR="007F0ED7" w:rsidRPr="00A93EDE" w:rsidRDefault="007F0ED7" w:rsidP="006241E7">
      <w:pPr>
        <w:widowControl/>
        <w:rPr>
          <w:color w:val="000000"/>
        </w:rPr>
      </w:pPr>
    </w:p>
    <w:p w:rsidR="00BA2A87" w:rsidRPr="00614796" w:rsidRDefault="00BA2A87" w:rsidP="00614796">
      <w:pPr>
        <w:widowControl/>
        <w:ind w:left="360"/>
        <w:rPr>
          <w:b/>
          <w:color w:val="000000"/>
        </w:rPr>
      </w:pPr>
      <w:r w:rsidRPr="00614796">
        <w:rPr>
          <w:b/>
          <w:color w:val="000000"/>
        </w:rPr>
        <w:t>6(g</w:t>
      </w:r>
      <w:proofErr w:type="gramStart"/>
      <w:r w:rsidRPr="00614796">
        <w:rPr>
          <w:b/>
          <w:color w:val="000000"/>
        </w:rPr>
        <w:t>)</w:t>
      </w:r>
      <w:r w:rsidR="00614796">
        <w:rPr>
          <w:b/>
          <w:color w:val="000000"/>
        </w:rPr>
        <w:t xml:space="preserve">  </w:t>
      </w:r>
      <w:r w:rsidRPr="00614796">
        <w:rPr>
          <w:b/>
          <w:color w:val="000000"/>
        </w:rPr>
        <w:t>Burden</w:t>
      </w:r>
      <w:proofErr w:type="gramEnd"/>
      <w:r w:rsidRPr="00614796">
        <w:rPr>
          <w:b/>
          <w:color w:val="000000"/>
        </w:rPr>
        <w:t xml:space="preserve"> Statement</w:t>
      </w:r>
    </w:p>
    <w:p w:rsidR="00BA2A87" w:rsidRPr="00A93EDE" w:rsidRDefault="00BA2A87" w:rsidP="006241E7">
      <w:pPr>
        <w:widowControl/>
        <w:rPr>
          <w:color w:val="000000"/>
        </w:rPr>
      </w:pPr>
    </w:p>
    <w:p w:rsidR="008E5F4A" w:rsidRPr="00F33AD2" w:rsidRDefault="008E5F4A" w:rsidP="008E5F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tab/>
      </w:r>
      <w:r w:rsidRPr="00F33AD2">
        <w:t xml:space="preserve">The annual public reporting and recordkeeping burden for this collection is estimated to average </w:t>
      </w:r>
      <w:r w:rsidR="007F0ED7">
        <w:t>22.5</w:t>
      </w:r>
      <w:r w:rsidR="00562441" w:rsidRPr="00F33AD2">
        <w:t xml:space="preserve"> </w:t>
      </w:r>
      <w:r w:rsidRPr="00F33AD2">
        <w:t xml:space="preserve">hours per </w:t>
      </w:r>
      <w:r>
        <w:t>response</w:t>
      </w:r>
      <w:r w:rsidRPr="00F33AD2">
        <w:t>.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w:t>
      </w:r>
      <w:r>
        <w:t>ing, va</w:t>
      </w:r>
      <w:r w:rsidRPr="00F33AD2">
        <w:t>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smartTag w:uri="urn:schemas-microsoft-com:office:smarttags" w:element="PersonName">
        <w:r>
          <w:t>'</w:t>
        </w:r>
      </w:smartTag>
      <w:r w:rsidRPr="00F33AD2">
        <w:t xml:space="preserve">s regulations are listed in 40 CFR Part 9 and 48 CFR Chapter 15.  </w:t>
      </w:r>
    </w:p>
    <w:p w:rsidR="00BA2A87" w:rsidRPr="00A93EDE" w:rsidRDefault="00BA2A87" w:rsidP="006241E7">
      <w:pPr>
        <w:widowControl/>
        <w:rPr>
          <w:color w:val="000000"/>
        </w:rPr>
      </w:pPr>
    </w:p>
    <w:p w:rsidR="00BA2A87" w:rsidRDefault="00BA2A87" w:rsidP="00614796">
      <w:pPr>
        <w:widowControl/>
        <w:ind w:firstLine="720"/>
        <w:rPr>
          <w:color w:val="000000"/>
        </w:rPr>
      </w:pPr>
      <w:r w:rsidRPr="00A93EDE">
        <w:rPr>
          <w:color w:val="000000"/>
        </w:rPr>
        <w:t>To comment on the Agency</w:t>
      </w:r>
      <w:smartTag w:uri="urn:schemas-microsoft-com:office:smarttags" w:element="PersonName">
        <w:r w:rsidR="001A0D02">
          <w:rPr>
            <w:color w:val="000000"/>
          </w:rPr>
          <w:t>'</w:t>
        </w:r>
      </w:smartTag>
      <w:r w:rsidRPr="00A93EDE">
        <w:rPr>
          <w:color w:val="000000"/>
        </w:rPr>
        <w:t xml:space="preserve">s need for this information, the accuracy of the provided burden estimates, and any suggested methods for minimizing respondent burden, including the use of automated collection techniques, EPA has established a public docket for this ICR under </w:t>
      </w:r>
      <w:r w:rsidRPr="004C269B">
        <w:rPr>
          <w:color w:val="000000"/>
        </w:rPr>
        <w:t xml:space="preserve">Docket ID No. </w:t>
      </w:r>
      <w:r w:rsidR="002012D6">
        <w:rPr>
          <w:color w:val="000000"/>
        </w:rPr>
        <w:t>EPA-HQ-</w:t>
      </w:r>
      <w:r w:rsidRPr="004C269B">
        <w:rPr>
          <w:color w:val="000000"/>
        </w:rPr>
        <w:t>OAR-2005-0120</w:t>
      </w:r>
      <w:r w:rsidRPr="00A93EDE">
        <w:rPr>
          <w:color w:val="000000"/>
        </w:rPr>
        <w:t xml:space="preserve">, which is available for public viewing at the Air and Radiation Docket and Information Center in the EPA Docket Center (EPA/DC), EPA West, Room </w:t>
      </w:r>
      <w:r w:rsidR="002012D6">
        <w:rPr>
          <w:color w:val="000000"/>
        </w:rPr>
        <w:t>3334</w:t>
      </w:r>
      <w:r w:rsidRPr="00A93EDE">
        <w:rPr>
          <w:color w:val="000000"/>
        </w:rPr>
        <w:t xml:space="preserve">, 1301 Constitution Ave., NW, Washington, DC. </w:t>
      </w:r>
      <w:r w:rsidR="002012D6">
        <w:rPr>
          <w:color w:val="000000"/>
        </w:rPr>
        <w:t xml:space="preserve"> </w:t>
      </w:r>
      <w:r w:rsidRPr="00A93EDE">
        <w:rPr>
          <w:color w:val="000000"/>
        </w:rPr>
        <w:t>The EPA Doc</w:t>
      </w:r>
      <w:r w:rsidR="0059636C">
        <w:rPr>
          <w:color w:val="000000"/>
        </w:rPr>
        <w:t xml:space="preserve">ket Center Public Reading Room </w:t>
      </w:r>
      <w:r w:rsidRPr="00A93EDE">
        <w:rPr>
          <w:color w:val="000000"/>
        </w:rPr>
        <w:t>is open from 8:30 a.m. to 4:30 p.m., Monday through Fri</w:t>
      </w:r>
      <w:r w:rsidR="002D52B0">
        <w:rPr>
          <w:color w:val="000000"/>
        </w:rPr>
        <w:t xml:space="preserve">day, excluding legal holidays.  </w:t>
      </w:r>
      <w:r w:rsidRPr="00A93EDE">
        <w:rPr>
          <w:color w:val="000000"/>
        </w:rPr>
        <w:t xml:space="preserve">The telephone number for the Reading Room is (202) 566-1744, and the telephone number for the Air and Radiation Docket is (202) 566-1742. </w:t>
      </w:r>
      <w:r w:rsidR="004C269B">
        <w:rPr>
          <w:color w:val="0F0F0F"/>
        </w:rPr>
        <w:t>The electronic version of the public docket at the site</w:t>
      </w:r>
      <w:r w:rsidR="004C269B" w:rsidRPr="00493970">
        <w:rPr>
          <w:color w:val="0F0F0F"/>
        </w:rPr>
        <w:t xml:space="preserve"> </w:t>
      </w:r>
      <w:hyperlink r:id="rId18" w:history="1">
        <w:r w:rsidR="004C269B" w:rsidRPr="0074186F">
          <w:rPr>
            <w:rStyle w:val="Hyperlink"/>
          </w:rPr>
          <w:t>www.regulations.gov</w:t>
        </w:r>
      </w:hyperlink>
      <w:r w:rsidR="004C269B">
        <w:rPr>
          <w:color w:val="0F0F0F"/>
        </w:rPr>
        <w:t xml:space="preserve"> </w:t>
      </w:r>
      <w:r w:rsidR="004C269B" w:rsidRPr="00493970">
        <w:rPr>
          <w:color w:val="0F0F0F"/>
        </w:rPr>
        <w:t xml:space="preserve">can be used to submit or view public comments, access the index listing of the contents of the public docket, and to access those documents in the public docket that are available electronically.  </w:t>
      </w:r>
      <w:r w:rsidRPr="00A93EDE">
        <w:rPr>
          <w:color w:val="000000"/>
        </w:rPr>
        <w:t xml:space="preserve">Once in the system, select </w:t>
      </w:r>
      <w:r w:rsidR="00562441">
        <w:rPr>
          <w:color w:val="000000"/>
        </w:rPr>
        <w:t>"</w:t>
      </w:r>
      <w:r w:rsidRPr="00A93EDE">
        <w:rPr>
          <w:color w:val="000000"/>
        </w:rPr>
        <w:t>search,</w:t>
      </w:r>
      <w:r w:rsidR="00562441">
        <w:rPr>
          <w:color w:val="000000"/>
        </w:rPr>
        <w:t>"</w:t>
      </w:r>
      <w:r w:rsidRPr="00A93EDE">
        <w:rPr>
          <w:color w:val="000000"/>
        </w:rPr>
        <w:t xml:space="preserve">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A93EDE">
            <w:rPr>
              <w:color w:val="000000"/>
            </w:rPr>
            <w:t>725 17th Street, NW</w:t>
          </w:r>
        </w:smartTag>
        <w:r w:rsidRPr="00A93EDE">
          <w:rPr>
            <w:color w:val="000000"/>
          </w:rPr>
          <w:t xml:space="preserve">, </w:t>
        </w:r>
        <w:smartTag w:uri="urn:schemas-microsoft-com:office:smarttags" w:element="City">
          <w:r w:rsidRPr="00A93EDE">
            <w:rPr>
              <w:color w:val="000000"/>
            </w:rPr>
            <w:t>Washington</w:t>
          </w:r>
        </w:smartTag>
        <w:r w:rsidRPr="00A93EDE">
          <w:rPr>
            <w:color w:val="000000"/>
          </w:rPr>
          <w:t xml:space="preserve">, </w:t>
        </w:r>
        <w:smartTag w:uri="urn:schemas-microsoft-com:office:smarttags" w:element="State">
          <w:r w:rsidRPr="00A93EDE">
            <w:rPr>
              <w:color w:val="000000"/>
            </w:rPr>
            <w:t>DC</w:t>
          </w:r>
        </w:smartTag>
        <w:r w:rsidRPr="00A93EDE">
          <w:rPr>
            <w:color w:val="000000"/>
          </w:rPr>
          <w:t xml:space="preserve"> </w:t>
        </w:r>
        <w:smartTag w:uri="urn:schemas-microsoft-com:office:smarttags" w:element="PostalCode">
          <w:r w:rsidRPr="00A93EDE">
            <w:rPr>
              <w:color w:val="000000"/>
            </w:rPr>
            <w:t>20503</w:t>
          </w:r>
        </w:smartTag>
      </w:smartTag>
      <w:r w:rsidRPr="00A93EDE">
        <w:rPr>
          <w:color w:val="000000"/>
        </w:rPr>
        <w:t>, Attention: Desk Office for EPA.  Please include the EPA Docket ID N</w:t>
      </w:r>
      <w:r w:rsidR="00780218">
        <w:rPr>
          <w:color w:val="000000"/>
        </w:rPr>
        <w:t>umber</w:t>
      </w:r>
      <w:r w:rsidRPr="00A93EDE">
        <w:rPr>
          <w:color w:val="000000"/>
        </w:rPr>
        <w:t xml:space="preserve"> </w:t>
      </w:r>
      <w:r w:rsidR="00780218">
        <w:rPr>
          <w:color w:val="000000"/>
        </w:rPr>
        <w:t>(EPA-HQ-</w:t>
      </w:r>
      <w:r w:rsidRPr="00483799">
        <w:rPr>
          <w:color w:val="000000"/>
        </w:rPr>
        <w:t>OAR-2005-0120</w:t>
      </w:r>
      <w:r w:rsidR="00780218">
        <w:rPr>
          <w:color w:val="000000"/>
        </w:rPr>
        <w:t>)</w:t>
      </w:r>
      <w:r w:rsidRPr="00A93EDE">
        <w:rPr>
          <w:color w:val="000000"/>
        </w:rPr>
        <w:t xml:space="preserve"> and OMB </w:t>
      </w:r>
      <w:r w:rsidR="00780218">
        <w:rPr>
          <w:color w:val="000000"/>
        </w:rPr>
        <w:t>C</w:t>
      </w:r>
      <w:r w:rsidRPr="00A93EDE">
        <w:rPr>
          <w:color w:val="000000"/>
        </w:rPr>
        <w:t xml:space="preserve">ontrol </w:t>
      </w:r>
      <w:r w:rsidR="00780218">
        <w:rPr>
          <w:color w:val="000000"/>
        </w:rPr>
        <w:t>N</w:t>
      </w:r>
      <w:r w:rsidRPr="00A93EDE">
        <w:rPr>
          <w:color w:val="000000"/>
        </w:rPr>
        <w:t xml:space="preserve">umber </w:t>
      </w:r>
      <w:r w:rsidR="00780218">
        <w:rPr>
          <w:color w:val="000000"/>
        </w:rPr>
        <w:t>(</w:t>
      </w:r>
      <w:r w:rsidRPr="00A93EDE">
        <w:rPr>
          <w:color w:val="000000"/>
        </w:rPr>
        <w:t>20</w:t>
      </w:r>
      <w:r w:rsidR="00614796">
        <w:rPr>
          <w:color w:val="000000"/>
        </w:rPr>
        <w:t>60-0132</w:t>
      </w:r>
      <w:r w:rsidR="00780218">
        <w:rPr>
          <w:color w:val="000000"/>
        </w:rPr>
        <w:t>)</w:t>
      </w:r>
      <w:r w:rsidR="00614796">
        <w:rPr>
          <w:color w:val="000000"/>
        </w:rPr>
        <w:t xml:space="preserve"> in any correspondence.</w:t>
      </w:r>
    </w:p>
    <w:p w:rsidR="00944FC1" w:rsidRDefault="00944FC1" w:rsidP="00614796">
      <w:pPr>
        <w:widowControl/>
        <w:ind w:firstLine="720"/>
        <w:rPr>
          <w:color w:val="000000"/>
        </w:rPr>
      </w:pPr>
    </w:p>
    <w:p w:rsidR="00944FC1" w:rsidRPr="00A93EDE" w:rsidRDefault="00944FC1" w:rsidP="00DF6D74">
      <w:pPr>
        <w:widowControl/>
        <w:rPr>
          <w:color w:val="000000"/>
        </w:rPr>
      </w:pPr>
    </w:p>
    <w:sectPr w:rsidR="00944FC1" w:rsidRPr="00A93EDE" w:rsidSect="002012D6">
      <w:footerReference w:type="default" r:id="rId19"/>
      <w:pgSz w:w="12240" w:h="15840"/>
      <w:pgMar w:top="1440" w:right="1440" w:bottom="1440" w:left="1440" w:header="63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A8" w:rsidRDefault="009150A8">
      <w:r>
        <w:separator/>
      </w:r>
    </w:p>
  </w:endnote>
  <w:endnote w:type="continuationSeparator" w:id="0">
    <w:p w:rsidR="009150A8" w:rsidRDefault="00915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D1" w:rsidRDefault="009172D1" w:rsidP="001A0D02">
    <w:pPr>
      <w:ind w:right="-14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D1" w:rsidRPr="00D62097" w:rsidRDefault="00AB05DC" w:rsidP="00D62097">
    <w:pPr>
      <w:pStyle w:val="Footer"/>
      <w:jc w:val="center"/>
    </w:pPr>
    <w:r>
      <w:fldChar w:fldCharType="begin"/>
    </w:r>
    <w:r w:rsidR="00576134">
      <w:instrText xml:space="preserve"> PAGE   \* MERGEFORMAT </w:instrText>
    </w:r>
    <w:r>
      <w:fldChar w:fldCharType="separate"/>
    </w:r>
    <w:r w:rsidR="00E30F8D">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A8" w:rsidRDefault="009150A8">
      <w:r>
        <w:separator/>
      </w:r>
    </w:p>
  </w:footnote>
  <w:footnote w:type="continuationSeparator" w:id="0">
    <w:p w:rsidR="009150A8" w:rsidRDefault="00915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4BED"/>
    <w:multiLevelType w:val="hybridMultilevel"/>
    <w:tmpl w:val="EB82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A76BD0"/>
    <w:multiLevelType w:val="hybridMultilevel"/>
    <w:tmpl w:val="92E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A2A87"/>
    <w:rsid w:val="00003D7C"/>
    <w:rsid w:val="0001765C"/>
    <w:rsid w:val="00075F10"/>
    <w:rsid w:val="0007777C"/>
    <w:rsid w:val="00087E1A"/>
    <w:rsid w:val="000B5AC6"/>
    <w:rsid w:val="000D1A89"/>
    <w:rsid w:val="000E16FB"/>
    <w:rsid w:val="000E4242"/>
    <w:rsid w:val="000F362F"/>
    <w:rsid w:val="0011165A"/>
    <w:rsid w:val="00111FAC"/>
    <w:rsid w:val="00112754"/>
    <w:rsid w:val="0011464A"/>
    <w:rsid w:val="00134511"/>
    <w:rsid w:val="001371B2"/>
    <w:rsid w:val="0014339C"/>
    <w:rsid w:val="00143AE8"/>
    <w:rsid w:val="00145BD0"/>
    <w:rsid w:val="00145DCD"/>
    <w:rsid w:val="00154C35"/>
    <w:rsid w:val="00160D2C"/>
    <w:rsid w:val="001633B0"/>
    <w:rsid w:val="00183E18"/>
    <w:rsid w:val="001A0D02"/>
    <w:rsid w:val="001A2A26"/>
    <w:rsid w:val="001B6208"/>
    <w:rsid w:val="001C21AA"/>
    <w:rsid w:val="001D4772"/>
    <w:rsid w:val="002012D6"/>
    <w:rsid w:val="002177EE"/>
    <w:rsid w:val="00241EA3"/>
    <w:rsid w:val="00246372"/>
    <w:rsid w:val="00250A53"/>
    <w:rsid w:val="00255797"/>
    <w:rsid w:val="00263BAF"/>
    <w:rsid w:val="002719CB"/>
    <w:rsid w:val="002B1C61"/>
    <w:rsid w:val="002B2670"/>
    <w:rsid w:val="002C02F6"/>
    <w:rsid w:val="002C7D6C"/>
    <w:rsid w:val="002D52B0"/>
    <w:rsid w:val="002D6B94"/>
    <w:rsid w:val="002D7104"/>
    <w:rsid w:val="002E5089"/>
    <w:rsid w:val="002F1F6A"/>
    <w:rsid w:val="003266AD"/>
    <w:rsid w:val="003311BA"/>
    <w:rsid w:val="00332975"/>
    <w:rsid w:val="0034741D"/>
    <w:rsid w:val="00361BE9"/>
    <w:rsid w:val="0036279F"/>
    <w:rsid w:val="003B6999"/>
    <w:rsid w:val="003B747F"/>
    <w:rsid w:val="003C4888"/>
    <w:rsid w:val="003D688B"/>
    <w:rsid w:val="003F2E10"/>
    <w:rsid w:val="003F5D2B"/>
    <w:rsid w:val="00407BF9"/>
    <w:rsid w:val="0041304F"/>
    <w:rsid w:val="0042255A"/>
    <w:rsid w:val="00424883"/>
    <w:rsid w:val="00457DA9"/>
    <w:rsid w:val="00463774"/>
    <w:rsid w:val="004718E0"/>
    <w:rsid w:val="00481AEF"/>
    <w:rsid w:val="00483799"/>
    <w:rsid w:val="00486FD0"/>
    <w:rsid w:val="004A5A72"/>
    <w:rsid w:val="004B02C9"/>
    <w:rsid w:val="004C269B"/>
    <w:rsid w:val="004D02C9"/>
    <w:rsid w:val="004E6F95"/>
    <w:rsid w:val="004E7BCF"/>
    <w:rsid w:val="00503341"/>
    <w:rsid w:val="0051151D"/>
    <w:rsid w:val="00515792"/>
    <w:rsid w:val="00517147"/>
    <w:rsid w:val="0052386B"/>
    <w:rsid w:val="005251D0"/>
    <w:rsid w:val="00527986"/>
    <w:rsid w:val="00541B90"/>
    <w:rsid w:val="00542818"/>
    <w:rsid w:val="00562441"/>
    <w:rsid w:val="00576134"/>
    <w:rsid w:val="00580BD6"/>
    <w:rsid w:val="00587BC9"/>
    <w:rsid w:val="0059636C"/>
    <w:rsid w:val="005967AE"/>
    <w:rsid w:val="00596BBC"/>
    <w:rsid w:val="005C36E4"/>
    <w:rsid w:val="005E1031"/>
    <w:rsid w:val="005F2B23"/>
    <w:rsid w:val="00600F86"/>
    <w:rsid w:val="00605BA5"/>
    <w:rsid w:val="00606B36"/>
    <w:rsid w:val="00612033"/>
    <w:rsid w:val="00614796"/>
    <w:rsid w:val="00616B16"/>
    <w:rsid w:val="006241E7"/>
    <w:rsid w:val="00625714"/>
    <w:rsid w:val="006269D5"/>
    <w:rsid w:val="00645D2D"/>
    <w:rsid w:val="00647CED"/>
    <w:rsid w:val="0066309A"/>
    <w:rsid w:val="00675D9E"/>
    <w:rsid w:val="0067764F"/>
    <w:rsid w:val="00680E33"/>
    <w:rsid w:val="006A405B"/>
    <w:rsid w:val="006D3787"/>
    <w:rsid w:val="00725614"/>
    <w:rsid w:val="00741629"/>
    <w:rsid w:val="00771845"/>
    <w:rsid w:val="00780218"/>
    <w:rsid w:val="00790475"/>
    <w:rsid w:val="00790E6C"/>
    <w:rsid w:val="007A461E"/>
    <w:rsid w:val="007B6775"/>
    <w:rsid w:val="007C4DB4"/>
    <w:rsid w:val="007D154A"/>
    <w:rsid w:val="007D613A"/>
    <w:rsid w:val="007D7ED8"/>
    <w:rsid w:val="007E0C13"/>
    <w:rsid w:val="007F0ED7"/>
    <w:rsid w:val="007F512F"/>
    <w:rsid w:val="007F56E6"/>
    <w:rsid w:val="0080290E"/>
    <w:rsid w:val="008120F2"/>
    <w:rsid w:val="0081419D"/>
    <w:rsid w:val="00821D6F"/>
    <w:rsid w:val="00835E5C"/>
    <w:rsid w:val="008757A4"/>
    <w:rsid w:val="00876ADB"/>
    <w:rsid w:val="008A68A0"/>
    <w:rsid w:val="008B247B"/>
    <w:rsid w:val="008B30A5"/>
    <w:rsid w:val="008B4A3E"/>
    <w:rsid w:val="008C6C7D"/>
    <w:rsid w:val="008E5F4A"/>
    <w:rsid w:val="00913E67"/>
    <w:rsid w:val="009150A8"/>
    <w:rsid w:val="009172D1"/>
    <w:rsid w:val="00917C21"/>
    <w:rsid w:val="00944FBA"/>
    <w:rsid w:val="00944FC1"/>
    <w:rsid w:val="00953EBD"/>
    <w:rsid w:val="00973E7C"/>
    <w:rsid w:val="00990194"/>
    <w:rsid w:val="00993985"/>
    <w:rsid w:val="009B5D1C"/>
    <w:rsid w:val="009D42FB"/>
    <w:rsid w:val="009E5925"/>
    <w:rsid w:val="00A00B35"/>
    <w:rsid w:val="00A07E27"/>
    <w:rsid w:val="00A13725"/>
    <w:rsid w:val="00A16138"/>
    <w:rsid w:val="00A21E70"/>
    <w:rsid w:val="00A8314B"/>
    <w:rsid w:val="00A93EDE"/>
    <w:rsid w:val="00AB05DC"/>
    <w:rsid w:val="00AD7BC8"/>
    <w:rsid w:val="00B0080F"/>
    <w:rsid w:val="00B23F31"/>
    <w:rsid w:val="00B40734"/>
    <w:rsid w:val="00B5189C"/>
    <w:rsid w:val="00B62F45"/>
    <w:rsid w:val="00B752E3"/>
    <w:rsid w:val="00B96A64"/>
    <w:rsid w:val="00BA2A87"/>
    <w:rsid w:val="00BA402F"/>
    <w:rsid w:val="00BB7559"/>
    <w:rsid w:val="00BF424E"/>
    <w:rsid w:val="00C03868"/>
    <w:rsid w:val="00C32F0A"/>
    <w:rsid w:val="00C65CA2"/>
    <w:rsid w:val="00C76676"/>
    <w:rsid w:val="00C85D2E"/>
    <w:rsid w:val="00C9011D"/>
    <w:rsid w:val="00CC7B9A"/>
    <w:rsid w:val="00CD4B7B"/>
    <w:rsid w:val="00CE00C1"/>
    <w:rsid w:val="00D050C0"/>
    <w:rsid w:val="00D057EE"/>
    <w:rsid w:val="00D27B9B"/>
    <w:rsid w:val="00D36979"/>
    <w:rsid w:val="00D36BA6"/>
    <w:rsid w:val="00D43FC8"/>
    <w:rsid w:val="00D50A68"/>
    <w:rsid w:val="00D50CC6"/>
    <w:rsid w:val="00D50D10"/>
    <w:rsid w:val="00D51C46"/>
    <w:rsid w:val="00D51FFD"/>
    <w:rsid w:val="00D5391E"/>
    <w:rsid w:val="00D55430"/>
    <w:rsid w:val="00D5779B"/>
    <w:rsid w:val="00D57FEA"/>
    <w:rsid w:val="00D62097"/>
    <w:rsid w:val="00D65B12"/>
    <w:rsid w:val="00D70547"/>
    <w:rsid w:val="00D76628"/>
    <w:rsid w:val="00DA007C"/>
    <w:rsid w:val="00DB5A58"/>
    <w:rsid w:val="00DD6B0F"/>
    <w:rsid w:val="00DE135B"/>
    <w:rsid w:val="00DF6D74"/>
    <w:rsid w:val="00E07ACB"/>
    <w:rsid w:val="00E1647D"/>
    <w:rsid w:val="00E30F8D"/>
    <w:rsid w:val="00E31C50"/>
    <w:rsid w:val="00E409B1"/>
    <w:rsid w:val="00E50D98"/>
    <w:rsid w:val="00E56DD5"/>
    <w:rsid w:val="00E57444"/>
    <w:rsid w:val="00E641AF"/>
    <w:rsid w:val="00E668FD"/>
    <w:rsid w:val="00E722E2"/>
    <w:rsid w:val="00E94B11"/>
    <w:rsid w:val="00E97834"/>
    <w:rsid w:val="00EA0E41"/>
    <w:rsid w:val="00EB6A2C"/>
    <w:rsid w:val="00EC004E"/>
    <w:rsid w:val="00EC57E5"/>
    <w:rsid w:val="00F039AB"/>
    <w:rsid w:val="00F0798B"/>
    <w:rsid w:val="00F158C0"/>
    <w:rsid w:val="00F354EC"/>
    <w:rsid w:val="00F6029E"/>
    <w:rsid w:val="00F63356"/>
    <w:rsid w:val="00FA03EE"/>
    <w:rsid w:val="00FA5DA7"/>
    <w:rsid w:val="00FA7080"/>
    <w:rsid w:val="00FB2BBD"/>
    <w:rsid w:val="00FD639B"/>
    <w:rsid w:val="00FF2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PersonName"/>
  <w:smartTagType w:namespaceuri="urn:schemas:contacts" w:name="middlename"/>
  <w:smartTagType w:namespaceuri="urn:schemas:contacts" w:name="Give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43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90475"/>
  </w:style>
  <w:style w:type="character" w:styleId="CommentReference">
    <w:name w:val="annotation reference"/>
    <w:basedOn w:val="DefaultParagraphFont"/>
    <w:semiHidden/>
    <w:rsid w:val="009E5925"/>
    <w:rPr>
      <w:sz w:val="16"/>
      <w:szCs w:val="16"/>
    </w:rPr>
  </w:style>
  <w:style w:type="paragraph" w:styleId="CommentText">
    <w:name w:val="annotation text"/>
    <w:basedOn w:val="Normal"/>
    <w:semiHidden/>
    <w:rsid w:val="009E5925"/>
    <w:rPr>
      <w:sz w:val="20"/>
      <w:szCs w:val="20"/>
    </w:rPr>
  </w:style>
  <w:style w:type="paragraph" w:styleId="CommentSubject">
    <w:name w:val="annotation subject"/>
    <w:basedOn w:val="CommentText"/>
    <w:next w:val="CommentText"/>
    <w:semiHidden/>
    <w:rsid w:val="009E5925"/>
    <w:rPr>
      <w:b/>
      <w:bCs/>
    </w:rPr>
  </w:style>
  <w:style w:type="paragraph" w:styleId="BalloonText">
    <w:name w:val="Balloon Text"/>
    <w:basedOn w:val="Normal"/>
    <w:semiHidden/>
    <w:rsid w:val="009E5925"/>
    <w:rPr>
      <w:rFonts w:ascii="Tahoma" w:hAnsi="Tahoma" w:cs="Tahoma"/>
      <w:sz w:val="16"/>
      <w:szCs w:val="16"/>
    </w:rPr>
  </w:style>
  <w:style w:type="character" w:styleId="Hyperlink">
    <w:name w:val="Hyperlink"/>
    <w:basedOn w:val="DefaultParagraphFont"/>
    <w:rsid w:val="005E1031"/>
    <w:rPr>
      <w:color w:val="0000FF"/>
      <w:u w:val="single"/>
    </w:rPr>
  </w:style>
  <w:style w:type="character" w:styleId="FollowedHyperlink">
    <w:name w:val="FollowedHyperlink"/>
    <w:basedOn w:val="DefaultParagraphFont"/>
    <w:rsid w:val="00A8314B"/>
    <w:rPr>
      <w:color w:val="800080"/>
      <w:u w:val="single"/>
    </w:rPr>
  </w:style>
  <w:style w:type="character" w:customStyle="1" w:styleId="defaultlabelstyle">
    <w:name w:val="defaultlabelstyle"/>
    <w:basedOn w:val="DefaultParagraphFont"/>
    <w:rsid w:val="00A8314B"/>
  </w:style>
  <w:style w:type="paragraph" w:styleId="Header">
    <w:name w:val="header"/>
    <w:basedOn w:val="Normal"/>
    <w:link w:val="HeaderChar"/>
    <w:rsid w:val="00580BD6"/>
    <w:pPr>
      <w:tabs>
        <w:tab w:val="center" w:pos="4680"/>
        <w:tab w:val="right" w:pos="9360"/>
      </w:tabs>
    </w:pPr>
  </w:style>
  <w:style w:type="character" w:customStyle="1" w:styleId="HeaderChar">
    <w:name w:val="Header Char"/>
    <w:basedOn w:val="DefaultParagraphFont"/>
    <w:link w:val="Header"/>
    <w:rsid w:val="00580BD6"/>
    <w:rPr>
      <w:sz w:val="24"/>
      <w:szCs w:val="24"/>
    </w:rPr>
  </w:style>
  <w:style w:type="paragraph" w:styleId="Footer">
    <w:name w:val="footer"/>
    <w:basedOn w:val="Normal"/>
    <w:link w:val="FooterChar"/>
    <w:rsid w:val="00580BD6"/>
    <w:pPr>
      <w:tabs>
        <w:tab w:val="center" w:pos="4680"/>
        <w:tab w:val="right" w:pos="9360"/>
      </w:tabs>
    </w:pPr>
  </w:style>
  <w:style w:type="character" w:customStyle="1" w:styleId="FooterChar">
    <w:name w:val="Footer Char"/>
    <w:basedOn w:val="DefaultParagraphFont"/>
    <w:link w:val="Footer"/>
    <w:rsid w:val="00580B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43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90475"/>
  </w:style>
  <w:style w:type="character" w:styleId="CommentReference">
    <w:name w:val="annotation reference"/>
    <w:basedOn w:val="DefaultParagraphFont"/>
    <w:semiHidden/>
    <w:rsid w:val="009E5925"/>
    <w:rPr>
      <w:sz w:val="16"/>
      <w:szCs w:val="16"/>
    </w:rPr>
  </w:style>
  <w:style w:type="paragraph" w:styleId="CommentText">
    <w:name w:val="annotation text"/>
    <w:basedOn w:val="Normal"/>
    <w:semiHidden/>
    <w:rsid w:val="009E5925"/>
    <w:rPr>
      <w:sz w:val="20"/>
      <w:szCs w:val="20"/>
    </w:rPr>
  </w:style>
  <w:style w:type="paragraph" w:styleId="CommentSubject">
    <w:name w:val="annotation subject"/>
    <w:basedOn w:val="CommentText"/>
    <w:next w:val="CommentText"/>
    <w:semiHidden/>
    <w:rsid w:val="009E5925"/>
    <w:rPr>
      <w:b/>
      <w:bCs/>
    </w:rPr>
  </w:style>
  <w:style w:type="paragraph" w:styleId="BalloonText">
    <w:name w:val="Balloon Text"/>
    <w:basedOn w:val="Normal"/>
    <w:semiHidden/>
    <w:rsid w:val="009E5925"/>
    <w:rPr>
      <w:rFonts w:ascii="Tahoma" w:hAnsi="Tahoma" w:cs="Tahoma"/>
      <w:sz w:val="16"/>
      <w:szCs w:val="16"/>
    </w:rPr>
  </w:style>
  <w:style w:type="character" w:styleId="Hyperlink">
    <w:name w:val="Hyperlink"/>
    <w:basedOn w:val="DefaultParagraphFont"/>
    <w:rsid w:val="005E1031"/>
    <w:rPr>
      <w:color w:val="0000FF"/>
      <w:u w:val="single"/>
    </w:rPr>
  </w:style>
  <w:style w:type="character" w:styleId="FollowedHyperlink">
    <w:name w:val="FollowedHyperlink"/>
    <w:basedOn w:val="DefaultParagraphFont"/>
    <w:rsid w:val="00A8314B"/>
    <w:rPr>
      <w:color w:val="800080"/>
      <w:u w:val="single"/>
    </w:rPr>
  </w:style>
  <w:style w:type="character" w:customStyle="1" w:styleId="defaultlabelstyle">
    <w:name w:val="defaultlabelstyle"/>
    <w:basedOn w:val="DefaultParagraphFont"/>
    <w:rsid w:val="00A8314B"/>
  </w:style>
  <w:style w:type="paragraph" w:styleId="Header">
    <w:name w:val="header"/>
    <w:basedOn w:val="Normal"/>
    <w:link w:val="HeaderChar"/>
    <w:rsid w:val="00580BD6"/>
    <w:pPr>
      <w:tabs>
        <w:tab w:val="center" w:pos="4680"/>
        <w:tab w:val="right" w:pos="9360"/>
      </w:tabs>
    </w:pPr>
  </w:style>
  <w:style w:type="character" w:customStyle="1" w:styleId="HeaderChar">
    <w:name w:val="Header Char"/>
    <w:basedOn w:val="DefaultParagraphFont"/>
    <w:link w:val="Header"/>
    <w:rsid w:val="00580BD6"/>
    <w:rPr>
      <w:sz w:val="24"/>
      <w:szCs w:val="24"/>
    </w:rPr>
  </w:style>
  <w:style w:type="paragraph" w:styleId="Footer">
    <w:name w:val="footer"/>
    <w:basedOn w:val="Normal"/>
    <w:link w:val="FooterChar"/>
    <w:rsid w:val="00580BD6"/>
    <w:pPr>
      <w:tabs>
        <w:tab w:val="center" w:pos="4680"/>
        <w:tab w:val="right" w:pos="9360"/>
      </w:tabs>
    </w:pPr>
  </w:style>
  <w:style w:type="character" w:customStyle="1" w:styleId="FooterChar">
    <w:name w:val="Footer Char"/>
    <w:basedOn w:val="DefaultParagraphFont"/>
    <w:link w:val="Footer"/>
    <w:rsid w:val="00580BD6"/>
    <w:rPr>
      <w:sz w:val="24"/>
      <w:szCs w:val="24"/>
    </w:rPr>
  </w:style>
</w:styles>
</file>

<file path=word/webSettings.xml><?xml version="1.0" encoding="utf-8"?>
<w:webSettings xmlns:r="http://schemas.openxmlformats.org/officeDocument/2006/relationships" xmlns:w="http://schemas.openxmlformats.org/wordprocessingml/2006/main">
  <w:divs>
    <w:div w:id="17915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m.gov/oca/12tables/html/gs_h.asp" TargetMode="External"/><Relationship Id="rId18" Type="http://schemas.openxmlformats.org/officeDocument/2006/relationships/hyperlink" Target="http://www.regulation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s.gov/data/inflation_calculator.htm" TargetMode="External"/><Relationship Id="rId17" Type="http://schemas.openxmlformats.org/officeDocument/2006/relationships/package" Target="embeddings/Microsoft_Office_Excel_Worksheet2.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ppi/ppisicnaics14.htm" TargetMode="External"/><Relationship Id="rId5" Type="http://schemas.openxmlformats.org/officeDocument/2006/relationships/webSettings" Target="webSettings.xml"/><Relationship Id="rId15" Type="http://schemas.openxmlformats.org/officeDocument/2006/relationships/package" Target="embeddings/Microsoft_Office_Excel_Worksheet1.xlsx"/><Relationship Id="rId10" Type="http://schemas.openxmlformats.org/officeDocument/2006/relationships/hyperlink" Target="http://www.bls.gov/oes/current/naics4_333600.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poaccess.gov/fr/index.html" TargetMode="External"/><Relationship Id="rId14" Type="http://schemas.openxmlformats.org/officeDocument/2006/relationships/image" Target="media/image1.e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7D38-5393-406D-9955-E33A506C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DRAFT</vt:lpstr>
    </vt:vector>
  </TitlesOfParts>
  <Company>OMB</Company>
  <LinksUpToDate>false</LinksUpToDate>
  <CharactersWithSpaces>25844</CharactersWithSpaces>
  <SharedDoc>false</SharedDoc>
  <HLinks>
    <vt:vector size="36" baseType="variant">
      <vt:variant>
        <vt:i4>2818151</vt:i4>
      </vt:variant>
      <vt:variant>
        <vt:i4>15</vt:i4>
      </vt:variant>
      <vt:variant>
        <vt:i4>0</vt:i4>
      </vt:variant>
      <vt:variant>
        <vt:i4>5</vt:i4>
      </vt:variant>
      <vt:variant>
        <vt:lpwstr>http://www.regulations.gov/</vt:lpwstr>
      </vt:variant>
      <vt:variant>
        <vt:lpwstr/>
      </vt:variant>
      <vt:variant>
        <vt:i4>2490398</vt:i4>
      </vt:variant>
      <vt:variant>
        <vt:i4>12</vt:i4>
      </vt:variant>
      <vt:variant>
        <vt:i4>0</vt:i4>
      </vt:variant>
      <vt:variant>
        <vt:i4>5</vt:i4>
      </vt:variant>
      <vt:variant>
        <vt:lpwstr>http://www.opm.gov/oca/12tables/html/gs_h.asp</vt:lpwstr>
      </vt:variant>
      <vt:variant>
        <vt:lpwstr/>
      </vt:variant>
      <vt:variant>
        <vt:i4>4128789</vt:i4>
      </vt:variant>
      <vt:variant>
        <vt:i4>9</vt:i4>
      </vt:variant>
      <vt:variant>
        <vt:i4>0</vt:i4>
      </vt:variant>
      <vt:variant>
        <vt:i4>5</vt:i4>
      </vt:variant>
      <vt:variant>
        <vt:lpwstr>http://www.bls.gov/data/inflation_calculator.htm</vt:lpwstr>
      </vt:variant>
      <vt:variant>
        <vt:lpwstr/>
      </vt:variant>
      <vt:variant>
        <vt:i4>458756</vt:i4>
      </vt:variant>
      <vt:variant>
        <vt:i4>6</vt:i4>
      </vt:variant>
      <vt:variant>
        <vt:i4>0</vt:i4>
      </vt:variant>
      <vt:variant>
        <vt:i4>5</vt:i4>
      </vt:variant>
      <vt:variant>
        <vt:lpwstr>http://www.bls.gov/ppi/ppisicnaics14.htm</vt:lpwstr>
      </vt:variant>
      <vt:variant>
        <vt:lpwstr/>
      </vt:variant>
      <vt:variant>
        <vt:i4>2883586</vt:i4>
      </vt:variant>
      <vt:variant>
        <vt:i4>3</vt:i4>
      </vt:variant>
      <vt:variant>
        <vt:i4>0</vt:i4>
      </vt:variant>
      <vt:variant>
        <vt:i4>5</vt:i4>
      </vt:variant>
      <vt:variant>
        <vt:lpwstr>http://www.bls.gov/oes/current/naics4_333600.htm</vt:lpwstr>
      </vt:variant>
      <vt:variant>
        <vt:lpwstr/>
      </vt:variant>
      <vt:variant>
        <vt:i4>3342397</vt:i4>
      </vt:variant>
      <vt:variant>
        <vt:i4>0</vt:i4>
      </vt:variant>
      <vt:variant>
        <vt:i4>0</vt:i4>
      </vt:variant>
      <vt:variant>
        <vt:i4>5</vt:i4>
      </vt:variant>
      <vt:variant>
        <vt:lpwstr>http://www.gpoaccess.gov/fr/index.html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Casey Cox</dc:creator>
  <cp:lastModifiedBy>Courtney Kerwin</cp:lastModifiedBy>
  <cp:revision>2</cp:revision>
  <dcterms:created xsi:type="dcterms:W3CDTF">2012-12-11T18:21:00Z</dcterms:created>
  <dcterms:modified xsi:type="dcterms:W3CDTF">2012-12-11T18:21:00Z</dcterms:modified>
</cp:coreProperties>
</file>