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58" w:rsidRDefault="00054AFC" w:rsidP="00915AF7">
      <w:pPr>
        <w:widowControl w:val="0"/>
        <w:tabs>
          <w:tab w:val="center" w:pos="4680"/>
        </w:tabs>
        <w:jc w:val="center"/>
        <w:rPr>
          <w:b/>
        </w:rPr>
      </w:pPr>
      <w:r>
        <w:fldChar w:fldCharType="begin"/>
      </w:r>
      <w:r w:rsidR="00717D58">
        <w:instrText xml:space="preserve"> SEQ CHAPTER \h \r 1</w:instrText>
      </w:r>
      <w:r>
        <w:fldChar w:fldCharType="end"/>
      </w:r>
      <w:r w:rsidR="00717D58">
        <w:rPr>
          <w:b/>
        </w:rPr>
        <w:t>Supporting Statement for a Request for OMB Review under</w:t>
      </w:r>
    </w:p>
    <w:p w:rsidR="00717D58" w:rsidRDefault="00717D58" w:rsidP="00915AF7">
      <w:pPr>
        <w:widowControl w:val="0"/>
        <w:jc w:val="center"/>
        <w:rPr>
          <w:b/>
        </w:rPr>
      </w:pPr>
      <w:r>
        <w:rPr>
          <w:b/>
        </w:rPr>
        <w:t>the Paperwork Reduction Act</w:t>
      </w:r>
    </w:p>
    <w:p w:rsidR="00717D58" w:rsidRDefault="00717D58" w:rsidP="00915AF7">
      <w:pPr>
        <w:widowControl w:val="0"/>
        <w:jc w:val="center"/>
        <w:rPr>
          <w:b/>
        </w:rPr>
      </w:pPr>
    </w:p>
    <w:p w:rsidR="00717D58" w:rsidRDefault="00717D58" w:rsidP="00915AF7">
      <w:pPr>
        <w:widowControl w:val="0"/>
        <w:tabs>
          <w:tab w:val="center" w:pos="4680"/>
        </w:tabs>
        <w:rPr>
          <w:b/>
        </w:rPr>
      </w:pPr>
      <w:r>
        <w:rPr>
          <w:b/>
        </w:rPr>
        <w:tab/>
      </w:r>
    </w:p>
    <w:p w:rsidR="00717D58" w:rsidRDefault="00717D58" w:rsidP="00915AF7">
      <w:pPr>
        <w:widowControl w:val="0"/>
        <w:rPr>
          <w:b/>
        </w:rPr>
      </w:pPr>
      <w:r>
        <w:rPr>
          <w:b/>
        </w:rPr>
        <w:t>1</w:t>
      </w:r>
      <w:r>
        <w:rPr>
          <w:b/>
        </w:rPr>
        <w:tab/>
        <w:t>IDENTIFICATION OF THE INFORMATION COLLECTION</w:t>
      </w:r>
    </w:p>
    <w:p w:rsidR="00717D58" w:rsidRDefault="00717D58" w:rsidP="00915AF7">
      <w:pPr>
        <w:widowControl w:val="0"/>
        <w:rPr>
          <w:b/>
        </w:rPr>
      </w:pPr>
    </w:p>
    <w:p w:rsidR="00717D58" w:rsidRDefault="00717D58" w:rsidP="00915AF7">
      <w:pPr>
        <w:widowControl w:val="0"/>
        <w:rPr>
          <w:b/>
        </w:rPr>
      </w:pPr>
      <w:r>
        <w:rPr>
          <w:b/>
        </w:rPr>
        <w:tab/>
        <w:t>1(a)</w:t>
      </w:r>
      <w:r>
        <w:rPr>
          <w:b/>
        </w:rPr>
        <w:tab/>
        <w:t>Title and Number of the Information Collection</w:t>
      </w:r>
    </w:p>
    <w:p w:rsidR="00717D58" w:rsidRDefault="00717D58" w:rsidP="00915AF7">
      <w:pPr>
        <w:widowControl w:val="0"/>
        <w:rPr>
          <w:b/>
        </w:rPr>
      </w:pPr>
    </w:p>
    <w:p w:rsidR="00717D58" w:rsidRDefault="004E4D0C" w:rsidP="00915AF7">
      <w:pPr>
        <w:widowControl w:val="0"/>
        <w:ind w:left="2160" w:hanging="720"/>
        <w:rPr>
          <w:b/>
        </w:rPr>
      </w:pPr>
      <w:r>
        <w:rPr>
          <w:b/>
        </w:rPr>
        <w:t xml:space="preserve">Title:   </w:t>
      </w:r>
      <w:r w:rsidR="00717D58">
        <w:rPr>
          <w:b/>
        </w:rPr>
        <w:t>Health and Safety Data Reporting, Submission of Lists and Copies of Health</w:t>
      </w:r>
      <w:r>
        <w:rPr>
          <w:b/>
        </w:rPr>
        <w:t xml:space="preserve"> </w:t>
      </w:r>
      <w:r w:rsidR="00717D58">
        <w:rPr>
          <w:b/>
        </w:rPr>
        <w:t>and Safety Studies</w:t>
      </w:r>
    </w:p>
    <w:p w:rsidR="00717D58" w:rsidRDefault="00717D58" w:rsidP="00915AF7">
      <w:pPr>
        <w:widowControl w:val="0"/>
        <w:rPr>
          <w:b/>
        </w:rPr>
      </w:pPr>
    </w:p>
    <w:p w:rsidR="00717D58" w:rsidRDefault="00717D58" w:rsidP="00915AF7">
      <w:pPr>
        <w:widowControl w:val="0"/>
        <w:ind w:left="4320" w:hanging="2880"/>
        <w:rPr>
          <w:b/>
        </w:rPr>
      </w:pPr>
      <w:r>
        <w:rPr>
          <w:b/>
        </w:rPr>
        <w:t>EPA ICR No.:   0575.13</w:t>
      </w:r>
      <w:r>
        <w:rPr>
          <w:b/>
        </w:rPr>
        <w:tab/>
        <w:t>OMB Control No.:   2070-0004</w:t>
      </w:r>
    </w:p>
    <w:p w:rsidR="00717D58" w:rsidRDefault="00717D58" w:rsidP="00915AF7">
      <w:pPr>
        <w:widowControl w:val="0"/>
        <w:rPr>
          <w:b/>
        </w:rPr>
      </w:pPr>
    </w:p>
    <w:p w:rsidR="00717D58" w:rsidRDefault="00717D58" w:rsidP="00915AF7">
      <w:pPr>
        <w:widowControl w:val="0"/>
      </w:pPr>
      <w:r>
        <w:rPr>
          <w:b/>
        </w:rPr>
        <w:tab/>
        <w:t>1(b)</w:t>
      </w:r>
      <w:r>
        <w:rPr>
          <w:b/>
        </w:rPr>
        <w:tab/>
        <w:t>Short Characterization</w:t>
      </w:r>
    </w:p>
    <w:p w:rsidR="00717D58" w:rsidRDefault="00717D58" w:rsidP="00915AF7">
      <w:pPr>
        <w:widowControl w:val="0"/>
      </w:pPr>
    </w:p>
    <w:p w:rsidR="00A537F8" w:rsidRDefault="00717D58" w:rsidP="00915AF7">
      <w:pPr>
        <w:widowControl w:val="0"/>
        <w:rPr>
          <w:color w:val="000000"/>
        </w:rPr>
      </w:pPr>
      <w:r>
        <w:tab/>
      </w:r>
      <w:r w:rsidR="00A537F8">
        <w:t>Under TSCA Section 8(d) (Attachment A, 15 USC 2607(d)), EPA has the authority to promulgate rules to require producers, importers, and processors to submit lists and/or copies of ongoing and completed, unpublished health and safety studies. EPA's Model TSCA Section 8(d) "Health &amp; Safety Data Reporting Rule" (Attachment B, 40 CFR 716) was developed to gather health and safety information on chemical substances and mixtures needed by EPA to carry out its TSCA mandates (e.g., to support OPPT's Existing Chemicals Program and Chemical Testing Program and to set priorities for TSCA risk assessment/management activities).</w:t>
      </w:r>
      <w:r>
        <w:rPr>
          <w:color w:val="000000"/>
        </w:rPr>
        <w:t xml:space="preserve"> </w:t>
      </w:r>
    </w:p>
    <w:p w:rsidR="00E53AB2" w:rsidRDefault="00E53AB2">
      <w:pPr>
        <w:widowControl w:val="0"/>
        <w:rPr>
          <w:color w:val="000000"/>
        </w:rPr>
      </w:pPr>
    </w:p>
    <w:p w:rsidR="00E53AB2" w:rsidRDefault="00717D58">
      <w:pPr>
        <w:widowControl w:val="0"/>
        <w:ind w:firstLine="720"/>
      </w:pPr>
      <w:r>
        <w:rPr>
          <w:color w:val="000000"/>
        </w:rPr>
        <w:t xml:space="preserve">The Model Rule describes the requirements and procedures for submitting lists and copies of unpublished health and safety studies under section 8(d) of TSCA.  </w:t>
      </w:r>
      <w:r w:rsidR="00A537F8">
        <w:rPr>
          <w:color w:val="000000"/>
        </w:rPr>
        <w:t>EPA amends the TSCA section 8(d) rule periodically to add chemical substances and mixtures. The Model Rule</w:t>
      </w:r>
      <w:r>
        <w:rPr>
          <w:color w:val="000000"/>
        </w:rPr>
        <w:t xml:space="preserve"> requires manufacturers and (if specified) processors</w:t>
      </w:r>
      <w:r w:rsidR="00A537F8">
        <w:rPr>
          <w:color w:val="000000"/>
        </w:rPr>
        <w:t xml:space="preserve"> and distributors</w:t>
      </w:r>
      <w:r>
        <w:rPr>
          <w:color w:val="000000"/>
        </w:rPr>
        <w:t xml:space="preserve"> to submit lists and copies of health and safety studies relating to the health and/or environmental effects of the chemical substances and mixtures listed in the TSCA section 8(d) rule.  </w:t>
      </w:r>
      <w:r w:rsidR="00B259EC">
        <w:t xml:space="preserve">EPA may also use its TSCA Section 8(d) authority to gather information needed by other EPA Program Offices and other Federal Agencies. Chemicals that are designated or recommended for testing under TSCA section 4 by the </w:t>
      </w:r>
      <w:hyperlink r:id="rId7" w:history="1">
        <w:r w:rsidR="00B259EC">
          <w:rPr>
            <w:rStyle w:val="Hyperlink"/>
          </w:rPr>
          <w:t>TSCA Interagency Testing Committee (ITC)</w:t>
        </w:r>
      </w:hyperlink>
      <w:r w:rsidR="00B259EC">
        <w:t xml:space="preserve"> may be added to the rule via immediate final </w:t>
      </w:r>
      <w:r w:rsidR="00222ACB">
        <w:t xml:space="preserve">rulemaking (up to 50 substances per </w:t>
      </w:r>
      <w:r w:rsidR="00B259EC">
        <w:t>year). Non-ITC chemicals can be added to the Section 8(d) rule via notice and comment rulemaking.</w:t>
      </w:r>
    </w:p>
    <w:p w:rsidR="00E53AB2" w:rsidRDefault="00E53AB2">
      <w:pPr>
        <w:widowControl w:val="0"/>
        <w:rPr>
          <w:color w:val="000000"/>
        </w:rPr>
      </w:pPr>
    </w:p>
    <w:p w:rsidR="00E53AB2" w:rsidRDefault="00717D58">
      <w:pPr>
        <w:widowControl w:val="0"/>
        <w:rPr>
          <w:color w:val="000000"/>
        </w:rPr>
      </w:pPr>
      <w:r>
        <w:rPr>
          <w:color w:val="000000"/>
        </w:rPr>
        <w:tab/>
        <w:t>To comply with the reporting requirements of the rule, the respondents (manufacturers and processors) must search their files to identify any health and safety studies in their possession, copy and process the relevant studies, make lists of studies that are currently in progress, and review the studies for confidential business information.</w:t>
      </w:r>
    </w:p>
    <w:p w:rsidR="00E53AB2" w:rsidRDefault="00E53AB2">
      <w:pPr>
        <w:widowControl w:val="0"/>
        <w:rPr>
          <w:color w:val="000000"/>
        </w:rPr>
      </w:pPr>
    </w:p>
    <w:p w:rsidR="00E53AB2" w:rsidRDefault="00E53AB2">
      <w:pPr>
        <w:widowControl w:val="0"/>
        <w:rPr>
          <w:color w:val="000000"/>
        </w:rPr>
      </w:pPr>
    </w:p>
    <w:p w:rsidR="00E53AB2" w:rsidRDefault="00717D58">
      <w:pPr>
        <w:widowControl w:val="0"/>
        <w:rPr>
          <w:color w:val="000000"/>
        </w:rPr>
      </w:pPr>
      <w:r>
        <w:rPr>
          <w:b/>
          <w:color w:val="000000"/>
        </w:rPr>
        <w:t>2</w:t>
      </w:r>
      <w:r>
        <w:rPr>
          <w:b/>
          <w:color w:val="000000"/>
        </w:rPr>
        <w:tab/>
        <w:t>NEED FOR AND USE OF THE COLLECTION</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2(a)</w:t>
      </w:r>
      <w:r>
        <w:rPr>
          <w:b/>
          <w:color w:val="000000"/>
        </w:rPr>
        <w:tab/>
        <w:t>Need/Authority for the Collection</w:t>
      </w:r>
    </w:p>
    <w:p w:rsidR="00E53AB2" w:rsidRDefault="00E53AB2">
      <w:pPr>
        <w:widowControl w:val="0"/>
        <w:rPr>
          <w:color w:val="000000"/>
        </w:rPr>
      </w:pPr>
    </w:p>
    <w:p w:rsidR="00E53AB2" w:rsidRDefault="00717D58">
      <w:pPr>
        <w:widowControl w:val="0"/>
        <w:rPr>
          <w:color w:val="000000"/>
        </w:rPr>
      </w:pPr>
      <w:r>
        <w:rPr>
          <w:color w:val="000000"/>
        </w:rPr>
        <w:tab/>
        <w:t xml:space="preserve">TSCA section 8(d), 15 U.S.C. 2607(d), requires EPA to promulgate rules requiring persons who manufacture, process or distribute, or who propose to manufacture, process or distribute, any chemical substances or mixtures to submit to EPA lists and copies of health and safety studies in their possession.  OPPT </w:t>
      </w:r>
      <w:r w:rsidR="00934B0B">
        <w:rPr>
          <w:color w:val="000000"/>
        </w:rPr>
        <w:t xml:space="preserve">needs </w:t>
      </w:r>
      <w:r>
        <w:rPr>
          <w:color w:val="000000"/>
        </w:rPr>
        <w:t xml:space="preserve">these studies to determine the kinds of test </w:t>
      </w:r>
      <w:r w:rsidR="00D076A0">
        <w:rPr>
          <w:color w:val="000000"/>
        </w:rPr>
        <w:t xml:space="preserve">data may be </w:t>
      </w:r>
      <w:r>
        <w:rPr>
          <w:color w:val="000000"/>
        </w:rPr>
        <w:t xml:space="preserve">needed </w:t>
      </w:r>
      <w:r w:rsidR="00D076A0">
        <w:rPr>
          <w:color w:val="000000"/>
        </w:rPr>
        <w:t xml:space="preserve">in order </w:t>
      </w:r>
      <w:r>
        <w:rPr>
          <w:color w:val="000000"/>
        </w:rPr>
        <w:t xml:space="preserve">to </w:t>
      </w:r>
      <w:r w:rsidR="00D076A0">
        <w:rPr>
          <w:color w:val="000000"/>
        </w:rPr>
        <w:t xml:space="preserve">properly assess the risks </w:t>
      </w:r>
      <w:r>
        <w:rPr>
          <w:color w:val="000000"/>
        </w:rPr>
        <w:t xml:space="preserve">of </w:t>
      </w:r>
      <w:r w:rsidR="00D076A0">
        <w:rPr>
          <w:color w:val="000000"/>
        </w:rPr>
        <w:t xml:space="preserve">particular </w:t>
      </w:r>
      <w:r>
        <w:rPr>
          <w:color w:val="000000"/>
        </w:rPr>
        <w:t>chemicals</w:t>
      </w:r>
      <w:r w:rsidR="00934B0B">
        <w:rPr>
          <w:color w:val="000000"/>
        </w:rPr>
        <w:t xml:space="preserve">, which ultimately enable </w:t>
      </w:r>
      <w:r>
        <w:rPr>
          <w:color w:val="000000"/>
        </w:rPr>
        <w:t>the</w:t>
      </w:r>
      <w:r w:rsidR="003F7D38">
        <w:rPr>
          <w:color w:val="000000"/>
        </w:rPr>
        <w:t xml:space="preserve"> </w:t>
      </w:r>
      <w:r w:rsidR="00934B0B">
        <w:rPr>
          <w:color w:val="000000"/>
        </w:rPr>
        <w:t xml:space="preserve">Agency to </w:t>
      </w:r>
      <w:r w:rsidR="00934B0B" w:rsidRPr="00934B0B">
        <w:rPr>
          <w:color w:val="000000"/>
        </w:rPr>
        <w:t xml:space="preserve">set priorities for TSCA risk </w:t>
      </w:r>
      <w:r w:rsidR="00934B0B" w:rsidRPr="00934B0B">
        <w:rPr>
          <w:color w:val="000000"/>
        </w:rPr>
        <w:lastRenderedPageBreak/>
        <w:t>assessment</w:t>
      </w:r>
      <w:r w:rsidR="00934B0B">
        <w:rPr>
          <w:color w:val="000000"/>
        </w:rPr>
        <w:t xml:space="preserve"> and risk </w:t>
      </w:r>
      <w:r w:rsidR="00934B0B" w:rsidRPr="00934B0B">
        <w:rPr>
          <w:color w:val="000000"/>
        </w:rPr>
        <w:t>management activities</w:t>
      </w:r>
      <w:r>
        <w:rPr>
          <w:color w:val="000000"/>
        </w:rPr>
        <w:t>.  Other federal agencies use the studies when they are assessing a listed chemical substance for health or environmental effects.</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2(b)</w:t>
      </w:r>
      <w:r>
        <w:rPr>
          <w:b/>
          <w:color w:val="000000"/>
        </w:rPr>
        <w:tab/>
        <w:t>Use/Users of the Data</w:t>
      </w:r>
    </w:p>
    <w:p w:rsidR="00E53AB2" w:rsidRDefault="00E53AB2">
      <w:pPr>
        <w:widowControl w:val="0"/>
        <w:rPr>
          <w:color w:val="000000"/>
        </w:rPr>
      </w:pPr>
    </w:p>
    <w:p w:rsidR="00E53AB2" w:rsidRDefault="00717D58">
      <w:pPr>
        <w:widowControl w:val="0"/>
        <w:rPr>
          <w:color w:val="000000"/>
        </w:rPr>
      </w:pPr>
      <w:r>
        <w:rPr>
          <w:color w:val="000000"/>
        </w:rPr>
        <w:tab/>
        <w:t xml:space="preserve">Studies submitted pursuant to TSCA section 8(d) rules </w:t>
      </w:r>
      <w:r w:rsidR="00272D6B">
        <w:rPr>
          <w:color w:val="000000"/>
        </w:rPr>
        <w:t xml:space="preserve">are </w:t>
      </w:r>
      <w:r>
        <w:rPr>
          <w:color w:val="000000"/>
        </w:rPr>
        <w:t>evaluated in conjunction with other available data.  EPA and other federal agencies use the data to construct a complete picture of the known effects of the chemical substance.  OPPT determine</w:t>
      </w:r>
      <w:r w:rsidR="00272D6B">
        <w:rPr>
          <w:color w:val="000000"/>
        </w:rPr>
        <w:t>s</w:t>
      </w:r>
      <w:r>
        <w:rPr>
          <w:color w:val="000000"/>
        </w:rPr>
        <w:t xml:space="preserve"> what kinds of testing, if any, are needed.  </w:t>
      </w:r>
      <w:r w:rsidR="00272D6B">
        <w:rPr>
          <w:color w:val="000000"/>
        </w:rPr>
        <w:t xml:space="preserve">OPPT’s review of submitted </w:t>
      </w:r>
      <w:r>
        <w:rPr>
          <w:color w:val="000000"/>
        </w:rPr>
        <w:t>TSCA section 8(d) studies ensure</w:t>
      </w:r>
      <w:r w:rsidR="00272D6B">
        <w:rPr>
          <w:color w:val="000000"/>
        </w:rPr>
        <w:t>s</w:t>
      </w:r>
      <w:r>
        <w:rPr>
          <w:color w:val="000000"/>
        </w:rPr>
        <w:t xml:space="preserve"> that </w:t>
      </w:r>
      <w:r w:rsidR="00272D6B">
        <w:rPr>
          <w:color w:val="000000"/>
        </w:rPr>
        <w:t xml:space="preserve">EPA </w:t>
      </w:r>
      <w:r>
        <w:rPr>
          <w:color w:val="000000"/>
        </w:rPr>
        <w:t xml:space="preserve">bases its testing </w:t>
      </w:r>
      <w:r w:rsidR="00272D6B">
        <w:rPr>
          <w:color w:val="000000"/>
        </w:rPr>
        <w:t xml:space="preserve">requirements </w:t>
      </w:r>
      <w:r>
        <w:rPr>
          <w:color w:val="000000"/>
        </w:rPr>
        <w:t xml:space="preserve">on the most complete information available and does not require </w:t>
      </w:r>
      <w:r w:rsidR="001D0923">
        <w:rPr>
          <w:color w:val="000000"/>
        </w:rPr>
        <w:t xml:space="preserve">manufacturers, processors, and/or distributors to undertake </w:t>
      </w:r>
      <w:r w:rsidR="00272D6B">
        <w:rPr>
          <w:color w:val="000000"/>
        </w:rPr>
        <w:t xml:space="preserve">new </w:t>
      </w:r>
      <w:r>
        <w:rPr>
          <w:color w:val="000000"/>
        </w:rPr>
        <w:t xml:space="preserve">testing </w:t>
      </w:r>
      <w:r w:rsidR="00272D6B">
        <w:rPr>
          <w:color w:val="000000"/>
        </w:rPr>
        <w:t xml:space="preserve">to develop data </w:t>
      </w:r>
      <w:r>
        <w:rPr>
          <w:color w:val="000000"/>
        </w:rPr>
        <w:t xml:space="preserve">that may already </w:t>
      </w:r>
      <w:r w:rsidR="00272D6B">
        <w:rPr>
          <w:color w:val="000000"/>
        </w:rPr>
        <w:t>exist</w:t>
      </w:r>
      <w:r>
        <w:rPr>
          <w:color w:val="000000"/>
        </w:rPr>
        <w:t>.</w:t>
      </w:r>
    </w:p>
    <w:p w:rsidR="00E53AB2" w:rsidRDefault="00E53AB2">
      <w:pPr>
        <w:widowControl w:val="0"/>
        <w:rPr>
          <w:color w:val="000000"/>
        </w:rPr>
      </w:pPr>
    </w:p>
    <w:p w:rsidR="00E53AB2" w:rsidRDefault="00717D58">
      <w:pPr>
        <w:widowControl w:val="0"/>
        <w:rPr>
          <w:color w:val="000000"/>
        </w:rPr>
      </w:pPr>
      <w:r>
        <w:rPr>
          <w:color w:val="000000"/>
        </w:rPr>
        <w:tab/>
        <w:t xml:space="preserve">In addition, EPA will require that copies of health and safety studies be submitted on other chemicals that are under investigation either in the early stages of risk assessment or when action to control exposure is being considered by EPA or another federal agency.  These chemicals may be ones for which </w:t>
      </w:r>
      <w:r w:rsidR="001D0923">
        <w:rPr>
          <w:color w:val="000000"/>
        </w:rPr>
        <w:t>EPA has received</w:t>
      </w:r>
      <w:r>
        <w:rPr>
          <w:color w:val="000000"/>
        </w:rPr>
        <w:t xml:space="preserve"> substantial risk notification under TSCA section 8(e), or other chemicals for which data are needed to support a </w:t>
      </w:r>
      <w:r w:rsidR="001D0923">
        <w:rPr>
          <w:color w:val="000000"/>
        </w:rPr>
        <w:t xml:space="preserve">risk </w:t>
      </w:r>
      <w:r w:rsidR="001D0923" w:rsidRPr="00934B0B">
        <w:rPr>
          <w:color w:val="000000"/>
        </w:rPr>
        <w:t>management</w:t>
      </w:r>
      <w:r w:rsidR="001D0923">
        <w:rPr>
          <w:color w:val="000000"/>
        </w:rPr>
        <w:t xml:space="preserve"> activity</w:t>
      </w:r>
      <w:r>
        <w:rPr>
          <w:color w:val="000000"/>
        </w:rPr>
        <w:t xml:space="preserve"> under sections 5 and 6 of TSCA or under other EPA-administered statutes.  If this information collection did not exist, EPA would not be able to obtain the necessary information for evaluating the need for testing under section 4 of TSCA or controlling chemical substances under TSCA sections 5 and 6.</w:t>
      </w:r>
    </w:p>
    <w:p w:rsidR="00E53AB2" w:rsidRDefault="00E53AB2">
      <w:pPr>
        <w:widowControl w:val="0"/>
        <w:rPr>
          <w:color w:val="000000"/>
        </w:rPr>
      </w:pPr>
    </w:p>
    <w:p w:rsidR="00E53AB2" w:rsidRDefault="00717D58">
      <w:pPr>
        <w:widowControl w:val="0"/>
        <w:rPr>
          <w:color w:val="000000"/>
        </w:rPr>
      </w:pPr>
      <w:r>
        <w:rPr>
          <w:color w:val="000000"/>
        </w:rPr>
        <w:tab/>
        <w:t xml:space="preserve"> In the past, the studies submitted have also been utilized by the following offices: the Office of Air and Radiation (OAR) for developing Tier II analyses; the Office of Research and Development (ORD) for developing extended risk assessments; the Consumer Product Safety Commission (CPSC) for assessing the hazards of known consumer exposure; the American Council for Government Industrial Hygienists (ACGIH), and the National Institute for Occupational Safety and Health (NIOSH) for developing recommended occupational exposure levels.</w:t>
      </w:r>
    </w:p>
    <w:p w:rsidR="00E53AB2" w:rsidRDefault="00E53AB2">
      <w:pPr>
        <w:widowControl w:val="0"/>
        <w:rPr>
          <w:color w:val="000000"/>
        </w:rPr>
      </w:pPr>
    </w:p>
    <w:p w:rsidR="00E53AB2" w:rsidRDefault="00E53AB2">
      <w:pPr>
        <w:widowControl w:val="0"/>
        <w:rPr>
          <w:color w:val="000000"/>
        </w:rPr>
      </w:pPr>
    </w:p>
    <w:p w:rsidR="00E53AB2" w:rsidRDefault="00717D58">
      <w:pPr>
        <w:widowControl w:val="0"/>
        <w:rPr>
          <w:b/>
          <w:color w:val="000000"/>
        </w:rPr>
      </w:pPr>
      <w:r>
        <w:rPr>
          <w:b/>
          <w:color w:val="000000"/>
        </w:rPr>
        <w:t>3</w:t>
      </w:r>
      <w:r>
        <w:rPr>
          <w:b/>
          <w:color w:val="000000"/>
        </w:rPr>
        <w:tab/>
        <w:t xml:space="preserve">NON-DUPLICATION, CONSULTATIONS AND OTHER COLLECTION </w:t>
      </w:r>
    </w:p>
    <w:p w:rsidR="00E53AB2" w:rsidRDefault="00717D58">
      <w:pPr>
        <w:widowControl w:val="0"/>
        <w:ind w:firstLine="720"/>
        <w:rPr>
          <w:color w:val="000000"/>
        </w:rPr>
      </w:pPr>
      <w:r>
        <w:rPr>
          <w:b/>
          <w:color w:val="000000"/>
        </w:rPr>
        <w:t>CRITERIA</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3(a)</w:t>
      </w:r>
      <w:r>
        <w:rPr>
          <w:b/>
          <w:color w:val="000000"/>
        </w:rPr>
        <w:tab/>
        <w:t>Non-Duplication</w:t>
      </w:r>
    </w:p>
    <w:p w:rsidR="00E53AB2" w:rsidRDefault="00E53AB2">
      <w:pPr>
        <w:widowControl w:val="0"/>
        <w:rPr>
          <w:color w:val="000000"/>
        </w:rPr>
      </w:pPr>
    </w:p>
    <w:p w:rsidR="00E53AB2" w:rsidRDefault="00717D58">
      <w:pPr>
        <w:widowControl w:val="0"/>
        <w:rPr>
          <w:color w:val="000000"/>
        </w:rPr>
      </w:pPr>
      <w:r>
        <w:rPr>
          <w:color w:val="000000"/>
        </w:rPr>
        <w:tab/>
        <w:t xml:space="preserve">In drafting a TSCA section 8(d) rule, EPA considers all available information, i.e., published and unpublished literature, databases, and all data available from EPA programs and offices and other federal entities.  If existing data are sufficient for </w:t>
      </w:r>
      <w:r w:rsidR="001D0923">
        <w:rPr>
          <w:color w:val="000000"/>
        </w:rPr>
        <w:t xml:space="preserve">risk </w:t>
      </w:r>
      <w:r>
        <w:rPr>
          <w:color w:val="000000"/>
        </w:rPr>
        <w:t xml:space="preserve">assessment or </w:t>
      </w:r>
      <w:r w:rsidR="001D0923">
        <w:rPr>
          <w:color w:val="000000"/>
        </w:rPr>
        <w:t xml:space="preserve">risk management </w:t>
      </w:r>
      <w:r>
        <w:rPr>
          <w:color w:val="000000"/>
        </w:rPr>
        <w:t xml:space="preserve">purposes, EPA will not require TSCA section 8(d) reporting.  </w:t>
      </w:r>
    </w:p>
    <w:p w:rsidR="00E53AB2" w:rsidRDefault="00E53AB2">
      <w:pPr>
        <w:widowControl w:val="0"/>
        <w:rPr>
          <w:color w:val="000000"/>
        </w:rPr>
      </w:pPr>
    </w:p>
    <w:p w:rsidR="00E53AB2" w:rsidRDefault="00717D58">
      <w:pPr>
        <w:widowControl w:val="0"/>
        <w:rPr>
          <w:color w:val="000000"/>
        </w:rPr>
      </w:pPr>
      <w:r>
        <w:rPr>
          <w:color w:val="000000"/>
        </w:rPr>
        <w:tab/>
        <w:t>The health and safety studies to be submitted under the TSCA section 8(d) rule are not available from any other source.  The TSCA section 8(d) rule requires the listing and submission of studies that are conducted in-house by industry or by industry contractors and not published in the scientific literature.  Under the Model Rule, respondents do not have to list or submit any studies that have been published in the scientific literature, or submitted previously to OPPT on a non-confidential basis.  Studies that respondents previously have submitted on a non-confidential basis to other EPA offices or programs need only be listed.</w:t>
      </w:r>
    </w:p>
    <w:p w:rsidR="00E53AB2" w:rsidRDefault="00E53AB2">
      <w:pPr>
        <w:widowControl w:val="0"/>
        <w:rPr>
          <w:color w:val="000000"/>
        </w:rPr>
      </w:pPr>
    </w:p>
    <w:p w:rsidR="00E53AB2" w:rsidRDefault="00717D58">
      <w:pPr>
        <w:keepNext/>
        <w:ind w:left="720"/>
        <w:rPr>
          <w:color w:val="000000"/>
        </w:rPr>
      </w:pPr>
      <w:r>
        <w:rPr>
          <w:b/>
          <w:color w:val="000000"/>
        </w:rPr>
        <w:lastRenderedPageBreak/>
        <w:t>3(b)</w:t>
      </w:r>
      <w:r>
        <w:rPr>
          <w:b/>
          <w:color w:val="000000"/>
        </w:rPr>
        <w:tab/>
        <w:t>Public Notice Required Prior to ICR Submission to OMB</w:t>
      </w:r>
    </w:p>
    <w:p w:rsidR="00E53AB2" w:rsidRDefault="00E53AB2">
      <w:pPr>
        <w:keepNext/>
        <w:rPr>
          <w:color w:val="000000"/>
        </w:rPr>
      </w:pPr>
    </w:p>
    <w:p w:rsidR="00E53AB2" w:rsidRDefault="00717D58">
      <w:pPr>
        <w:keepNext/>
        <w:rPr>
          <w:color w:val="000000"/>
        </w:rPr>
      </w:pPr>
      <w:r>
        <w:rPr>
          <w:color w:val="000000"/>
        </w:rPr>
        <w:tab/>
      </w:r>
      <w:r w:rsidR="00054AFC">
        <w:rPr>
          <w:szCs w:val="24"/>
          <w:lang w:val="en-CA"/>
        </w:rPr>
        <w:fldChar w:fldCharType="begin"/>
      </w:r>
      <w:r>
        <w:rPr>
          <w:szCs w:val="24"/>
          <w:lang w:val="en-CA"/>
        </w:rPr>
        <w:instrText xml:space="preserve"> SEQ CHAPTER \h \r 1</w:instrText>
      </w:r>
      <w:r w:rsidR="00054AFC">
        <w:rPr>
          <w:szCs w:val="24"/>
          <w:lang w:val="en-CA"/>
        </w:rPr>
        <w:fldChar w:fldCharType="end"/>
      </w:r>
      <w:r w:rsidR="00054AFC">
        <w:rPr>
          <w:szCs w:val="24"/>
          <w:lang w:val="en-CA"/>
        </w:rPr>
        <w:fldChar w:fldCharType="begin"/>
      </w:r>
      <w:r>
        <w:rPr>
          <w:szCs w:val="24"/>
          <w:lang w:val="en-CA"/>
        </w:rPr>
        <w:instrText xml:space="preserve"> SEQ CHAPTER \h \r 1</w:instrText>
      </w:r>
      <w:r w:rsidR="00054AFC">
        <w:rPr>
          <w:szCs w:val="24"/>
          <w:lang w:val="en-CA"/>
        </w:rPr>
        <w:fldChar w:fldCharType="end"/>
      </w:r>
      <w:r w:rsidRPr="00AA045F">
        <w:t xml:space="preserve"> </w:t>
      </w:r>
      <w:r w:rsidRPr="0008241D">
        <w:rPr>
          <w:szCs w:val="24"/>
          <w:lang w:val="en-CA"/>
        </w:rPr>
        <w:t>In proposing to renew this ICR, EPA provided a 60-day public notice and comment period tha</w:t>
      </w:r>
      <w:r>
        <w:rPr>
          <w:szCs w:val="24"/>
          <w:lang w:val="en-CA"/>
        </w:rPr>
        <w:t>t ended on March 26, 2012 (77 FR 3766, January 25, 2012</w:t>
      </w:r>
      <w:r w:rsidRPr="0008241D">
        <w:rPr>
          <w:szCs w:val="24"/>
          <w:lang w:val="en-CA"/>
        </w:rPr>
        <w:t>).  EPA received no comments during the comment period.</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3(c)</w:t>
      </w:r>
      <w:r>
        <w:rPr>
          <w:b/>
          <w:color w:val="000000"/>
        </w:rPr>
        <w:tab/>
        <w:t>Consultations</w:t>
      </w:r>
    </w:p>
    <w:p w:rsidR="00E53AB2" w:rsidRDefault="00E53AB2">
      <w:pPr>
        <w:widowControl w:val="0"/>
        <w:rPr>
          <w:color w:val="000000"/>
        </w:rPr>
      </w:pPr>
    </w:p>
    <w:p w:rsidR="00E53AB2" w:rsidRDefault="00717D58">
      <w:pPr>
        <w:widowControl w:val="0"/>
        <w:rPr>
          <w:u w:val="double"/>
        </w:rPr>
      </w:pPr>
      <w:r>
        <w:tab/>
      </w:r>
      <w:r w:rsidR="00B259EC">
        <w:t>EPA</w:t>
      </w:r>
      <w:r w:rsidRPr="0099603F">
        <w:t xml:space="preserve"> met on several occasions during 1988 and 1989 with interested industry members to discuss aspect</w:t>
      </w:r>
      <w:r>
        <w:t xml:space="preserve">s of reporting, monitoring and </w:t>
      </w:r>
      <w:r w:rsidRPr="0099603F">
        <w:t xml:space="preserve">modeling health and safety studies under the TSCA section 8(d) model rule.  The result of these meetings was two interpretative guidance question-and-answer documents that clarify the modeling and monitoring studies that are and are not </w:t>
      </w:r>
      <w:r>
        <w:t>subject to reporting at 40 CFR p</w:t>
      </w:r>
      <w:r w:rsidRPr="0099603F">
        <w:t>art 716.</w:t>
      </w:r>
    </w:p>
    <w:p w:rsidR="00E53AB2" w:rsidRDefault="00E53AB2">
      <w:pPr>
        <w:widowControl w:val="0"/>
        <w:rPr>
          <w:color w:val="000000"/>
        </w:rPr>
      </w:pPr>
    </w:p>
    <w:p w:rsidR="00E53AB2" w:rsidRDefault="00717D58">
      <w:pPr>
        <w:widowControl w:val="0"/>
        <w:rPr>
          <w:color w:val="000000"/>
        </w:rPr>
      </w:pPr>
      <w:r>
        <w:rPr>
          <w:color w:val="000000"/>
        </w:rPr>
        <w:tab/>
        <w:t>In September 1996, EPA held a public meeting and solicited comments from industry to discuss a variety of revisions to TSCA section 8(d).  This meeting focused on reducing the burden associated with the reporting regulations under TSCA section 8(d) while still providing EPA and other federal agencies with the data necessary for risk characterization.  These revisions were implemented in a Direct Final Rule entitled “Revisions to Reporting Regulations under TSCA Section 8(d)” (63 FR 15765, April 1, 1998).  These revisions became effective June 30, 1998.</w:t>
      </w:r>
    </w:p>
    <w:p w:rsidR="00E53AB2" w:rsidRDefault="00E53AB2">
      <w:pPr>
        <w:widowControl w:val="0"/>
        <w:rPr>
          <w:color w:val="000000"/>
        </w:rPr>
      </w:pPr>
    </w:p>
    <w:p w:rsidR="00E53AB2" w:rsidRDefault="00717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color w:val="000000"/>
        </w:rPr>
        <w:tab/>
      </w:r>
      <w:r w:rsidRPr="0008241D">
        <w:rPr>
          <w:szCs w:val="24"/>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rsidRPr="00F6250D">
        <w:rPr>
          <w:szCs w:val="24"/>
        </w:rPr>
        <w:t>nine</w:t>
      </w:r>
      <w:r w:rsidRPr="0008241D">
        <w:rPr>
          <w:szCs w:val="24"/>
        </w:rPr>
        <w:t xml:space="preserve"> parties via email.  The individuals contacted were:</w:t>
      </w:r>
    </w:p>
    <w:p w:rsidR="00E53AB2" w:rsidRDefault="00E5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Robert Kiefer</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Director, Regulatory and Technical Affairs</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American Chemistry Council</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700 2nd Street, NE</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Washington, D.C. 2002</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Tel.: 202-249-6414 (direct)</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Fax: 202-478-2503</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Email: Robert_kiefer@americanchemistry.com</w:t>
      </w:r>
    </w:p>
    <w:p w:rsidR="00E53AB2" w:rsidRDefault="00E53AB2">
      <w:pPr>
        <w:pStyle w:val="NoSpacing"/>
        <w:rPr>
          <w:rFonts w:ascii="Times New Roman" w:hAnsi="Times New Roman" w:cs="Times New Roman"/>
          <w:sz w:val="24"/>
          <w:szCs w:val="24"/>
        </w:rPr>
      </w:pP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Ernie Rosenberg</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President and CEO</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American Cleaning Institute</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1331 L Street, N.W., Suite 650</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Washington, D.C. 20005</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Tel.: (202)662-2505</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Fax: (202) 347-4110</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E-mail: erosenberg@cleaninginstitute.org</w:t>
      </w:r>
    </w:p>
    <w:p w:rsidR="00E53AB2" w:rsidRDefault="00E53AB2">
      <w:pPr>
        <w:pStyle w:val="NoSpacing"/>
        <w:rPr>
          <w:rFonts w:ascii="Times New Roman" w:hAnsi="Times New Roman" w:cs="Times New Roman"/>
          <w:sz w:val="24"/>
          <w:szCs w:val="24"/>
        </w:rPr>
      </w:pP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 xml:space="preserve">Douglas </w:t>
      </w:r>
      <w:proofErr w:type="spellStart"/>
      <w:r w:rsidRPr="009000DC">
        <w:rPr>
          <w:rFonts w:ascii="Times New Roman" w:hAnsi="Times New Roman" w:cs="Times New Roman"/>
          <w:sz w:val="24"/>
          <w:szCs w:val="24"/>
        </w:rPr>
        <w:t>Fratz</w:t>
      </w:r>
      <w:proofErr w:type="spellEnd"/>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Vice President, Scientific and Technical Affairs</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Consumer Specialty Products Association</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900 17th Street, NW, Suite 300</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Washington, D.C. 20006</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lastRenderedPageBreak/>
        <w:t>Tel.: (202)833-7304</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E-mail: dfratz@cspa.org</w:t>
      </w:r>
    </w:p>
    <w:p w:rsidR="00E53AB2" w:rsidRDefault="00E53AB2">
      <w:pPr>
        <w:pStyle w:val="NoSpacing"/>
        <w:rPr>
          <w:rFonts w:ascii="Times New Roman" w:hAnsi="Times New Roman" w:cs="Times New Roman"/>
          <w:sz w:val="24"/>
          <w:szCs w:val="24"/>
        </w:rPr>
      </w:pP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Dan Newton</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Manager, Government Relations</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SOCMA</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1850 M Street NW, Suite 700</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Washington, DC 20036</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Tel.: 202-721-4158</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Fax: 202-296-8548</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Email: newtond@socma.com</w:t>
      </w:r>
    </w:p>
    <w:p w:rsidR="00E53AB2" w:rsidRDefault="00E53AB2">
      <w:pPr>
        <w:pStyle w:val="NoSpacing"/>
        <w:rPr>
          <w:rFonts w:ascii="Times New Roman" w:hAnsi="Times New Roman" w:cs="Times New Roman"/>
          <w:sz w:val="24"/>
          <w:szCs w:val="24"/>
        </w:rPr>
      </w:pP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 xml:space="preserve">William </w:t>
      </w:r>
      <w:proofErr w:type="spellStart"/>
      <w:r w:rsidRPr="009000DC">
        <w:rPr>
          <w:rFonts w:ascii="Times New Roman" w:hAnsi="Times New Roman" w:cs="Times New Roman"/>
          <w:sz w:val="24"/>
          <w:szCs w:val="24"/>
        </w:rPr>
        <w:t>McLin</w:t>
      </w:r>
      <w:proofErr w:type="spellEnd"/>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Executive Director</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Asthma &amp; Allergy Foundation of America</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8201 Corporate Drive, Suite 1000</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Landover, MD  20785</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Tel.: (202) 466-7643, ext. 273</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Email: bill@aafa.org</w:t>
      </w:r>
    </w:p>
    <w:p w:rsidR="00E53AB2" w:rsidRDefault="00E53AB2">
      <w:pPr>
        <w:pStyle w:val="NoSpacing"/>
        <w:rPr>
          <w:rFonts w:ascii="Times New Roman" w:hAnsi="Times New Roman" w:cs="Times New Roman"/>
          <w:sz w:val="24"/>
          <w:szCs w:val="24"/>
        </w:rPr>
      </w:pPr>
    </w:p>
    <w:p w:rsidR="00E53AB2" w:rsidRDefault="00717D58">
      <w:pPr>
        <w:pStyle w:val="NoSpacing"/>
        <w:rPr>
          <w:rFonts w:ascii="Times New Roman" w:hAnsi="Times New Roman" w:cs="Times New Roman"/>
          <w:sz w:val="24"/>
          <w:szCs w:val="24"/>
        </w:rPr>
      </w:pPr>
      <w:proofErr w:type="spellStart"/>
      <w:r w:rsidRPr="009000DC">
        <w:rPr>
          <w:rFonts w:ascii="Times New Roman" w:hAnsi="Times New Roman" w:cs="Times New Roman"/>
          <w:sz w:val="24"/>
          <w:szCs w:val="24"/>
        </w:rPr>
        <w:t>Nsedu</w:t>
      </w:r>
      <w:proofErr w:type="spellEnd"/>
      <w:r w:rsidRPr="009000DC">
        <w:rPr>
          <w:rFonts w:ascii="Times New Roman" w:hAnsi="Times New Roman" w:cs="Times New Roman"/>
          <w:sz w:val="24"/>
          <w:szCs w:val="24"/>
        </w:rPr>
        <w:t xml:space="preserve"> Witherspoon</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Executive Director</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Children's Environmental Health Network</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110 Maryland Avenue, NE, Suite 505</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Washington, DC  20002</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Tel.: (202) 543-4033 (main)</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Email: nobot@cehn.org</w:t>
      </w:r>
    </w:p>
    <w:p w:rsidR="00E53AB2" w:rsidRDefault="00E53AB2">
      <w:pPr>
        <w:pStyle w:val="NoSpacing"/>
        <w:rPr>
          <w:rFonts w:ascii="Times New Roman" w:hAnsi="Times New Roman" w:cs="Times New Roman"/>
          <w:sz w:val="24"/>
          <w:szCs w:val="24"/>
        </w:rPr>
      </w:pP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Richard Denison</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Senior Scientist</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Environmental Defense</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1875 Connecticut Ave., N.W.</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Suite 600</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Washington, D.C. 20009</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Phone: 202-387-3500, ext. 3348</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Fax: 202-234-6049</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Email: rdenison@edf.org</w:t>
      </w:r>
    </w:p>
    <w:p w:rsidR="00E53AB2" w:rsidRDefault="00E53AB2">
      <w:pPr>
        <w:pStyle w:val="NoSpacing"/>
        <w:rPr>
          <w:rFonts w:ascii="Times New Roman" w:hAnsi="Times New Roman" w:cs="Times New Roman"/>
          <w:sz w:val="24"/>
          <w:szCs w:val="24"/>
        </w:rPr>
      </w:pP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Ken Cook, President</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Environmental Working Group</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1436 U St., N.W., Suite 100</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Washington, D.C. 20009</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Phone: 202-667-6982</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E-mail: ken@ewg.org</w:t>
      </w:r>
    </w:p>
    <w:p w:rsidR="00E53AB2" w:rsidRDefault="00E53AB2">
      <w:pPr>
        <w:pStyle w:val="NoSpacing"/>
        <w:rPr>
          <w:rFonts w:ascii="Times New Roman" w:hAnsi="Times New Roman" w:cs="Times New Roman"/>
          <w:sz w:val="24"/>
          <w:szCs w:val="24"/>
        </w:rPr>
      </w:pP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Linda Greer</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Natural Resources Defense Council</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1200 New York Avenue, Suite 400</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Washington, DC 20005</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lastRenderedPageBreak/>
        <w:t>Phone: 202-289-6868; FAX: 202-289-1060</w:t>
      </w:r>
    </w:p>
    <w:p w:rsidR="00E53AB2" w:rsidRDefault="00717D58">
      <w:pPr>
        <w:pStyle w:val="NoSpacing"/>
        <w:rPr>
          <w:rFonts w:ascii="Times New Roman" w:hAnsi="Times New Roman" w:cs="Times New Roman"/>
          <w:sz w:val="24"/>
          <w:szCs w:val="24"/>
        </w:rPr>
      </w:pPr>
      <w:r w:rsidRPr="009000DC">
        <w:rPr>
          <w:rFonts w:ascii="Times New Roman" w:hAnsi="Times New Roman" w:cs="Times New Roman"/>
          <w:sz w:val="24"/>
          <w:szCs w:val="24"/>
        </w:rPr>
        <w:t>Email: lgreer@nrdc.org</w:t>
      </w:r>
    </w:p>
    <w:p w:rsidR="00E53AB2" w:rsidRDefault="00E5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E53AB2" w:rsidRDefault="00717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ab/>
      </w:r>
      <w:r w:rsidRPr="0008241D">
        <w:rPr>
          <w:szCs w:val="24"/>
        </w:rPr>
        <w:t xml:space="preserve">EPA received no responses to its solicitation for consultations.  A copy of EPA’s consultation e-mail to the above potential respondents is included in </w:t>
      </w:r>
      <w:r w:rsidRPr="00460DEE">
        <w:rPr>
          <w:szCs w:val="24"/>
        </w:rPr>
        <w:t>Attachment 3</w:t>
      </w:r>
      <w:r w:rsidRPr="0008241D">
        <w:rPr>
          <w:szCs w:val="24"/>
        </w:rPr>
        <w:t>.</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3(d)</w:t>
      </w:r>
      <w:r>
        <w:rPr>
          <w:b/>
          <w:color w:val="000000"/>
        </w:rPr>
        <w:tab/>
        <w:t>Effects of Less Frequent Collection</w:t>
      </w:r>
    </w:p>
    <w:p w:rsidR="00E53AB2" w:rsidRDefault="00E53AB2">
      <w:pPr>
        <w:widowControl w:val="0"/>
        <w:rPr>
          <w:color w:val="000000"/>
        </w:rPr>
      </w:pPr>
    </w:p>
    <w:p w:rsidR="00E53AB2" w:rsidRDefault="00717D58">
      <w:pPr>
        <w:widowControl w:val="0"/>
        <w:rPr>
          <w:color w:val="000000"/>
        </w:rPr>
      </w:pPr>
      <w:r>
        <w:rPr>
          <w:color w:val="000000"/>
        </w:rPr>
        <w:tab/>
        <w:t>In most instances, respondents will be required to make only initial submissions under the TSCA section 8(d) rule.  However, after the initial submission of lists and studies, respondents are required to notify EPA when certain health and safety studies are initiated by submitting a list of newly initiated studies.  Because the reporting frequency for the TSCA section 8(d) rule is generally once, the reporting frequency cannot be reduced without suspending the information requirement.  If this were to happen, EPA would not be able to obtain the necessary information for evaluating the need for testing under section 4 of TSCA or controlling chemical substances under sections 5 and 6 of TSCA.</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3(e)</w:t>
      </w:r>
      <w:r>
        <w:rPr>
          <w:b/>
          <w:color w:val="000000"/>
        </w:rPr>
        <w:tab/>
        <w:t>General Guidelines</w:t>
      </w:r>
    </w:p>
    <w:p w:rsidR="00E53AB2" w:rsidRDefault="00E53AB2">
      <w:pPr>
        <w:widowControl w:val="0"/>
        <w:rPr>
          <w:color w:val="000000"/>
        </w:rPr>
      </w:pPr>
    </w:p>
    <w:p w:rsidR="00E53AB2" w:rsidRDefault="00717D58">
      <w:pPr>
        <w:widowControl w:val="0"/>
        <w:rPr>
          <w:color w:val="000000"/>
        </w:rPr>
      </w:pPr>
      <w:r>
        <w:rPr>
          <w:color w:val="000000"/>
        </w:rPr>
        <w:tab/>
        <w:t>This information collection activity is necessary to implement the statutory requirements of section 8(d) of TSCA and is consistent with the requirements of the PRA, OMB implementing regulations (5 CFR 1320.6), and OMB Guidance.</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3(f)</w:t>
      </w:r>
      <w:r>
        <w:rPr>
          <w:b/>
          <w:color w:val="000000"/>
        </w:rPr>
        <w:tab/>
        <w:t>Confidentiality</w:t>
      </w:r>
    </w:p>
    <w:p w:rsidR="00E53AB2" w:rsidRDefault="00E53AB2">
      <w:pPr>
        <w:widowControl w:val="0"/>
        <w:rPr>
          <w:color w:val="000000"/>
        </w:rPr>
      </w:pPr>
    </w:p>
    <w:p w:rsidR="00E53AB2" w:rsidRDefault="00717D58">
      <w:pPr>
        <w:widowControl w:val="0"/>
        <w:rPr>
          <w:color w:val="000000"/>
        </w:rPr>
      </w:pPr>
      <w:r>
        <w:rPr>
          <w:color w:val="000000"/>
        </w:rPr>
        <w:tab/>
        <w:t>Under the TSCA section 8(d) rule, a person submitting a health and safety study may claim certain parts of the study confidential.  EPA has implemented procedures to protect confidential, trade secret and proprietary information from disclosure.  These procedures comply with EPA’s confidentiality regulation, 40 CFR Part 2, Subpart B.</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3(g)</w:t>
      </w:r>
      <w:r>
        <w:rPr>
          <w:b/>
          <w:color w:val="000000"/>
        </w:rPr>
        <w:tab/>
        <w:t>Sensitive Questions</w:t>
      </w:r>
    </w:p>
    <w:p w:rsidR="00E53AB2" w:rsidRDefault="00E53AB2">
      <w:pPr>
        <w:widowControl w:val="0"/>
        <w:rPr>
          <w:color w:val="000000"/>
        </w:rPr>
      </w:pPr>
    </w:p>
    <w:p w:rsidR="00E53AB2" w:rsidRDefault="00717D58">
      <w:pPr>
        <w:widowControl w:val="0"/>
        <w:rPr>
          <w:color w:val="000000"/>
        </w:rPr>
      </w:pPr>
      <w:r>
        <w:rPr>
          <w:color w:val="000000"/>
        </w:rPr>
        <w:tab/>
        <w:t>This section is not applicable.  The information requested is not sensitive in nature.</w:t>
      </w:r>
    </w:p>
    <w:p w:rsidR="00E53AB2" w:rsidRDefault="00E53AB2">
      <w:pPr>
        <w:widowControl w:val="0"/>
        <w:rPr>
          <w:color w:val="000000"/>
        </w:rPr>
      </w:pPr>
    </w:p>
    <w:p w:rsidR="00E53AB2" w:rsidRDefault="00E53AB2">
      <w:pPr>
        <w:widowControl w:val="0"/>
        <w:rPr>
          <w:color w:val="000000"/>
        </w:rPr>
      </w:pPr>
    </w:p>
    <w:p w:rsidR="00E53AB2" w:rsidRDefault="00717D58">
      <w:pPr>
        <w:widowControl w:val="0"/>
        <w:ind w:left="720" w:hanging="720"/>
        <w:rPr>
          <w:color w:val="000000"/>
        </w:rPr>
      </w:pPr>
      <w:r>
        <w:rPr>
          <w:b/>
          <w:color w:val="000000"/>
        </w:rPr>
        <w:t>4</w:t>
      </w:r>
      <w:r>
        <w:rPr>
          <w:b/>
          <w:color w:val="000000"/>
        </w:rPr>
        <w:tab/>
        <w:t>THE INFORMATION COLLECTED - AGENCY ACTIVITIES, COLLECTION METHODOLOGY, AND INFORMATION MANAGEMENT</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4(a)</w:t>
      </w:r>
      <w:r>
        <w:rPr>
          <w:b/>
          <w:color w:val="000000"/>
        </w:rPr>
        <w:tab/>
        <w:t>Agency Activities</w:t>
      </w:r>
    </w:p>
    <w:p w:rsidR="00E53AB2" w:rsidRDefault="00E53AB2">
      <w:pPr>
        <w:widowControl w:val="0"/>
        <w:rPr>
          <w:color w:val="000000"/>
        </w:rPr>
      </w:pPr>
    </w:p>
    <w:p w:rsidR="00E53AB2" w:rsidRDefault="00717D58">
      <w:pPr>
        <w:widowControl w:val="0"/>
        <w:rPr>
          <w:color w:val="000000"/>
        </w:rPr>
      </w:pPr>
      <w:r>
        <w:rPr>
          <w:color w:val="000000"/>
        </w:rPr>
        <w:tab/>
        <w:t>The activities routinely conducted by EPA related to the rule development, processing, analysis and storage of the information collected under this rule include the following:</w:t>
      </w:r>
    </w:p>
    <w:p w:rsidR="00E53AB2" w:rsidRDefault="00E53AB2">
      <w:pPr>
        <w:widowControl w:val="0"/>
        <w:rPr>
          <w:color w:val="000000"/>
        </w:rPr>
      </w:pPr>
    </w:p>
    <w:p w:rsidR="00E53AB2" w:rsidRDefault="00717D58">
      <w:pPr>
        <w:pStyle w:val="a"/>
        <w:numPr>
          <w:ilvl w:val="0"/>
          <w:numId w:val="24"/>
        </w:numPr>
        <w:rPr>
          <w:color w:val="000000"/>
        </w:rPr>
      </w:pPr>
      <w:r>
        <w:rPr>
          <w:color w:val="000000"/>
        </w:rPr>
        <w:t>Review and select chemicals;</w:t>
      </w:r>
    </w:p>
    <w:p w:rsidR="00E53AB2" w:rsidRDefault="00717D58">
      <w:pPr>
        <w:pStyle w:val="a"/>
        <w:numPr>
          <w:ilvl w:val="0"/>
          <w:numId w:val="24"/>
        </w:numPr>
        <w:rPr>
          <w:color w:val="000000"/>
        </w:rPr>
      </w:pPr>
      <w:r>
        <w:rPr>
          <w:color w:val="000000"/>
        </w:rPr>
        <w:t>Develop and issue an amendment to the TSCA section 8(d) rule to add the substances or mixtures;</w:t>
      </w:r>
    </w:p>
    <w:p w:rsidR="00E53AB2" w:rsidRDefault="00717D58">
      <w:pPr>
        <w:pStyle w:val="a"/>
        <w:numPr>
          <w:ilvl w:val="0"/>
          <w:numId w:val="24"/>
        </w:numPr>
        <w:rPr>
          <w:color w:val="000000"/>
        </w:rPr>
      </w:pPr>
      <w:r>
        <w:rPr>
          <w:color w:val="000000"/>
        </w:rPr>
        <w:t>Answer respondents’ questions;</w:t>
      </w:r>
    </w:p>
    <w:p w:rsidR="00E53AB2" w:rsidRDefault="00717D58">
      <w:pPr>
        <w:pStyle w:val="a"/>
        <w:numPr>
          <w:ilvl w:val="0"/>
          <w:numId w:val="24"/>
        </w:numPr>
        <w:rPr>
          <w:color w:val="000000"/>
        </w:rPr>
      </w:pPr>
      <w:r>
        <w:rPr>
          <w:color w:val="000000"/>
        </w:rPr>
        <w:t>Process and analyze rule submissions, including requests for confidentiality; and</w:t>
      </w:r>
    </w:p>
    <w:p w:rsidR="00E53AB2" w:rsidRDefault="00717D58">
      <w:pPr>
        <w:pStyle w:val="a"/>
        <w:numPr>
          <w:ilvl w:val="0"/>
          <w:numId w:val="24"/>
        </w:numPr>
        <w:rPr>
          <w:color w:val="000000"/>
        </w:rPr>
      </w:pPr>
      <w:r>
        <w:rPr>
          <w:color w:val="000000"/>
        </w:rPr>
        <w:t>Maintain and distribute the data.</w:t>
      </w:r>
    </w:p>
    <w:p w:rsidR="00E53AB2" w:rsidRDefault="00E53AB2">
      <w:pPr>
        <w:pStyle w:val="a"/>
        <w:rPr>
          <w:color w:val="000000"/>
        </w:rPr>
      </w:pPr>
    </w:p>
    <w:p w:rsidR="00E53AB2" w:rsidRDefault="00717D58">
      <w:pPr>
        <w:widowControl w:val="0"/>
        <w:rPr>
          <w:color w:val="000000"/>
        </w:rPr>
      </w:pPr>
      <w:r>
        <w:rPr>
          <w:color w:val="000000"/>
        </w:rPr>
        <w:lastRenderedPageBreak/>
        <w:tab/>
      </w:r>
      <w:r>
        <w:rPr>
          <w:b/>
          <w:color w:val="000000"/>
        </w:rPr>
        <w:t>4(b)</w:t>
      </w:r>
      <w:r>
        <w:rPr>
          <w:b/>
          <w:color w:val="000000"/>
        </w:rPr>
        <w:tab/>
        <w:t>Collection Methodology and Management</w:t>
      </w:r>
    </w:p>
    <w:p w:rsidR="00E53AB2" w:rsidRDefault="00E53AB2">
      <w:pPr>
        <w:widowControl w:val="0"/>
        <w:rPr>
          <w:color w:val="000000"/>
        </w:rPr>
      </w:pPr>
    </w:p>
    <w:p w:rsidR="00E53AB2" w:rsidRDefault="00717D58">
      <w:pPr>
        <w:widowControl w:val="0"/>
        <w:rPr>
          <w:color w:val="000000"/>
        </w:rPr>
      </w:pPr>
      <w:r>
        <w:rPr>
          <w:color w:val="000000"/>
        </w:rPr>
        <w:tab/>
        <w:t xml:space="preserve">EPA’s current collection methodology and information management system is based on the current requirements (40 CFR 716.30 and 716.35) for the submission of hard copies. EPA </w:t>
      </w:r>
      <w:r w:rsidR="003B2309">
        <w:rPr>
          <w:color w:val="000000"/>
        </w:rPr>
        <w:t>published a Notice of Proposed Rulemaking on April 17, 2012 (77 FR 22707) that would require TSCA section 8(d) respondents to file their submissions electronically through the Agency’s Central Data Exchange.</w:t>
      </w:r>
    </w:p>
    <w:p w:rsidR="00E53AB2" w:rsidRDefault="00E53AB2">
      <w:pPr>
        <w:widowControl w:val="0"/>
        <w:rPr>
          <w:color w:val="000000"/>
        </w:rPr>
      </w:pPr>
    </w:p>
    <w:p w:rsidR="00E53AB2" w:rsidRDefault="00717D58">
      <w:pPr>
        <w:widowControl w:val="0"/>
        <w:rPr>
          <w:color w:val="000000"/>
        </w:rPr>
      </w:pPr>
      <w:r>
        <w:rPr>
          <w:color w:val="000000"/>
        </w:rPr>
        <w:tab/>
        <w:t>To aid persons subject to this information collection, OPPT has set up a TSCA Hotline that provides information regarding TSCA section 8(d) reporting as well as other regulatory information. When Hotline staff members are unable to answer questions regarding TSCA section 8(d), the questions are referred to OPPT staff for appropriate resolution.</w:t>
      </w:r>
    </w:p>
    <w:p w:rsidR="00E53AB2" w:rsidRDefault="00E53AB2">
      <w:pPr>
        <w:widowControl w:val="0"/>
        <w:rPr>
          <w:color w:val="000000"/>
        </w:rPr>
      </w:pPr>
    </w:p>
    <w:p w:rsidR="00E53AB2" w:rsidRDefault="00717D58">
      <w:pPr>
        <w:widowControl w:val="0"/>
        <w:rPr>
          <w:color w:val="FF0000"/>
          <w:u w:val="double"/>
        </w:rPr>
      </w:pPr>
      <w:r>
        <w:rPr>
          <w:color w:val="000000"/>
        </w:rPr>
        <w:tab/>
        <w:t>All non-confidential business information submitted under TSCA section 8(d) is placed in the OPPT public docket, indexed and available for public inspection.  A vast majority of TSCA section 8(d) submissions to date are reflected in the TSCA Test Submissions (TSCATS) database, a publicly available and searchable database.</w:t>
      </w:r>
    </w:p>
    <w:p w:rsidR="00E53AB2" w:rsidRDefault="00E53AB2">
      <w:pPr>
        <w:widowControl w:val="0"/>
        <w:rPr>
          <w:color w:val="FF0000"/>
          <w:u w:val="double"/>
        </w:rPr>
      </w:pPr>
    </w:p>
    <w:p w:rsidR="00E53AB2" w:rsidRDefault="00717D58">
      <w:pPr>
        <w:widowControl w:val="0"/>
        <w:rPr>
          <w:color w:val="000000"/>
        </w:rPr>
      </w:pPr>
      <w:r>
        <w:rPr>
          <w:color w:val="000000"/>
        </w:rPr>
        <w:tab/>
      </w:r>
      <w:r>
        <w:rPr>
          <w:b/>
          <w:color w:val="000000"/>
        </w:rPr>
        <w:t>4(c)</w:t>
      </w:r>
      <w:r>
        <w:rPr>
          <w:b/>
          <w:color w:val="000000"/>
        </w:rPr>
        <w:tab/>
        <w:t>Small Entity Flexibility</w:t>
      </w:r>
    </w:p>
    <w:p w:rsidR="00E53AB2" w:rsidRDefault="00E53AB2">
      <w:pPr>
        <w:widowControl w:val="0"/>
        <w:rPr>
          <w:color w:val="000000"/>
        </w:rPr>
      </w:pPr>
    </w:p>
    <w:p w:rsidR="00E53AB2" w:rsidRDefault="00717D58">
      <w:pPr>
        <w:widowControl w:val="0"/>
        <w:rPr>
          <w:color w:val="000000"/>
        </w:rPr>
      </w:pPr>
      <w:r>
        <w:rPr>
          <w:color w:val="000000"/>
        </w:rPr>
        <w:tab/>
        <w:t>The TSCA section 8(d) rule applies to all manufacturers and processors of chemicals and others in possession of studies, regardless of size.  However, EPA does not anticipate that many small businesses possess health and safety studies because they are unlikely to have the financial resources to perform the studies on chemicals subject to the rule.  Therefore, the burden on such companies should be minimal.</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4(d)</w:t>
      </w:r>
      <w:r>
        <w:rPr>
          <w:b/>
          <w:color w:val="000000"/>
        </w:rPr>
        <w:tab/>
        <w:t>Collection Schedule</w:t>
      </w:r>
    </w:p>
    <w:p w:rsidR="00E53AB2" w:rsidRDefault="00E53AB2">
      <w:pPr>
        <w:widowControl w:val="0"/>
        <w:rPr>
          <w:color w:val="000000"/>
        </w:rPr>
      </w:pPr>
    </w:p>
    <w:p w:rsidR="00E53AB2" w:rsidRDefault="00717D58">
      <w:pPr>
        <w:widowControl w:val="0"/>
        <w:rPr>
          <w:color w:val="000000"/>
        </w:rPr>
      </w:pPr>
      <w:r>
        <w:rPr>
          <w:color w:val="000000"/>
        </w:rPr>
        <w:tab/>
        <w:t xml:space="preserve">The collection scheduled under this ICR is chemical-specific in nature and occurs once in an established time frame between 60 days and 2 years.  Reporting of information is only required when the subject matter information (i.e., the lists of studies and final study reports) is available.  Availability of study reports on the list may occur after the established reporting period for the list, and must still be submitted when they become available.  In any case, submission of the list or any study report for a listed study occurs once for each chemical covered by a TSCA section 8(d) rule. Studies previously submitted to OPPT are exempt. </w:t>
      </w:r>
    </w:p>
    <w:p w:rsidR="00E53AB2" w:rsidRDefault="00E53AB2">
      <w:pPr>
        <w:widowControl w:val="0"/>
        <w:rPr>
          <w:color w:val="000000"/>
        </w:rPr>
      </w:pPr>
    </w:p>
    <w:p w:rsidR="00E53AB2" w:rsidRDefault="00717D58">
      <w:pPr>
        <w:widowControl w:val="0"/>
        <w:rPr>
          <w:strike/>
          <w:color w:val="0000FF"/>
        </w:rPr>
      </w:pPr>
      <w:r>
        <w:rPr>
          <w:color w:val="000000"/>
        </w:rPr>
        <w:tab/>
        <w:t>Amendments adding substances are made to the Health and Safety Data Reporting Rule subsequent to the ITC’s semiannual addition of substances and categories of substances to the TSCA section 4(e) Priority List.  Other substances are added when there is a demonstrated need for the information.</w:t>
      </w:r>
    </w:p>
    <w:p w:rsidR="00E53AB2" w:rsidRDefault="00E53AB2">
      <w:pPr>
        <w:widowControl w:val="0"/>
        <w:rPr>
          <w:strike/>
          <w:color w:val="0000FF"/>
        </w:rPr>
      </w:pPr>
    </w:p>
    <w:p w:rsidR="00E53AB2" w:rsidRDefault="00E53AB2">
      <w:pPr>
        <w:widowControl w:val="0"/>
        <w:rPr>
          <w:color w:val="000000"/>
        </w:rPr>
      </w:pPr>
    </w:p>
    <w:p w:rsidR="00E53AB2" w:rsidRDefault="00717D58">
      <w:pPr>
        <w:keepNext/>
        <w:rPr>
          <w:color w:val="000000"/>
        </w:rPr>
      </w:pPr>
      <w:r>
        <w:rPr>
          <w:b/>
          <w:color w:val="000000"/>
        </w:rPr>
        <w:t>5</w:t>
      </w:r>
      <w:r>
        <w:rPr>
          <w:b/>
          <w:color w:val="000000"/>
        </w:rPr>
        <w:tab/>
        <w:t>THE RESPONDENTS AND THE INFORMATION REQUESTED</w:t>
      </w:r>
    </w:p>
    <w:p w:rsidR="00E53AB2" w:rsidRDefault="00E53AB2">
      <w:pPr>
        <w:keepNext/>
        <w:rPr>
          <w:color w:val="000000"/>
        </w:rPr>
      </w:pPr>
    </w:p>
    <w:p w:rsidR="00E53AB2" w:rsidRDefault="00717D58">
      <w:pPr>
        <w:keepNext/>
        <w:rPr>
          <w:color w:val="000000"/>
        </w:rPr>
      </w:pPr>
      <w:r>
        <w:rPr>
          <w:color w:val="000000"/>
        </w:rPr>
        <w:tab/>
      </w:r>
      <w:r>
        <w:rPr>
          <w:b/>
          <w:color w:val="000000"/>
        </w:rPr>
        <w:t>5(a)</w:t>
      </w:r>
      <w:r>
        <w:rPr>
          <w:b/>
          <w:color w:val="000000"/>
        </w:rPr>
        <w:tab/>
        <w:t>Respondents/NAICS Codes</w:t>
      </w:r>
    </w:p>
    <w:p w:rsidR="00E53AB2" w:rsidRDefault="00E53AB2">
      <w:pPr>
        <w:keepNext/>
        <w:rPr>
          <w:color w:val="000000"/>
        </w:rPr>
      </w:pPr>
    </w:p>
    <w:p w:rsidR="00E53AB2" w:rsidRDefault="00717D58">
      <w:pPr>
        <w:keepNext/>
        <w:rPr>
          <w:color w:val="000000"/>
        </w:rPr>
      </w:pPr>
      <w:r>
        <w:rPr>
          <w:color w:val="000000"/>
        </w:rPr>
        <w:tab/>
        <w:t>Respondents affected by this collection activity are identified mainly by North American Industry Classification System (NAICS) codes 325 (chemical manufacturing and allied products)</w:t>
      </w:r>
      <w:r w:rsidR="008308E8">
        <w:rPr>
          <w:color w:val="000000"/>
        </w:rPr>
        <w:t>,</w:t>
      </w:r>
      <w:r>
        <w:rPr>
          <w:color w:val="000000"/>
        </w:rPr>
        <w:t xml:space="preserve"> 32411 (petroleum refiners)</w:t>
      </w:r>
      <w:r w:rsidR="008308E8">
        <w:rPr>
          <w:color w:val="000000"/>
        </w:rPr>
        <w:t>, and 331 (metal m</w:t>
      </w:r>
      <w:r w:rsidR="008308E8" w:rsidRPr="000F6A28">
        <w:rPr>
          <w:color w:val="000000"/>
        </w:rPr>
        <w:t>anufacturing</w:t>
      </w:r>
      <w:r w:rsidR="008308E8">
        <w:rPr>
          <w:color w:val="000000"/>
        </w:rPr>
        <w:t>).</w:t>
      </w:r>
      <w:r>
        <w:rPr>
          <w:color w:val="000000"/>
        </w:rPr>
        <w:t>.</w:t>
      </w:r>
    </w:p>
    <w:p w:rsidR="00E53AB2" w:rsidRDefault="00E53AB2">
      <w:pPr>
        <w:widowControl w:val="0"/>
        <w:rPr>
          <w:color w:val="000000"/>
        </w:rPr>
      </w:pPr>
    </w:p>
    <w:p w:rsidR="00E53AB2" w:rsidRDefault="00717D58">
      <w:pPr>
        <w:widowControl w:val="0"/>
        <w:rPr>
          <w:b/>
          <w:color w:val="000000"/>
        </w:rPr>
      </w:pPr>
      <w:r>
        <w:rPr>
          <w:color w:val="000000"/>
        </w:rPr>
        <w:lastRenderedPageBreak/>
        <w:tab/>
      </w:r>
      <w:r>
        <w:rPr>
          <w:b/>
          <w:color w:val="000000"/>
        </w:rPr>
        <w:t>5(b)</w:t>
      </w:r>
      <w:r>
        <w:rPr>
          <w:b/>
          <w:color w:val="000000"/>
        </w:rPr>
        <w:tab/>
        <w:t>Information Requested</w:t>
      </w:r>
    </w:p>
    <w:p w:rsidR="00E53AB2" w:rsidRDefault="00E53AB2">
      <w:pPr>
        <w:widowControl w:val="0"/>
        <w:rPr>
          <w:b/>
          <w:color w:val="000000"/>
        </w:rPr>
      </w:pPr>
    </w:p>
    <w:p w:rsidR="00E53AB2" w:rsidRDefault="00717D58">
      <w:pPr>
        <w:widowControl w:val="0"/>
      </w:pPr>
      <w:r>
        <w:rPr>
          <w:b/>
        </w:rPr>
        <w:tab/>
      </w:r>
      <w:r>
        <w:t>(</w:t>
      </w:r>
      <w:proofErr w:type="spellStart"/>
      <w:r>
        <w:t>i</w:t>
      </w:r>
      <w:proofErr w:type="spellEnd"/>
      <w:r>
        <w:t>)</w:t>
      </w:r>
      <w:r>
        <w:tab/>
        <w:t>Data Items</w:t>
      </w:r>
    </w:p>
    <w:p w:rsidR="00E53AB2" w:rsidRDefault="00E53AB2">
      <w:pPr>
        <w:widowControl w:val="0"/>
        <w:rPr>
          <w:color w:val="000000"/>
        </w:rPr>
      </w:pPr>
    </w:p>
    <w:p w:rsidR="00E53AB2" w:rsidRDefault="00717D58">
      <w:pPr>
        <w:widowControl w:val="0"/>
        <w:rPr>
          <w:color w:val="000000"/>
        </w:rPr>
      </w:pPr>
      <w:r>
        <w:rPr>
          <w:color w:val="000000"/>
        </w:rPr>
        <w:tab/>
        <w:t>Persons who manufacture (including import) chemical substances and mixtures, or propose to do so, and processors of such substances and mixtures (if specifically identified in a particular rule) must submit copies of the unpublished health and safety studies in their possession for the listed substances or mixtures.  They must also submit lists of reportable studies that they initiate or, about which they know, for each of the listed substances or listed mixtures.</w:t>
      </w:r>
    </w:p>
    <w:p w:rsidR="00E53AB2" w:rsidRDefault="00E53AB2">
      <w:pPr>
        <w:widowControl w:val="0"/>
        <w:rPr>
          <w:color w:val="000000"/>
        </w:rPr>
      </w:pPr>
    </w:p>
    <w:p w:rsidR="00E53AB2" w:rsidRDefault="00717D58">
      <w:pPr>
        <w:widowControl w:val="0"/>
        <w:rPr>
          <w:color w:val="000000"/>
        </w:rPr>
      </w:pPr>
      <w:r>
        <w:rPr>
          <w:color w:val="000000"/>
        </w:rPr>
        <w:tab/>
        <w:t>All submitted studies must be accompanied by a cover letter that contains the following data (40 CFR 716.30):</w:t>
      </w:r>
    </w:p>
    <w:p w:rsidR="00E53AB2" w:rsidRDefault="00E53AB2">
      <w:pPr>
        <w:widowControl w:val="0"/>
        <w:rPr>
          <w:color w:val="000000"/>
        </w:rPr>
      </w:pPr>
    </w:p>
    <w:p w:rsidR="00E53AB2" w:rsidRDefault="00646BB0">
      <w:pPr>
        <w:pStyle w:val="ListParagraph"/>
        <w:widowControl w:val="0"/>
        <w:numPr>
          <w:ilvl w:val="0"/>
          <w:numId w:val="38"/>
        </w:numPr>
        <w:rPr>
          <w:color w:val="000000"/>
        </w:rPr>
      </w:pPr>
      <w:r w:rsidRPr="00646BB0">
        <w:rPr>
          <w:color w:val="000000"/>
        </w:rPr>
        <w:t>Name,</w:t>
      </w:r>
    </w:p>
    <w:p w:rsidR="00E53AB2" w:rsidRDefault="008308E8">
      <w:pPr>
        <w:pStyle w:val="ListParagraph"/>
        <w:numPr>
          <w:ilvl w:val="0"/>
          <w:numId w:val="38"/>
        </w:numPr>
      </w:pPr>
      <w:r>
        <w:t xml:space="preserve">Job </w:t>
      </w:r>
      <w:r w:rsidR="00646BB0">
        <w:t>title,</w:t>
      </w:r>
    </w:p>
    <w:p w:rsidR="00E53AB2" w:rsidRDefault="008308E8">
      <w:pPr>
        <w:pStyle w:val="ListParagraph"/>
        <w:numPr>
          <w:ilvl w:val="0"/>
          <w:numId w:val="38"/>
        </w:numPr>
      </w:pPr>
      <w:r>
        <w:t>Address</w:t>
      </w:r>
      <w:r w:rsidR="00646BB0">
        <w:t>, and</w:t>
      </w:r>
    </w:p>
    <w:p w:rsidR="00E53AB2" w:rsidRDefault="008308E8">
      <w:pPr>
        <w:pStyle w:val="ListParagraph"/>
        <w:numPr>
          <w:ilvl w:val="0"/>
          <w:numId w:val="38"/>
        </w:numPr>
      </w:pPr>
      <w:r>
        <w:t xml:space="preserve">Telephone </w:t>
      </w:r>
      <w:r w:rsidR="00646BB0">
        <w:t>numbers of the submitting official.</w:t>
      </w:r>
    </w:p>
    <w:p w:rsidR="00E53AB2" w:rsidRDefault="00646BB0">
      <w:pPr>
        <w:pStyle w:val="ListParagraph"/>
        <w:numPr>
          <w:ilvl w:val="0"/>
          <w:numId w:val="38"/>
        </w:numPr>
      </w:pPr>
      <w:r>
        <w:t>Name and address of the manufacturing or proc</w:t>
      </w:r>
      <w:r w:rsidR="00717D58">
        <w:t>essing establishment on whose behalf</w:t>
      </w:r>
      <w:r w:rsidR="00915AF7">
        <w:t xml:space="preserve"> </w:t>
      </w:r>
      <w:r w:rsidR="00717D58">
        <w:t>the submission was made</w:t>
      </w:r>
    </w:p>
    <w:p w:rsidR="00E53AB2" w:rsidRDefault="00717D58">
      <w:pPr>
        <w:pStyle w:val="ListParagraph"/>
        <w:numPr>
          <w:ilvl w:val="0"/>
          <w:numId w:val="38"/>
        </w:numPr>
      </w:pPr>
      <w:r>
        <w:t>Identify any impurity or additive known to have been present in the substance or liste</w:t>
      </w:r>
      <w:r w:rsidR="00915AF7">
        <w:t>d m</w:t>
      </w:r>
      <w:r>
        <w:t>ixtures as studied, unless so noted in the study.</w:t>
      </w:r>
    </w:p>
    <w:p w:rsidR="00E53AB2" w:rsidRDefault="00717D58">
      <w:pPr>
        <w:pStyle w:val="ListParagraph"/>
        <w:numPr>
          <w:ilvl w:val="0"/>
          <w:numId w:val="38"/>
        </w:numPr>
      </w:pPr>
      <w:r>
        <w:t>Identify that the study is being submitted under Part 716.</w:t>
      </w:r>
    </w:p>
    <w:p w:rsidR="00E53AB2" w:rsidRDefault="00E53AB2">
      <w:pPr>
        <w:widowControl w:val="0"/>
        <w:rPr>
          <w:color w:val="000000"/>
        </w:rPr>
      </w:pPr>
    </w:p>
    <w:p w:rsidR="00E53AB2" w:rsidRDefault="00717D58">
      <w:pPr>
        <w:widowControl w:val="0"/>
        <w:rPr>
          <w:color w:val="000000"/>
        </w:rPr>
      </w:pPr>
      <w:r>
        <w:rPr>
          <w:color w:val="000000"/>
        </w:rPr>
        <w:tab/>
        <w:t>Respondents may voluntarily choose to develop and submit robust summaries of the full toxicological study reports in conjunction with the submitted full study reports.  The robust summaries should contain technical information to adequately describe the study and results, and should be written such that the information provided is sufficient to allow a technically qualified person to evaluate study results without needing to review an entire study report.  Typically, a robust summary would include a description of the test substance, methods, results, conclusions, data quality description, and references associated with the full study.</w:t>
      </w:r>
    </w:p>
    <w:p w:rsidR="00E53AB2" w:rsidRDefault="00E53AB2">
      <w:pPr>
        <w:widowControl w:val="0"/>
        <w:rPr>
          <w:color w:val="000000"/>
        </w:rPr>
      </w:pPr>
    </w:p>
    <w:p w:rsidR="00E53AB2" w:rsidRDefault="00717D58">
      <w:pPr>
        <w:widowControl w:val="0"/>
        <w:rPr>
          <w:color w:val="000000"/>
        </w:rPr>
      </w:pPr>
      <w:r>
        <w:rPr>
          <w:color w:val="000000"/>
        </w:rPr>
        <w:tab/>
        <w:t>List of studies shall include (40 CFR 716.35): (1) ongoing health and safety studies conducted by or initiated by them; (2) studies they know about but do not have copies of; and, (3) studies that have been sent to another federal agency with no claims of confidentiality.</w:t>
      </w:r>
    </w:p>
    <w:p w:rsidR="00E53AB2" w:rsidRDefault="00E53AB2">
      <w:pPr>
        <w:widowControl w:val="0"/>
        <w:rPr>
          <w:color w:val="000000"/>
        </w:rPr>
      </w:pPr>
    </w:p>
    <w:p w:rsidR="00E53AB2" w:rsidRDefault="00717D58">
      <w:pPr>
        <w:widowControl w:val="0"/>
        <w:ind w:firstLine="720"/>
        <w:rPr>
          <w:color w:val="000000"/>
        </w:rPr>
      </w:pPr>
      <w:r>
        <w:rPr>
          <w:color w:val="000000"/>
        </w:rPr>
        <w:t>For ongoing health and safety studies conducted by or initiated for the respondent, the list should include the following data:</w:t>
      </w:r>
    </w:p>
    <w:p w:rsidR="00E53AB2" w:rsidRDefault="00E53AB2">
      <w:pPr>
        <w:widowControl w:val="0"/>
        <w:ind w:firstLine="720"/>
        <w:rPr>
          <w:color w:val="000000"/>
        </w:rPr>
      </w:pPr>
    </w:p>
    <w:p w:rsidR="00E53AB2" w:rsidRDefault="00717D58">
      <w:pPr>
        <w:widowControl w:val="0"/>
        <w:ind w:left="2160" w:hanging="1440"/>
        <w:rPr>
          <w:color w:val="000000"/>
        </w:rPr>
      </w:pPr>
      <w:r>
        <w:rPr>
          <w:color w:val="000000"/>
        </w:rPr>
        <w:t>• Beginning date of the study</w:t>
      </w:r>
    </w:p>
    <w:p w:rsidR="00E53AB2" w:rsidRDefault="00717D58">
      <w:pPr>
        <w:widowControl w:val="0"/>
        <w:ind w:left="2160" w:hanging="1440"/>
        <w:rPr>
          <w:color w:val="000000"/>
        </w:rPr>
      </w:pPr>
      <w:r>
        <w:rPr>
          <w:color w:val="000000"/>
        </w:rPr>
        <w:t>• Purpose of the study</w:t>
      </w:r>
    </w:p>
    <w:p w:rsidR="00E53AB2" w:rsidRDefault="00717D58">
      <w:pPr>
        <w:widowControl w:val="0"/>
        <w:ind w:left="2160" w:hanging="1440"/>
        <w:rPr>
          <w:color w:val="000000"/>
        </w:rPr>
      </w:pPr>
      <w:r>
        <w:rPr>
          <w:color w:val="000000"/>
        </w:rPr>
        <w:t>• Types of data to be collected</w:t>
      </w:r>
    </w:p>
    <w:p w:rsidR="00E53AB2" w:rsidRDefault="00717D58">
      <w:pPr>
        <w:widowControl w:val="0"/>
        <w:ind w:left="2160" w:hanging="1440"/>
        <w:rPr>
          <w:color w:val="000000"/>
        </w:rPr>
      </w:pPr>
      <w:r>
        <w:rPr>
          <w:color w:val="000000"/>
        </w:rPr>
        <w:t>• Anticipated date of completion</w:t>
      </w:r>
    </w:p>
    <w:p w:rsidR="00E53AB2" w:rsidRDefault="00717D58">
      <w:pPr>
        <w:widowControl w:val="0"/>
        <w:ind w:left="2160" w:hanging="1440"/>
        <w:rPr>
          <w:color w:val="000000"/>
        </w:rPr>
      </w:pPr>
      <w:r>
        <w:rPr>
          <w:color w:val="000000"/>
        </w:rPr>
        <w:t>• Name and address of the laboratory conducting the study</w:t>
      </w:r>
    </w:p>
    <w:p w:rsidR="00E53AB2" w:rsidRDefault="00E53AB2">
      <w:pPr>
        <w:widowControl w:val="0"/>
        <w:rPr>
          <w:color w:val="000000"/>
        </w:rPr>
      </w:pPr>
    </w:p>
    <w:p w:rsidR="00E53AB2" w:rsidRDefault="00717D58">
      <w:pPr>
        <w:widowControl w:val="0"/>
        <w:ind w:firstLine="720"/>
        <w:rPr>
          <w:color w:val="000000"/>
        </w:rPr>
      </w:pPr>
      <w:r>
        <w:rPr>
          <w:color w:val="000000"/>
        </w:rPr>
        <w:t>For studies known to the respondent but for which they do not possess copies, the list should include the following data:</w:t>
      </w:r>
    </w:p>
    <w:p w:rsidR="00E53AB2" w:rsidRDefault="00E53AB2">
      <w:pPr>
        <w:widowControl w:val="0"/>
        <w:ind w:firstLine="720"/>
        <w:rPr>
          <w:color w:val="000000"/>
        </w:rPr>
      </w:pPr>
    </w:p>
    <w:p w:rsidR="00E53AB2" w:rsidRDefault="00717D58">
      <w:pPr>
        <w:widowControl w:val="0"/>
        <w:ind w:left="2160" w:hanging="1440"/>
        <w:rPr>
          <w:color w:val="000000"/>
        </w:rPr>
      </w:pPr>
      <w:r>
        <w:rPr>
          <w:color w:val="000000"/>
        </w:rPr>
        <w:t>• Name and address of a person known to them that possess a copy of the study.</w:t>
      </w:r>
      <w:r>
        <w:rPr>
          <w:color w:val="000000"/>
        </w:rPr>
        <w:tab/>
      </w:r>
    </w:p>
    <w:p w:rsidR="00E53AB2" w:rsidRDefault="00E53AB2">
      <w:pPr>
        <w:widowControl w:val="0"/>
        <w:ind w:firstLine="720"/>
        <w:rPr>
          <w:color w:val="000000"/>
        </w:rPr>
      </w:pPr>
    </w:p>
    <w:p w:rsidR="00E53AB2" w:rsidRDefault="00717D58">
      <w:pPr>
        <w:widowControl w:val="0"/>
        <w:ind w:firstLine="720"/>
        <w:rPr>
          <w:color w:val="000000"/>
        </w:rPr>
      </w:pPr>
      <w:r>
        <w:rPr>
          <w:color w:val="000000"/>
        </w:rPr>
        <w:lastRenderedPageBreak/>
        <w:t>For studies previously sent to a federal agency with no claims of confidentiality, the list should include the following data:</w:t>
      </w:r>
    </w:p>
    <w:p w:rsidR="00E53AB2" w:rsidRDefault="00E53AB2">
      <w:pPr>
        <w:widowControl w:val="0"/>
        <w:ind w:firstLine="720"/>
        <w:rPr>
          <w:color w:val="000000"/>
        </w:rPr>
      </w:pPr>
    </w:p>
    <w:p w:rsidR="00E53AB2" w:rsidRDefault="00717D58">
      <w:pPr>
        <w:widowControl w:val="0"/>
        <w:ind w:left="720"/>
        <w:rPr>
          <w:color w:val="000000"/>
        </w:rPr>
      </w:pPr>
      <w:r>
        <w:rPr>
          <w:color w:val="000000"/>
        </w:rPr>
        <w:t>• Title of the study</w:t>
      </w:r>
    </w:p>
    <w:p w:rsidR="00E53AB2" w:rsidRDefault="00717D58">
      <w:pPr>
        <w:widowControl w:val="0"/>
        <w:ind w:left="2160" w:hanging="1440"/>
        <w:rPr>
          <w:color w:val="000000"/>
        </w:rPr>
      </w:pPr>
      <w:r>
        <w:rPr>
          <w:color w:val="000000"/>
        </w:rPr>
        <w:t>• Name and address of the person to whom the study was sent</w:t>
      </w:r>
    </w:p>
    <w:p w:rsidR="00E53AB2" w:rsidRDefault="00717D58">
      <w:pPr>
        <w:widowControl w:val="0"/>
        <w:ind w:left="2160" w:hanging="1440"/>
        <w:rPr>
          <w:strike/>
          <w:color w:val="0000FF"/>
        </w:rPr>
      </w:pPr>
      <w:r>
        <w:rPr>
          <w:color w:val="000000"/>
        </w:rPr>
        <w:t>• Month and year in which the study was submitted</w:t>
      </w:r>
    </w:p>
    <w:p w:rsidR="00E53AB2" w:rsidRDefault="00E53AB2">
      <w:pPr>
        <w:widowControl w:val="0"/>
        <w:rPr>
          <w:color w:val="000000"/>
        </w:rPr>
      </w:pPr>
    </w:p>
    <w:p w:rsidR="00E53AB2" w:rsidRDefault="00717D58">
      <w:pPr>
        <w:widowControl w:val="0"/>
        <w:rPr>
          <w:color w:val="000000"/>
        </w:rPr>
      </w:pPr>
      <w:r>
        <w:rPr>
          <w:color w:val="000000"/>
        </w:rPr>
        <w:tab/>
        <w:t>(ii)</w:t>
      </w:r>
      <w:r>
        <w:rPr>
          <w:color w:val="000000"/>
        </w:rPr>
        <w:tab/>
        <w:t>Respondent Activities</w:t>
      </w:r>
    </w:p>
    <w:p w:rsidR="00E53AB2" w:rsidRDefault="00E53AB2">
      <w:pPr>
        <w:widowControl w:val="0"/>
        <w:rPr>
          <w:color w:val="000000"/>
        </w:rPr>
      </w:pPr>
    </w:p>
    <w:p w:rsidR="00E53AB2" w:rsidRDefault="00717D58">
      <w:pPr>
        <w:widowControl w:val="0"/>
        <w:ind w:firstLine="720"/>
        <w:rPr>
          <w:color w:val="000000"/>
        </w:rPr>
      </w:pPr>
      <w:r>
        <w:rPr>
          <w:color w:val="000000"/>
        </w:rPr>
        <w:t>A representative respondent would engage in the following activities in order to produce the lists of studies and required data listed in section 5(b)(</w:t>
      </w:r>
      <w:proofErr w:type="spellStart"/>
      <w:r>
        <w:rPr>
          <w:color w:val="000000"/>
        </w:rPr>
        <w:t>i</w:t>
      </w:r>
      <w:proofErr w:type="spellEnd"/>
      <w:r>
        <w:rPr>
          <w:color w:val="000000"/>
        </w:rPr>
        <w:t>) of this supporting statement:</w:t>
      </w:r>
    </w:p>
    <w:p w:rsidR="00E53AB2" w:rsidRDefault="00E53AB2">
      <w:pPr>
        <w:widowControl w:val="0"/>
        <w:rPr>
          <w:color w:val="000000"/>
        </w:rPr>
      </w:pPr>
    </w:p>
    <w:p w:rsidR="00E53AB2" w:rsidRDefault="00717D58">
      <w:pPr>
        <w:widowControl w:val="0"/>
        <w:numPr>
          <w:ilvl w:val="0"/>
          <w:numId w:val="27"/>
        </w:numPr>
        <w:spacing w:after="200"/>
        <w:rPr>
          <w:color w:val="000000"/>
        </w:rPr>
      </w:pPr>
      <w:r w:rsidRPr="0051659B">
        <w:rPr>
          <w:color w:val="000000"/>
        </w:rPr>
        <w:t>Determine whether the firm may be required to report.  If so, review the rule in more detail;</w:t>
      </w:r>
    </w:p>
    <w:p w:rsidR="00E53AB2" w:rsidRDefault="00646BB0">
      <w:pPr>
        <w:widowControl w:val="0"/>
        <w:numPr>
          <w:ilvl w:val="0"/>
          <w:numId w:val="27"/>
        </w:numPr>
        <w:spacing w:after="200"/>
        <w:rPr>
          <w:color w:val="000000"/>
        </w:rPr>
      </w:pPr>
      <w:r>
        <w:rPr>
          <w:color w:val="000000"/>
        </w:rPr>
        <w:t>Conduct a corporate review to identify which firm sites must be searched to locate the appropriate health and safety studies;</w:t>
      </w:r>
    </w:p>
    <w:p w:rsidR="00E53AB2" w:rsidRDefault="00646BB0">
      <w:pPr>
        <w:widowControl w:val="0"/>
        <w:numPr>
          <w:ilvl w:val="0"/>
          <w:numId w:val="27"/>
        </w:numPr>
        <w:spacing w:after="200"/>
        <w:rPr>
          <w:color w:val="000000"/>
        </w:rPr>
      </w:pPr>
      <w:r>
        <w:rPr>
          <w:color w:val="000000"/>
        </w:rPr>
        <w:t>Search the files at appropriate sites to locate relevant studies;</w:t>
      </w:r>
    </w:p>
    <w:p w:rsidR="00E53AB2" w:rsidRDefault="00646BB0">
      <w:pPr>
        <w:widowControl w:val="0"/>
        <w:numPr>
          <w:ilvl w:val="0"/>
          <w:numId w:val="27"/>
        </w:numPr>
        <w:spacing w:after="200"/>
        <w:rPr>
          <w:color w:val="000000"/>
        </w:rPr>
      </w:pPr>
      <w:r>
        <w:rPr>
          <w:color w:val="000000"/>
        </w:rPr>
        <w:t>Compile and transcribe list</w:t>
      </w:r>
      <w:r w:rsidR="00717D58" w:rsidRPr="0051659B">
        <w:rPr>
          <w:color w:val="000000"/>
        </w:rPr>
        <w:t xml:space="preserve">s of studies being submitted, ongoing studies, newly initiated studies, studies known to exist but not known to be in the respondent’s possession, and studies previously submitted to other </w:t>
      </w:r>
      <w:r w:rsidR="00717D58">
        <w:rPr>
          <w:color w:val="000000"/>
        </w:rPr>
        <w:t>f</w:t>
      </w:r>
      <w:r w:rsidR="00717D58" w:rsidRPr="0051659B">
        <w:rPr>
          <w:color w:val="000000"/>
        </w:rPr>
        <w:t>ederal agencies without confidentiality claims;</w:t>
      </w:r>
    </w:p>
    <w:p w:rsidR="00E53AB2" w:rsidRDefault="00717D58">
      <w:pPr>
        <w:widowControl w:val="0"/>
        <w:numPr>
          <w:ilvl w:val="0"/>
          <w:numId w:val="27"/>
        </w:numPr>
        <w:spacing w:after="200"/>
        <w:rPr>
          <w:color w:val="000000"/>
        </w:rPr>
      </w:pPr>
      <w:r w:rsidRPr="0051659B">
        <w:rPr>
          <w:color w:val="000000"/>
        </w:rPr>
        <w:t>Photocopy the studies;</w:t>
      </w:r>
    </w:p>
    <w:p w:rsidR="00E53AB2" w:rsidRDefault="00717D58">
      <w:pPr>
        <w:widowControl w:val="0"/>
        <w:numPr>
          <w:ilvl w:val="0"/>
          <w:numId w:val="27"/>
        </w:numPr>
        <w:spacing w:after="200"/>
        <w:rPr>
          <w:color w:val="000000"/>
        </w:rPr>
      </w:pPr>
      <w:r w:rsidRPr="0051659B">
        <w:rPr>
          <w:color w:val="000000"/>
        </w:rPr>
        <w:t xml:space="preserve">Voluntarily prepare robust summaries of the studies; </w:t>
      </w:r>
    </w:p>
    <w:p w:rsidR="00E53AB2" w:rsidRDefault="00717D58">
      <w:pPr>
        <w:widowControl w:val="0"/>
        <w:numPr>
          <w:ilvl w:val="0"/>
          <w:numId w:val="27"/>
        </w:numPr>
        <w:spacing w:after="200"/>
        <w:rPr>
          <w:color w:val="000000"/>
        </w:rPr>
      </w:pPr>
      <w:r w:rsidRPr="0051659B">
        <w:rPr>
          <w:color w:val="000000"/>
        </w:rPr>
        <w:t>Review the responses for possible confidential business information; and</w:t>
      </w:r>
    </w:p>
    <w:p w:rsidR="00E53AB2" w:rsidRDefault="00717D58">
      <w:pPr>
        <w:widowControl w:val="0"/>
        <w:numPr>
          <w:ilvl w:val="0"/>
          <w:numId w:val="27"/>
        </w:numPr>
        <w:spacing w:after="200"/>
        <w:rPr>
          <w:color w:val="000000"/>
        </w:rPr>
      </w:pPr>
      <w:r w:rsidRPr="0051659B">
        <w:rPr>
          <w:color w:val="000000"/>
        </w:rPr>
        <w:t>After initial study submissions, notify EPA when other studies are initiated; submit studies completed after the reporting period.</w:t>
      </w:r>
    </w:p>
    <w:p w:rsidR="00E53AB2" w:rsidRDefault="00E53AB2">
      <w:pPr>
        <w:widowControl w:val="0"/>
        <w:rPr>
          <w:color w:val="000000"/>
        </w:rPr>
      </w:pPr>
    </w:p>
    <w:p w:rsidR="00E53AB2" w:rsidRDefault="00717D58">
      <w:pPr>
        <w:widowControl w:val="0"/>
        <w:rPr>
          <w:color w:val="000000"/>
        </w:rPr>
      </w:pPr>
      <w:r>
        <w:rPr>
          <w:b/>
          <w:color w:val="000000"/>
        </w:rPr>
        <w:t>6</w:t>
      </w:r>
      <w:r>
        <w:rPr>
          <w:b/>
          <w:color w:val="000000"/>
        </w:rPr>
        <w:tab/>
        <w:t>ESTIMATING THE COST AND BURDEN OF THE COLLECTION</w:t>
      </w:r>
    </w:p>
    <w:p w:rsidR="00E53AB2" w:rsidRDefault="00E53AB2">
      <w:pPr>
        <w:widowControl w:val="0"/>
        <w:rPr>
          <w:color w:val="000000"/>
        </w:rPr>
      </w:pPr>
    </w:p>
    <w:p w:rsidR="00E53AB2" w:rsidRDefault="00717D58">
      <w:pPr>
        <w:widowControl w:val="0"/>
        <w:rPr>
          <w:color w:val="000000"/>
        </w:rPr>
      </w:pPr>
      <w:r>
        <w:rPr>
          <w:color w:val="000000"/>
        </w:rPr>
        <w:tab/>
        <w:t>The methodology used for estimating the burden and costs to industry resulting from the addition of chemicals to the TSCA section 8(d) rule over the next three years is derived from the previous information collection request (ICR), revised to reflect recent experience with the program.  There are two procedures for using program information to update bases for estimates. First, for the estimate of the frequency of chemical additions, the number of chemicals added to the TSCA section 8(d) Reporting List over time is reviewed. Note that this count is readily updated upon implementation of new rules. However, for the remainder of the estimates --reflecting reporting implications per chemical addition -- updates await completion of EPA “call-ins” for the health reports. In this analysis, the number of chemical additions is based on historical review, while the estimates for reporting implications are the same as in the previous ICR, given that there has been no activity in the section 8(d) information collection since 2006.</w:t>
      </w:r>
    </w:p>
    <w:p w:rsidR="003F7D38" w:rsidRDefault="003F7D38">
      <w:pPr>
        <w:widowControl w:val="0"/>
        <w:rPr>
          <w:color w:val="000000"/>
        </w:rPr>
      </w:pPr>
    </w:p>
    <w:p w:rsidR="00E53AB2" w:rsidRDefault="003F7D38">
      <w:pPr>
        <w:widowControl w:val="0"/>
        <w:ind w:firstLine="720"/>
        <w:rPr>
          <w:color w:val="000000"/>
        </w:rPr>
      </w:pPr>
      <w:r>
        <w:rPr>
          <w:color w:val="000000"/>
        </w:rPr>
        <w:t>EPA has added chemicals to the TSCA section 8(d) list on an episodic basis.  As shown in Table 1, chemicals were added to the list three times since 1996. EPA uses a basis of 70 chemicals per year for the 2012-2015 ICR period, using information from the 2006 rulemaking which added 208 new chemicals (averaging 69 chemicals per year during the 2006-2009 ICR period).</w:t>
      </w:r>
    </w:p>
    <w:p w:rsidR="003F7D38" w:rsidRDefault="003F7D38">
      <w:pPr>
        <w:widowControl w:val="0"/>
        <w:ind w:firstLine="720"/>
        <w:rPr>
          <w:color w:val="000000"/>
        </w:rPr>
      </w:pPr>
    </w:p>
    <w:tbl>
      <w:tblPr>
        <w:tblW w:w="9758" w:type="dxa"/>
        <w:tblInd w:w="93" w:type="dxa"/>
        <w:tblLayout w:type="fixed"/>
        <w:tblLook w:val="04A0"/>
      </w:tblPr>
      <w:tblGrid>
        <w:gridCol w:w="1220"/>
        <w:gridCol w:w="460"/>
        <w:gridCol w:w="700"/>
        <w:gridCol w:w="335"/>
        <w:gridCol w:w="625"/>
        <w:gridCol w:w="200"/>
        <w:gridCol w:w="1200"/>
        <w:gridCol w:w="260"/>
        <w:gridCol w:w="325"/>
        <w:gridCol w:w="723"/>
        <w:gridCol w:w="501"/>
        <w:gridCol w:w="639"/>
        <w:gridCol w:w="910"/>
        <w:gridCol w:w="210"/>
        <w:gridCol w:w="1450"/>
      </w:tblGrid>
      <w:tr w:rsidR="00F21A45" w:rsidRPr="005D6BF5" w:rsidTr="00915AF7">
        <w:trPr>
          <w:trHeight w:val="796"/>
        </w:trPr>
        <w:tc>
          <w:tcPr>
            <w:tcW w:w="9758" w:type="dxa"/>
            <w:gridSpan w:val="15"/>
            <w:tcBorders>
              <w:top w:val="nil"/>
              <w:left w:val="nil"/>
              <w:right w:val="nil"/>
            </w:tcBorders>
            <w:shd w:val="clear" w:color="auto" w:fill="auto"/>
            <w:noWrap/>
            <w:vAlign w:val="center"/>
            <w:hideMark/>
          </w:tcPr>
          <w:p w:rsidR="00E53AB2" w:rsidRDefault="003F7D38" w:rsidP="003F7D38">
            <w:pPr>
              <w:rPr>
                <w:b/>
                <w:bCs/>
                <w:color w:val="000000"/>
                <w:szCs w:val="24"/>
              </w:rPr>
            </w:pPr>
            <w:r>
              <w:rPr>
                <w:b/>
                <w:bCs/>
                <w:color w:val="000000"/>
                <w:szCs w:val="24"/>
              </w:rPr>
              <w:t xml:space="preserve">Table </w:t>
            </w:r>
            <w:r w:rsidR="0028797C">
              <w:rPr>
                <w:b/>
                <w:bCs/>
                <w:color w:val="000000"/>
                <w:szCs w:val="24"/>
              </w:rPr>
              <w:t>1.  Number of Chemicals Added to TSCA Section 8(d) Reporting List, by Year and by ICR Reporting Period</w:t>
            </w:r>
          </w:p>
        </w:tc>
      </w:tr>
      <w:tr w:rsidR="00717D58" w:rsidRPr="005D6BF5" w:rsidTr="00F21A45">
        <w:tc>
          <w:tcPr>
            <w:tcW w:w="1220" w:type="dxa"/>
            <w:tcBorders>
              <w:top w:val="double" w:sz="6" w:space="0" w:color="000000"/>
              <w:left w:val="double" w:sz="6" w:space="0" w:color="000000"/>
              <w:bottom w:val="double" w:sz="6" w:space="0" w:color="000000"/>
              <w:right w:val="single" w:sz="4"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Year</w:t>
            </w:r>
          </w:p>
        </w:tc>
        <w:tc>
          <w:tcPr>
            <w:tcW w:w="1160" w:type="dxa"/>
            <w:gridSpan w:val="2"/>
            <w:tcBorders>
              <w:top w:val="double" w:sz="6" w:space="0" w:color="000000"/>
              <w:left w:val="nil"/>
              <w:bottom w:val="double" w:sz="6"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1996</w:t>
            </w:r>
          </w:p>
        </w:tc>
        <w:tc>
          <w:tcPr>
            <w:tcW w:w="1160" w:type="dxa"/>
            <w:gridSpan w:val="3"/>
            <w:tcBorders>
              <w:top w:val="double" w:sz="6" w:space="0" w:color="000000"/>
              <w:left w:val="nil"/>
              <w:bottom w:val="double" w:sz="6"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1997-2003</w:t>
            </w:r>
          </w:p>
        </w:tc>
        <w:tc>
          <w:tcPr>
            <w:tcW w:w="1200" w:type="dxa"/>
            <w:tcBorders>
              <w:top w:val="double" w:sz="6" w:space="0" w:color="000000"/>
              <w:left w:val="nil"/>
              <w:bottom w:val="double" w:sz="6"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2004</w:t>
            </w:r>
          </w:p>
        </w:tc>
        <w:tc>
          <w:tcPr>
            <w:tcW w:w="1308" w:type="dxa"/>
            <w:gridSpan w:val="3"/>
            <w:tcBorders>
              <w:top w:val="double" w:sz="6" w:space="0" w:color="000000"/>
              <w:left w:val="nil"/>
              <w:bottom w:val="double" w:sz="6"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2005</w:t>
            </w:r>
          </w:p>
        </w:tc>
        <w:tc>
          <w:tcPr>
            <w:tcW w:w="1140" w:type="dxa"/>
            <w:gridSpan w:val="2"/>
            <w:tcBorders>
              <w:top w:val="double" w:sz="6" w:space="0" w:color="000000"/>
              <w:left w:val="nil"/>
              <w:bottom w:val="double" w:sz="6"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2006*</w:t>
            </w:r>
          </w:p>
        </w:tc>
        <w:tc>
          <w:tcPr>
            <w:tcW w:w="1120" w:type="dxa"/>
            <w:gridSpan w:val="2"/>
            <w:tcBorders>
              <w:top w:val="double" w:sz="6" w:space="0" w:color="000000"/>
              <w:left w:val="nil"/>
              <w:bottom w:val="double" w:sz="6"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2007-2011</w:t>
            </w:r>
          </w:p>
        </w:tc>
        <w:tc>
          <w:tcPr>
            <w:tcW w:w="1450" w:type="dxa"/>
            <w:tcBorders>
              <w:top w:val="double" w:sz="6" w:space="0" w:color="000000"/>
              <w:left w:val="nil"/>
              <w:bottom w:val="double" w:sz="6" w:space="0" w:color="000000"/>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Average/Year</w:t>
            </w:r>
          </w:p>
        </w:tc>
      </w:tr>
      <w:tr w:rsidR="00717D58" w:rsidRPr="005D6BF5" w:rsidTr="00F21A45">
        <w:tc>
          <w:tcPr>
            <w:tcW w:w="1220" w:type="dxa"/>
            <w:tcBorders>
              <w:top w:val="double" w:sz="6" w:space="0" w:color="000000"/>
              <w:left w:val="double" w:sz="6" w:space="0" w:color="000000"/>
              <w:bottom w:val="single" w:sz="4" w:space="0" w:color="000000"/>
              <w:right w:val="single" w:sz="4"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 xml:space="preserve">Number of Chemicals </w:t>
            </w:r>
          </w:p>
        </w:tc>
        <w:tc>
          <w:tcPr>
            <w:tcW w:w="1160" w:type="dxa"/>
            <w:gridSpan w:val="2"/>
            <w:tcBorders>
              <w:top w:val="double" w:sz="6" w:space="0" w:color="000000"/>
              <w:left w:val="nil"/>
              <w:bottom w:val="single" w:sz="4"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47</w:t>
            </w:r>
          </w:p>
        </w:tc>
        <w:tc>
          <w:tcPr>
            <w:tcW w:w="1160" w:type="dxa"/>
            <w:gridSpan w:val="3"/>
            <w:tcBorders>
              <w:top w:val="double" w:sz="6" w:space="0" w:color="000000"/>
              <w:left w:val="nil"/>
              <w:bottom w:val="single" w:sz="4"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0</w:t>
            </w:r>
          </w:p>
        </w:tc>
        <w:tc>
          <w:tcPr>
            <w:tcW w:w="1200" w:type="dxa"/>
            <w:tcBorders>
              <w:top w:val="double" w:sz="6" w:space="0" w:color="000000"/>
              <w:left w:val="nil"/>
              <w:bottom w:val="single" w:sz="4"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15</w:t>
            </w:r>
          </w:p>
        </w:tc>
        <w:tc>
          <w:tcPr>
            <w:tcW w:w="1308" w:type="dxa"/>
            <w:gridSpan w:val="3"/>
            <w:tcBorders>
              <w:top w:val="double" w:sz="6" w:space="0" w:color="000000"/>
              <w:left w:val="nil"/>
              <w:bottom w:val="single" w:sz="4" w:space="0" w:color="000000"/>
              <w:right w:val="single" w:sz="4" w:space="0" w:color="000000"/>
            </w:tcBorders>
            <w:shd w:val="clear" w:color="auto" w:fill="auto"/>
            <w:vAlign w:val="center"/>
            <w:hideMark/>
          </w:tcPr>
          <w:p w:rsidR="00E53AB2" w:rsidRDefault="00646BB0">
            <w:pPr>
              <w:widowControl w:val="0"/>
              <w:jc w:val="center"/>
              <w:rPr>
                <w:color w:val="000000"/>
                <w:sz w:val="20"/>
              </w:rPr>
            </w:pPr>
            <w:r w:rsidRPr="00646BB0">
              <w:rPr>
                <w:color w:val="000000"/>
                <w:sz w:val="20"/>
              </w:rPr>
              <w:t>0</w:t>
            </w:r>
          </w:p>
        </w:tc>
        <w:tc>
          <w:tcPr>
            <w:tcW w:w="1140" w:type="dxa"/>
            <w:gridSpan w:val="2"/>
            <w:tcBorders>
              <w:top w:val="double" w:sz="6" w:space="0" w:color="000000"/>
              <w:left w:val="nil"/>
              <w:bottom w:val="single" w:sz="4" w:space="0" w:color="000000"/>
              <w:right w:val="single" w:sz="4" w:space="0" w:color="000000"/>
            </w:tcBorders>
            <w:shd w:val="clear" w:color="auto" w:fill="auto"/>
            <w:vAlign w:val="center"/>
            <w:hideMark/>
          </w:tcPr>
          <w:p w:rsidR="00E53AB2" w:rsidRDefault="00646BB0">
            <w:pPr>
              <w:widowControl w:val="0"/>
              <w:jc w:val="center"/>
              <w:rPr>
                <w:color w:val="000000"/>
                <w:sz w:val="20"/>
              </w:rPr>
            </w:pPr>
            <w:r w:rsidRPr="00646BB0">
              <w:rPr>
                <w:color w:val="000000"/>
                <w:sz w:val="20"/>
              </w:rPr>
              <w:t>208</w:t>
            </w:r>
          </w:p>
        </w:tc>
        <w:tc>
          <w:tcPr>
            <w:tcW w:w="1120" w:type="dxa"/>
            <w:gridSpan w:val="2"/>
            <w:tcBorders>
              <w:top w:val="double" w:sz="6" w:space="0" w:color="000000"/>
              <w:left w:val="nil"/>
              <w:bottom w:val="single" w:sz="4" w:space="0" w:color="000000"/>
              <w:right w:val="single" w:sz="4" w:space="0" w:color="000000"/>
            </w:tcBorders>
            <w:shd w:val="clear" w:color="auto" w:fill="auto"/>
            <w:vAlign w:val="center"/>
            <w:hideMark/>
          </w:tcPr>
          <w:p w:rsidR="00E53AB2" w:rsidRDefault="00646BB0">
            <w:pPr>
              <w:widowControl w:val="0"/>
              <w:jc w:val="center"/>
              <w:rPr>
                <w:color w:val="000000"/>
                <w:sz w:val="20"/>
              </w:rPr>
            </w:pPr>
            <w:r w:rsidRPr="00646BB0">
              <w:rPr>
                <w:color w:val="000000"/>
                <w:sz w:val="20"/>
              </w:rPr>
              <w:t>0</w:t>
            </w:r>
          </w:p>
        </w:tc>
        <w:tc>
          <w:tcPr>
            <w:tcW w:w="1450" w:type="dxa"/>
            <w:tcBorders>
              <w:top w:val="double" w:sz="6" w:space="0" w:color="000000"/>
              <w:left w:val="nil"/>
              <w:bottom w:val="single" w:sz="4" w:space="0" w:color="000000"/>
              <w:right w:val="double" w:sz="6" w:space="0" w:color="000000"/>
            </w:tcBorders>
            <w:shd w:val="clear" w:color="auto" w:fill="auto"/>
            <w:vAlign w:val="center"/>
            <w:hideMark/>
          </w:tcPr>
          <w:p w:rsidR="00E53AB2" w:rsidRDefault="00646BB0">
            <w:pPr>
              <w:widowControl w:val="0"/>
              <w:jc w:val="center"/>
              <w:rPr>
                <w:color w:val="000000"/>
                <w:sz w:val="20"/>
              </w:rPr>
            </w:pPr>
            <w:r w:rsidRPr="00646BB0">
              <w:rPr>
                <w:color w:val="000000"/>
                <w:sz w:val="20"/>
              </w:rPr>
              <w:t>17</w:t>
            </w:r>
          </w:p>
        </w:tc>
      </w:tr>
      <w:tr w:rsidR="00717D58" w:rsidRPr="005D6BF5" w:rsidTr="00F21A45">
        <w:tc>
          <w:tcPr>
            <w:tcW w:w="9758" w:type="dxa"/>
            <w:gridSpan w:val="15"/>
            <w:tcBorders>
              <w:top w:val="single" w:sz="4" w:space="0" w:color="000000"/>
              <w:left w:val="double" w:sz="6" w:space="0" w:color="000000"/>
              <w:bottom w:val="double" w:sz="6" w:space="0" w:color="000000"/>
              <w:right w:val="double" w:sz="6" w:space="0" w:color="000000"/>
            </w:tcBorders>
            <w:shd w:val="clear" w:color="auto" w:fill="auto"/>
            <w:vAlign w:val="bottom"/>
            <w:hideMark/>
          </w:tcPr>
          <w:p w:rsidR="00E53AB2" w:rsidRDefault="0028797C">
            <w:pPr>
              <w:rPr>
                <w:color w:val="000000"/>
                <w:sz w:val="20"/>
              </w:rPr>
            </w:pPr>
            <w:r>
              <w:rPr>
                <w:color w:val="000000"/>
                <w:sz w:val="20"/>
              </w:rPr>
              <w:t>* EPA issued a TSCA section 8(d) rule (71 FR 47130) on August 16, 2006 for 243 HPV chemicals that were not sponsored in the voluntary portion of the HPV Challenge Program.  EPA later withdrew 33 of these chemicals in a final rule issued on September 29, 2006 (71 FR 57439).  In a subsequent direct final rule issued on April 30, 2007, EPA removed two additional chemicals (72 FR 21119), resulting in a total of 208 chemicals subject to Section 8(d) reporting.</w:t>
            </w:r>
          </w:p>
        </w:tc>
      </w:tr>
      <w:tr w:rsidR="00717D58" w:rsidRPr="005D6BF5" w:rsidTr="00F21A45">
        <w:tc>
          <w:tcPr>
            <w:tcW w:w="1220" w:type="dxa"/>
            <w:tcBorders>
              <w:top w:val="double" w:sz="6" w:space="0" w:color="000000"/>
              <w:left w:val="double" w:sz="6" w:space="0" w:color="000000"/>
              <w:bottom w:val="double" w:sz="6" w:space="0" w:color="000000"/>
              <w:right w:val="nil"/>
            </w:tcBorders>
            <w:shd w:val="clear" w:color="auto" w:fill="auto"/>
            <w:vAlign w:val="bottom"/>
          </w:tcPr>
          <w:p w:rsidR="00E53AB2" w:rsidRDefault="00E53AB2">
            <w:pPr>
              <w:rPr>
                <w:rFonts w:ascii="Calibri" w:hAnsi="Calibri" w:cs="Calibri"/>
                <w:color w:val="000000"/>
                <w:sz w:val="20"/>
              </w:rPr>
            </w:pPr>
          </w:p>
        </w:tc>
        <w:tc>
          <w:tcPr>
            <w:tcW w:w="1495" w:type="dxa"/>
            <w:gridSpan w:val="3"/>
            <w:tcBorders>
              <w:top w:val="double" w:sz="6" w:space="0" w:color="000000"/>
              <w:left w:val="nil"/>
              <w:bottom w:val="double" w:sz="6" w:space="0" w:color="000000"/>
              <w:right w:val="nil"/>
            </w:tcBorders>
            <w:shd w:val="clear" w:color="auto" w:fill="auto"/>
            <w:vAlign w:val="bottom"/>
          </w:tcPr>
          <w:p w:rsidR="00E53AB2" w:rsidRDefault="00E53AB2">
            <w:pPr>
              <w:rPr>
                <w:rFonts w:ascii="Calibri" w:hAnsi="Calibri" w:cs="Calibri"/>
                <w:color w:val="000000"/>
                <w:sz w:val="20"/>
              </w:rPr>
            </w:pPr>
          </w:p>
        </w:tc>
        <w:tc>
          <w:tcPr>
            <w:tcW w:w="825" w:type="dxa"/>
            <w:gridSpan w:val="2"/>
            <w:tcBorders>
              <w:top w:val="double" w:sz="6" w:space="0" w:color="000000"/>
              <w:left w:val="nil"/>
              <w:bottom w:val="double" w:sz="6" w:space="0" w:color="000000"/>
              <w:right w:val="nil"/>
            </w:tcBorders>
            <w:shd w:val="clear" w:color="auto" w:fill="auto"/>
            <w:vAlign w:val="bottom"/>
          </w:tcPr>
          <w:p w:rsidR="00E53AB2" w:rsidRDefault="00E53AB2">
            <w:pPr>
              <w:rPr>
                <w:rFonts w:ascii="Calibri" w:hAnsi="Calibri" w:cs="Calibri"/>
                <w:color w:val="000000"/>
                <w:sz w:val="20"/>
              </w:rPr>
            </w:pPr>
          </w:p>
        </w:tc>
        <w:tc>
          <w:tcPr>
            <w:tcW w:w="1785" w:type="dxa"/>
            <w:gridSpan w:val="3"/>
            <w:tcBorders>
              <w:top w:val="double" w:sz="6" w:space="0" w:color="000000"/>
              <w:left w:val="nil"/>
              <w:bottom w:val="double" w:sz="6" w:space="0" w:color="000000"/>
              <w:right w:val="nil"/>
            </w:tcBorders>
            <w:shd w:val="clear" w:color="auto" w:fill="auto"/>
            <w:vAlign w:val="bottom"/>
          </w:tcPr>
          <w:p w:rsidR="00E53AB2" w:rsidRDefault="00E53AB2">
            <w:pPr>
              <w:rPr>
                <w:rFonts w:ascii="Calibri" w:hAnsi="Calibri" w:cs="Calibri"/>
                <w:color w:val="000000"/>
                <w:sz w:val="20"/>
              </w:rPr>
            </w:pPr>
          </w:p>
        </w:tc>
        <w:tc>
          <w:tcPr>
            <w:tcW w:w="723" w:type="dxa"/>
            <w:tcBorders>
              <w:top w:val="double" w:sz="6" w:space="0" w:color="000000"/>
              <w:left w:val="nil"/>
              <w:bottom w:val="double" w:sz="6" w:space="0" w:color="000000"/>
              <w:right w:val="nil"/>
            </w:tcBorders>
            <w:shd w:val="clear" w:color="auto" w:fill="auto"/>
            <w:vAlign w:val="bottom"/>
          </w:tcPr>
          <w:p w:rsidR="00E53AB2" w:rsidRDefault="00E53AB2">
            <w:pPr>
              <w:rPr>
                <w:rFonts w:ascii="Calibri" w:hAnsi="Calibri" w:cs="Calibri"/>
                <w:color w:val="000000"/>
                <w:sz w:val="20"/>
              </w:rPr>
            </w:pPr>
          </w:p>
        </w:tc>
        <w:tc>
          <w:tcPr>
            <w:tcW w:w="1140" w:type="dxa"/>
            <w:gridSpan w:val="2"/>
            <w:tcBorders>
              <w:top w:val="double" w:sz="6" w:space="0" w:color="000000"/>
              <w:left w:val="nil"/>
              <w:bottom w:val="double" w:sz="6" w:space="0" w:color="000000"/>
              <w:right w:val="nil"/>
            </w:tcBorders>
            <w:shd w:val="clear" w:color="auto" w:fill="auto"/>
            <w:vAlign w:val="bottom"/>
          </w:tcPr>
          <w:p w:rsidR="00E53AB2" w:rsidRDefault="00E53AB2">
            <w:pPr>
              <w:rPr>
                <w:rFonts w:ascii="Calibri" w:hAnsi="Calibri" w:cs="Calibri"/>
                <w:color w:val="000000"/>
                <w:sz w:val="20"/>
              </w:rPr>
            </w:pPr>
          </w:p>
        </w:tc>
        <w:tc>
          <w:tcPr>
            <w:tcW w:w="1120" w:type="dxa"/>
            <w:gridSpan w:val="2"/>
            <w:tcBorders>
              <w:top w:val="double" w:sz="6" w:space="0" w:color="000000"/>
              <w:left w:val="nil"/>
              <w:bottom w:val="double" w:sz="6" w:space="0" w:color="000000"/>
              <w:right w:val="nil"/>
            </w:tcBorders>
            <w:shd w:val="clear" w:color="auto" w:fill="auto"/>
            <w:vAlign w:val="bottom"/>
          </w:tcPr>
          <w:p w:rsidR="00E53AB2" w:rsidRDefault="00E53AB2">
            <w:pPr>
              <w:rPr>
                <w:rFonts w:ascii="Calibri" w:hAnsi="Calibri" w:cs="Calibri"/>
                <w:color w:val="000000"/>
                <w:sz w:val="20"/>
              </w:rPr>
            </w:pPr>
          </w:p>
        </w:tc>
        <w:tc>
          <w:tcPr>
            <w:tcW w:w="1450" w:type="dxa"/>
            <w:tcBorders>
              <w:top w:val="double" w:sz="6" w:space="0" w:color="000000"/>
              <w:left w:val="nil"/>
              <w:bottom w:val="double" w:sz="6" w:space="0" w:color="000000"/>
              <w:right w:val="double" w:sz="6" w:space="0" w:color="000000"/>
            </w:tcBorders>
            <w:shd w:val="clear" w:color="auto" w:fill="auto"/>
            <w:vAlign w:val="bottom"/>
          </w:tcPr>
          <w:p w:rsidR="00E53AB2" w:rsidRDefault="00E53AB2">
            <w:pPr>
              <w:rPr>
                <w:rFonts w:ascii="Calibri" w:hAnsi="Calibri" w:cs="Calibri"/>
                <w:color w:val="000000"/>
                <w:sz w:val="20"/>
              </w:rPr>
            </w:pPr>
          </w:p>
        </w:tc>
      </w:tr>
      <w:tr w:rsidR="00717D58" w:rsidRPr="00E54D91" w:rsidTr="00F21A45">
        <w:tc>
          <w:tcPr>
            <w:tcW w:w="3340" w:type="dxa"/>
            <w:gridSpan w:val="5"/>
            <w:tcBorders>
              <w:top w:val="double" w:sz="6" w:space="0" w:color="auto"/>
              <w:left w:val="double" w:sz="6" w:space="0" w:color="auto"/>
              <w:bottom w:val="double" w:sz="6" w:space="0" w:color="auto"/>
              <w:right w:val="single" w:sz="4" w:space="0" w:color="auto"/>
            </w:tcBorders>
            <w:shd w:val="clear" w:color="auto" w:fill="auto"/>
            <w:vAlign w:val="bottom"/>
            <w:hideMark/>
          </w:tcPr>
          <w:p w:rsidR="00E53AB2" w:rsidRDefault="00646BB0">
            <w:pPr>
              <w:jc w:val="center"/>
              <w:rPr>
                <w:b/>
                <w:bCs/>
                <w:color w:val="000000"/>
                <w:sz w:val="20"/>
              </w:rPr>
            </w:pPr>
            <w:r w:rsidRPr="00646BB0">
              <w:rPr>
                <w:b/>
                <w:bCs/>
                <w:color w:val="000000"/>
                <w:sz w:val="20"/>
              </w:rPr>
              <w:t>ICR Period</w:t>
            </w:r>
          </w:p>
          <w:p w:rsidR="00E53AB2" w:rsidRDefault="00646BB0">
            <w:pPr>
              <w:jc w:val="center"/>
              <w:rPr>
                <w:b/>
                <w:bCs/>
                <w:color w:val="000000"/>
                <w:sz w:val="20"/>
              </w:rPr>
            </w:pPr>
            <w:r w:rsidRPr="00646BB0">
              <w:rPr>
                <w:b/>
                <w:bCs/>
                <w:color w:val="000000"/>
                <w:sz w:val="20"/>
              </w:rPr>
              <w:t>(Nov) 2006 - (Oct) 2009</w:t>
            </w:r>
          </w:p>
        </w:tc>
        <w:tc>
          <w:tcPr>
            <w:tcW w:w="3209" w:type="dxa"/>
            <w:gridSpan w:val="6"/>
            <w:tcBorders>
              <w:top w:val="double" w:sz="6" w:space="0" w:color="auto"/>
              <w:left w:val="nil"/>
              <w:bottom w:val="double" w:sz="6" w:space="0" w:color="auto"/>
              <w:right w:val="single" w:sz="4" w:space="0" w:color="auto"/>
            </w:tcBorders>
            <w:shd w:val="clear" w:color="auto" w:fill="auto"/>
            <w:vAlign w:val="bottom"/>
            <w:hideMark/>
          </w:tcPr>
          <w:p w:rsidR="00E53AB2" w:rsidRDefault="00646BB0">
            <w:pPr>
              <w:jc w:val="center"/>
              <w:rPr>
                <w:b/>
                <w:bCs/>
                <w:color w:val="000000"/>
                <w:sz w:val="20"/>
              </w:rPr>
            </w:pPr>
            <w:r w:rsidRPr="00646BB0">
              <w:rPr>
                <w:b/>
                <w:bCs/>
                <w:color w:val="000000"/>
                <w:sz w:val="20"/>
              </w:rPr>
              <w:t>ICR Period</w:t>
            </w:r>
          </w:p>
          <w:p w:rsidR="00E53AB2" w:rsidRDefault="00646BB0">
            <w:pPr>
              <w:jc w:val="center"/>
              <w:rPr>
                <w:b/>
                <w:bCs/>
                <w:color w:val="000000"/>
                <w:sz w:val="20"/>
              </w:rPr>
            </w:pPr>
            <w:r w:rsidRPr="00646BB0">
              <w:rPr>
                <w:b/>
                <w:bCs/>
                <w:color w:val="000000"/>
                <w:sz w:val="20"/>
              </w:rPr>
              <w:t xml:space="preserve">(Nov) 2009 - (Oct) 2012   </w:t>
            </w:r>
          </w:p>
        </w:tc>
        <w:tc>
          <w:tcPr>
            <w:tcW w:w="3209" w:type="dxa"/>
            <w:gridSpan w:val="4"/>
            <w:tcBorders>
              <w:top w:val="double" w:sz="6" w:space="0" w:color="auto"/>
              <w:left w:val="nil"/>
              <w:bottom w:val="double" w:sz="6" w:space="0" w:color="auto"/>
              <w:right w:val="double" w:sz="6" w:space="0" w:color="000000"/>
            </w:tcBorders>
            <w:shd w:val="clear" w:color="auto" w:fill="auto"/>
            <w:vAlign w:val="bottom"/>
            <w:hideMark/>
          </w:tcPr>
          <w:p w:rsidR="00E53AB2" w:rsidRDefault="00646BB0">
            <w:pPr>
              <w:jc w:val="center"/>
              <w:rPr>
                <w:b/>
                <w:bCs/>
                <w:color w:val="000000"/>
                <w:sz w:val="20"/>
              </w:rPr>
            </w:pPr>
            <w:r w:rsidRPr="00646BB0">
              <w:rPr>
                <w:b/>
                <w:bCs/>
                <w:color w:val="000000"/>
                <w:sz w:val="20"/>
              </w:rPr>
              <w:t>BASIS ICR Period</w:t>
            </w:r>
          </w:p>
          <w:p w:rsidR="00E53AB2" w:rsidRDefault="00646BB0">
            <w:pPr>
              <w:jc w:val="center"/>
              <w:rPr>
                <w:b/>
                <w:bCs/>
                <w:color w:val="000000"/>
                <w:sz w:val="20"/>
              </w:rPr>
            </w:pPr>
            <w:r w:rsidRPr="00646BB0">
              <w:rPr>
                <w:b/>
                <w:bCs/>
                <w:color w:val="000000"/>
                <w:sz w:val="20"/>
              </w:rPr>
              <w:t>(Nov) 2012 - (Oct) 2015</w:t>
            </w:r>
          </w:p>
        </w:tc>
      </w:tr>
      <w:tr w:rsidR="00717D58" w:rsidRPr="00E54D91" w:rsidTr="00F21A45">
        <w:tc>
          <w:tcPr>
            <w:tcW w:w="1680" w:type="dxa"/>
            <w:gridSpan w:val="2"/>
            <w:tcBorders>
              <w:top w:val="nil"/>
              <w:left w:val="double" w:sz="6" w:space="0" w:color="auto"/>
              <w:bottom w:val="single" w:sz="4" w:space="0" w:color="auto"/>
              <w:right w:val="single" w:sz="4" w:space="0" w:color="auto"/>
            </w:tcBorders>
            <w:shd w:val="clear" w:color="auto" w:fill="auto"/>
            <w:noWrap/>
            <w:vAlign w:val="bottom"/>
            <w:hideMark/>
          </w:tcPr>
          <w:p w:rsidR="00E53AB2" w:rsidRDefault="00646BB0">
            <w:pPr>
              <w:jc w:val="center"/>
              <w:rPr>
                <w:color w:val="000000"/>
                <w:sz w:val="20"/>
              </w:rPr>
            </w:pPr>
            <w:r w:rsidRPr="00646BB0">
              <w:rPr>
                <w:color w:val="000000"/>
                <w:sz w:val="20"/>
              </w:rPr>
              <w:t>Total</w:t>
            </w:r>
          </w:p>
        </w:tc>
        <w:tc>
          <w:tcPr>
            <w:tcW w:w="1660" w:type="dxa"/>
            <w:gridSpan w:val="3"/>
            <w:tcBorders>
              <w:top w:val="nil"/>
              <w:left w:val="nil"/>
              <w:bottom w:val="single" w:sz="4" w:space="0" w:color="auto"/>
              <w:right w:val="single" w:sz="4" w:space="0" w:color="auto"/>
            </w:tcBorders>
            <w:shd w:val="clear" w:color="auto" w:fill="auto"/>
            <w:noWrap/>
            <w:vAlign w:val="bottom"/>
            <w:hideMark/>
          </w:tcPr>
          <w:p w:rsidR="00E53AB2" w:rsidRDefault="00646BB0">
            <w:pPr>
              <w:jc w:val="center"/>
              <w:rPr>
                <w:color w:val="000000"/>
                <w:sz w:val="20"/>
              </w:rPr>
            </w:pPr>
            <w:r w:rsidRPr="00646BB0">
              <w:rPr>
                <w:color w:val="000000"/>
                <w:sz w:val="20"/>
              </w:rPr>
              <w:t>#/yr</w:t>
            </w:r>
          </w:p>
        </w:tc>
        <w:tc>
          <w:tcPr>
            <w:tcW w:w="1660" w:type="dxa"/>
            <w:gridSpan w:val="3"/>
            <w:tcBorders>
              <w:top w:val="nil"/>
              <w:left w:val="nil"/>
              <w:bottom w:val="single" w:sz="4" w:space="0" w:color="auto"/>
              <w:right w:val="single" w:sz="4" w:space="0" w:color="auto"/>
            </w:tcBorders>
            <w:shd w:val="clear" w:color="auto" w:fill="auto"/>
            <w:noWrap/>
            <w:vAlign w:val="bottom"/>
            <w:hideMark/>
          </w:tcPr>
          <w:p w:rsidR="00E53AB2" w:rsidRDefault="00646BB0">
            <w:pPr>
              <w:jc w:val="center"/>
              <w:rPr>
                <w:color w:val="000000"/>
                <w:sz w:val="20"/>
              </w:rPr>
            </w:pPr>
            <w:r w:rsidRPr="00646BB0">
              <w:rPr>
                <w:color w:val="000000"/>
                <w:sz w:val="20"/>
              </w:rPr>
              <w:t>Total</w:t>
            </w:r>
          </w:p>
        </w:tc>
        <w:tc>
          <w:tcPr>
            <w:tcW w:w="1549" w:type="dxa"/>
            <w:gridSpan w:val="3"/>
            <w:tcBorders>
              <w:top w:val="nil"/>
              <w:left w:val="nil"/>
              <w:bottom w:val="single" w:sz="4" w:space="0" w:color="auto"/>
              <w:right w:val="single" w:sz="4" w:space="0" w:color="auto"/>
            </w:tcBorders>
            <w:shd w:val="clear" w:color="auto" w:fill="auto"/>
            <w:noWrap/>
            <w:vAlign w:val="bottom"/>
            <w:hideMark/>
          </w:tcPr>
          <w:p w:rsidR="00E53AB2" w:rsidRDefault="00646BB0">
            <w:pPr>
              <w:jc w:val="center"/>
              <w:rPr>
                <w:color w:val="000000"/>
                <w:sz w:val="20"/>
              </w:rPr>
            </w:pPr>
            <w:r w:rsidRPr="00646BB0">
              <w:rPr>
                <w:color w:val="000000"/>
                <w:sz w:val="20"/>
              </w:rPr>
              <w:t>#/yr</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E53AB2" w:rsidRDefault="00646BB0">
            <w:pPr>
              <w:jc w:val="center"/>
              <w:rPr>
                <w:color w:val="000000"/>
                <w:sz w:val="20"/>
              </w:rPr>
            </w:pPr>
            <w:r w:rsidRPr="00646BB0">
              <w:rPr>
                <w:color w:val="000000"/>
                <w:sz w:val="20"/>
              </w:rPr>
              <w:t>Total</w:t>
            </w:r>
          </w:p>
        </w:tc>
        <w:tc>
          <w:tcPr>
            <w:tcW w:w="1660" w:type="dxa"/>
            <w:gridSpan w:val="2"/>
            <w:tcBorders>
              <w:top w:val="nil"/>
              <w:left w:val="nil"/>
              <w:bottom w:val="single" w:sz="4" w:space="0" w:color="auto"/>
              <w:right w:val="double" w:sz="6" w:space="0" w:color="auto"/>
            </w:tcBorders>
            <w:shd w:val="clear" w:color="auto" w:fill="auto"/>
            <w:noWrap/>
            <w:vAlign w:val="bottom"/>
            <w:hideMark/>
          </w:tcPr>
          <w:p w:rsidR="00E53AB2" w:rsidRDefault="00646BB0">
            <w:pPr>
              <w:jc w:val="center"/>
              <w:rPr>
                <w:color w:val="000000"/>
                <w:sz w:val="20"/>
              </w:rPr>
            </w:pPr>
            <w:r w:rsidRPr="00646BB0">
              <w:rPr>
                <w:color w:val="000000"/>
                <w:sz w:val="20"/>
              </w:rPr>
              <w:t>#/yr</w:t>
            </w:r>
          </w:p>
        </w:tc>
      </w:tr>
      <w:tr w:rsidR="00717D58" w:rsidRPr="00E54D91" w:rsidTr="00F21A45">
        <w:tc>
          <w:tcPr>
            <w:tcW w:w="1680" w:type="dxa"/>
            <w:gridSpan w:val="2"/>
            <w:tcBorders>
              <w:top w:val="nil"/>
              <w:left w:val="double" w:sz="6" w:space="0" w:color="auto"/>
              <w:bottom w:val="double" w:sz="6" w:space="0" w:color="auto"/>
              <w:right w:val="single" w:sz="4" w:space="0" w:color="auto"/>
            </w:tcBorders>
            <w:shd w:val="clear" w:color="auto" w:fill="auto"/>
            <w:noWrap/>
            <w:vAlign w:val="bottom"/>
            <w:hideMark/>
          </w:tcPr>
          <w:p w:rsidR="00E53AB2" w:rsidRDefault="00646BB0">
            <w:pPr>
              <w:widowControl w:val="0"/>
              <w:jc w:val="center"/>
              <w:rPr>
                <w:color w:val="000000"/>
                <w:sz w:val="20"/>
              </w:rPr>
            </w:pPr>
            <w:r w:rsidRPr="00646BB0">
              <w:rPr>
                <w:color w:val="000000"/>
                <w:sz w:val="20"/>
              </w:rPr>
              <w:t>208</w:t>
            </w:r>
          </w:p>
        </w:tc>
        <w:tc>
          <w:tcPr>
            <w:tcW w:w="1660" w:type="dxa"/>
            <w:gridSpan w:val="3"/>
            <w:tcBorders>
              <w:top w:val="nil"/>
              <w:left w:val="nil"/>
              <w:bottom w:val="double" w:sz="6" w:space="0" w:color="auto"/>
              <w:right w:val="single" w:sz="4" w:space="0" w:color="auto"/>
            </w:tcBorders>
            <w:shd w:val="clear" w:color="auto" w:fill="auto"/>
            <w:noWrap/>
            <w:vAlign w:val="bottom"/>
            <w:hideMark/>
          </w:tcPr>
          <w:p w:rsidR="00E53AB2" w:rsidRDefault="00646BB0">
            <w:pPr>
              <w:widowControl w:val="0"/>
              <w:jc w:val="center"/>
              <w:rPr>
                <w:color w:val="000000"/>
                <w:sz w:val="20"/>
              </w:rPr>
            </w:pPr>
            <w:r w:rsidRPr="00646BB0">
              <w:rPr>
                <w:color w:val="000000"/>
                <w:sz w:val="20"/>
              </w:rPr>
              <w:t>69</w:t>
            </w:r>
          </w:p>
        </w:tc>
        <w:tc>
          <w:tcPr>
            <w:tcW w:w="1660" w:type="dxa"/>
            <w:gridSpan w:val="3"/>
            <w:tcBorders>
              <w:top w:val="nil"/>
              <w:left w:val="nil"/>
              <w:bottom w:val="double" w:sz="6" w:space="0" w:color="auto"/>
              <w:right w:val="single" w:sz="4" w:space="0" w:color="auto"/>
            </w:tcBorders>
            <w:shd w:val="clear" w:color="auto" w:fill="auto"/>
            <w:noWrap/>
            <w:vAlign w:val="bottom"/>
            <w:hideMark/>
          </w:tcPr>
          <w:p w:rsidR="00E53AB2" w:rsidRDefault="00646BB0">
            <w:pPr>
              <w:widowControl w:val="0"/>
              <w:jc w:val="center"/>
              <w:rPr>
                <w:color w:val="000000"/>
                <w:sz w:val="20"/>
              </w:rPr>
            </w:pPr>
            <w:r w:rsidRPr="00646BB0">
              <w:rPr>
                <w:color w:val="000000"/>
                <w:sz w:val="20"/>
              </w:rPr>
              <w:t>0</w:t>
            </w:r>
          </w:p>
        </w:tc>
        <w:tc>
          <w:tcPr>
            <w:tcW w:w="1549" w:type="dxa"/>
            <w:gridSpan w:val="3"/>
            <w:tcBorders>
              <w:top w:val="nil"/>
              <w:left w:val="nil"/>
              <w:bottom w:val="double" w:sz="6" w:space="0" w:color="auto"/>
              <w:right w:val="single" w:sz="4" w:space="0" w:color="auto"/>
            </w:tcBorders>
            <w:shd w:val="clear" w:color="auto" w:fill="auto"/>
            <w:noWrap/>
            <w:vAlign w:val="bottom"/>
            <w:hideMark/>
          </w:tcPr>
          <w:p w:rsidR="00E53AB2" w:rsidRDefault="00646BB0">
            <w:pPr>
              <w:widowControl w:val="0"/>
              <w:jc w:val="center"/>
              <w:rPr>
                <w:color w:val="000000"/>
                <w:sz w:val="20"/>
              </w:rPr>
            </w:pPr>
            <w:r w:rsidRPr="00646BB0">
              <w:rPr>
                <w:color w:val="000000"/>
                <w:sz w:val="20"/>
              </w:rPr>
              <w:t>0</w:t>
            </w:r>
          </w:p>
        </w:tc>
        <w:tc>
          <w:tcPr>
            <w:tcW w:w="1549" w:type="dxa"/>
            <w:gridSpan w:val="2"/>
            <w:tcBorders>
              <w:top w:val="nil"/>
              <w:left w:val="nil"/>
              <w:bottom w:val="double" w:sz="6" w:space="0" w:color="auto"/>
              <w:right w:val="single" w:sz="4" w:space="0" w:color="auto"/>
            </w:tcBorders>
            <w:shd w:val="clear" w:color="auto" w:fill="auto"/>
            <w:noWrap/>
            <w:vAlign w:val="bottom"/>
            <w:hideMark/>
          </w:tcPr>
          <w:p w:rsidR="00E53AB2" w:rsidRDefault="00646BB0">
            <w:pPr>
              <w:widowControl w:val="0"/>
              <w:jc w:val="center"/>
              <w:rPr>
                <w:color w:val="000000"/>
                <w:sz w:val="20"/>
              </w:rPr>
            </w:pPr>
            <w:r w:rsidRPr="00646BB0">
              <w:rPr>
                <w:color w:val="000000"/>
                <w:sz w:val="20"/>
              </w:rPr>
              <w:t>210</w:t>
            </w:r>
          </w:p>
        </w:tc>
        <w:tc>
          <w:tcPr>
            <w:tcW w:w="1660" w:type="dxa"/>
            <w:gridSpan w:val="2"/>
            <w:tcBorders>
              <w:top w:val="nil"/>
              <w:left w:val="nil"/>
              <w:bottom w:val="double" w:sz="6" w:space="0" w:color="auto"/>
              <w:right w:val="double" w:sz="6" w:space="0" w:color="auto"/>
            </w:tcBorders>
            <w:shd w:val="clear" w:color="auto" w:fill="auto"/>
            <w:noWrap/>
            <w:vAlign w:val="bottom"/>
            <w:hideMark/>
          </w:tcPr>
          <w:p w:rsidR="00E53AB2" w:rsidRDefault="00646BB0">
            <w:pPr>
              <w:widowControl w:val="0"/>
              <w:jc w:val="center"/>
              <w:rPr>
                <w:color w:val="000000"/>
                <w:sz w:val="20"/>
              </w:rPr>
            </w:pPr>
            <w:r w:rsidRPr="00646BB0">
              <w:rPr>
                <w:color w:val="000000"/>
                <w:sz w:val="20"/>
              </w:rPr>
              <w:t>70</w:t>
            </w:r>
          </w:p>
        </w:tc>
      </w:tr>
    </w:tbl>
    <w:p w:rsidR="00E53AB2" w:rsidRDefault="00E53AB2">
      <w:pPr>
        <w:widowControl w:val="0"/>
        <w:jc w:val="center"/>
        <w:rPr>
          <w:color w:val="000000"/>
        </w:rPr>
      </w:pPr>
    </w:p>
    <w:p w:rsidR="00E53AB2" w:rsidRDefault="00717D58">
      <w:pPr>
        <w:widowControl w:val="0"/>
        <w:rPr>
          <w:color w:val="000000"/>
        </w:rPr>
      </w:pPr>
      <w:r>
        <w:rPr>
          <w:color w:val="000000"/>
        </w:rPr>
        <w:tab/>
        <w:t>The estimates in this ICR renewal are based primarily on the reporting for the 208 chemicals added to the TSCA section 8(d) list in 2006</w:t>
      </w:r>
      <w:r w:rsidR="000B0F72">
        <w:rPr>
          <w:color w:val="000000"/>
        </w:rPr>
        <w:t>, and serve as the basis for a typical case TSCA section 8(d) collection</w:t>
      </w:r>
      <w:r>
        <w:rPr>
          <w:color w:val="000000"/>
        </w:rPr>
        <w:t xml:space="preserve">.  From this experience, EPA has observed that chemicals with high production volumes tend to have more unpublished health and safety data than other chemicals that may be considered for inclusion on the TSCA section 8(d) list.  As shown in Table 2, the average number of studies submitted per company was nearly twice as high for the HPV chemicals in the 2006 rule compared to the chemicals in the 2004 rule.  Although continued use of the 2006 basis may possibly overestimate costs and burden of future reporting, it is the most recent experience and will be used as the basis for this </w:t>
      </w:r>
      <w:r w:rsidR="000B0F72">
        <w:rPr>
          <w:color w:val="000000"/>
        </w:rPr>
        <w:t xml:space="preserve">typical case </w:t>
      </w:r>
      <w:r>
        <w:rPr>
          <w:color w:val="000000"/>
        </w:rPr>
        <w:t>analysis.</w:t>
      </w:r>
    </w:p>
    <w:p w:rsidR="00E53AB2" w:rsidRDefault="00717D58">
      <w:pPr>
        <w:widowControl w:val="0"/>
        <w:rPr>
          <w:color w:val="000000"/>
        </w:rPr>
      </w:pPr>
      <w:r>
        <w:rPr>
          <w:color w:val="000000"/>
        </w:rPr>
        <w:t xml:space="preserve"> </w:t>
      </w:r>
    </w:p>
    <w:tbl>
      <w:tblPr>
        <w:tblW w:w="7950" w:type="dxa"/>
        <w:jc w:val="center"/>
        <w:tblLook w:val="04A0"/>
      </w:tblPr>
      <w:tblGrid>
        <w:gridCol w:w="6135"/>
        <w:gridCol w:w="900"/>
        <w:gridCol w:w="915"/>
      </w:tblGrid>
      <w:tr w:rsidR="00717D58" w:rsidRPr="00EA70FD" w:rsidTr="00F21A45">
        <w:trPr>
          <w:jc w:val="center"/>
        </w:trPr>
        <w:tc>
          <w:tcPr>
            <w:tcW w:w="7950" w:type="dxa"/>
            <w:gridSpan w:val="3"/>
            <w:tcBorders>
              <w:top w:val="nil"/>
              <w:left w:val="nil"/>
              <w:bottom w:val="nil"/>
              <w:right w:val="nil"/>
            </w:tcBorders>
            <w:shd w:val="clear" w:color="auto" w:fill="auto"/>
            <w:noWrap/>
            <w:vAlign w:val="center"/>
            <w:hideMark/>
          </w:tcPr>
          <w:p w:rsidR="00E53AB2" w:rsidRDefault="00717D58">
            <w:pPr>
              <w:keepNext/>
              <w:rPr>
                <w:b/>
                <w:bCs/>
                <w:color w:val="000000"/>
                <w:szCs w:val="24"/>
              </w:rPr>
            </w:pPr>
            <w:r w:rsidRPr="00EA70FD">
              <w:rPr>
                <w:b/>
                <w:bCs/>
                <w:color w:val="000000"/>
                <w:szCs w:val="24"/>
              </w:rPr>
              <w:t>Table 2.  Reporting Statistics for Recent TSCA Section 8(d) Rules</w:t>
            </w:r>
          </w:p>
        </w:tc>
      </w:tr>
      <w:tr w:rsidR="00717D58" w:rsidRPr="00EA70FD" w:rsidTr="00F21A45">
        <w:trPr>
          <w:jc w:val="center"/>
        </w:trPr>
        <w:tc>
          <w:tcPr>
            <w:tcW w:w="6135"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E53AB2" w:rsidRDefault="00E53AB2">
            <w:pPr>
              <w:keepNext/>
              <w:rPr>
                <w:color w:val="000000"/>
                <w:sz w:val="20"/>
              </w:rPr>
            </w:pPr>
          </w:p>
        </w:tc>
        <w:tc>
          <w:tcPr>
            <w:tcW w:w="900" w:type="dxa"/>
            <w:tcBorders>
              <w:top w:val="double" w:sz="6" w:space="0" w:color="auto"/>
              <w:left w:val="nil"/>
              <w:bottom w:val="double" w:sz="6" w:space="0" w:color="auto"/>
              <w:right w:val="single" w:sz="4" w:space="0" w:color="auto"/>
            </w:tcBorders>
            <w:shd w:val="clear" w:color="auto" w:fill="auto"/>
            <w:vAlign w:val="center"/>
            <w:hideMark/>
          </w:tcPr>
          <w:p w:rsidR="00E53AB2" w:rsidRDefault="00646BB0">
            <w:pPr>
              <w:keepNext/>
              <w:jc w:val="center"/>
              <w:rPr>
                <w:b/>
                <w:bCs/>
                <w:color w:val="000000"/>
                <w:sz w:val="20"/>
              </w:rPr>
            </w:pPr>
            <w:r w:rsidRPr="00646BB0">
              <w:rPr>
                <w:b/>
                <w:bCs/>
                <w:color w:val="000000"/>
                <w:sz w:val="20"/>
              </w:rPr>
              <w:t>2004 rule</w:t>
            </w:r>
          </w:p>
        </w:tc>
        <w:tc>
          <w:tcPr>
            <w:tcW w:w="915" w:type="dxa"/>
            <w:tcBorders>
              <w:top w:val="double" w:sz="6" w:space="0" w:color="auto"/>
              <w:left w:val="nil"/>
              <w:bottom w:val="double" w:sz="6" w:space="0" w:color="auto"/>
              <w:right w:val="double" w:sz="6" w:space="0" w:color="auto"/>
            </w:tcBorders>
            <w:shd w:val="clear" w:color="auto" w:fill="auto"/>
            <w:vAlign w:val="center"/>
            <w:hideMark/>
          </w:tcPr>
          <w:p w:rsidR="00E53AB2" w:rsidRDefault="00646BB0">
            <w:pPr>
              <w:keepNext/>
              <w:jc w:val="center"/>
              <w:rPr>
                <w:b/>
                <w:bCs/>
                <w:color w:val="000000"/>
                <w:sz w:val="20"/>
              </w:rPr>
            </w:pPr>
            <w:r w:rsidRPr="00646BB0">
              <w:rPr>
                <w:b/>
                <w:bCs/>
                <w:color w:val="000000"/>
                <w:sz w:val="20"/>
              </w:rPr>
              <w:t>2006 rule</w:t>
            </w:r>
          </w:p>
        </w:tc>
      </w:tr>
      <w:tr w:rsidR="00717D58" w:rsidRPr="00EA70FD" w:rsidTr="00F21A45">
        <w:trPr>
          <w:jc w:val="center"/>
        </w:trPr>
        <w:tc>
          <w:tcPr>
            <w:tcW w:w="6135" w:type="dxa"/>
            <w:tcBorders>
              <w:top w:val="nil"/>
              <w:left w:val="double" w:sz="6" w:space="0" w:color="auto"/>
              <w:bottom w:val="single" w:sz="4" w:space="0" w:color="auto"/>
              <w:right w:val="single" w:sz="4" w:space="0" w:color="auto"/>
            </w:tcBorders>
            <w:shd w:val="clear" w:color="auto" w:fill="auto"/>
            <w:vAlign w:val="center"/>
            <w:hideMark/>
          </w:tcPr>
          <w:p w:rsidR="00E53AB2" w:rsidRDefault="00646BB0">
            <w:pPr>
              <w:keepNext/>
              <w:rPr>
                <w:color w:val="000000"/>
                <w:sz w:val="20"/>
              </w:rPr>
            </w:pPr>
            <w:r w:rsidRPr="00646BB0">
              <w:rPr>
                <w:color w:val="000000"/>
                <w:sz w:val="20"/>
              </w:rPr>
              <w:t>Number of chemicals added to 8(d) list</w:t>
            </w:r>
          </w:p>
        </w:tc>
        <w:tc>
          <w:tcPr>
            <w:tcW w:w="900" w:type="dxa"/>
            <w:tcBorders>
              <w:top w:val="nil"/>
              <w:left w:val="nil"/>
              <w:bottom w:val="single" w:sz="4" w:space="0" w:color="auto"/>
              <w:right w:val="single" w:sz="4" w:space="0" w:color="auto"/>
            </w:tcBorders>
            <w:shd w:val="clear" w:color="auto" w:fill="auto"/>
            <w:vAlign w:val="center"/>
            <w:hideMark/>
          </w:tcPr>
          <w:p w:rsidR="00E53AB2" w:rsidRDefault="00646BB0">
            <w:pPr>
              <w:keepNext/>
              <w:jc w:val="center"/>
              <w:rPr>
                <w:color w:val="000000"/>
                <w:sz w:val="20"/>
              </w:rPr>
            </w:pPr>
            <w:r w:rsidRPr="00646BB0">
              <w:rPr>
                <w:color w:val="000000"/>
                <w:sz w:val="20"/>
              </w:rPr>
              <w:t>15</w:t>
            </w:r>
          </w:p>
        </w:tc>
        <w:tc>
          <w:tcPr>
            <w:tcW w:w="915" w:type="dxa"/>
            <w:tcBorders>
              <w:top w:val="nil"/>
              <w:left w:val="nil"/>
              <w:bottom w:val="single" w:sz="4" w:space="0" w:color="auto"/>
              <w:right w:val="double" w:sz="6" w:space="0" w:color="auto"/>
            </w:tcBorders>
            <w:shd w:val="clear" w:color="auto" w:fill="auto"/>
            <w:vAlign w:val="center"/>
            <w:hideMark/>
          </w:tcPr>
          <w:p w:rsidR="00E53AB2" w:rsidRDefault="00646BB0">
            <w:pPr>
              <w:keepNext/>
              <w:jc w:val="center"/>
              <w:rPr>
                <w:color w:val="000000"/>
                <w:sz w:val="20"/>
              </w:rPr>
            </w:pPr>
            <w:r w:rsidRPr="00646BB0">
              <w:rPr>
                <w:color w:val="000000"/>
                <w:sz w:val="20"/>
              </w:rPr>
              <w:t>208</w:t>
            </w:r>
          </w:p>
        </w:tc>
      </w:tr>
      <w:tr w:rsidR="00717D58" w:rsidRPr="00EA70FD" w:rsidTr="00F21A45">
        <w:trPr>
          <w:jc w:val="center"/>
        </w:trPr>
        <w:tc>
          <w:tcPr>
            <w:tcW w:w="6135" w:type="dxa"/>
            <w:tcBorders>
              <w:top w:val="nil"/>
              <w:left w:val="double" w:sz="6" w:space="0" w:color="auto"/>
              <w:bottom w:val="single" w:sz="4" w:space="0" w:color="auto"/>
              <w:right w:val="single" w:sz="4" w:space="0" w:color="auto"/>
            </w:tcBorders>
            <w:shd w:val="clear" w:color="auto" w:fill="auto"/>
            <w:vAlign w:val="center"/>
            <w:hideMark/>
          </w:tcPr>
          <w:p w:rsidR="00E53AB2" w:rsidRDefault="00646BB0">
            <w:pPr>
              <w:keepNext/>
              <w:rPr>
                <w:color w:val="000000"/>
                <w:sz w:val="20"/>
              </w:rPr>
            </w:pPr>
            <w:r w:rsidRPr="00646BB0">
              <w:rPr>
                <w:color w:val="000000"/>
                <w:sz w:val="20"/>
              </w:rPr>
              <w:t>Number of chemicals for which 8(d) reports were submitted</w:t>
            </w:r>
          </w:p>
        </w:tc>
        <w:tc>
          <w:tcPr>
            <w:tcW w:w="900" w:type="dxa"/>
            <w:tcBorders>
              <w:top w:val="nil"/>
              <w:left w:val="nil"/>
              <w:bottom w:val="single" w:sz="4" w:space="0" w:color="auto"/>
              <w:right w:val="single" w:sz="4" w:space="0" w:color="auto"/>
            </w:tcBorders>
            <w:shd w:val="clear" w:color="auto" w:fill="auto"/>
            <w:vAlign w:val="center"/>
            <w:hideMark/>
          </w:tcPr>
          <w:p w:rsidR="00E53AB2" w:rsidRDefault="00646BB0">
            <w:pPr>
              <w:keepNext/>
              <w:jc w:val="center"/>
              <w:rPr>
                <w:color w:val="000000"/>
                <w:sz w:val="20"/>
              </w:rPr>
            </w:pPr>
            <w:r w:rsidRPr="00646BB0">
              <w:rPr>
                <w:color w:val="000000"/>
                <w:sz w:val="20"/>
              </w:rPr>
              <w:t>3</w:t>
            </w:r>
          </w:p>
        </w:tc>
        <w:tc>
          <w:tcPr>
            <w:tcW w:w="915" w:type="dxa"/>
            <w:tcBorders>
              <w:top w:val="nil"/>
              <w:left w:val="nil"/>
              <w:bottom w:val="single" w:sz="4" w:space="0" w:color="auto"/>
              <w:right w:val="double" w:sz="6" w:space="0" w:color="auto"/>
            </w:tcBorders>
            <w:shd w:val="clear" w:color="auto" w:fill="auto"/>
            <w:vAlign w:val="center"/>
            <w:hideMark/>
          </w:tcPr>
          <w:p w:rsidR="00E53AB2" w:rsidRDefault="00646BB0">
            <w:pPr>
              <w:keepNext/>
              <w:jc w:val="center"/>
              <w:rPr>
                <w:color w:val="000000"/>
                <w:sz w:val="20"/>
              </w:rPr>
            </w:pPr>
            <w:r w:rsidRPr="00646BB0">
              <w:rPr>
                <w:color w:val="000000"/>
                <w:sz w:val="20"/>
              </w:rPr>
              <w:t>54</w:t>
            </w:r>
          </w:p>
        </w:tc>
      </w:tr>
      <w:tr w:rsidR="00717D58" w:rsidRPr="00EA70FD" w:rsidTr="00F21A45">
        <w:trPr>
          <w:jc w:val="center"/>
        </w:trPr>
        <w:tc>
          <w:tcPr>
            <w:tcW w:w="6135" w:type="dxa"/>
            <w:tcBorders>
              <w:top w:val="nil"/>
              <w:left w:val="double" w:sz="6" w:space="0" w:color="auto"/>
              <w:bottom w:val="single" w:sz="4" w:space="0" w:color="auto"/>
              <w:right w:val="single" w:sz="4" w:space="0" w:color="auto"/>
            </w:tcBorders>
            <w:shd w:val="clear" w:color="auto" w:fill="auto"/>
            <w:vAlign w:val="center"/>
            <w:hideMark/>
          </w:tcPr>
          <w:p w:rsidR="00E53AB2" w:rsidRDefault="00646BB0">
            <w:pPr>
              <w:keepNext/>
              <w:rPr>
                <w:color w:val="000000"/>
                <w:sz w:val="20"/>
              </w:rPr>
            </w:pPr>
            <w:r w:rsidRPr="00646BB0">
              <w:rPr>
                <w:color w:val="000000"/>
                <w:sz w:val="20"/>
              </w:rPr>
              <w:t>Number of companies submitting 8(d) reports</w:t>
            </w:r>
          </w:p>
        </w:tc>
        <w:tc>
          <w:tcPr>
            <w:tcW w:w="900" w:type="dxa"/>
            <w:tcBorders>
              <w:top w:val="nil"/>
              <w:left w:val="nil"/>
              <w:bottom w:val="single" w:sz="4" w:space="0" w:color="auto"/>
              <w:right w:val="single" w:sz="4" w:space="0" w:color="auto"/>
            </w:tcBorders>
            <w:shd w:val="clear" w:color="auto" w:fill="auto"/>
            <w:vAlign w:val="center"/>
            <w:hideMark/>
          </w:tcPr>
          <w:p w:rsidR="00E53AB2" w:rsidRDefault="00646BB0">
            <w:pPr>
              <w:keepNext/>
              <w:jc w:val="center"/>
              <w:rPr>
                <w:color w:val="000000"/>
                <w:sz w:val="20"/>
              </w:rPr>
            </w:pPr>
            <w:r w:rsidRPr="00646BB0">
              <w:rPr>
                <w:color w:val="000000"/>
                <w:sz w:val="20"/>
              </w:rPr>
              <w:t>3</w:t>
            </w:r>
          </w:p>
        </w:tc>
        <w:tc>
          <w:tcPr>
            <w:tcW w:w="915" w:type="dxa"/>
            <w:tcBorders>
              <w:top w:val="nil"/>
              <w:left w:val="nil"/>
              <w:bottom w:val="single" w:sz="4" w:space="0" w:color="auto"/>
              <w:right w:val="double" w:sz="6" w:space="0" w:color="auto"/>
            </w:tcBorders>
            <w:shd w:val="clear" w:color="auto" w:fill="auto"/>
            <w:vAlign w:val="center"/>
            <w:hideMark/>
          </w:tcPr>
          <w:p w:rsidR="00E53AB2" w:rsidRDefault="00646BB0">
            <w:pPr>
              <w:keepNext/>
              <w:jc w:val="center"/>
              <w:rPr>
                <w:color w:val="000000"/>
                <w:sz w:val="20"/>
              </w:rPr>
            </w:pPr>
            <w:r w:rsidRPr="00646BB0">
              <w:rPr>
                <w:color w:val="000000"/>
                <w:sz w:val="20"/>
              </w:rPr>
              <w:t>59</w:t>
            </w:r>
          </w:p>
        </w:tc>
      </w:tr>
      <w:tr w:rsidR="00717D58" w:rsidRPr="00EA70FD" w:rsidTr="00F21A45">
        <w:trPr>
          <w:jc w:val="center"/>
        </w:trPr>
        <w:tc>
          <w:tcPr>
            <w:tcW w:w="6135" w:type="dxa"/>
            <w:tcBorders>
              <w:top w:val="nil"/>
              <w:left w:val="double" w:sz="6" w:space="0" w:color="auto"/>
              <w:bottom w:val="single" w:sz="4" w:space="0" w:color="auto"/>
              <w:right w:val="single" w:sz="4" w:space="0" w:color="auto"/>
            </w:tcBorders>
            <w:shd w:val="clear" w:color="auto" w:fill="auto"/>
            <w:vAlign w:val="center"/>
            <w:hideMark/>
          </w:tcPr>
          <w:p w:rsidR="00E53AB2" w:rsidRDefault="00646BB0">
            <w:pPr>
              <w:keepNext/>
              <w:rPr>
                <w:color w:val="000000"/>
                <w:sz w:val="20"/>
              </w:rPr>
            </w:pPr>
            <w:r w:rsidRPr="00646BB0">
              <w:rPr>
                <w:color w:val="000000"/>
                <w:sz w:val="20"/>
              </w:rPr>
              <w:t>Total number of 8(d) studies submitted</w:t>
            </w:r>
          </w:p>
        </w:tc>
        <w:tc>
          <w:tcPr>
            <w:tcW w:w="900" w:type="dxa"/>
            <w:tcBorders>
              <w:top w:val="nil"/>
              <w:left w:val="nil"/>
              <w:bottom w:val="single" w:sz="4" w:space="0" w:color="auto"/>
              <w:right w:val="single" w:sz="4" w:space="0" w:color="auto"/>
            </w:tcBorders>
            <w:shd w:val="clear" w:color="auto" w:fill="auto"/>
            <w:vAlign w:val="center"/>
            <w:hideMark/>
          </w:tcPr>
          <w:p w:rsidR="00E53AB2" w:rsidRDefault="00646BB0">
            <w:pPr>
              <w:keepNext/>
              <w:jc w:val="center"/>
              <w:rPr>
                <w:color w:val="000000"/>
                <w:sz w:val="20"/>
              </w:rPr>
            </w:pPr>
            <w:r w:rsidRPr="00646BB0">
              <w:rPr>
                <w:color w:val="000000"/>
                <w:sz w:val="20"/>
              </w:rPr>
              <w:t>14</w:t>
            </w:r>
          </w:p>
        </w:tc>
        <w:tc>
          <w:tcPr>
            <w:tcW w:w="915" w:type="dxa"/>
            <w:tcBorders>
              <w:top w:val="nil"/>
              <w:left w:val="nil"/>
              <w:bottom w:val="single" w:sz="4" w:space="0" w:color="auto"/>
              <w:right w:val="double" w:sz="6" w:space="0" w:color="auto"/>
            </w:tcBorders>
            <w:shd w:val="clear" w:color="auto" w:fill="auto"/>
            <w:vAlign w:val="center"/>
            <w:hideMark/>
          </w:tcPr>
          <w:p w:rsidR="00E53AB2" w:rsidRDefault="00646BB0">
            <w:pPr>
              <w:keepNext/>
              <w:jc w:val="center"/>
              <w:rPr>
                <w:color w:val="000000"/>
                <w:sz w:val="20"/>
              </w:rPr>
            </w:pPr>
            <w:r w:rsidRPr="00646BB0">
              <w:rPr>
                <w:color w:val="000000"/>
                <w:sz w:val="20"/>
              </w:rPr>
              <w:t>527</w:t>
            </w:r>
          </w:p>
        </w:tc>
      </w:tr>
      <w:tr w:rsidR="00717D58" w:rsidRPr="00EA70FD" w:rsidTr="00F21A45">
        <w:trPr>
          <w:jc w:val="center"/>
        </w:trPr>
        <w:tc>
          <w:tcPr>
            <w:tcW w:w="6135" w:type="dxa"/>
            <w:tcBorders>
              <w:top w:val="nil"/>
              <w:left w:val="double" w:sz="6" w:space="0" w:color="auto"/>
              <w:bottom w:val="single" w:sz="4" w:space="0" w:color="auto"/>
              <w:right w:val="single" w:sz="4" w:space="0" w:color="auto"/>
            </w:tcBorders>
            <w:shd w:val="clear" w:color="auto" w:fill="auto"/>
            <w:vAlign w:val="center"/>
            <w:hideMark/>
          </w:tcPr>
          <w:p w:rsidR="00E53AB2" w:rsidRDefault="00646BB0">
            <w:pPr>
              <w:keepNext/>
              <w:rPr>
                <w:color w:val="000000"/>
                <w:sz w:val="20"/>
              </w:rPr>
            </w:pPr>
            <w:r w:rsidRPr="00646BB0">
              <w:rPr>
                <w:color w:val="000000"/>
                <w:sz w:val="20"/>
              </w:rPr>
              <w:t>Average number of studies submitted per company</w:t>
            </w:r>
          </w:p>
        </w:tc>
        <w:tc>
          <w:tcPr>
            <w:tcW w:w="900" w:type="dxa"/>
            <w:tcBorders>
              <w:top w:val="nil"/>
              <w:left w:val="nil"/>
              <w:bottom w:val="single" w:sz="4" w:space="0" w:color="auto"/>
              <w:right w:val="single" w:sz="4" w:space="0" w:color="auto"/>
            </w:tcBorders>
            <w:shd w:val="clear" w:color="auto" w:fill="auto"/>
            <w:vAlign w:val="center"/>
            <w:hideMark/>
          </w:tcPr>
          <w:p w:rsidR="00E53AB2" w:rsidRDefault="00646BB0">
            <w:pPr>
              <w:keepNext/>
              <w:jc w:val="center"/>
              <w:rPr>
                <w:color w:val="000000"/>
                <w:sz w:val="20"/>
              </w:rPr>
            </w:pPr>
            <w:r w:rsidRPr="00646BB0">
              <w:rPr>
                <w:color w:val="000000"/>
                <w:sz w:val="20"/>
              </w:rPr>
              <w:t>5</w:t>
            </w:r>
          </w:p>
        </w:tc>
        <w:tc>
          <w:tcPr>
            <w:tcW w:w="915" w:type="dxa"/>
            <w:tcBorders>
              <w:top w:val="nil"/>
              <w:left w:val="nil"/>
              <w:bottom w:val="single" w:sz="4" w:space="0" w:color="auto"/>
              <w:right w:val="double" w:sz="6" w:space="0" w:color="auto"/>
            </w:tcBorders>
            <w:shd w:val="clear" w:color="auto" w:fill="auto"/>
            <w:vAlign w:val="center"/>
            <w:hideMark/>
          </w:tcPr>
          <w:p w:rsidR="00E53AB2" w:rsidRDefault="00646BB0">
            <w:pPr>
              <w:keepNext/>
              <w:jc w:val="center"/>
              <w:rPr>
                <w:color w:val="000000"/>
                <w:sz w:val="20"/>
              </w:rPr>
            </w:pPr>
            <w:r w:rsidRPr="00646BB0">
              <w:rPr>
                <w:color w:val="000000"/>
                <w:sz w:val="20"/>
              </w:rPr>
              <w:t>9</w:t>
            </w:r>
          </w:p>
        </w:tc>
      </w:tr>
      <w:tr w:rsidR="00717D58" w:rsidRPr="00EA70FD" w:rsidTr="00F21A45">
        <w:trPr>
          <w:jc w:val="center"/>
        </w:trPr>
        <w:tc>
          <w:tcPr>
            <w:tcW w:w="6135" w:type="dxa"/>
            <w:tcBorders>
              <w:top w:val="nil"/>
              <w:left w:val="double" w:sz="6" w:space="0" w:color="auto"/>
              <w:bottom w:val="single" w:sz="4" w:space="0" w:color="auto"/>
              <w:right w:val="single" w:sz="4" w:space="0" w:color="auto"/>
            </w:tcBorders>
            <w:shd w:val="clear" w:color="auto" w:fill="auto"/>
            <w:vAlign w:val="center"/>
            <w:hideMark/>
          </w:tcPr>
          <w:p w:rsidR="00E53AB2" w:rsidRDefault="00646BB0">
            <w:pPr>
              <w:keepNext/>
              <w:rPr>
                <w:color w:val="000000"/>
                <w:sz w:val="20"/>
              </w:rPr>
            </w:pPr>
            <w:r w:rsidRPr="00646BB0">
              <w:rPr>
                <w:color w:val="000000"/>
                <w:sz w:val="20"/>
              </w:rPr>
              <w:t>Average page length of studies submitted</w:t>
            </w:r>
          </w:p>
        </w:tc>
        <w:tc>
          <w:tcPr>
            <w:tcW w:w="900" w:type="dxa"/>
            <w:tcBorders>
              <w:top w:val="nil"/>
              <w:left w:val="nil"/>
              <w:bottom w:val="single" w:sz="4" w:space="0" w:color="auto"/>
              <w:right w:val="single" w:sz="4" w:space="0" w:color="auto"/>
            </w:tcBorders>
            <w:shd w:val="clear" w:color="auto" w:fill="auto"/>
            <w:vAlign w:val="center"/>
            <w:hideMark/>
          </w:tcPr>
          <w:p w:rsidR="00E53AB2" w:rsidRDefault="00646BB0">
            <w:pPr>
              <w:keepNext/>
              <w:jc w:val="center"/>
              <w:rPr>
                <w:color w:val="000000"/>
                <w:sz w:val="20"/>
              </w:rPr>
            </w:pPr>
            <w:r w:rsidRPr="00646BB0">
              <w:rPr>
                <w:color w:val="000000"/>
                <w:sz w:val="20"/>
              </w:rPr>
              <w:t>67</w:t>
            </w:r>
          </w:p>
        </w:tc>
        <w:tc>
          <w:tcPr>
            <w:tcW w:w="915" w:type="dxa"/>
            <w:tcBorders>
              <w:top w:val="nil"/>
              <w:left w:val="nil"/>
              <w:bottom w:val="single" w:sz="4" w:space="0" w:color="auto"/>
              <w:right w:val="double" w:sz="6" w:space="0" w:color="auto"/>
            </w:tcBorders>
            <w:shd w:val="clear" w:color="auto" w:fill="auto"/>
            <w:vAlign w:val="center"/>
            <w:hideMark/>
          </w:tcPr>
          <w:p w:rsidR="00E53AB2" w:rsidRDefault="00646BB0">
            <w:pPr>
              <w:keepNext/>
              <w:jc w:val="center"/>
              <w:rPr>
                <w:color w:val="000000"/>
                <w:sz w:val="20"/>
              </w:rPr>
            </w:pPr>
            <w:r w:rsidRPr="00646BB0">
              <w:rPr>
                <w:color w:val="000000"/>
                <w:sz w:val="20"/>
              </w:rPr>
              <w:t>20</w:t>
            </w:r>
          </w:p>
        </w:tc>
      </w:tr>
      <w:tr w:rsidR="00717D58" w:rsidRPr="00EA70FD" w:rsidTr="00F21A45">
        <w:trPr>
          <w:jc w:val="center"/>
        </w:trPr>
        <w:tc>
          <w:tcPr>
            <w:tcW w:w="6135" w:type="dxa"/>
            <w:tcBorders>
              <w:top w:val="nil"/>
              <w:left w:val="double" w:sz="6" w:space="0" w:color="auto"/>
              <w:bottom w:val="double" w:sz="6" w:space="0" w:color="auto"/>
              <w:right w:val="single" w:sz="4" w:space="0" w:color="auto"/>
            </w:tcBorders>
            <w:shd w:val="clear" w:color="auto" w:fill="auto"/>
            <w:vAlign w:val="center"/>
            <w:hideMark/>
          </w:tcPr>
          <w:p w:rsidR="00E53AB2" w:rsidRDefault="00646BB0">
            <w:pPr>
              <w:keepNext/>
              <w:rPr>
                <w:color w:val="000000"/>
                <w:sz w:val="20"/>
              </w:rPr>
            </w:pPr>
            <w:r w:rsidRPr="00646BB0">
              <w:rPr>
                <w:color w:val="000000"/>
                <w:sz w:val="20"/>
              </w:rPr>
              <w:t>Median page length of studies submitted</w:t>
            </w:r>
          </w:p>
        </w:tc>
        <w:tc>
          <w:tcPr>
            <w:tcW w:w="900" w:type="dxa"/>
            <w:tcBorders>
              <w:top w:val="nil"/>
              <w:left w:val="nil"/>
              <w:bottom w:val="double" w:sz="6" w:space="0" w:color="auto"/>
              <w:right w:val="single" w:sz="4" w:space="0" w:color="auto"/>
            </w:tcBorders>
            <w:shd w:val="clear" w:color="auto" w:fill="auto"/>
            <w:vAlign w:val="center"/>
            <w:hideMark/>
          </w:tcPr>
          <w:p w:rsidR="00E53AB2" w:rsidRDefault="00646BB0">
            <w:pPr>
              <w:keepNext/>
              <w:jc w:val="center"/>
              <w:rPr>
                <w:color w:val="000000"/>
                <w:sz w:val="20"/>
              </w:rPr>
            </w:pPr>
            <w:r w:rsidRPr="00646BB0">
              <w:rPr>
                <w:color w:val="000000"/>
                <w:sz w:val="20"/>
              </w:rPr>
              <w:t>20</w:t>
            </w:r>
          </w:p>
        </w:tc>
        <w:tc>
          <w:tcPr>
            <w:tcW w:w="915" w:type="dxa"/>
            <w:tcBorders>
              <w:top w:val="nil"/>
              <w:left w:val="nil"/>
              <w:bottom w:val="double" w:sz="6" w:space="0" w:color="auto"/>
              <w:right w:val="double" w:sz="6" w:space="0" w:color="auto"/>
            </w:tcBorders>
            <w:shd w:val="clear" w:color="auto" w:fill="auto"/>
            <w:vAlign w:val="center"/>
            <w:hideMark/>
          </w:tcPr>
          <w:p w:rsidR="00E53AB2" w:rsidRDefault="00646BB0">
            <w:pPr>
              <w:keepNext/>
              <w:jc w:val="center"/>
              <w:rPr>
                <w:color w:val="000000"/>
                <w:sz w:val="20"/>
              </w:rPr>
            </w:pPr>
            <w:r w:rsidRPr="00646BB0">
              <w:rPr>
                <w:color w:val="000000"/>
                <w:sz w:val="20"/>
              </w:rPr>
              <w:t>14</w:t>
            </w:r>
          </w:p>
        </w:tc>
      </w:tr>
    </w:tbl>
    <w:p w:rsidR="00E53AB2" w:rsidRDefault="00E53AB2">
      <w:pPr>
        <w:widowControl w:val="0"/>
        <w:rPr>
          <w:color w:val="000000"/>
        </w:rPr>
      </w:pPr>
    </w:p>
    <w:p w:rsidR="00E53AB2" w:rsidRDefault="00717D58">
      <w:pPr>
        <w:spacing w:after="200"/>
        <w:ind w:firstLine="720"/>
      </w:pPr>
      <w:r>
        <w:rPr>
          <w:color w:val="000000"/>
        </w:rPr>
        <w:t xml:space="preserve">Moreover, to characterize the reporting implications per chemical addition associated with section 8(d) reporting (including information from the </w:t>
      </w:r>
      <w:r>
        <w:t>10-year period prior to the 2006 TSCA section 8(d) rule) this analysis uses TSCA IUR data from the 1998, 2002, and 2006 reporting cycles.</w:t>
      </w:r>
      <w:r>
        <w:rPr>
          <w:rStyle w:val="FootnoteReference"/>
          <w:color w:val="000000"/>
        </w:rPr>
        <w:footnoteReference w:id="1"/>
      </w:r>
      <w:r>
        <w:t xml:space="preserve"> Table 3 summarizes the models and bases, as applied to the 2012-15 ICR renewal.</w:t>
      </w:r>
      <w:r w:rsidR="00650C2D" w:rsidDel="00650C2D">
        <w:t xml:space="preserve"> </w:t>
      </w:r>
    </w:p>
    <w:p w:rsidR="00E53AB2" w:rsidRDefault="00650C2D">
      <w:pPr>
        <w:keepNext/>
        <w:spacing w:after="200"/>
      </w:pPr>
      <w:r w:rsidRPr="00650C2D">
        <w:rPr>
          <w:b/>
          <w:bCs/>
          <w:color w:val="000000"/>
          <w:szCs w:val="24"/>
        </w:rPr>
        <w:lastRenderedPageBreak/>
        <w:t>Table 3:  Reporting Implications per Chemical Added</w:t>
      </w:r>
      <w:r w:rsidDel="00222ACB">
        <w:t xml:space="preserve"> </w:t>
      </w:r>
    </w:p>
    <w:tbl>
      <w:tblPr>
        <w:tblW w:w="9810" w:type="dxa"/>
        <w:tblInd w:w="108" w:type="dxa"/>
        <w:tblLook w:val="04A0"/>
      </w:tblPr>
      <w:tblGrid>
        <w:gridCol w:w="1859"/>
        <w:gridCol w:w="3271"/>
        <w:gridCol w:w="2700"/>
        <w:gridCol w:w="990"/>
        <w:gridCol w:w="990"/>
      </w:tblGrid>
      <w:tr w:rsidR="00717D58" w:rsidRPr="00222ACB" w:rsidTr="00F21A45">
        <w:tc>
          <w:tcPr>
            <w:tcW w:w="1859"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E53AB2" w:rsidRDefault="00646BB0">
            <w:pPr>
              <w:keepNext/>
              <w:jc w:val="center"/>
              <w:rPr>
                <w:b/>
                <w:bCs/>
                <w:color w:val="000000"/>
                <w:sz w:val="20"/>
              </w:rPr>
            </w:pPr>
            <w:r w:rsidRPr="00646BB0">
              <w:rPr>
                <w:b/>
                <w:bCs/>
                <w:color w:val="000000"/>
                <w:sz w:val="20"/>
              </w:rPr>
              <w:t>Generic Model</w:t>
            </w:r>
          </w:p>
        </w:tc>
        <w:tc>
          <w:tcPr>
            <w:tcW w:w="3271" w:type="dxa"/>
            <w:tcBorders>
              <w:top w:val="double" w:sz="6" w:space="0" w:color="auto"/>
              <w:left w:val="nil"/>
              <w:bottom w:val="double" w:sz="6" w:space="0" w:color="auto"/>
              <w:right w:val="double" w:sz="6" w:space="0" w:color="auto"/>
            </w:tcBorders>
            <w:shd w:val="clear" w:color="auto" w:fill="auto"/>
            <w:vAlign w:val="center"/>
            <w:hideMark/>
          </w:tcPr>
          <w:p w:rsidR="00E53AB2" w:rsidRDefault="00646BB0">
            <w:pPr>
              <w:keepNext/>
              <w:jc w:val="center"/>
              <w:rPr>
                <w:b/>
                <w:bCs/>
                <w:color w:val="000000"/>
                <w:sz w:val="20"/>
              </w:rPr>
            </w:pPr>
            <w:r w:rsidRPr="00646BB0">
              <w:rPr>
                <w:b/>
                <w:bCs/>
                <w:color w:val="000000"/>
                <w:sz w:val="20"/>
              </w:rPr>
              <w:t>ICR</w:t>
            </w:r>
          </w:p>
          <w:p w:rsidR="00E53AB2" w:rsidRDefault="00646BB0">
            <w:pPr>
              <w:keepNext/>
              <w:jc w:val="center"/>
              <w:rPr>
                <w:b/>
                <w:bCs/>
                <w:color w:val="000000"/>
                <w:sz w:val="20"/>
              </w:rPr>
            </w:pPr>
            <w:r w:rsidRPr="00646BB0">
              <w:rPr>
                <w:b/>
                <w:bCs/>
                <w:color w:val="000000"/>
                <w:sz w:val="20"/>
              </w:rPr>
              <w:t>2009-12</w:t>
            </w:r>
          </w:p>
          <w:p w:rsidR="00E53AB2" w:rsidRDefault="00646BB0">
            <w:pPr>
              <w:keepNext/>
              <w:jc w:val="center"/>
              <w:rPr>
                <w:b/>
                <w:bCs/>
                <w:color w:val="000000"/>
                <w:sz w:val="20"/>
              </w:rPr>
            </w:pPr>
            <w:r w:rsidRPr="00646BB0">
              <w:rPr>
                <w:b/>
                <w:bCs/>
                <w:color w:val="000000"/>
                <w:sz w:val="20"/>
              </w:rPr>
              <w:t>Model Sources*</w:t>
            </w:r>
          </w:p>
        </w:tc>
        <w:tc>
          <w:tcPr>
            <w:tcW w:w="2700" w:type="dxa"/>
            <w:tcBorders>
              <w:top w:val="double" w:sz="6" w:space="0" w:color="auto"/>
              <w:left w:val="nil"/>
              <w:bottom w:val="double" w:sz="6" w:space="0" w:color="auto"/>
              <w:right w:val="double" w:sz="6" w:space="0" w:color="auto"/>
            </w:tcBorders>
            <w:shd w:val="clear" w:color="auto" w:fill="auto"/>
            <w:vAlign w:val="center"/>
            <w:hideMark/>
          </w:tcPr>
          <w:p w:rsidR="00E53AB2" w:rsidRDefault="00646BB0">
            <w:pPr>
              <w:keepNext/>
              <w:jc w:val="center"/>
              <w:rPr>
                <w:b/>
                <w:bCs/>
                <w:color w:val="000000"/>
                <w:sz w:val="20"/>
              </w:rPr>
            </w:pPr>
            <w:r w:rsidRPr="00646BB0">
              <w:rPr>
                <w:b/>
                <w:bCs/>
                <w:color w:val="000000"/>
                <w:sz w:val="20"/>
              </w:rPr>
              <w:t>ICR</w:t>
            </w:r>
          </w:p>
          <w:p w:rsidR="00E53AB2" w:rsidRDefault="00646BB0">
            <w:pPr>
              <w:keepNext/>
              <w:jc w:val="center"/>
              <w:rPr>
                <w:b/>
                <w:bCs/>
                <w:color w:val="000000"/>
                <w:sz w:val="20"/>
              </w:rPr>
            </w:pPr>
            <w:r w:rsidRPr="00646BB0">
              <w:rPr>
                <w:b/>
                <w:bCs/>
                <w:color w:val="000000"/>
                <w:sz w:val="20"/>
              </w:rPr>
              <w:t>2009-2012</w:t>
            </w:r>
          </w:p>
          <w:p w:rsidR="00E53AB2" w:rsidRDefault="00646BB0">
            <w:pPr>
              <w:keepNext/>
              <w:jc w:val="center"/>
              <w:rPr>
                <w:b/>
                <w:bCs/>
                <w:color w:val="000000"/>
                <w:sz w:val="20"/>
              </w:rPr>
            </w:pPr>
            <w:r w:rsidRPr="00646BB0">
              <w:rPr>
                <w:b/>
                <w:bCs/>
                <w:color w:val="000000"/>
                <w:sz w:val="20"/>
              </w:rPr>
              <w:t>Detailed Model</w:t>
            </w:r>
          </w:p>
        </w:tc>
        <w:tc>
          <w:tcPr>
            <w:tcW w:w="990" w:type="dxa"/>
            <w:tcBorders>
              <w:top w:val="double" w:sz="6" w:space="0" w:color="auto"/>
              <w:left w:val="nil"/>
              <w:bottom w:val="double" w:sz="6" w:space="0" w:color="auto"/>
              <w:right w:val="double" w:sz="6" w:space="0" w:color="auto"/>
            </w:tcBorders>
            <w:shd w:val="clear" w:color="auto" w:fill="auto"/>
            <w:vAlign w:val="center"/>
            <w:hideMark/>
          </w:tcPr>
          <w:p w:rsidR="00E53AB2" w:rsidRDefault="00646BB0">
            <w:pPr>
              <w:keepNext/>
              <w:jc w:val="center"/>
              <w:rPr>
                <w:b/>
                <w:bCs/>
                <w:color w:val="000000"/>
                <w:sz w:val="20"/>
              </w:rPr>
            </w:pPr>
            <w:r w:rsidRPr="00646BB0">
              <w:rPr>
                <w:b/>
                <w:bCs/>
                <w:color w:val="000000"/>
                <w:sz w:val="20"/>
              </w:rPr>
              <w:t>ICR 2012-15</w:t>
            </w:r>
          </w:p>
          <w:p w:rsidR="00E53AB2" w:rsidRDefault="00646BB0">
            <w:pPr>
              <w:keepNext/>
              <w:jc w:val="center"/>
              <w:rPr>
                <w:b/>
                <w:bCs/>
                <w:color w:val="000000"/>
                <w:sz w:val="20"/>
              </w:rPr>
            </w:pPr>
            <w:r w:rsidRPr="00646BB0">
              <w:rPr>
                <w:b/>
                <w:bCs/>
                <w:color w:val="000000"/>
                <w:sz w:val="20"/>
              </w:rPr>
              <w:t>Model Sources</w:t>
            </w:r>
          </w:p>
        </w:tc>
        <w:tc>
          <w:tcPr>
            <w:tcW w:w="990" w:type="dxa"/>
            <w:tcBorders>
              <w:top w:val="double" w:sz="6" w:space="0" w:color="auto"/>
              <w:left w:val="nil"/>
              <w:bottom w:val="double" w:sz="6" w:space="0" w:color="auto"/>
              <w:right w:val="double" w:sz="6" w:space="0" w:color="auto"/>
            </w:tcBorders>
            <w:shd w:val="clear" w:color="auto" w:fill="auto"/>
            <w:vAlign w:val="center"/>
            <w:hideMark/>
          </w:tcPr>
          <w:p w:rsidR="00E53AB2" w:rsidRDefault="00646BB0">
            <w:pPr>
              <w:keepNext/>
              <w:jc w:val="center"/>
              <w:rPr>
                <w:b/>
                <w:bCs/>
                <w:color w:val="000000"/>
                <w:sz w:val="20"/>
              </w:rPr>
            </w:pPr>
            <w:r w:rsidRPr="00646BB0">
              <w:rPr>
                <w:b/>
                <w:bCs/>
                <w:color w:val="000000"/>
                <w:sz w:val="20"/>
              </w:rPr>
              <w:t>BASIS</w:t>
            </w:r>
          </w:p>
          <w:p w:rsidR="00E53AB2" w:rsidRDefault="00646BB0">
            <w:pPr>
              <w:keepNext/>
              <w:jc w:val="center"/>
              <w:rPr>
                <w:b/>
                <w:bCs/>
                <w:color w:val="000000"/>
                <w:sz w:val="20"/>
              </w:rPr>
            </w:pPr>
            <w:r w:rsidRPr="00646BB0">
              <w:rPr>
                <w:b/>
                <w:bCs/>
                <w:color w:val="000000"/>
                <w:sz w:val="20"/>
              </w:rPr>
              <w:t>ICR</w:t>
            </w:r>
          </w:p>
          <w:p w:rsidR="00E53AB2" w:rsidRDefault="00646BB0">
            <w:pPr>
              <w:keepNext/>
              <w:jc w:val="center"/>
              <w:rPr>
                <w:b/>
                <w:bCs/>
                <w:color w:val="000000"/>
                <w:sz w:val="20"/>
              </w:rPr>
            </w:pPr>
            <w:r w:rsidRPr="00646BB0">
              <w:rPr>
                <w:b/>
                <w:bCs/>
                <w:color w:val="000000"/>
                <w:sz w:val="20"/>
              </w:rPr>
              <w:t>2012-15</w:t>
            </w:r>
          </w:p>
        </w:tc>
      </w:tr>
      <w:tr w:rsidR="00717D58" w:rsidRPr="00222ACB" w:rsidTr="00F21A45">
        <w:tc>
          <w:tcPr>
            <w:tcW w:w="1859" w:type="dxa"/>
            <w:tcBorders>
              <w:top w:val="nil"/>
              <w:left w:val="double" w:sz="6" w:space="0" w:color="auto"/>
              <w:bottom w:val="single" w:sz="4" w:space="0" w:color="auto"/>
              <w:right w:val="single" w:sz="4" w:space="0" w:color="auto"/>
            </w:tcBorders>
            <w:shd w:val="clear" w:color="auto" w:fill="auto"/>
            <w:vAlign w:val="center"/>
            <w:hideMark/>
          </w:tcPr>
          <w:p w:rsidR="00E53AB2" w:rsidRDefault="00717D58">
            <w:pPr>
              <w:keepNext/>
              <w:rPr>
                <w:color w:val="000000"/>
                <w:sz w:val="20"/>
              </w:rPr>
            </w:pPr>
            <w:r w:rsidRPr="00222ACB">
              <w:rPr>
                <w:color w:val="000000"/>
                <w:sz w:val="20"/>
              </w:rPr>
              <w:t>No. of firms potentially impacted per chemical</w:t>
            </w:r>
          </w:p>
        </w:tc>
        <w:tc>
          <w:tcPr>
            <w:tcW w:w="3271" w:type="dxa"/>
            <w:tcBorders>
              <w:top w:val="nil"/>
              <w:left w:val="nil"/>
              <w:bottom w:val="single" w:sz="4" w:space="0" w:color="auto"/>
              <w:right w:val="single" w:sz="4" w:space="0" w:color="auto"/>
            </w:tcBorders>
            <w:shd w:val="clear" w:color="auto" w:fill="auto"/>
            <w:vAlign w:val="center"/>
            <w:hideMark/>
          </w:tcPr>
          <w:p w:rsidR="00E53AB2" w:rsidRDefault="0028797C">
            <w:pPr>
              <w:keepNext/>
              <w:rPr>
                <w:color w:val="000000"/>
                <w:sz w:val="20"/>
              </w:rPr>
            </w:pPr>
            <w:r>
              <w:rPr>
                <w:color w:val="000000"/>
                <w:sz w:val="20"/>
              </w:rPr>
              <w:t>TSCA IUR data, all manufacturers 1998, 2002, 2006: 344 firms associated with 208 chemicals</w:t>
            </w:r>
          </w:p>
        </w:tc>
        <w:tc>
          <w:tcPr>
            <w:tcW w:w="2700" w:type="dxa"/>
            <w:tcBorders>
              <w:top w:val="nil"/>
              <w:left w:val="nil"/>
              <w:bottom w:val="single" w:sz="4" w:space="0" w:color="auto"/>
              <w:right w:val="single" w:sz="4" w:space="0" w:color="auto"/>
            </w:tcBorders>
            <w:shd w:val="clear" w:color="auto" w:fill="auto"/>
            <w:noWrap/>
            <w:vAlign w:val="bottom"/>
            <w:hideMark/>
          </w:tcPr>
          <w:p w:rsidR="00E53AB2" w:rsidRDefault="00A2193C">
            <w:pPr>
              <w:keepNext/>
              <w:jc w:val="center"/>
              <w:rPr>
                <w:color w:val="000000"/>
                <w:sz w:val="20"/>
              </w:rPr>
            </w:pPr>
            <w:r>
              <w:rPr>
                <w:noProof/>
                <w:color w:val="000000"/>
                <w:sz w:val="20"/>
              </w:rPr>
              <w:drawing>
                <wp:anchor distT="0" distB="0" distL="114300" distR="114300" simplePos="0" relativeHeight="251660288" behindDoc="0" locked="0" layoutInCell="1" allowOverlap="1">
                  <wp:simplePos x="0" y="0"/>
                  <wp:positionH relativeFrom="column">
                    <wp:posOffset>321945</wp:posOffset>
                  </wp:positionH>
                  <wp:positionV relativeFrom="paragraph">
                    <wp:posOffset>-210820</wp:posOffset>
                  </wp:positionV>
                  <wp:extent cx="1143000" cy="295275"/>
                  <wp:effectExtent l="19050" t="0" r="0" b="0"/>
                  <wp:wrapNone/>
                  <wp:docPr id="2" name="Picture 4"/>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 val="0"/>
                              </a:ext>
                            </a:extLst>
                          </a:blip>
                          <a:srcRect/>
                          <a:stretch>
                            <a:fillRect/>
                          </a:stretch>
                        </pic:blipFill>
                        <pic:spPr bwMode="auto">
                          <a:xfrm>
                            <a:off x="0" y="0"/>
                            <a:ext cx="1143000" cy="295275"/>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
                                <a:solidFill>
                                  <a:srgbClr val="FFFFFF"/>
                                </a:solidFill>
                              </a14:hiddenFill>
                            </a:ext>
                          </a:extLst>
                        </pic:spPr>
                      </pic:pic>
                    </a:graphicData>
                  </a:graphic>
                </wp:anchor>
              </w:drawing>
            </w:r>
          </w:p>
        </w:tc>
        <w:tc>
          <w:tcPr>
            <w:tcW w:w="990" w:type="dxa"/>
            <w:tcBorders>
              <w:top w:val="nil"/>
              <w:left w:val="nil"/>
              <w:bottom w:val="single" w:sz="4" w:space="0" w:color="auto"/>
              <w:right w:val="single" w:sz="4" w:space="0" w:color="auto"/>
            </w:tcBorders>
            <w:shd w:val="clear" w:color="auto" w:fill="auto"/>
            <w:noWrap/>
            <w:vAlign w:val="center"/>
            <w:hideMark/>
          </w:tcPr>
          <w:p w:rsidR="00E53AB2" w:rsidRDefault="0028797C">
            <w:pPr>
              <w:keepNext/>
              <w:jc w:val="center"/>
              <w:rPr>
                <w:color w:val="000000"/>
                <w:sz w:val="20"/>
              </w:rPr>
            </w:pPr>
            <w:r>
              <w:rPr>
                <w:color w:val="000000"/>
                <w:sz w:val="20"/>
              </w:rPr>
              <w:t>same</w:t>
            </w:r>
          </w:p>
        </w:tc>
        <w:tc>
          <w:tcPr>
            <w:tcW w:w="990" w:type="dxa"/>
            <w:tcBorders>
              <w:top w:val="nil"/>
              <w:left w:val="nil"/>
              <w:bottom w:val="single" w:sz="4" w:space="0" w:color="auto"/>
              <w:right w:val="double" w:sz="6" w:space="0" w:color="auto"/>
            </w:tcBorders>
            <w:shd w:val="clear" w:color="auto" w:fill="auto"/>
            <w:noWrap/>
            <w:vAlign w:val="center"/>
            <w:hideMark/>
          </w:tcPr>
          <w:p w:rsidR="00E53AB2" w:rsidRDefault="0028797C">
            <w:pPr>
              <w:keepNext/>
              <w:jc w:val="center"/>
              <w:rPr>
                <w:color w:val="000000"/>
                <w:sz w:val="20"/>
              </w:rPr>
            </w:pPr>
            <w:r>
              <w:rPr>
                <w:color w:val="000000"/>
                <w:sz w:val="20"/>
              </w:rPr>
              <w:t>1.7</w:t>
            </w:r>
          </w:p>
        </w:tc>
      </w:tr>
      <w:tr w:rsidR="00717D58" w:rsidRPr="00222ACB" w:rsidTr="00F21A45">
        <w:tc>
          <w:tcPr>
            <w:tcW w:w="1859" w:type="dxa"/>
            <w:tcBorders>
              <w:top w:val="nil"/>
              <w:left w:val="double" w:sz="6" w:space="0" w:color="auto"/>
              <w:bottom w:val="single" w:sz="4" w:space="0" w:color="auto"/>
              <w:right w:val="single" w:sz="4" w:space="0" w:color="auto"/>
            </w:tcBorders>
            <w:shd w:val="clear" w:color="auto" w:fill="auto"/>
            <w:noWrap/>
            <w:vAlign w:val="center"/>
            <w:hideMark/>
          </w:tcPr>
          <w:p w:rsidR="00E53AB2" w:rsidRDefault="00717D58">
            <w:pPr>
              <w:keepNext/>
              <w:rPr>
                <w:color w:val="000000"/>
                <w:sz w:val="20"/>
              </w:rPr>
            </w:pPr>
            <w:r w:rsidRPr="00222ACB">
              <w:rPr>
                <w:color w:val="000000"/>
                <w:sz w:val="20"/>
              </w:rPr>
              <w:t>Sites per firm</w:t>
            </w:r>
          </w:p>
        </w:tc>
        <w:tc>
          <w:tcPr>
            <w:tcW w:w="3271" w:type="dxa"/>
            <w:tcBorders>
              <w:top w:val="nil"/>
              <w:left w:val="nil"/>
              <w:bottom w:val="single" w:sz="4" w:space="0" w:color="auto"/>
              <w:right w:val="single" w:sz="4" w:space="0" w:color="auto"/>
            </w:tcBorders>
            <w:shd w:val="clear" w:color="auto" w:fill="auto"/>
            <w:vAlign w:val="center"/>
            <w:hideMark/>
          </w:tcPr>
          <w:p w:rsidR="00E53AB2" w:rsidRDefault="0028797C">
            <w:pPr>
              <w:keepNext/>
              <w:rPr>
                <w:color w:val="000000"/>
                <w:sz w:val="20"/>
              </w:rPr>
            </w:pPr>
            <w:r>
              <w:rPr>
                <w:color w:val="000000"/>
                <w:sz w:val="20"/>
              </w:rPr>
              <w:t>TSCA IUR data, all manufacturers 1998, 2002, 2006: 344 firms associated with 208 chemicals; Sites per firm</w:t>
            </w:r>
          </w:p>
        </w:tc>
        <w:tc>
          <w:tcPr>
            <w:tcW w:w="2700" w:type="dxa"/>
            <w:tcBorders>
              <w:top w:val="nil"/>
              <w:left w:val="nil"/>
              <w:bottom w:val="single" w:sz="4" w:space="0" w:color="auto"/>
              <w:right w:val="single" w:sz="4" w:space="0" w:color="auto"/>
            </w:tcBorders>
            <w:shd w:val="clear" w:color="auto" w:fill="auto"/>
            <w:noWrap/>
            <w:vAlign w:val="bottom"/>
            <w:hideMark/>
          </w:tcPr>
          <w:p w:rsidR="00E53AB2" w:rsidRDefault="00A2193C">
            <w:pPr>
              <w:keepNext/>
              <w:rPr>
                <w:rFonts w:ascii="Calibri" w:hAnsi="Calibri" w:cs="Calibri"/>
                <w:color w:val="000000"/>
                <w:sz w:val="20"/>
              </w:rPr>
            </w:pPr>
            <w:r>
              <w:rPr>
                <w:rFonts w:ascii="Calibri" w:hAnsi="Calibri" w:cs="Calibri"/>
                <w:noProof/>
                <w:color w:val="000000"/>
                <w:sz w:val="20"/>
              </w:rPr>
              <w:drawing>
                <wp:anchor distT="0" distB="0" distL="114300" distR="114300" simplePos="0" relativeHeight="251663360" behindDoc="0" locked="0" layoutInCell="1" allowOverlap="1">
                  <wp:simplePos x="0" y="0"/>
                  <wp:positionH relativeFrom="column">
                    <wp:posOffset>541020</wp:posOffset>
                  </wp:positionH>
                  <wp:positionV relativeFrom="paragraph">
                    <wp:posOffset>-290830</wp:posOffset>
                  </wp:positionV>
                  <wp:extent cx="590550" cy="314325"/>
                  <wp:effectExtent l="19050" t="0" r="0" b="0"/>
                  <wp:wrapNone/>
                  <wp:docPr id="5" name="Picture 8"/>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 val="0"/>
                              </a:ext>
                            </a:extLst>
                          </a:blip>
                          <a:srcRect/>
                          <a:stretch>
                            <a:fillRect/>
                          </a:stretch>
                        </pic:blipFill>
                        <pic:spPr bwMode="auto">
                          <a:xfrm>
                            <a:off x="0" y="0"/>
                            <a:ext cx="590550" cy="314325"/>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
                                <a:solidFill>
                                  <a:srgbClr val="FFFFFF"/>
                                </a:solidFill>
                              </a14:hiddenFill>
                            </a:ext>
                          </a:extLst>
                        </pic:spPr>
                      </pic:pic>
                    </a:graphicData>
                  </a:graphic>
                </wp:anchor>
              </w:drawing>
            </w:r>
          </w:p>
        </w:tc>
        <w:tc>
          <w:tcPr>
            <w:tcW w:w="990" w:type="dxa"/>
            <w:tcBorders>
              <w:top w:val="nil"/>
              <w:left w:val="nil"/>
              <w:bottom w:val="single" w:sz="4" w:space="0" w:color="auto"/>
              <w:right w:val="single" w:sz="4" w:space="0" w:color="auto"/>
            </w:tcBorders>
            <w:shd w:val="clear" w:color="auto" w:fill="auto"/>
            <w:noWrap/>
            <w:vAlign w:val="center"/>
            <w:hideMark/>
          </w:tcPr>
          <w:p w:rsidR="00E53AB2" w:rsidRDefault="00717D58">
            <w:pPr>
              <w:keepNext/>
              <w:jc w:val="center"/>
              <w:rPr>
                <w:color w:val="000000"/>
                <w:sz w:val="20"/>
              </w:rPr>
            </w:pPr>
            <w:r w:rsidRPr="00222ACB">
              <w:rPr>
                <w:color w:val="000000"/>
                <w:sz w:val="20"/>
              </w:rPr>
              <w:t>same</w:t>
            </w:r>
          </w:p>
        </w:tc>
        <w:tc>
          <w:tcPr>
            <w:tcW w:w="990" w:type="dxa"/>
            <w:tcBorders>
              <w:top w:val="nil"/>
              <w:left w:val="nil"/>
              <w:bottom w:val="single" w:sz="4" w:space="0" w:color="auto"/>
              <w:right w:val="double" w:sz="6" w:space="0" w:color="auto"/>
            </w:tcBorders>
            <w:shd w:val="clear" w:color="auto" w:fill="auto"/>
            <w:noWrap/>
            <w:vAlign w:val="center"/>
            <w:hideMark/>
          </w:tcPr>
          <w:p w:rsidR="00E53AB2" w:rsidRDefault="0028797C">
            <w:pPr>
              <w:keepNext/>
              <w:jc w:val="center"/>
              <w:rPr>
                <w:color w:val="000000"/>
                <w:sz w:val="20"/>
              </w:rPr>
            </w:pPr>
            <w:r>
              <w:rPr>
                <w:color w:val="000000"/>
                <w:sz w:val="20"/>
              </w:rPr>
              <w:t>1.5</w:t>
            </w:r>
          </w:p>
        </w:tc>
      </w:tr>
      <w:tr w:rsidR="00717D58" w:rsidRPr="00222ACB" w:rsidTr="00F21A45">
        <w:tc>
          <w:tcPr>
            <w:tcW w:w="1859" w:type="dxa"/>
            <w:tcBorders>
              <w:top w:val="nil"/>
              <w:left w:val="double" w:sz="6" w:space="0" w:color="auto"/>
              <w:bottom w:val="single" w:sz="4" w:space="0" w:color="auto"/>
              <w:right w:val="single" w:sz="4" w:space="0" w:color="auto"/>
            </w:tcBorders>
            <w:shd w:val="clear" w:color="auto" w:fill="auto"/>
            <w:vAlign w:val="center"/>
            <w:hideMark/>
          </w:tcPr>
          <w:p w:rsidR="00E53AB2" w:rsidRDefault="00717D58">
            <w:pPr>
              <w:keepNext/>
              <w:rPr>
                <w:color w:val="000000"/>
                <w:sz w:val="20"/>
              </w:rPr>
            </w:pPr>
            <w:r w:rsidRPr="00222ACB">
              <w:rPr>
                <w:color w:val="000000"/>
                <w:sz w:val="20"/>
              </w:rPr>
              <w:t>Fraction of firms potentially affected who submit reports of studies</w:t>
            </w:r>
          </w:p>
        </w:tc>
        <w:tc>
          <w:tcPr>
            <w:tcW w:w="3271" w:type="dxa"/>
            <w:tcBorders>
              <w:top w:val="nil"/>
              <w:left w:val="nil"/>
              <w:bottom w:val="single" w:sz="4" w:space="0" w:color="auto"/>
              <w:right w:val="single" w:sz="4" w:space="0" w:color="auto"/>
            </w:tcBorders>
            <w:shd w:val="clear" w:color="auto" w:fill="auto"/>
            <w:vAlign w:val="center"/>
            <w:hideMark/>
          </w:tcPr>
          <w:p w:rsidR="00E53AB2" w:rsidRDefault="0028797C">
            <w:pPr>
              <w:keepNext/>
              <w:rPr>
                <w:color w:val="000000"/>
                <w:sz w:val="20"/>
              </w:rPr>
            </w:pPr>
            <w:r>
              <w:rPr>
                <w:color w:val="000000"/>
                <w:sz w:val="20"/>
              </w:rPr>
              <w:t>TSCA IUR data, all manufacturers 1998, 2002, 2006: 59 firms submitted 527 studies associated with 208 chemicals</w:t>
            </w:r>
          </w:p>
        </w:tc>
        <w:tc>
          <w:tcPr>
            <w:tcW w:w="2700" w:type="dxa"/>
            <w:tcBorders>
              <w:top w:val="nil"/>
              <w:left w:val="nil"/>
              <w:bottom w:val="single" w:sz="4" w:space="0" w:color="auto"/>
              <w:right w:val="single" w:sz="4" w:space="0" w:color="auto"/>
            </w:tcBorders>
            <w:shd w:val="clear" w:color="auto" w:fill="auto"/>
            <w:noWrap/>
            <w:vAlign w:val="bottom"/>
            <w:hideMark/>
          </w:tcPr>
          <w:p w:rsidR="00E53AB2" w:rsidRDefault="00717D58">
            <w:pPr>
              <w:keepNext/>
              <w:jc w:val="center"/>
              <w:rPr>
                <w:color w:val="000000"/>
                <w:sz w:val="20"/>
              </w:rPr>
            </w:pPr>
            <w:r w:rsidRPr="00222ACB">
              <w:rPr>
                <w:noProof/>
                <w:color w:val="000000"/>
                <w:sz w:val="20"/>
              </w:rPr>
              <w:drawing>
                <wp:anchor distT="0" distB="0" distL="114300" distR="114300" simplePos="0" relativeHeight="251661312" behindDoc="0" locked="0" layoutInCell="1" allowOverlap="1">
                  <wp:simplePos x="0" y="0"/>
                  <wp:positionH relativeFrom="column">
                    <wp:posOffset>-11430</wp:posOffset>
                  </wp:positionH>
                  <wp:positionV relativeFrom="paragraph">
                    <wp:posOffset>-261620</wp:posOffset>
                  </wp:positionV>
                  <wp:extent cx="1647825" cy="304800"/>
                  <wp:effectExtent l="19050" t="0" r="9525" b="0"/>
                  <wp:wrapNone/>
                  <wp:docPr id="3" name="Picture 6"/>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 val="0"/>
                              </a:ext>
                            </a:extLst>
                          </a:blip>
                          <a:srcRect/>
                          <a:stretch>
                            <a:fillRect/>
                          </a:stretch>
                        </pic:blipFill>
                        <pic:spPr bwMode="auto">
                          <a:xfrm>
                            <a:off x="0" y="0"/>
                            <a:ext cx="1647825" cy="304800"/>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
                                <a:solidFill>
                                  <a:srgbClr val="FFFFFF"/>
                                </a:solidFill>
                              </a14:hiddenFill>
                            </a:ext>
                          </a:extLst>
                        </pic:spPr>
                      </pic:pic>
                    </a:graphicData>
                  </a:graphic>
                </wp:anchor>
              </w:drawing>
            </w:r>
          </w:p>
        </w:tc>
        <w:tc>
          <w:tcPr>
            <w:tcW w:w="990" w:type="dxa"/>
            <w:tcBorders>
              <w:top w:val="nil"/>
              <w:left w:val="nil"/>
              <w:bottom w:val="single" w:sz="4" w:space="0" w:color="auto"/>
              <w:right w:val="single" w:sz="4" w:space="0" w:color="auto"/>
            </w:tcBorders>
            <w:shd w:val="clear" w:color="auto" w:fill="auto"/>
            <w:noWrap/>
            <w:vAlign w:val="center"/>
            <w:hideMark/>
          </w:tcPr>
          <w:p w:rsidR="00E53AB2" w:rsidRDefault="0028797C">
            <w:pPr>
              <w:keepNext/>
              <w:jc w:val="center"/>
              <w:rPr>
                <w:color w:val="000000"/>
                <w:sz w:val="20"/>
              </w:rPr>
            </w:pPr>
            <w:r>
              <w:rPr>
                <w:color w:val="000000"/>
                <w:sz w:val="20"/>
              </w:rPr>
              <w:t>same</w:t>
            </w:r>
          </w:p>
        </w:tc>
        <w:tc>
          <w:tcPr>
            <w:tcW w:w="990" w:type="dxa"/>
            <w:tcBorders>
              <w:top w:val="nil"/>
              <w:left w:val="nil"/>
              <w:bottom w:val="single" w:sz="4" w:space="0" w:color="auto"/>
              <w:right w:val="double" w:sz="6" w:space="0" w:color="auto"/>
            </w:tcBorders>
            <w:shd w:val="clear" w:color="auto" w:fill="auto"/>
            <w:noWrap/>
            <w:vAlign w:val="center"/>
            <w:hideMark/>
          </w:tcPr>
          <w:p w:rsidR="00E53AB2" w:rsidRDefault="0028797C">
            <w:pPr>
              <w:keepNext/>
              <w:jc w:val="center"/>
              <w:rPr>
                <w:color w:val="000000"/>
                <w:sz w:val="20"/>
              </w:rPr>
            </w:pPr>
            <w:r>
              <w:rPr>
                <w:color w:val="000000"/>
                <w:sz w:val="20"/>
              </w:rPr>
              <w:t>0.17</w:t>
            </w:r>
          </w:p>
        </w:tc>
      </w:tr>
      <w:tr w:rsidR="00717D58" w:rsidRPr="00222ACB" w:rsidTr="00F21A45">
        <w:tc>
          <w:tcPr>
            <w:tcW w:w="1859" w:type="dxa"/>
            <w:tcBorders>
              <w:top w:val="nil"/>
              <w:left w:val="double" w:sz="6" w:space="0" w:color="auto"/>
              <w:bottom w:val="single" w:sz="4" w:space="0" w:color="auto"/>
              <w:right w:val="single" w:sz="4" w:space="0" w:color="auto"/>
            </w:tcBorders>
            <w:shd w:val="clear" w:color="auto" w:fill="auto"/>
            <w:vAlign w:val="center"/>
            <w:hideMark/>
          </w:tcPr>
          <w:p w:rsidR="00E53AB2" w:rsidRDefault="00717D58">
            <w:pPr>
              <w:keepNext/>
              <w:rPr>
                <w:color w:val="000000"/>
                <w:sz w:val="20"/>
              </w:rPr>
            </w:pPr>
            <w:r w:rsidRPr="00222ACB">
              <w:rPr>
                <w:color w:val="000000"/>
                <w:sz w:val="20"/>
              </w:rPr>
              <w:t>No. of studies per firm</w:t>
            </w:r>
          </w:p>
        </w:tc>
        <w:tc>
          <w:tcPr>
            <w:tcW w:w="3271" w:type="dxa"/>
            <w:tcBorders>
              <w:top w:val="nil"/>
              <w:left w:val="nil"/>
              <w:bottom w:val="single" w:sz="4" w:space="0" w:color="auto"/>
              <w:right w:val="single" w:sz="4" w:space="0" w:color="auto"/>
            </w:tcBorders>
            <w:shd w:val="clear" w:color="auto" w:fill="auto"/>
            <w:vAlign w:val="center"/>
            <w:hideMark/>
          </w:tcPr>
          <w:p w:rsidR="00E53AB2" w:rsidRDefault="0028797C">
            <w:pPr>
              <w:keepNext/>
              <w:rPr>
                <w:color w:val="000000"/>
                <w:sz w:val="20"/>
              </w:rPr>
            </w:pPr>
            <w:r>
              <w:rPr>
                <w:color w:val="000000"/>
                <w:sz w:val="20"/>
              </w:rPr>
              <w:t>TSCA IUR data, all manufacturers 1998, 2002, 2006: 59 firms submitted 527 studies associated with 208 chemicals</w:t>
            </w:r>
          </w:p>
        </w:tc>
        <w:tc>
          <w:tcPr>
            <w:tcW w:w="2700" w:type="dxa"/>
            <w:tcBorders>
              <w:top w:val="nil"/>
              <w:left w:val="nil"/>
              <w:bottom w:val="single" w:sz="4" w:space="0" w:color="auto"/>
              <w:right w:val="single" w:sz="4" w:space="0" w:color="auto"/>
            </w:tcBorders>
            <w:shd w:val="clear" w:color="auto" w:fill="auto"/>
            <w:noWrap/>
            <w:vAlign w:val="bottom"/>
            <w:hideMark/>
          </w:tcPr>
          <w:p w:rsidR="00E53AB2" w:rsidRDefault="00A2193C">
            <w:pPr>
              <w:keepNext/>
              <w:jc w:val="center"/>
              <w:rPr>
                <w:color w:val="000000"/>
                <w:sz w:val="20"/>
              </w:rPr>
            </w:pPr>
            <w:r>
              <w:rPr>
                <w:noProof/>
                <w:color w:val="000000"/>
                <w:sz w:val="20"/>
              </w:rPr>
              <w:drawing>
                <wp:anchor distT="0" distB="0" distL="114300" distR="114300" simplePos="0" relativeHeight="251662336" behindDoc="0" locked="0" layoutInCell="1" allowOverlap="1">
                  <wp:simplePos x="0" y="0"/>
                  <wp:positionH relativeFrom="column">
                    <wp:posOffset>407670</wp:posOffset>
                  </wp:positionH>
                  <wp:positionV relativeFrom="paragraph">
                    <wp:posOffset>-309245</wp:posOffset>
                  </wp:positionV>
                  <wp:extent cx="790575" cy="285750"/>
                  <wp:effectExtent l="19050" t="0" r="9525" b="0"/>
                  <wp:wrapNone/>
                  <wp:docPr id="4" name="Picture 7"/>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 val="0"/>
                              </a:ext>
                            </a:extLst>
                          </a:blip>
                          <a:srcRect/>
                          <a:stretch>
                            <a:fillRect/>
                          </a:stretch>
                        </pic:blipFill>
                        <pic:spPr bwMode="auto">
                          <a:xfrm>
                            <a:off x="0" y="0"/>
                            <a:ext cx="790575" cy="285750"/>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
                                <a:solidFill>
                                  <a:srgbClr val="FFFFFF"/>
                                </a:solidFill>
                              </a14:hiddenFill>
                            </a:ext>
                          </a:extLst>
                        </pic:spPr>
                      </pic:pic>
                    </a:graphicData>
                  </a:graphic>
                </wp:anchor>
              </w:drawing>
            </w:r>
          </w:p>
        </w:tc>
        <w:tc>
          <w:tcPr>
            <w:tcW w:w="990" w:type="dxa"/>
            <w:tcBorders>
              <w:top w:val="nil"/>
              <w:left w:val="nil"/>
              <w:bottom w:val="single" w:sz="4" w:space="0" w:color="auto"/>
              <w:right w:val="single" w:sz="4" w:space="0" w:color="auto"/>
            </w:tcBorders>
            <w:shd w:val="clear" w:color="auto" w:fill="auto"/>
            <w:noWrap/>
            <w:vAlign w:val="center"/>
            <w:hideMark/>
          </w:tcPr>
          <w:p w:rsidR="00E53AB2" w:rsidRDefault="0028797C">
            <w:pPr>
              <w:keepNext/>
              <w:jc w:val="center"/>
              <w:rPr>
                <w:color w:val="000000"/>
                <w:sz w:val="20"/>
              </w:rPr>
            </w:pPr>
            <w:r>
              <w:rPr>
                <w:color w:val="000000"/>
                <w:sz w:val="20"/>
              </w:rPr>
              <w:t>same</w:t>
            </w:r>
          </w:p>
        </w:tc>
        <w:tc>
          <w:tcPr>
            <w:tcW w:w="990" w:type="dxa"/>
            <w:tcBorders>
              <w:top w:val="nil"/>
              <w:left w:val="nil"/>
              <w:bottom w:val="single" w:sz="4" w:space="0" w:color="auto"/>
              <w:right w:val="double" w:sz="6" w:space="0" w:color="auto"/>
            </w:tcBorders>
            <w:shd w:val="clear" w:color="auto" w:fill="auto"/>
            <w:noWrap/>
            <w:vAlign w:val="center"/>
            <w:hideMark/>
          </w:tcPr>
          <w:p w:rsidR="00E53AB2" w:rsidRDefault="0028797C">
            <w:pPr>
              <w:keepNext/>
              <w:jc w:val="center"/>
              <w:rPr>
                <w:color w:val="000000"/>
                <w:sz w:val="20"/>
              </w:rPr>
            </w:pPr>
            <w:r>
              <w:rPr>
                <w:color w:val="000000"/>
                <w:sz w:val="20"/>
              </w:rPr>
              <w:t>9</w:t>
            </w:r>
          </w:p>
        </w:tc>
      </w:tr>
      <w:tr w:rsidR="00717D58" w:rsidRPr="00222ACB" w:rsidTr="00F21A45">
        <w:tc>
          <w:tcPr>
            <w:tcW w:w="1859" w:type="dxa"/>
            <w:tcBorders>
              <w:top w:val="nil"/>
              <w:left w:val="double" w:sz="6" w:space="0" w:color="auto"/>
              <w:bottom w:val="single" w:sz="4" w:space="0" w:color="auto"/>
              <w:right w:val="single" w:sz="4" w:space="0" w:color="auto"/>
            </w:tcBorders>
            <w:shd w:val="clear" w:color="auto" w:fill="auto"/>
            <w:vAlign w:val="center"/>
            <w:hideMark/>
          </w:tcPr>
          <w:p w:rsidR="00E53AB2" w:rsidRDefault="00717D58">
            <w:pPr>
              <w:keepNext/>
              <w:rPr>
                <w:color w:val="000000"/>
                <w:sz w:val="20"/>
              </w:rPr>
            </w:pPr>
            <w:r w:rsidRPr="00222ACB">
              <w:rPr>
                <w:color w:val="000000"/>
                <w:sz w:val="20"/>
              </w:rPr>
              <w:t>Average length of study, pages</w:t>
            </w:r>
          </w:p>
        </w:tc>
        <w:tc>
          <w:tcPr>
            <w:tcW w:w="3271" w:type="dxa"/>
            <w:tcBorders>
              <w:top w:val="nil"/>
              <w:left w:val="nil"/>
              <w:bottom w:val="single" w:sz="4" w:space="0" w:color="auto"/>
              <w:right w:val="single" w:sz="4" w:space="0" w:color="auto"/>
            </w:tcBorders>
            <w:shd w:val="clear" w:color="auto" w:fill="auto"/>
            <w:vAlign w:val="center"/>
            <w:hideMark/>
          </w:tcPr>
          <w:p w:rsidR="00E53AB2" w:rsidRDefault="0028797C">
            <w:pPr>
              <w:keepNext/>
              <w:rPr>
                <w:color w:val="000000"/>
                <w:sz w:val="20"/>
              </w:rPr>
            </w:pPr>
            <w:r>
              <w:rPr>
                <w:color w:val="000000"/>
                <w:sz w:val="20"/>
              </w:rPr>
              <w:t>TSCA IUR data, all manufacturers 1998, 2002, 2006: 59 firms submitted 527 studies associated with 208 chemicals</w:t>
            </w:r>
          </w:p>
        </w:tc>
        <w:tc>
          <w:tcPr>
            <w:tcW w:w="2700" w:type="dxa"/>
            <w:tcBorders>
              <w:top w:val="nil"/>
              <w:left w:val="nil"/>
              <w:bottom w:val="single" w:sz="4" w:space="0" w:color="auto"/>
              <w:right w:val="single" w:sz="4" w:space="0" w:color="auto"/>
            </w:tcBorders>
            <w:shd w:val="clear" w:color="auto" w:fill="auto"/>
            <w:vAlign w:val="center"/>
            <w:hideMark/>
          </w:tcPr>
          <w:p w:rsidR="00E53AB2" w:rsidRDefault="0028797C">
            <w:pPr>
              <w:keepNext/>
              <w:jc w:val="center"/>
              <w:rPr>
                <w:color w:val="000000"/>
                <w:sz w:val="20"/>
              </w:rPr>
            </w:pPr>
            <w:r>
              <w:rPr>
                <w:color w:val="000000"/>
                <w:sz w:val="20"/>
              </w:rPr>
              <w:t>20</w:t>
            </w:r>
          </w:p>
        </w:tc>
        <w:tc>
          <w:tcPr>
            <w:tcW w:w="990" w:type="dxa"/>
            <w:tcBorders>
              <w:top w:val="nil"/>
              <w:left w:val="nil"/>
              <w:bottom w:val="single" w:sz="4" w:space="0" w:color="auto"/>
              <w:right w:val="single" w:sz="4" w:space="0" w:color="auto"/>
            </w:tcBorders>
            <w:shd w:val="clear" w:color="auto" w:fill="auto"/>
            <w:vAlign w:val="center"/>
            <w:hideMark/>
          </w:tcPr>
          <w:p w:rsidR="00E53AB2" w:rsidRDefault="0028797C">
            <w:pPr>
              <w:keepNext/>
              <w:jc w:val="center"/>
              <w:rPr>
                <w:color w:val="000000"/>
                <w:sz w:val="20"/>
              </w:rPr>
            </w:pPr>
            <w:r>
              <w:rPr>
                <w:color w:val="000000"/>
                <w:sz w:val="20"/>
              </w:rPr>
              <w:t>same</w:t>
            </w:r>
          </w:p>
        </w:tc>
        <w:tc>
          <w:tcPr>
            <w:tcW w:w="990" w:type="dxa"/>
            <w:tcBorders>
              <w:top w:val="nil"/>
              <w:left w:val="nil"/>
              <w:bottom w:val="single" w:sz="4" w:space="0" w:color="auto"/>
              <w:right w:val="double" w:sz="6" w:space="0" w:color="auto"/>
            </w:tcBorders>
            <w:shd w:val="clear" w:color="auto" w:fill="auto"/>
            <w:vAlign w:val="center"/>
            <w:hideMark/>
          </w:tcPr>
          <w:p w:rsidR="00E53AB2" w:rsidRDefault="0028797C">
            <w:pPr>
              <w:keepNext/>
              <w:jc w:val="center"/>
              <w:rPr>
                <w:color w:val="000000"/>
                <w:sz w:val="20"/>
              </w:rPr>
            </w:pPr>
            <w:r>
              <w:rPr>
                <w:color w:val="000000"/>
                <w:sz w:val="20"/>
              </w:rPr>
              <w:t>20</w:t>
            </w:r>
          </w:p>
        </w:tc>
      </w:tr>
      <w:tr w:rsidR="00717D58" w:rsidRPr="00222ACB" w:rsidTr="00F21A45">
        <w:tc>
          <w:tcPr>
            <w:tcW w:w="1859" w:type="dxa"/>
            <w:tcBorders>
              <w:top w:val="nil"/>
              <w:left w:val="double" w:sz="6" w:space="0" w:color="auto"/>
              <w:bottom w:val="single" w:sz="4" w:space="0" w:color="auto"/>
              <w:right w:val="single" w:sz="4" w:space="0" w:color="auto"/>
            </w:tcBorders>
            <w:shd w:val="clear" w:color="auto" w:fill="auto"/>
            <w:vAlign w:val="center"/>
            <w:hideMark/>
          </w:tcPr>
          <w:p w:rsidR="00E53AB2" w:rsidRDefault="00717D58">
            <w:pPr>
              <w:keepNext/>
              <w:rPr>
                <w:color w:val="000000"/>
                <w:sz w:val="20"/>
              </w:rPr>
            </w:pPr>
            <w:r w:rsidRPr="00222ACB">
              <w:rPr>
                <w:color w:val="000000"/>
                <w:sz w:val="20"/>
              </w:rPr>
              <w:t>Percent studies with robust su</w:t>
            </w:r>
            <w:r w:rsidR="0028797C">
              <w:rPr>
                <w:color w:val="000000"/>
                <w:sz w:val="20"/>
              </w:rPr>
              <w:t>mmaries;                     # firms affected</w:t>
            </w:r>
          </w:p>
        </w:tc>
        <w:tc>
          <w:tcPr>
            <w:tcW w:w="3271" w:type="dxa"/>
            <w:tcBorders>
              <w:top w:val="nil"/>
              <w:left w:val="nil"/>
              <w:bottom w:val="single" w:sz="4" w:space="0" w:color="auto"/>
              <w:right w:val="single" w:sz="4" w:space="0" w:color="auto"/>
            </w:tcBorders>
            <w:shd w:val="clear" w:color="auto" w:fill="auto"/>
            <w:vAlign w:val="center"/>
            <w:hideMark/>
          </w:tcPr>
          <w:p w:rsidR="00E53AB2" w:rsidRDefault="0028797C">
            <w:pPr>
              <w:keepNext/>
              <w:rPr>
                <w:color w:val="000000"/>
                <w:sz w:val="20"/>
              </w:rPr>
            </w:pPr>
            <w:r>
              <w:rPr>
                <w:color w:val="000000"/>
                <w:sz w:val="20"/>
              </w:rPr>
              <w:t>10% of total studies</w:t>
            </w:r>
          </w:p>
        </w:tc>
        <w:tc>
          <w:tcPr>
            <w:tcW w:w="2700" w:type="dxa"/>
            <w:tcBorders>
              <w:top w:val="nil"/>
              <w:left w:val="nil"/>
              <w:bottom w:val="single" w:sz="4" w:space="0" w:color="auto"/>
              <w:right w:val="single" w:sz="4" w:space="0" w:color="auto"/>
            </w:tcBorders>
            <w:shd w:val="clear" w:color="auto" w:fill="auto"/>
            <w:vAlign w:val="center"/>
            <w:hideMark/>
          </w:tcPr>
          <w:p w:rsidR="00E53AB2" w:rsidRDefault="0028797C">
            <w:pPr>
              <w:keepNext/>
              <w:jc w:val="center"/>
              <w:rPr>
                <w:color w:val="000000"/>
                <w:sz w:val="20"/>
              </w:rPr>
            </w:pPr>
            <w:r>
              <w:rPr>
                <w:color w:val="000000"/>
                <w:sz w:val="20"/>
              </w:rPr>
              <w:t>10% of reports</w:t>
            </w:r>
          </w:p>
        </w:tc>
        <w:tc>
          <w:tcPr>
            <w:tcW w:w="990" w:type="dxa"/>
            <w:tcBorders>
              <w:top w:val="nil"/>
              <w:left w:val="nil"/>
              <w:bottom w:val="single" w:sz="4" w:space="0" w:color="auto"/>
              <w:right w:val="single" w:sz="4" w:space="0" w:color="auto"/>
            </w:tcBorders>
            <w:shd w:val="clear" w:color="auto" w:fill="auto"/>
            <w:noWrap/>
            <w:vAlign w:val="center"/>
            <w:hideMark/>
          </w:tcPr>
          <w:p w:rsidR="00E53AB2" w:rsidRDefault="0028797C">
            <w:pPr>
              <w:keepNext/>
              <w:jc w:val="center"/>
              <w:rPr>
                <w:color w:val="000000"/>
                <w:sz w:val="20"/>
              </w:rPr>
            </w:pPr>
            <w:r>
              <w:rPr>
                <w:color w:val="000000"/>
                <w:sz w:val="20"/>
              </w:rPr>
              <w:t>same</w:t>
            </w:r>
          </w:p>
        </w:tc>
        <w:tc>
          <w:tcPr>
            <w:tcW w:w="990" w:type="dxa"/>
            <w:tcBorders>
              <w:top w:val="nil"/>
              <w:left w:val="nil"/>
              <w:bottom w:val="single" w:sz="4" w:space="0" w:color="auto"/>
              <w:right w:val="double" w:sz="6" w:space="0" w:color="auto"/>
            </w:tcBorders>
            <w:shd w:val="clear" w:color="auto" w:fill="auto"/>
            <w:noWrap/>
            <w:vAlign w:val="bottom"/>
            <w:hideMark/>
          </w:tcPr>
          <w:p w:rsidR="00E53AB2" w:rsidRDefault="0028797C">
            <w:pPr>
              <w:keepNext/>
              <w:jc w:val="center"/>
              <w:rPr>
                <w:color w:val="000000"/>
                <w:sz w:val="20"/>
              </w:rPr>
            </w:pPr>
            <w:r>
              <w:rPr>
                <w:color w:val="000000"/>
                <w:sz w:val="20"/>
              </w:rPr>
              <w:t>1 robust summary per firm</w:t>
            </w:r>
          </w:p>
        </w:tc>
      </w:tr>
      <w:tr w:rsidR="00717D58" w:rsidRPr="00222ACB" w:rsidTr="00F21A45">
        <w:tc>
          <w:tcPr>
            <w:tcW w:w="1859" w:type="dxa"/>
            <w:tcBorders>
              <w:top w:val="single" w:sz="4" w:space="0" w:color="auto"/>
              <w:left w:val="double" w:sz="6" w:space="0" w:color="auto"/>
              <w:bottom w:val="double" w:sz="6" w:space="0" w:color="auto"/>
              <w:right w:val="single" w:sz="4" w:space="0" w:color="auto"/>
            </w:tcBorders>
            <w:shd w:val="clear" w:color="auto" w:fill="auto"/>
            <w:vAlign w:val="center"/>
            <w:hideMark/>
          </w:tcPr>
          <w:p w:rsidR="00E53AB2" w:rsidRDefault="00717D58">
            <w:pPr>
              <w:keepNext/>
              <w:rPr>
                <w:color w:val="000000"/>
                <w:sz w:val="20"/>
              </w:rPr>
            </w:pPr>
            <w:r w:rsidRPr="00222ACB">
              <w:rPr>
                <w:color w:val="000000"/>
                <w:sz w:val="20"/>
              </w:rPr>
              <w:t>Percent of affected firms submitting second responses</w:t>
            </w:r>
          </w:p>
        </w:tc>
        <w:tc>
          <w:tcPr>
            <w:tcW w:w="3271" w:type="dxa"/>
            <w:tcBorders>
              <w:top w:val="single" w:sz="4" w:space="0" w:color="auto"/>
              <w:left w:val="nil"/>
              <w:bottom w:val="double" w:sz="6" w:space="0" w:color="auto"/>
              <w:right w:val="single" w:sz="4" w:space="0" w:color="auto"/>
            </w:tcBorders>
            <w:shd w:val="clear" w:color="auto" w:fill="auto"/>
            <w:vAlign w:val="center"/>
            <w:hideMark/>
          </w:tcPr>
          <w:p w:rsidR="00E53AB2" w:rsidRDefault="0028797C">
            <w:pPr>
              <w:keepNext/>
              <w:rPr>
                <w:color w:val="000000"/>
                <w:sz w:val="20"/>
              </w:rPr>
            </w:pPr>
            <w:r>
              <w:rPr>
                <w:color w:val="000000"/>
                <w:sz w:val="20"/>
              </w:rPr>
              <w:t>5% of affected firms</w:t>
            </w:r>
          </w:p>
        </w:tc>
        <w:tc>
          <w:tcPr>
            <w:tcW w:w="2700" w:type="dxa"/>
            <w:tcBorders>
              <w:top w:val="single" w:sz="4" w:space="0" w:color="auto"/>
              <w:left w:val="nil"/>
              <w:bottom w:val="double" w:sz="6" w:space="0" w:color="auto"/>
              <w:right w:val="single" w:sz="4" w:space="0" w:color="auto"/>
            </w:tcBorders>
            <w:shd w:val="clear" w:color="auto" w:fill="auto"/>
            <w:noWrap/>
            <w:vAlign w:val="center"/>
            <w:hideMark/>
          </w:tcPr>
          <w:p w:rsidR="00E53AB2" w:rsidRDefault="0028797C">
            <w:pPr>
              <w:keepNext/>
              <w:jc w:val="center"/>
              <w:rPr>
                <w:color w:val="000000"/>
                <w:sz w:val="20"/>
              </w:rPr>
            </w:pPr>
            <w:r>
              <w:rPr>
                <w:color w:val="000000"/>
                <w:sz w:val="20"/>
              </w:rPr>
              <w:t>5%</w:t>
            </w:r>
          </w:p>
        </w:tc>
        <w:tc>
          <w:tcPr>
            <w:tcW w:w="990" w:type="dxa"/>
            <w:tcBorders>
              <w:top w:val="single" w:sz="4" w:space="0" w:color="auto"/>
              <w:left w:val="nil"/>
              <w:bottom w:val="double" w:sz="6" w:space="0" w:color="auto"/>
              <w:right w:val="single" w:sz="4" w:space="0" w:color="auto"/>
            </w:tcBorders>
            <w:shd w:val="clear" w:color="auto" w:fill="auto"/>
            <w:noWrap/>
            <w:vAlign w:val="center"/>
            <w:hideMark/>
          </w:tcPr>
          <w:p w:rsidR="00E53AB2" w:rsidRDefault="0028797C">
            <w:pPr>
              <w:keepNext/>
              <w:jc w:val="center"/>
              <w:rPr>
                <w:color w:val="000000"/>
                <w:sz w:val="20"/>
              </w:rPr>
            </w:pPr>
            <w:r>
              <w:rPr>
                <w:color w:val="000000"/>
                <w:sz w:val="20"/>
              </w:rPr>
              <w:t>same</w:t>
            </w:r>
          </w:p>
        </w:tc>
        <w:tc>
          <w:tcPr>
            <w:tcW w:w="990" w:type="dxa"/>
            <w:tcBorders>
              <w:top w:val="single" w:sz="4" w:space="0" w:color="auto"/>
              <w:left w:val="nil"/>
              <w:bottom w:val="double" w:sz="6" w:space="0" w:color="auto"/>
              <w:right w:val="double" w:sz="6" w:space="0" w:color="auto"/>
            </w:tcBorders>
            <w:shd w:val="clear" w:color="auto" w:fill="auto"/>
            <w:noWrap/>
            <w:vAlign w:val="center"/>
            <w:hideMark/>
          </w:tcPr>
          <w:p w:rsidR="00E53AB2" w:rsidRDefault="0028797C">
            <w:pPr>
              <w:keepNext/>
              <w:jc w:val="center"/>
              <w:rPr>
                <w:color w:val="000000"/>
                <w:sz w:val="20"/>
              </w:rPr>
            </w:pPr>
            <w:r>
              <w:rPr>
                <w:color w:val="000000"/>
                <w:sz w:val="20"/>
              </w:rPr>
              <w:t>5%</w:t>
            </w:r>
          </w:p>
        </w:tc>
      </w:tr>
    </w:tbl>
    <w:p w:rsidR="00E53AB2" w:rsidRDefault="00E53AB2">
      <w:pPr>
        <w:widowControl w:val="0"/>
      </w:pPr>
    </w:p>
    <w:p w:rsidR="000B0F72" w:rsidRPr="004E4B58" w:rsidRDefault="000B0F72" w:rsidP="000B0F72">
      <w:pPr>
        <w:ind w:firstLine="720"/>
      </w:pPr>
      <w:r>
        <w:rPr>
          <w:color w:val="000000"/>
        </w:rPr>
        <w:t xml:space="preserve">In addition, EPA will promulgate a final rule requiring the submission of unpublished health and safety data by manufacturers and importers of cadmium and cadmium compounds within 60 days of the publication of the </w:t>
      </w:r>
      <w:r w:rsidR="009234A8">
        <w:rPr>
          <w:color w:val="000000"/>
        </w:rPr>
        <w:t xml:space="preserve">2012 </w:t>
      </w:r>
      <w:r>
        <w:rPr>
          <w:color w:val="000000"/>
        </w:rPr>
        <w:t xml:space="preserve">final rule.  </w:t>
      </w:r>
      <w:r w:rsidRPr="004E4B58">
        <w:t xml:space="preserve">The respondent universe </w:t>
      </w:r>
      <w:r>
        <w:t xml:space="preserve">for this final rule is somewhat different </w:t>
      </w:r>
      <w:r w:rsidRPr="004E4B58">
        <w:t xml:space="preserve">was estimated based on census data on NAICS industry categories that are believed to be </w:t>
      </w:r>
      <w:r>
        <w:t>manufacturers and</w:t>
      </w:r>
      <w:r w:rsidRPr="004E4B58">
        <w:t xml:space="preserve"> importers of consumer products that may contain cadmium. The number of firms and establishments in those NAICS categories are shown </w:t>
      </w:r>
      <w:r>
        <w:t xml:space="preserve">in Table </w:t>
      </w:r>
      <w:r w:rsidR="0036481A">
        <w:t>4</w:t>
      </w:r>
      <w:r w:rsidRPr="004E4B58">
        <w:t xml:space="preserve"> </w:t>
      </w:r>
      <w:r>
        <w:t>below</w:t>
      </w:r>
      <w:r w:rsidRPr="004E4B58">
        <w:t xml:space="preserve">. </w:t>
      </w:r>
    </w:p>
    <w:p w:rsidR="000B0F72" w:rsidRPr="004E4B58" w:rsidRDefault="000B0F72" w:rsidP="000B0F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712"/>
        <w:gridCol w:w="4587"/>
        <w:gridCol w:w="1350"/>
        <w:gridCol w:w="1710"/>
      </w:tblGrid>
      <w:tr w:rsidR="000B0F72" w:rsidRPr="004E4B58" w:rsidTr="0091312F">
        <w:trPr>
          <w:cantSplit/>
          <w:jc w:val="center"/>
        </w:trPr>
        <w:tc>
          <w:tcPr>
            <w:tcW w:w="9359" w:type="dxa"/>
            <w:gridSpan w:val="4"/>
            <w:tcBorders>
              <w:top w:val="single" w:sz="4" w:space="0" w:color="auto"/>
              <w:left w:val="single" w:sz="4" w:space="0" w:color="auto"/>
              <w:bottom w:val="single" w:sz="4" w:space="0" w:color="auto"/>
              <w:right w:val="single" w:sz="4" w:space="0" w:color="auto"/>
            </w:tcBorders>
            <w:vAlign w:val="center"/>
          </w:tcPr>
          <w:p w:rsidR="000B0F72" w:rsidRPr="004E4B58" w:rsidRDefault="000B0F72" w:rsidP="0036481A">
            <w:r>
              <w:rPr>
                <w:b/>
                <w:bCs/>
              </w:rPr>
              <w:t xml:space="preserve">Table </w:t>
            </w:r>
            <w:r w:rsidR="0036481A">
              <w:rPr>
                <w:b/>
                <w:bCs/>
              </w:rPr>
              <w:t>4</w:t>
            </w:r>
            <w:r>
              <w:rPr>
                <w:b/>
                <w:bCs/>
              </w:rPr>
              <w:t xml:space="preserve">. </w:t>
            </w:r>
            <w:r w:rsidRPr="004E4B58">
              <w:rPr>
                <w:b/>
                <w:bCs/>
              </w:rPr>
              <w:t>Size of the Responding Industries</w:t>
            </w:r>
          </w:p>
        </w:tc>
      </w:tr>
      <w:tr w:rsidR="000B0F72" w:rsidRPr="004E4B58" w:rsidTr="0091312F">
        <w:trPr>
          <w:cantSplit/>
          <w:jc w:val="center"/>
        </w:trPr>
        <w:tc>
          <w:tcPr>
            <w:tcW w:w="1712"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Industry NAICS Code</w:t>
            </w:r>
          </w:p>
        </w:tc>
        <w:tc>
          <w:tcPr>
            <w:tcW w:w="4587"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Industry Description</w:t>
            </w:r>
          </w:p>
        </w:tc>
        <w:tc>
          <w:tcPr>
            <w:tcW w:w="135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Companies</w:t>
            </w:r>
          </w:p>
        </w:tc>
        <w:tc>
          <w:tcPr>
            <w:tcW w:w="171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Establishments or sites</w:t>
            </w:r>
          </w:p>
        </w:tc>
      </w:tr>
      <w:tr w:rsidR="000B0F72" w:rsidRPr="004E4B58" w:rsidTr="0091312F">
        <w:trPr>
          <w:cantSplit/>
          <w:jc w:val="center"/>
        </w:trPr>
        <w:tc>
          <w:tcPr>
            <w:tcW w:w="1712"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325188</w:t>
            </w:r>
          </w:p>
        </w:tc>
        <w:tc>
          <w:tcPr>
            <w:tcW w:w="4587"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rPr>
                <w:sz w:val="20"/>
              </w:rPr>
            </w:pPr>
            <w:r w:rsidRPr="008567CC">
              <w:rPr>
                <w:sz w:val="20"/>
              </w:rPr>
              <w:t>All other basic inorganic chemical manufacturing</w:t>
            </w:r>
          </w:p>
        </w:tc>
        <w:tc>
          <w:tcPr>
            <w:tcW w:w="135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390</w:t>
            </w:r>
          </w:p>
        </w:tc>
        <w:tc>
          <w:tcPr>
            <w:tcW w:w="171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637</w:t>
            </w:r>
          </w:p>
        </w:tc>
      </w:tr>
      <w:tr w:rsidR="000B0F72" w:rsidRPr="004E4B58" w:rsidTr="0091312F">
        <w:trPr>
          <w:cantSplit/>
          <w:jc w:val="center"/>
        </w:trPr>
        <w:tc>
          <w:tcPr>
            <w:tcW w:w="1712"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325131</w:t>
            </w:r>
          </w:p>
        </w:tc>
        <w:tc>
          <w:tcPr>
            <w:tcW w:w="4587"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rPr>
                <w:sz w:val="20"/>
              </w:rPr>
            </w:pPr>
            <w:r w:rsidRPr="008567CC">
              <w:rPr>
                <w:sz w:val="20"/>
              </w:rPr>
              <w:t>Inorganic dye and pigment manufacturing</w:t>
            </w:r>
          </w:p>
        </w:tc>
        <w:tc>
          <w:tcPr>
            <w:tcW w:w="135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66</w:t>
            </w:r>
          </w:p>
        </w:tc>
        <w:tc>
          <w:tcPr>
            <w:tcW w:w="171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87</w:t>
            </w:r>
          </w:p>
        </w:tc>
      </w:tr>
      <w:tr w:rsidR="000B0F72" w:rsidRPr="004E4B58" w:rsidTr="0091312F">
        <w:trPr>
          <w:cantSplit/>
          <w:jc w:val="center"/>
        </w:trPr>
        <w:tc>
          <w:tcPr>
            <w:tcW w:w="1712"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325199</w:t>
            </w:r>
          </w:p>
        </w:tc>
        <w:tc>
          <w:tcPr>
            <w:tcW w:w="4587"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rPr>
                <w:sz w:val="20"/>
              </w:rPr>
            </w:pPr>
            <w:r w:rsidRPr="008567CC">
              <w:rPr>
                <w:sz w:val="20"/>
              </w:rPr>
              <w:t xml:space="preserve">All other basic organic chemical manufacturing </w:t>
            </w:r>
          </w:p>
        </w:tc>
        <w:tc>
          <w:tcPr>
            <w:tcW w:w="135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569</w:t>
            </w:r>
          </w:p>
        </w:tc>
        <w:tc>
          <w:tcPr>
            <w:tcW w:w="171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729</w:t>
            </w:r>
          </w:p>
        </w:tc>
      </w:tr>
      <w:tr w:rsidR="000B0F72" w:rsidRPr="004E4B58" w:rsidTr="0091312F">
        <w:trPr>
          <w:cantSplit/>
          <w:jc w:val="center"/>
        </w:trPr>
        <w:tc>
          <w:tcPr>
            <w:tcW w:w="1712"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331419</w:t>
            </w:r>
          </w:p>
        </w:tc>
        <w:tc>
          <w:tcPr>
            <w:tcW w:w="4587"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rPr>
                <w:sz w:val="20"/>
              </w:rPr>
            </w:pPr>
            <w:r w:rsidRPr="008567CC">
              <w:rPr>
                <w:sz w:val="20"/>
              </w:rPr>
              <w:t>Primary smelting and refining of nonferrous metal (except copper and aluminum)</w:t>
            </w:r>
          </w:p>
        </w:tc>
        <w:tc>
          <w:tcPr>
            <w:tcW w:w="135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143</w:t>
            </w:r>
          </w:p>
        </w:tc>
        <w:tc>
          <w:tcPr>
            <w:tcW w:w="171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166</w:t>
            </w:r>
          </w:p>
        </w:tc>
      </w:tr>
      <w:tr w:rsidR="000B0F72" w:rsidRPr="004E4B58" w:rsidTr="0091312F">
        <w:trPr>
          <w:cantSplit/>
          <w:jc w:val="center"/>
        </w:trPr>
        <w:tc>
          <w:tcPr>
            <w:tcW w:w="1712"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331492</w:t>
            </w:r>
          </w:p>
        </w:tc>
        <w:tc>
          <w:tcPr>
            <w:tcW w:w="4587"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rPr>
                <w:sz w:val="20"/>
              </w:rPr>
            </w:pPr>
            <w:r w:rsidRPr="008567CC">
              <w:rPr>
                <w:sz w:val="20"/>
              </w:rPr>
              <w:t>Secondary smelting, refining and alloying of nonferrous metal (except copper and aluminum)</w:t>
            </w:r>
          </w:p>
        </w:tc>
        <w:tc>
          <w:tcPr>
            <w:tcW w:w="135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216</w:t>
            </w:r>
          </w:p>
        </w:tc>
        <w:tc>
          <w:tcPr>
            <w:tcW w:w="171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sz w:val="20"/>
              </w:rPr>
            </w:pPr>
            <w:r w:rsidRPr="008567CC">
              <w:rPr>
                <w:sz w:val="20"/>
              </w:rPr>
              <w:t>246</w:t>
            </w:r>
          </w:p>
        </w:tc>
      </w:tr>
      <w:tr w:rsidR="000B0F72" w:rsidRPr="004E4B58" w:rsidTr="0091312F">
        <w:trPr>
          <w:cantSplit/>
          <w:jc w:val="center"/>
        </w:trPr>
        <w:tc>
          <w:tcPr>
            <w:tcW w:w="6299" w:type="dxa"/>
            <w:gridSpan w:val="2"/>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rPr>
                <w:b/>
                <w:bCs/>
                <w:sz w:val="20"/>
              </w:rPr>
            </w:pPr>
            <w:r w:rsidRPr="008567CC">
              <w:rPr>
                <w:b/>
                <w:bCs/>
                <w:sz w:val="20"/>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b/>
                <w:bCs/>
                <w:sz w:val="20"/>
              </w:rPr>
            </w:pPr>
            <w:r w:rsidRPr="008567CC">
              <w:rPr>
                <w:b/>
                <w:bCs/>
                <w:sz w:val="20"/>
              </w:rPr>
              <w:t>1,384</w:t>
            </w:r>
          </w:p>
        </w:tc>
        <w:tc>
          <w:tcPr>
            <w:tcW w:w="1710" w:type="dxa"/>
            <w:tcBorders>
              <w:top w:val="single" w:sz="4" w:space="0" w:color="auto"/>
              <w:left w:val="single" w:sz="4" w:space="0" w:color="auto"/>
              <w:bottom w:val="single" w:sz="4" w:space="0" w:color="auto"/>
              <w:right w:val="single" w:sz="4" w:space="0" w:color="auto"/>
            </w:tcBorders>
            <w:vAlign w:val="center"/>
          </w:tcPr>
          <w:p w:rsidR="000B0F72" w:rsidRPr="008567CC" w:rsidRDefault="000B0F72" w:rsidP="0091312F">
            <w:pPr>
              <w:spacing w:after="58"/>
              <w:jc w:val="center"/>
              <w:rPr>
                <w:b/>
                <w:bCs/>
                <w:sz w:val="20"/>
              </w:rPr>
            </w:pPr>
            <w:r w:rsidRPr="008567CC">
              <w:rPr>
                <w:b/>
                <w:bCs/>
                <w:sz w:val="20"/>
              </w:rPr>
              <w:t>1,865</w:t>
            </w:r>
          </w:p>
        </w:tc>
      </w:tr>
    </w:tbl>
    <w:p w:rsidR="000B0F72" w:rsidRPr="000B0F72" w:rsidRDefault="000B0F72" w:rsidP="000B0F72">
      <w:pPr>
        <w:widowControl w:val="0"/>
        <w:ind w:firstLine="720"/>
        <w:rPr>
          <w:color w:val="000000"/>
        </w:rPr>
      </w:pPr>
      <w:r>
        <w:rPr>
          <w:color w:val="000000"/>
        </w:rPr>
        <w:t xml:space="preserve"> </w:t>
      </w:r>
    </w:p>
    <w:p w:rsidR="000B0F72" w:rsidRDefault="000B0F72">
      <w:pPr>
        <w:widowControl w:val="0"/>
        <w:ind w:firstLine="720"/>
        <w:rPr>
          <w:b/>
          <w:color w:val="000000"/>
        </w:rPr>
      </w:pPr>
    </w:p>
    <w:p w:rsidR="00E53AB2" w:rsidRDefault="00717D58">
      <w:pPr>
        <w:widowControl w:val="0"/>
        <w:rPr>
          <w:color w:val="000000"/>
        </w:rPr>
      </w:pPr>
      <w:r>
        <w:rPr>
          <w:b/>
          <w:color w:val="000000"/>
        </w:rPr>
        <w:t>6(a)</w:t>
      </w:r>
      <w:r>
        <w:rPr>
          <w:b/>
          <w:color w:val="000000"/>
        </w:rPr>
        <w:tab/>
        <w:t>Estimating Respondent Burden</w:t>
      </w:r>
    </w:p>
    <w:p w:rsidR="00E53AB2" w:rsidRDefault="00717D58">
      <w:pPr>
        <w:widowControl w:val="0"/>
        <w:rPr>
          <w:color w:val="000000"/>
        </w:rPr>
      </w:pPr>
      <w:r>
        <w:rPr>
          <w:color w:val="000000"/>
        </w:rPr>
        <w:lastRenderedPageBreak/>
        <w:tab/>
        <w:t>Firms will undertake the following actions in response to a TSCA section 8(d) listing:</w:t>
      </w:r>
    </w:p>
    <w:p w:rsidR="00E53AB2" w:rsidRDefault="00E53AB2">
      <w:pPr>
        <w:widowControl w:val="0"/>
        <w:rPr>
          <w:color w:val="000000"/>
        </w:rPr>
      </w:pPr>
    </w:p>
    <w:p w:rsidR="00E53AB2" w:rsidRDefault="00717D58">
      <w:pPr>
        <w:widowControl w:val="0"/>
        <w:numPr>
          <w:ilvl w:val="0"/>
          <w:numId w:val="29"/>
        </w:numPr>
        <w:spacing w:after="200"/>
        <w:rPr>
          <w:color w:val="000000"/>
        </w:rPr>
      </w:pPr>
      <w:r w:rsidRPr="0051659B">
        <w:rPr>
          <w:color w:val="000000"/>
        </w:rPr>
        <w:t>Determine whether the firm may be required to report.  If so, review the rule in more detail;</w:t>
      </w:r>
    </w:p>
    <w:p w:rsidR="00E53AB2" w:rsidRDefault="00717D58">
      <w:pPr>
        <w:widowControl w:val="0"/>
        <w:numPr>
          <w:ilvl w:val="0"/>
          <w:numId w:val="29"/>
        </w:numPr>
        <w:spacing w:after="200"/>
        <w:rPr>
          <w:color w:val="000000"/>
        </w:rPr>
      </w:pPr>
      <w:r w:rsidRPr="0051659B">
        <w:rPr>
          <w:color w:val="000000"/>
        </w:rPr>
        <w:t>Conduct a corporate review to identify which firm sites must be searched to locate the appropriate health and safety studies;</w:t>
      </w:r>
    </w:p>
    <w:p w:rsidR="00E53AB2" w:rsidRDefault="00717D58">
      <w:pPr>
        <w:widowControl w:val="0"/>
        <w:numPr>
          <w:ilvl w:val="0"/>
          <w:numId w:val="29"/>
        </w:numPr>
        <w:spacing w:after="200"/>
        <w:rPr>
          <w:color w:val="000000"/>
        </w:rPr>
      </w:pPr>
      <w:r w:rsidRPr="0051659B">
        <w:rPr>
          <w:color w:val="000000"/>
        </w:rPr>
        <w:t>Search the files at appropriate sites to locate relevant studies;</w:t>
      </w:r>
    </w:p>
    <w:p w:rsidR="00E53AB2" w:rsidRDefault="00717D58">
      <w:pPr>
        <w:widowControl w:val="0"/>
        <w:numPr>
          <w:ilvl w:val="0"/>
          <w:numId w:val="29"/>
        </w:numPr>
        <w:spacing w:after="200"/>
        <w:rPr>
          <w:color w:val="000000"/>
        </w:rPr>
      </w:pPr>
      <w:r w:rsidRPr="0051659B">
        <w:rPr>
          <w:color w:val="000000"/>
        </w:rPr>
        <w:t>Compile and transcribe lists of studies being submitted, ongoing studies, newly initiated studies, studies known to exist but not known to be in the respondent’s possession, and studies previously submitte</w:t>
      </w:r>
      <w:r>
        <w:rPr>
          <w:color w:val="000000"/>
        </w:rPr>
        <w:t>d to other f</w:t>
      </w:r>
      <w:r w:rsidRPr="0051659B">
        <w:rPr>
          <w:color w:val="000000"/>
        </w:rPr>
        <w:t>ederal agencies without confidentiality claims;</w:t>
      </w:r>
    </w:p>
    <w:p w:rsidR="00E53AB2" w:rsidRDefault="00717D58">
      <w:pPr>
        <w:widowControl w:val="0"/>
        <w:numPr>
          <w:ilvl w:val="0"/>
          <w:numId w:val="29"/>
        </w:numPr>
        <w:spacing w:after="200"/>
        <w:rPr>
          <w:color w:val="000000"/>
        </w:rPr>
      </w:pPr>
      <w:r w:rsidRPr="0051659B">
        <w:rPr>
          <w:color w:val="000000"/>
        </w:rPr>
        <w:t>Photocopy the studies;</w:t>
      </w:r>
    </w:p>
    <w:p w:rsidR="00E53AB2" w:rsidRDefault="00717D58">
      <w:pPr>
        <w:widowControl w:val="0"/>
        <w:numPr>
          <w:ilvl w:val="0"/>
          <w:numId w:val="29"/>
        </w:numPr>
        <w:spacing w:after="200"/>
        <w:rPr>
          <w:color w:val="000000"/>
        </w:rPr>
      </w:pPr>
      <w:r w:rsidRPr="0051659B">
        <w:rPr>
          <w:color w:val="000000"/>
        </w:rPr>
        <w:t xml:space="preserve">Voluntarily prepare robust summaries of the studies; </w:t>
      </w:r>
    </w:p>
    <w:p w:rsidR="00E53AB2" w:rsidRDefault="00717D58">
      <w:pPr>
        <w:widowControl w:val="0"/>
        <w:numPr>
          <w:ilvl w:val="0"/>
          <w:numId w:val="29"/>
        </w:numPr>
        <w:spacing w:after="200"/>
        <w:rPr>
          <w:color w:val="000000"/>
        </w:rPr>
      </w:pPr>
      <w:r w:rsidRPr="0051659B">
        <w:rPr>
          <w:color w:val="000000"/>
        </w:rPr>
        <w:t>Review the responses for possible confidential business information; and</w:t>
      </w:r>
    </w:p>
    <w:p w:rsidR="00E53AB2" w:rsidRDefault="00717D58">
      <w:pPr>
        <w:widowControl w:val="0"/>
        <w:numPr>
          <w:ilvl w:val="0"/>
          <w:numId w:val="29"/>
        </w:numPr>
        <w:spacing w:after="200"/>
        <w:rPr>
          <w:color w:val="000000"/>
        </w:rPr>
      </w:pPr>
      <w:r w:rsidRPr="0051659B">
        <w:rPr>
          <w:color w:val="000000"/>
        </w:rPr>
        <w:t>After initial study submissions, notify EPA when other studies are initiated; submit studies completed after the reporting period.</w:t>
      </w:r>
    </w:p>
    <w:p w:rsidR="00E53AB2" w:rsidRDefault="00717D58">
      <w:pPr>
        <w:widowControl w:val="0"/>
        <w:ind w:firstLine="720"/>
        <w:rPr>
          <w:color w:val="000000"/>
        </w:rPr>
      </w:pPr>
      <w:r>
        <w:rPr>
          <w:color w:val="000000"/>
        </w:rPr>
        <w:t>The unit burden associated with each of these tasks is discussed in more detail below and then summarized in Table</w:t>
      </w:r>
      <w:r w:rsidR="006471F0">
        <w:rPr>
          <w:color w:val="000000"/>
        </w:rPr>
        <w:t>s</w:t>
      </w:r>
      <w:r>
        <w:rPr>
          <w:color w:val="000000"/>
        </w:rPr>
        <w:t xml:space="preserve"> </w:t>
      </w:r>
      <w:r w:rsidR="004B2FCD">
        <w:rPr>
          <w:color w:val="000000"/>
        </w:rPr>
        <w:t>5</w:t>
      </w:r>
      <w:r w:rsidR="006471F0">
        <w:rPr>
          <w:color w:val="000000"/>
        </w:rPr>
        <w:t xml:space="preserve"> and </w:t>
      </w:r>
      <w:r w:rsidR="004B2FCD">
        <w:rPr>
          <w:color w:val="000000"/>
        </w:rPr>
        <w:t>6</w:t>
      </w:r>
      <w:r>
        <w:rPr>
          <w:color w:val="000000"/>
        </w:rPr>
        <w:t>.</w:t>
      </w:r>
      <w:r w:rsidR="006471F0" w:rsidRPr="006471F0">
        <w:rPr>
          <w:color w:val="000000"/>
        </w:rPr>
        <w:t xml:space="preserve"> </w:t>
      </w:r>
      <w:r w:rsidR="006471F0">
        <w:rPr>
          <w:color w:val="000000"/>
        </w:rPr>
        <w:t>These unit burden estimates are average values.  As with any average, some firms will be above the average and others will be below it.  Large multi-divisional, multi-departmental firms may require more than the average time to comply.  However, there are smaller firms that are less complicated, and these firms may have a simpler process that requires less time than the average.</w:t>
      </w:r>
    </w:p>
    <w:p w:rsidR="00E53AB2" w:rsidRDefault="00E53AB2">
      <w:pPr>
        <w:widowControl w:val="0"/>
        <w:rPr>
          <w:color w:val="000000"/>
        </w:rPr>
      </w:pPr>
    </w:p>
    <w:p w:rsidR="006471F0" w:rsidRDefault="006471F0" w:rsidP="006471F0">
      <w:pPr>
        <w:widowControl w:val="0"/>
        <w:ind w:firstLine="720"/>
        <w:rPr>
          <w:b/>
          <w:color w:val="000000"/>
        </w:rPr>
      </w:pPr>
      <w:r>
        <w:rPr>
          <w:b/>
          <w:color w:val="000000"/>
        </w:rPr>
        <w:t xml:space="preserve">   (</w:t>
      </w:r>
      <w:proofErr w:type="spellStart"/>
      <w:r>
        <w:rPr>
          <w:b/>
          <w:color w:val="000000"/>
        </w:rPr>
        <w:t>i</w:t>
      </w:r>
      <w:proofErr w:type="spellEnd"/>
      <w:r>
        <w:rPr>
          <w:b/>
          <w:color w:val="000000"/>
        </w:rPr>
        <w:t>) Typical Case</w:t>
      </w:r>
    </w:p>
    <w:p w:rsidR="006471F0" w:rsidRDefault="006471F0" w:rsidP="006471F0">
      <w:pPr>
        <w:widowControl w:val="0"/>
        <w:ind w:firstLine="720"/>
        <w:rPr>
          <w:color w:val="000000"/>
        </w:rPr>
      </w:pPr>
    </w:p>
    <w:p w:rsidR="00E53AB2" w:rsidRDefault="00717D58">
      <w:pPr>
        <w:widowControl w:val="0"/>
        <w:ind w:firstLine="720"/>
        <w:rPr>
          <w:color w:val="000000"/>
        </w:rPr>
      </w:pPr>
      <w:r>
        <w:rPr>
          <w:color w:val="000000"/>
          <w:u w:val="single"/>
        </w:rPr>
        <w:t>Step 1.  Review the Rule</w:t>
      </w:r>
      <w:r>
        <w:rPr>
          <w:color w:val="000000"/>
        </w:rPr>
        <w:t xml:space="preserve">.  Firms in the relevant industries that may have unpublished health and safety studies will have to determine whether they manufacture a listed chemical and thus may be required to report.  If so, they will have to review the rule in detail to understand its requirements, such as the types of health and safety studies EPA is asking for, the grade or purity of the test material, and the time frame of the reporting period.  </w:t>
      </w:r>
    </w:p>
    <w:p w:rsidR="00E53AB2" w:rsidRDefault="00E53AB2">
      <w:pPr>
        <w:widowControl w:val="0"/>
        <w:rPr>
          <w:color w:val="000000"/>
        </w:rPr>
      </w:pPr>
    </w:p>
    <w:p w:rsidR="00E53AB2" w:rsidRDefault="00717D58">
      <w:pPr>
        <w:widowControl w:val="0"/>
        <w:rPr>
          <w:color w:val="000000"/>
        </w:rPr>
      </w:pPr>
      <w:r>
        <w:rPr>
          <w:color w:val="000000"/>
        </w:rPr>
        <w:tab/>
        <w:t xml:space="preserve">Note that unless EPA specifies otherwise, the coverage of section 8(d) rules is limited to chemical manufacturers and petroleum refineries.  Most firms in these industries will not manufacture a listed chemical, and many will spend a </w:t>
      </w:r>
      <w:r w:rsidRPr="00862D41">
        <w:rPr>
          <w:color w:val="000000"/>
        </w:rPr>
        <w:t xml:space="preserve">de minimis </w:t>
      </w:r>
      <w:r>
        <w:rPr>
          <w:color w:val="000000"/>
        </w:rPr>
        <w:t>amount of time making that determination.  Those firms that manufacture a listed chemical must review the rule to understand its specific requirements.  This is estimated to take an average of two hours of managerial time for each firm manufacturing a listed chemical.</w:t>
      </w:r>
    </w:p>
    <w:p w:rsidR="00E53AB2" w:rsidRDefault="00E53AB2">
      <w:pPr>
        <w:widowControl w:val="0"/>
        <w:rPr>
          <w:color w:val="000000"/>
        </w:rPr>
      </w:pPr>
    </w:p>
    <w:p w:rsidR="00E53AB2" w:rsidRDefault="00717D58">
      <w:pPr>
        <w:widowControl w:val="0"/>
        <w:ind w:firstLine="720"/>
        <w:rPr>
          <w:color w:val="000000"/>
        </w:rPr>
      </w:pPr>
      <w:r>
        <w:rPr>
          <w:color w:val="000000"/>
          <w:u w:val="single"/>
        </w:rPr>
        <w:t>Step 2.  Conduct Corporate Review for Site Identification.</w:t>
      </w:r>
      <w:r>
        <w:rPr>
          <w:color w:val="000000"/>
        </w:rPr>
        <w:t xml:space="preserve">  Firms that manufacture a listed chemical will need to conduct a corporate review to identify which of the firm’s sites must be searched for appropriate health and safety studies.  This corporate review is estimated to require an average of three managerial hours per firm.</w:t>
      </w:r>
    </w:p>
    <w:p w:rsidR="00E53AB2" w:rsidRDefault="00E53AB2">
      <w:pPr>
        <w:widowControl w:val="0"/>
        <w:rPr>
          <w:color w:val="000000"/>
        </w:rPr>
      </w:pPr>
    </w:p>
    <w:p w:rsidR="00E53AB2" w:rsidRDefault="00717D58">
      <w:pPr>
        <w:widowControl w:val="0"/>
        <w:ind w:firstLine="720"/>
        <w:rPr>
          <w:color w:val="000000"/>
        </w:rPr>
      </w:pPr>
      <w:r>
        <w:rPr>
          <w:color w:val="000000"/>
          <w:u w:val="single"/>
        </w:rPr>
        <w:t>Step 3.  Conduct Site File Search</w:t>
      </w:r>
      <w:r>
        <w:rPr>
          <w:color w:val="000000"/>
        </w:rPr>
        <w:t xml:space="preserve">.  Firms that manufacture a listed chemical must search the files at appropriate sites to look for studies that are responsive to the TSCA section 8(d) rule.  It is estimated </w:t>
      </w:r>
      <w:r>
        <w:rPr>
          <w:color w:val="000000"/>
        </w:rPr>
        <w:lastRenderedPageBreak/>
        <w:t xml:space="preserve">that the search will take an average of three hours of technical time per site.  Per Table 3, there is an average of 1.5 sites per firm manufacturing a listed chemical.  This yields an average burden of 4.5 technical hours per firm for site file searching (3 hours per site * 1.5 sites per firm).  </w:t>
      </w:r>
    </w:p>
    <w:p w:rsidR="00E53AB2" w:rsidRDefault="00E53AB2">
      <w:pPr>
        <w:widowControl w:val="0"/>
        <w:rPr>
          <w:color w:val="000000"/>
        </w:rPr>
      </w:pPr>
    </w:p>
    <w:p w:rsidR="00E53AB2" w:rsidRDefault="00717D58">
      <w:pPr>
        <w:widowControl w:val="0"/>
        <w:ind w:firstLine="720"/>
        <w:rPr>
          <w:color w:val="000000"/>
        </w:rPr>
      </w:pPr>
      <w:r>
        <w:rPr>
          <w:color w:val="000000"/>
          <w:u w:val="single"/>
        </w:rPr>
        <w:t>Step 4.  Provide Study Title Lists</w:t>
      </w:r>
      <w:r>
        <w:rPr>
          <w:color w:val="000000"/>
        </w:rPr>
        <w:t xml:space="preserve">.  Respondents are required to submit lists containing the titles of any studies being submitted, titles of studies that are initiated or ongoing during the reporting period but that have not been completed yet, titles of any unpublished studies that the respondent knows to exist but does not have in its possession, and titles of studies previously submitted to other federal agencies without confidentiality claims.  Because the major burden of compiling this list was incurred during the file search, the only significant remaining burden is the clerical time involved in transcribing the lists.  The transcription is estimated to require an average of one hour of time per firm.  </w:t>
      </w:r>
    </w:p>
    <w:p w:rsidR="00E53AB2" w:rsidRDefault="00E53AB2">
      <w:pPr>
        <w:widowControl w:val="0"/>
        <w:rPr>
          <w:color w:val="000000"/>
        </w:rPr>
      </w:pPr>
    </w:p>
    <w:p w:rsidR="00E53AB2" w:rsidRDefault="00717D58">
      <w:pPr>
        <w:widowControl w:val="0"/>
        <w:ind w:firstLine="720"/>
        <w:rPr>
          <w:color w:val="000000"/>
        </w:rPr>
      </w:pPr>
      <w:r>
        <w:rPr>
          <w:color w:val="000000"/>
          <w:u w:val="single"/>
        </w:rPr>
        <w:t>Step 5.  Photocopy Studies.</w:t>
      </w:r>
      <w:r>
        <w:rPr>
          <w:color w:val="000000"/>
        </w:rPr>
        <w:t xml:space="preserve">  As shown in Table 3, there is a per-firm average of 9 studies with an average page length of 20 pages, for an average of 180 pages per firm.  Copying the studies to be submitted is estimated to require an average of 1 hour of clerical time per firm</w:t>
      </w:r>
      <w:r w:rsidR="008308E8">
        <w:rPr>
          <w:color w:val="000000"/>
        </w:rPr>
        <w:t xml:space="preserve"> for each study</w:t>
      </w:r>
      <w:r>
        <w:rPr>
          <w:color w:val="000000"/>
        </w:rPr>
        <w:t xml:space="preserve">. </w:t>
      </w:r>
    </w:p>
    <w:p w:rsidR="00E53AB2" w:rsidRDefault="00E53AB2">
      <w:pPr>
        <w:widowControl w:val="0"/>
        <w:rPr>
          <w:color w:val="000000"/>
        </w:rPr>
      </w:pPr>
    </w:p>
    <w:p w:rsidR="00E53AB2" w:rsidRDefault="00717D58">
      <w:pPr>
        <w:widowControl w:val="0"/>
        <w:ind w:firstLine="720"/>
        <w:rPr>
          <w:color w:val="000000"/>
        </w:rPr>
      </w:pPr>
      <w:r>
        <w:rPr>
          <w:color w:val="000000"/>
          <w:u w:val="single"/>
        </w:rPr>
        <w:t>Step 6.  Prepare Robust Summaries.</w:t>
      </w:r>
      <w:r>
        <w:rPr>
          <w:color w:val="000000"/>
        </w:rPr>
        <w:t xml:space="preserve">    Respondents may choose to develop and submit robust summaries of the full toxicological study reports.  The robust summaries should contain technical information to adequately describe the study and results, and should be written such that the information provided is sufficient to allow a technically qualified person to evaluate study results without needing to review an entire study report.  Typically, a robust summary would include a description of the test substance, methods, results, conclusions, data quality description, and references associated with the full study.  </w:t>
      </w:r>
      <w:r w:rsidRPr="009629EB">
        <w:rPr>
          <w:color w:val="000000"/>
        </w:rPr>
        <w:t>It is estimated that 8 to 16 hours of technical time are needed to develop and QA/QC a robust summary, depending on the type of study conducted.  This analysis assumes an average of 12 hours of technical time to prepare a robust summary.  Because submission of robust summaries is voluntary, EPA does not expect that many companies will undertake this activity.  EPA estimate</w:t>
      </w:r>
      <w:r>
        <w:rPr>
          <w:color w:val="000000"/>
        </w:rPr>
        <w:t>s</w:t>
      </w:r>
      <w:r w:rsidRPr="009629EB">
        <w:rPr>
          <w:color w:val="000000"/>
        </w:rPr>
        <w:t xml:space="preserve"> that 10% of studies may include a robust summary.</w:t>
      </w:r>
      <w:r>
        <w:rPr>
          <w:color w:val="000000"/>
        </w:rPr>
        <w:t xml:space="preserve">  As shown in Table 3, there is a per-firm average of 9 studies which yields 0.9 robust summaries per firm.  Rounding to one robust summary per firm, the estimated average burden per firm for robust summaries is 12 hours of technical time (1 robust summary * 12 hours/summary).</w:t>
      </w:r>
    </w:p>
    <w:p w:rsidR="00E53AB2" w:rsidRDefault="00E53AB2">
      <w:pPr>
        <w:widowControl w:val="0"/>
        <w:rPr>
          <w:color w:val="000000"/>
        </w:rPr>
      </w:pPr>
    </w:p>
    <w:p w:rsidR="00E53AB2" w:rsidRDefault="00717D58">
      <w:pPr>
        <w:widowControl w:val="0"/>
        <w:ind w:firstLine="720"/>
        <w:rPr>
          <w:color w:val="000000"/>
        </w:rPr>
      </w:pPr>
      <w:r>
        <w:rPr>
          <w:color w:val="000000"/>
          <w:u w:val="single"/>
        </w:rPr>
        <w:t>Step 7.  Review Responses for Confidential Business Information.</w:t>
      </w:r>
      <w:r>
        <w:rPr>
          <w:color w:val="000000"/>
        </w:rPr>
        <w:t xml:space="preserve">  Firms will need to review responses for possible confidential business information (CBI) and delete any material that is considered by the firm to be CBI from one copy of the study.  (Another copy must be submitted without deletions.)  As shown in Table 3, there is a per-firm average of 9 studies with an average page length of 20 pages.  CBI review is estimated to take an average of one hour of managerial time for each study.  This results in an estimate that CBI review will require an average of </w:t>
      </w:r>
      <w:r w:rsidR="008308E8">
        <w:rPr>
          <w:color w:val="000000"/>
        </w:rPr>
        <w:t xml:space="preserve">1 </w:t>
      </w:r>
      <w:r>
        <w:rPr>
          <w:color w:val="000000"/>
        </w:rPr>
        <w:t>hour of managerial time per firm</w:t>
      </w:r>
      <w:r w:rsidR="008308E8">
        <w:rPr>
          <w:color w:val="000000"/>
        </w:rPr>
        <w:t xml:space="preserve"> for each study</w:t>
      </w:r>
      <w:r>
        <w:rPr>
          <w:color w:val="000000"/>
        </w:rPr>
        <w:t>.</w:t>
      </w:r>
    </w:p>
    <w:p w:rsidR="00E53AB2" w:rsidRDefault="00E53AB2">
      <w:pPr>
        <w:widowControl w:val="0"/>
        <w:rPr>
          <w:color w:val="000000"/>
        </w:rPr>
      </w:pPr>
    </w:p>
    <w:p w:rsidR="00E53AB2" w:rsidRDefault="00717D58">
      <w:pPr>
        <w:widowControl w:val="0"/>
        <w:ind w:firstLine="720"/>
        <w:rPr>
          <w:color w:val="000000"/>
        </w:rPr>
      </w:pPr>
      <w:r>
        <w:rPr>
          <w:color w:val="000000"/>
          <w:u w:val="single"/>
        </w:rPr>
        <w:t>Step 8.  Post-Reporting Period:  Submit Ongoing or Newly Initiated Studies.</w:t>
      </w:r>
      <w:r>
        <w:rPr>
          <w:color w:val="000000"/>
        </w:rPr>
        <w:t xml:space="preserve">  Firms that have an ongoing or newly initiated study during the reporting period are required to provide EPA with a copy of the study once it is completed.  Photocopying is estimated to require an average of 0.1 hours per firm of clerical labor and CBI review will require an average of one hour of managerial time.</w:t>
      </w:r>
    </w:p>
    <w:p w:rsidR="00E53AB2" w:rsidRDefault="00E53AB2">
      <w:pPr>
        <w:widowControl w:val="0"/>
        <w:ind w:firstLine="720"/>
        <w:rPr>
          <w:color w:val="000000"/>
          <w:szCs w:val="24"/>
        </w:rPr>
      </w:pPr>
    </w:p>
    <w:p w:rsidR="00E53AB2" w:rsidRDefault="00717D58">
      <w:pPr>
        <w:widowControl w:val="0"/>
        <w:ind w:firstLine="720"/>
        <w:rPr>
          <w:color w:val="000000"/>
        </w:rPr>
      </w:pPr>
      <w:r w:rsidRPr="00706128">
        <w:rPr>
          <w:color w:val="000000"/>
          <w:szCs w:val="24"/>
        </w:rPr>
        <w:t xml:space="preserve">Table </w:t>
      </w:r>
      <w:r w:rsidR="0036481A">
        <w:rPr>
          <w:color w:val="000000"/>
          <w:szCs w:val="24"/>
        </w:rPr>
        <w:t>5</w:t>
      </w:r>
      <w:r w:rsidR="0036481A" w:rsidRPr="00706128">
        <w:rPr>
          <w:color w:val="000000"/>
          <w:szCs w:val="24"/>
        </w:rPr>
        <w:t xml:space="preserve"> </w:t>
      </w:r>
      <w:r w:rsidRPr="00706128">
        <w:rPr>
          <w:color w:val="000000"/>
          <w:szCs w:val="24"/>
        </w:rPr>
        <w:t xml:space="preserve">summarizes unit burden </w:t>
      </w:r>
      <w:r>
        <w:rPr>
          <w:color w:val="000000"/>
          <w:szCs w:val="24"/>
        </w:rPr>
        <w:t>estimates.</w:t>
      </w:r>
      <w:r w:rsidRPr="00706128">
        <w:rPr>
          <w:color w:val="000000"/>
          <w:szCs w:val="24"/>
        </w:rPr>
        <w:t xml:space="preserve"> </w:t>
      </w:r>
      <w:r>
        <w:rPr>
          <w:color w:val="000000"/>
          <w:szCs w:val="24"/>
        </w:rPr>
        <w:t>These estimates a</w:t>
      </w:r>
      <w:r>
        <w:rPr>
          <w:color w:val="000000"/>
        </w:rPr>
        <w:t>ssume that reporting is similar to the 2006 experience (see Tables 1-3).</w:t>
      </w:r>
      <w:r w:rsidRPr="00281DA5">
        <w:rPr>
          <w:color w:val="000000"/>
        </w:rPr>
        <w:t xml:space="preserve"> </w:t>
      </w:r>
      <w:r>
        <w:rPr>
          <w:color w:val="000000"/>
        </w:rPr>
        <w:t xml:space="preserve">Note also that not all respondents incur every aspect of reporting burden. The proportion of affected respondents are indicated by weights in Table </w:t>
      </w:r>
      <w:r w:rsidR="0036481A">
        <w:rPr>
          <w:color w:val="000000"/>
        </w:rPr>
        <w:t>5</w:t>
      </w:r>
      <w:r>
        <w:rPr>
          <w:color w:val="000000"/>
        </w:rPr>
        <w:t xml:space="preserve">, with a weight of one assigned to steps which affect all respondents.  </w:t>
      </w:r>
    </w:p>
    <w:p w:rsidR="00E53AB2" w:rsidRDefault="00E53AB2">
      <w:pPr>
        <w:widowControl w:val="0"/>
        <w:ind w:firstLine="720"/>
        <w:rPr>
          <w:color w:val="000000"/>
        </w:rPr>
      </w:pPr>
    </w:p>
    <w:tbl>
      <w:tblPr>
        <w:tblW w:w="9476" w:type="dxa"/>
        <w:jc w:val="center"/>
        <w:tblLook w:val="04A0"/>
      </w:tblPr>
      <w:tblGrid>
        <w:gridCol w:w="4785"/>
        <w:gridCol w:w="1483"/>
        <w:gridCol w:w="1588"/>
        <w:gridCol w:w="1620"/>
      </w:tblGrid>
      <w:tr w:rsidR="00717D58" w:rsidRPr="00B57823" w:rsidTr="00F21A45">
        <w:trPr>
          <w:jc w:val="center"/>
        </w:trPr>
        <w:tc>
          <w:tcPr>
            <w:tcW w:w="7856" w:type="dxa"/>
            <w:gridSpan w:val="3"/>
            <w:tcBorders>
              <w:top w:val="nil"/>
              <w:left w:val="nil"/>
              <w:bottom w:val="nil"/>
              <w:right w:val="nil"/>
            </w:tcBorders>
            <w:shd w:val="clear" w:color="auto" w:fill="auto"/>
            <w:noWrap/>
            <w:vAlign w:val="bottom"/>
            <w:hideMark/>
          </w:tcPr>
          <w:p w:rsidR="00E53AB2" w:rsidRDefault="00717D58" w:rsidP="0036481A">
            <w:pPr>
              <w:rPr>
                <w:b/>
                <w:bCs/>
                <w:color w:val="000000"/>
                <w:szCs w:val="24"/>
              </w:rPr>
            </w:pPr>
            <w:r w:rsidRPr="00B57823">
              <w:rPr>
                <w:b/>
                <w:bCs/>
                <w:color w:val="000000"/>
                <w:szCs w:val="24"/>
              </w:rPr>
              <w:lastRenderedPageBreak/>
              <w:t xml:space="preserve">Table </w:t>
            </w:r>
            <w:r w:rsidR="0036481A">
              <w:rPr>
                <w:b/>
                <w:bCs/>
                <w:color w:val="000000"/>
                <w:szCs w:val="24"/>
              </w:rPr>
              <w:t>5</w:t>
            </w:r>
            <w:r w:rsidRPr="00B57823">
              <w:rPr>
                <w:b/>
                <w:bCs/>
                <w:color w:val="000000"/>
                <w:szCs w:val="24"/>
              </w:rPr>
              <w:t>.  Unit Burden for TSCA Section 8(d) Reporting</w:t>
            </w:r>
            <w:r w:rsidR="0036481A">
              <w:rPr>
                <w:b/>
                <w:bCs/>
                <w:color w:val="000000"/>
                <w:szCs w:val="24"/>
              </w:rPr>
              <w:t xml:space="preserve"> (Typical)</w:t>
            </w:r>
          </w:p>
        </w:tc>
        <w:tc>
          <w:tcPr>
            <w:tcW w:w="1620" w:type="dxa"/>
            <w:tcBorders>
              <w:top w:val="nil"/>
              <w:left w:val="nil"/>
              <w:bottom w:val="nil"/>
              <w:right w:val="nil"/>
            </w:tcBorders>
            <w:shd w:val="clear" w:color="auto" w:fill="auto"/>
            <w:noWrap/>
            <w:vAlign w:val="bottom"/>
            <w:hideMark/>
          </w:tcPr>
          <w:p w:rsidR="00E53AB2" w:rsidRDefault="00E53AB2">
            <w:pPr>
              <w:rPr>
                <w:rFonts w:ascii="Calibri" w:hAnsi="Calibri" w:cs="Calibri"/>
                <w:color w:val="000000"/>
                <w:sz w:val="22"/>
                <w:szCs w:val="22"/>
              </w:rPr>
            </w:pPr>
          </w:p>
        </w:tc>
      </w:tr>
      <w:tr w:rsidR="00717D58" w:rsidRPr="00B57823" w:rsidTr="00F21A45">
        <w:trPr>
          <w:jc w:val="center"/>
        </w:trPr>
        <w:tc>
          <w:tcPr>
            <w:tcW w:w="4785" w:type="dxa"/>
            <w:tcBorders>
              <w:top w:val="double" w:sz="6" w:space="0" w:color="000000"/>
              <w:left w:val="double" w:sz="6" w:space="0" w:color="000000"/>
              <w:bottom w:val="double" w:sz="6" w:space="0" w:color="000000"/>
              <w:right w:val="nil"/>
            </w:tcBorders>
            <w:shd w:val="clear" w:color="auto" w:fill="auto"/>
            <w:vAlign w:val="center"/>
            <w:hideMark/>
          </w:tcPr>
          <w:p w:rsidR="00E53AB2" w:rsidRDefault="00646BB0">
            <w:pPr>
              <w:jc w:val="center"/>
              <w:rPr>
                <w:b/>
                <w:bCs/>
                <w:color w:val="000000"/>
                <w:sz w:val="20"/>
              </w:rPr>
            </w:pPr>
            <w:r w:rsidRPr="00646BB0">
              <w:rPr>
                <w:b/>
                <w:bCs/>
                <w:color w:val="000000"/>
                <w:sz w:val="20"/>
              </w:rPr>
              <w:t>Collection Activity</w:t>
            </w:r>
          </w:p>
        </w:tc>
        <w:tc>
          <w:tcPr>
            <w:tcW w:w="1483" w:type="dxa"/>
            <w:tcBorders>
              <w:top w:val="double" w:sz="6" w:space="0" w:color="000000"/>
              <w:left w:val="double" w:sz="6" w:space="0" w:color="000000"/>
              <w:bottom w:val="double" w:sz="6" w:space="0" w:color="000000"/>
              <w:right w:val="double" w:sz="6"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Affected Respondents (Weight)*</w:t>
            </w:r>
          </w:p>
        </w:tc>
        <w:tc>
          <w:tcPr>
            <w:tcW w:w="1588" w:type="dxa"/>
            <w:tcBorders>
              <w:top w:val="double" w:sz="6" w:space="0" w:color="000000"/>
              <w:left w:val="nil"/>
              <w:bottom w:val="double" w:sz="6" w:space="0" w:color="000000"/>
              <w:right w:val="single" w:sz="8"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Average Burden per Firm, hours</w:t>
            </w:r>
          </w:p>
        </w:tc>
        <w:tc>
          <w:tcPr>
            <w:tcW w:w="1620" w:type="dxa"/>
            <w:tcBorders>
              <w:top w:val="double" w:sz="6" w:space="0" w:color="000000"/>
              <w:left w:val="nil"/>
              <w:bottom w:val="double" w:sz="6" w:space="0" w:color="000000"/>
              <w:right w:val="double" w:sz="6"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Labor Category</w:t>
            </w:r>
          </w:p>
        </w:tc>
      </w:tr>
      <w:tr w:rsidR="00717D58" w:rsidRPr="00B57823" w:rsidTr="00F21A45">
        <w:trPr>
          <w:jc w:val="center"/>
        </w:trPr>
        <w:tc>
          <w:tcPr>
            <w:tcW w:w="4785" w:type="dxa"/>
            <w:tcBorders>
              <w:top w:val="nil"/>
              <w:left w:val="double" w:sz="6" w:space="0" w:color="000000"/>
              <w:bottom w:val="single" w:sz="4" w:space="0" w:color="000000"/>
              <w:right w:val="single" w:sz="4" w:space="0" w:color="000000"/>
            </w:tcBorders>
            <w:shd w:val="clear" w:color="auto" w:fill="auto"/>
            <w:vAlign w:val="center"/>
            <w:hideMark/>
          </w:tcPr>
          <w:p w:rsidR="00E53AB2" w:rsidRDefault="00646BB0">
            <w:pPr>
              <w:widowControl w:val="0"/>
              <w:rPr>
                <w:color w:val="000000"/>
                <w:sz w:val="20"/>
              </w:rPr>
            </w:pPr>
            <w:r w:rsidRPr="00646BB0">
              <w:rPr>
                <w:color w:val="000000"/>
                <w:sz w:val="20"/>
              </w:rPr>
              <w:t>1. Review of Rule</w:t>
            </w:r>
          </w:p>
        </w:tc>
        <w:tc>
          <w:tcPr>
            <w:tcW w:w="1483" w:type="dxa"/>
            <w:tcBorders>
              <w:top w:val="nil"/>
              <w:left w:val="nil"/>
              <w:bottom w:val="single" w:sz="4" w:space="0" w:color="000000"/>
              <w:right w:val="single" w:sz="4" w:space="0" w:color="000000"/>
            </w:tcBorders>
            <w:shd w:val="clear" w:color="auto" w:fill="auto"/>
            <w:noWrap/>
            <w:vAlign w:val="center"/>
            <w:hideMark/>
          </w:tcPr>
          <w:p w:rsidR="00E53AB2" w:rsidRDefault="00646BB0">
            <w:pPr>
              <w:jc w:val="center"/>
              <w:rPr>
                <w:color w:val="000000"/>
                <w:sz w:val="20"/>
              </w:rPr>
            </w:pPr>
            <w:r w:rsidRPr="00646BB0">
              <w:rPr>
                <w:color w:val="000000"/>
                <w:sz w:val="20"/>
              </w:rPr>
              <w:t>1.000</w:t>
            </w:r>
          </w:p>
        </w:tc>
        <w:tc>
          <w:tcPr>
            <w:tcW w:w="1588" w:type="dxa"/>
            <w:tcBorders>
              <w:top w:val="nil"/>
              <w:left w:val="nil"/>
              <w:bottom w:val="single" w:sz="4"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2</w:t>
            </w:r>
          </w:p>
        </w:tc>
        <w:tc>
          <w:tcPr>
            <w:tcW w:w="1620" w:type="dxa"/>
            <w:tcBorders>
              <w:top w:val="nil"/>
              <w:left w:val="nil"/>
              <w:bottom w:val="single" w:sz="4" w:space="0" w:color="000000"/>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managerial</w:t>
            </w:r>
          </w:p>
        </w:tc>
      </w:tr>
      <w:tr w:rsidR="00717D58" w:rsidRPr="00B57823" w:rsidTr="00F21A45">
        <w:trPr>
          <w:jc w:val="center"/>
        </w:trPr>
        <w:tc>
          <w:tcPr>
            <w:tcW w:w="4785" w:type="dxa"/>
            <w:tcBorders>
              <w:top w:val="nil"/>
              <w:left w:val="double" w:sz="6" w:space="0" w:color="000000"/>
              <w:bottom w:val="single" w:sz="4" w:space="0" w:color="000000"/>
              <w:right w:val="single" w:sz="4" w:space="0" w:color="000000"/>
            </w:tcBorders>
            <w:shd w:val="clear" w:color="auto" w:fill="auto"/>
            <w:vAlign w:val="center"/>
            <w:hideMark/>
          </w:tcPr>
          <w:p w:rsidR="00E53AB2" w:rsidRDefault="00646BB0">
            <w:pPr>
              <w:rPr>
                <w:color w:val="000000"/>
                <w:sz w:val="20"/>
              </w:rPr>
            </w:pPr>
            <w:r w:rsidRPr="00646BB0">
              <w:rPr>
                <w:color w:val="000000"/>
                <w:sz w:val="20"/>
              </w:rPr>
              <w:t>2. Site Identification</w:t>
            </w:r>
          </w:p>
        </w:tc>
        <w:tc>
          <w:tcPr>
            <w:tcW w:w="1483" w:type="dxa"/>
            <w:tcBorders>
              <w:top w:val="nil"/>
              <w:left w:val="nil"/>
              <w:bottom w:val="single" w:sz="4" w:space="0" w:color="000000"/>
              <w:right w:val="single" w:sz="4" w:space="0" w:color="000000"/>
            </w:tcBorders>
            <w:shd w:val="clear" w:color="auto" w:fill="auto"/>
            <w:noWrap/>
            <w:vAlign w:val="center"/>
            <w:hideMark/>
          </w:tcPr>
          <w:p w:rsidR="00E53AB2" w:rsidRDefault="00646BB0">
            <w:pPr>
              <w:jc w:val="center"/>
              <w:rPr>
                <w:color w:val="000000"/>
                <w:sz w:val="20"/>
              </w:rPr>
            </w:pPr>
            <w:r w:rsidRPr="00646BB0">
              <w:rPr>
                <w:color w:val="000000"/>
                <w:sz w:val="20"/>
              </w:rPr>
              <w:t>1.000</w:t>
            </w:r>
          </w:p>
        </w:tc>
        <w:tc>
          <w:tcPr>
            <w:tcW w:w="1588" w:type="dxa"/>
            <w:tcBorders>
              <w:top w:val="nil"/>
              <w:left w:val="nil"/>
              <w:bottom w:val="single" w:sz="4"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3</w:t>
            </w:r>
          </w:p>
        </w:tc>
        <w:tc>
          <w:tcPr>
            <w:tcW w:w="1620" w:type="dxa"/>
            <w:tcBorders>
              <w:top w:val="nil"/>
              <w:left w:val="nil"/>
              <w:bottom w:val="single" w:sz="4" w:space="0" w:color="000000"/>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managerial</w:t>
            </w:r>
          </w:p>
        </w:tc>
      </w:tr>
      <w:tr w:rsidR="00717D58" w:rsidRPr="00B57823" w:rsidTr="00F21A45">
        <w:trPr>
          <w:jc w:val="center"/>
        </w:trPr>
        <w:tc>
          <w:tcPr>
            <w:tcW w:w="4785" w:type="dxa"/>
            <w:tcBorders>
              <w:top w:val="nil"/>
              <w:left w:val="double" w:sz="6" w:space="0" w:color="000000"/>
              <w:bottom w:val="single" w:sz="4" w:space="0" w:color="000000"/>
              <w:right w:val="single" w:sz="4" w:space="0" w:color="000000"/>
            </w:tcBorders>
            <w:shd w:val="clear" w:color="auto" w:fill="auto"/>
            <w:vAlign w:val="center"/>
            <w:hideMark/>
          </w:tcPr>
          <w:p w:rsidR="00E53AB2" w:rsidRDefault="00646BB0">
            <w:pPr>
              <w:rPr>
                <w:color w:val="000000"/>
                <w:sz w:val="20"/>
              </w:rPr>
            </w:pPr>
            <w:r w:rsidRPr="00646BB0">
              <w:rPr>
                <w:color w:val="000000"/>
                <w:sz w:val="20"/>
              </w:rPr>
              <w:t>3. Site File Search**</w:t>
            </w:r>
          </w:p>
        </w:tc>
        <w:tc>
          <w:tcPr>
            <w:tcW w:w="1483" w:type="dxa"/>
            <w:tcBorders>
              <w:top w:val="nil"/>
              <w:left w:val="nil"/>
              <w:bottom w:val="single" w:sz="4" w:space="0" w:color="000000"/>
              <w:right w:val="single" w:sz="4" w:space="0" w:color="000000"/>
            </w:tcBorders>
            <w:shd w:val="clear" w:color="auto" w:fill="auto"/>
            <w:noWrap/>
            <w:vAlign w:val="center"/>
            <w:hideMark/>
          </w:tcPr>
          <w:p w:rsidR="00E53AB2" w:rsidRDefault="00646BB0">
            <w:pPr>
              <w:jc w:val="center"/>
              <w:rPr>
                <w:color w:val="000000"/>
                <w:sz w:val="20"/>
              </w:rPr>
            </w:pPr>
            <w:r w:rsidRPr="00646BB0">
              <w:rPr>
                <w:color w:val="000000"/>
                <w:sz w:val="20"/>
              </w:rPr>
              <w:t>1.000</w:t>
            </w:r>
          </w:p>
        </w:tc>
        <w:tc>
          <w:tcPr>
            <w:tcW w:w="1588" w:type="dxa"/>
            <w:tcBorders>
              <w:top w:val="nil"/>
              <w:left w:val="nil"/>
              <w:bottom w:val="single" w:sz="4"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4.5</w:t>
            </w:r>
          </w:p>
        </w:tc>
        <w:tc>
          <w:tcPr>
            <w:tcW w:w="1620" w:type="dxa"/>
            <w:tcBorders>
              <w:top w:val="nil"/>
              <w:left w:val="nil"/>
              <w:bottom w:val="single" w:sz="4" w:space="0" w:color="000000"/>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technical</w:t>
            </w:r>
          </w:p>
        </w:tc>
      </w:tr>
      <w:tr w:rsidR="00717D58" w:rsidRPr="00B57823" w:rsidTr="00F21A45">
        <w:trPr>
          <w:jc w:val="center"/>
        </w:trPr>
        <w:tc>
          <w:tcPr>
            <w:tcW w:w="4785" w:type="dxa"/>
            <w:tcBorders>
              <w:top w:val="nil"/>
              <w:left w:val="double" w:sz="6" w:space="0" w:color="000000"/>
              <w:bottom w:val="single" w:sz="4" w:space="0" w:color="000000"/>
              <w:right w:val="single" w:sz="4" w:space="0" w:color="000000"/>
            </w:tcBorders>
            <w:shd w:val="clear" w:color="auto" w:fill="auto"/>
            <w:vAlign w:val="center"/>
            <w:hideMark/>
          </w:tcPr>
          <w:p w:rsidR="00E53AB2" w:rsidRDefault="00646BB0">
            <w:pPr>
              <w:rPr>
                <w:color w:val="000000"/>
                <w:sz w:val="20"/>
              </w:rPr>
            </w:pPr>
            <w:r w:rsidRPr="00646BB0">
              <w:rPr>
                <w:color w:val="000000"/>
                <w:sz w:val="20"/>
              </w:rPr>
              <w:t>4. Study Title Lists</w:t>
            </w:r>
          </w:p>
        </w:tc>
        <w:tc>
          <w:tcPr>
            <w:tcW w:w="1483" w:type="dxa"/>
            <w:tcBorders>
              <w:top w:val="nil"/>
              <w:left w:val="nil"/>
              <w:bottom w:val="single" w:sz="4" w:space="0" w:color="000000"/>
              <w:right w:val="single" w:sz="4" w:space="0" w:color="000000"/>
            </w:tcBorders>
            <w:shd w:val="clear" w:color="auto" w:fill="auto"/>
            <w:noWrap/>
            <w:vAlign w:val="center"/>
            <w:hideMark/>
          </w:tcPr>
          <w:p w:rsidR="00E53AB2" w:rsidRDefault="00646BB0">
            <w:pPr>
              <w:jc w:val="center"/>
              <w:rPr>
                <w:color w:val="000000"/>
                <w:sz w:val="20"/>
              </w:rPr>
            </w:pPr>
            <w:r w:rsidRPr="00646BB0">
              <w:rPr>
                <w:color w:val="000000"/>
                <w:sz w:val="20"/>
              </w:rPr>
              <w:t>0.168</w:t>
            </w:r>
          </w:p>
        </w:tc>
        <w:tc>
          <w:tcPr>
            <w:tcW w:w="1588" w:type="dxa"/>
            <w:tcBorders>
              <w:top w:val="nil"/>
              <w:left w:val="nil"/>
              <w:bottom w:val="single" w:sz="4"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1</w:t>
            </w:r>
          </w:p>
        </w:tc>
        <w:tc>
          <w:tcPr>
            <w:tcW w:w="1620" w:type="dxa"/>
            <w:tcBorders>
              <w:top w:val="nil"/>
              <w:left w:val="nil"/>
              <w:bottom w:val="single" w:sz="4" w:space="0" w:color="000000"/>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clerical</w:t>
            </w:r>
          </w:p>
        </w:tc>
      </w:tr>
      <w:tr w:rsidR="00717D58" w:rsidRPr="00B57823" w:rsidTr="00F21A45">
        <w:trPr>
          <w:jc w:val="center"/>
        </w:trPr>
        <w:tc>
          <w:tcPr>
            <w:tcW w:w="4785" w:type="dxa"/>
            <w:tcBorders>
              <w:top w:val="nil"/>
              <w:left w:val="double" w:sz="6" w:space="0" w:color="000000"/>
              <w:bottom w:val="single" w:sz="4" w:space="0" w:color="000000"/>
              <w:right w:val="single" w:sz="4" w:space="0" w:color="000000"/>
            </w:tcBorders>
            <w:shd w:val="clear" w:color="auto" w:fill="auto"/>
            <w:vAlign w:val="center"/>
            <w:hideMark/>
          </w:tcPr>
          <w:p w:rsidR="00E53AB2" w:rsidRDefault="00646BB0">
            <w:pPr>
              <w:rPr>
                <w:color w:val="000000"/>
                <w:sz w:val="20"/>
              </w:rPr>
            </w:pPr>
            <w:r w:rsidRPr="00646BB0">
              <w:rPr>
                <w:color w:val="000000"/>
                <w:sz w:val="20"/>
              </w:rPr>
              <w:t>5. Photocopy Studies</w:t>
            </w:r>
          </w:p>
        </w:tc>
        <w:tc>
          <w:tcPr>
            <w:tcW w:w="1483" w:type="dxa"/>
            <w:tcBorders>
              <w:top w:val="nil"/>
              <w:left w:val="nil"/>
              <w:bottom w:val="single" w:sz="4" w:space="0" w:color="000000"/>
              <w:right w:val="single" w:sz="4" w:space="0" w:color="000000"/>
            </w:tcBorders>
            <w:shd w:val="clear" w:color="auto" w:fill="auto"/>
            <w:noWrap/>
            <w:vAlign w:val="center"/>
            <w:hideMark/>
          </w:tcPr>
          <w:p w:rsidR="00E53AB2" w:rsidRDefault="00646BB0">
            <w:pPr>
              <w:jc w:val="center"/>
              <w:rPr>
                <w:color w:val="000000"/>
                <w:sz w:val="20"/>
              </w:rPr>
            </w:pPr>
            <w:r w:rsidRPr="00646BB0">
              <w:rPr>
                <w:color w:val="000000"/>
                <w:sz w:val="20"/>
              </w:rPr>
              <w:t>0.168</w:t>
            </w:r>
          </w:p>
        </w:tc>
        <w:tc>
          <w:tcPr>
            <w:tcW w:w="1588" w:type="dxa"/>
            <w:tcBorders>
              <w:top w:val="nil"/>
              <w:left w:val="nil"/>
              <w:bottom w:val="single" w:sz="4"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1</w:t>
            </w:r>
          </w:p>
        </w:tc>
        <w:tc>
          <w:tcPr>
            <w:tcW w:w="1620" w:type="dxa"/>
            <w:tcBorders>
              <w:top w:val="nil"/>
              <w:left w:val="nil"/>
              <w:bottom w:val="single" w:sz="4" w:space="0" w:color="000000"/>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clerical</w:t>
            </w:r>
          </w:p>
        </w:tc>
      </w:tr>
      <w:tr w:rsidR="00717D58" w:rsidRPr="00B57823" w:rsidTr="00F21A45">
        <w:trPr>
          <w:jc w:val="center"/>
        </w:trPr>
        <w:tc>
          <w:tcPr>
            <w:tcW w:w="4785" w:type="dxa"/>
            <w:tcBorders>
              <w:top w:val="nil"/>
              <w:left w:val="double" w:sz="6" w:space="0" w:color="000000"/>
              <w:bottom w:val="single" w:sz="4" w:space="0" w:color="000000"/>
              <w:right w:val="single" w:sz="4" w:space="0" w:color="000000"/>
            </w:tcBorders>
            <w:shd w:val="clear" w:color="auto" w:fill="auto"/>
            <w:vAlign w:val="center"/>
            <w:hideMark/>
          </w:tcPr>
          <w:p w:rsidR="00E53AB2" w:rsidRDefault="00646BB0">
            <w:pPr>
              <w:rPr>
                <w:color w:val="000000"/>
                <w:sz w:val="20"/>
              </w:rPr>
            </w:pPr>
            <w:r w:rsidRPr="00646BB0">
              <w:rPr>
                <w:color w:val="000000"/>
                <w:sz w:val="20"/>
              </w:rPr>
              <w:t>6. Robust Summaries</w:t>
            </w:r>
          </w:p>
        </w:tc>
        <w:tc>
          <w:tcPr>
            <w:tcW w:w="1483" w:type="dxa"/>
            <w:tcBorders>
              <w:top w:val="nil"/>
              <w:left w:val="nil"/>
              <w:bottom w:val="single" w:sz="4" w:space="0" w:color="000000"/>
              <w:right w:val="single" w:sz="4" w:space="0" w:color="000000"/>
            </w:tcBorders>
            <w:shd w:val="clear" w:color="auto" w:fill="auto"/>
            <w:noWrap/>
            <w:vAlign w:val="center"/>
            <w:hideMark/>
          </w:tcPr>
          <w:p w:rsidR="00E53AB2" w:rsidRDefault="00646BB0">
            <w:pPr>
              <w:jc w:val="center"/>
              <w:rPr>
                <w:color w:val="000000"/>
                <w:sz w:val="20"/>
              </w:rPr>
            </w:pPr>
            <w:r w:rsidRPr="00646BB0">
              <w:rPr>
                <w:color w:val="000000"/>
                <w:sz w:val="20"/>
              </w:rPr>
              <w:t>0.008</w:t>
            </w:r>
          </w:p>
        </w:tc>
        <w:tc>
          <w:tcPr>
            <w:tcW w:w="1588" w:type="dxa"/>
            <w:tcBorders>
              <w:top w:val="nil"/>
              <w:left w:val="nil"/>
              <w:bottom w:val="single" w:sz="4"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12</w:t>
            </w:r>
          </w:p>
        </w:tc>
        <w:tc>
          <w:tcPr>
            <w:tcW w:w="1620" w:type="dxa"/>
            <w:tcBorders>
              <w:top w:val="nil"/>
              <w:left w:val="nil"/>
              <w:bottom w:val="single" w:sz="4" w:space="0" w:color="000000"/>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technical</w:t>
            </w:r>
          </w:p>
        </w:tc>
      </w:tr>
      <w:tr w:rsidR="00717D58" w:rsidRPr="00B57823" w:rsidTr="00F21A45">
        <w:trPr>
          <w:jc w:val="center"/>
        </w:trPr>
        <w:tc>
          <w:tcPr>
            <w:tcW w:w="4785" w:type="dxa"/>
            <w:tcBorders>
              <w:top w:val="nil"/>
              <w:left w:val="double" w:sz="6" w:space="0" w:color="000000"/>
              <w:bottom w:val="single" w:sz="4" w:space="0" w:color="000000"/>
              <w:right w:val="single" w:sz="4" w:space="0" w:color="000000"/>
            </w:tcBorders>
            <w:shd w:val="clear" w:color="auto" w:fill="auto"/>
            <w:vAlign w:val="center"/>
            <w:hideMark/>
          </w:tcPr>
          <w:p w:rsidR="00E53AB2" w:rsidRDefault="00646BB0">
            <w:pPr>
              <w:rPr>
                <w:color w:val="000000"/>
                <w:sz w:val="20"/>
              </w:rPr>
            </w:pPr>
            <w:r w:rsidRPr="00646BB0">
              <w:rPr>
                <w:color w:val="000000"/>
                <w:sz w:val="20"/>
              </w:rPr>
              <w:t>7. CBI Review</w:t>
            </w:r>
          </w:p>
        </w:tc>
        <w:tc>
          <w:tcPr>
            <w:tcW w:w="1483" w:type="dxa"/>
            <w:tcBorders>
              <w:top w:val="nil"/>
              <w:left w:val="nil"/>
              <w:bottom w:val="single" w:sz="4" w:space="0" w:color="000000"/>
              <w:right w:val="single" w:sz="4" w:space="0" w:color="000000"/>
            </w:tcBorders>
            <w:shd w:val="clear" w:color="auto" w:fill="auto"/>
            <w:noWrap/>
            <w:vAlign w:val="center"/>
            <w:hideMark/>
          </w:tcPr>
          <w:p w:rsidR="00E53AB2" w:rsidRDefault="00646BB0">
            <w:pPr>
              <w:jc w:val="center"/>
              <w:rPr>
                <w:color w:val="000000"/>
                <w:sz w:val="20"/>
              </w:rPr>
            </w:pPr>
            <w:r w:rsidRPr="00646BB0">
              <w:rPr>
                <w:color w:val="000000"/>
                <w:sz w:val="20"/>
              </w:rPr>
              <w:t>0.168</w:t>
            </w:r>
          </w:p>
        </w:tc>
        <w:tc>
          <w:tcPr>
            <w:tcW w:w="1588" w:type="dxa"/>
            <w:tcBorders>
              <w:top w:val="nil"/>
              <w:left w:val="nil"/>
              <w:bottom w:val="single" w:sz="4" w:space="0" w:color="000000"/>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9</w:t>
            </w:r>
          </w:p>
        </w:tc>
        <w:tc>
          <w:tcPr>
            <w:tcW w:w="1620" w:type="dxa"/>
            <w:tcBorders>
              <w:top w:val="nil"/>
              <w:left w:val="nil"/>
              <w:bottom w:val="single" w:sz="4" w:space="0" w:color="000000"/>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managerial</w:t>
            </w:r>
          </w:p>
        </w:tc>
      </w:tr>
      <w:tr w:rsidR="00943F16" w:rsidRPr="00B57823" w:rsidTr="00F21A45">
        <w:trPr>
          <w:jc w:val="center"/>
        </w:trPr>
        <w:tc>
          <w:tcPr>
            <w:tcW w:w="4785" w:type="dxa"/>
            <w:vMerge w:val="restart"/>
            <w:tcBorders>
              <w:top w:val="nil"/>
              <w:left w:val="double" w:sz="6" w:space="0" w:color="000000"/>
              <w:right w:val="single" w:sz="4" w:space="0" w:color="000000"/>
            </w:tcBorders>
            <w:shd w:val="clear" w:color="auto" w:fill="auto"/>
            <w:vAlign w:val="center"/>
            <w:hideMark/>
          </w:tcPr>
          <w:p w:rsidR="00E53AB2" w:rsidRDefault="00646BB0">
            <w:pPr>
              <w:rPr>
                <w:color w:val="000000"/>
                <w:sz w:val="20"/>
              </w:rPr>
            </w:pPr>
            <w:r w:rsidRPr="00646BB0">
              <w:rPr>
                <w:color w:val="000000"/>
                <w:sz w:val="20"/>
              </w:rPr>
              <w:t>8. Post-Reporting Period Submission</w:t>
            </w:r>
          </w:p>
        </w:tc>
        <w:tc>
          <w:tcPr>
            <w:tcW w:w="1483" w:type="dxa"/>
            <w:vMerge w:val="restart"/>
            <w:tcBorders>
              <w:top w:val="nil"/>
              <w:left w:val="nil"/>
              <w:right w:val="single" w:sz="4" w:space="0" w:color="000000"/>
            </w:tcBorders>
            <w:shd w:val="clear" w:color="auto" w:fill="auto"/>
            <w:noWrap/>
            <w:vAlign w:val="center"/>
            <w:hideMark/>
          </w:tcPr>
          <w:p w:rsidR="00E53AB2" w:rsidRDefault="00646BB0">
            <w:pPr>
              <w:jc w:val="center"/>
              <w:rPr>
                <w:color w:val="000000"/>
                <w:sz w:val="20"/>
              </w:rPr>
            </w:pPr>
            <w:r w:rsidRPr="00646BB0">
              <w:rPr>
                <w:color w:val="000000"/>
                <w:sz w:val="20"/>
              </w:rPr>
              <w:t>0.008</w:t>
            </w:r>
          </w:p>
        </w:tc>
        <w:tc>
          <w:tcPr>
            <w:tcW w:w="1588" w:type="dxa"/>
            <w:tcBorders>
              <w:top w:val="nil"/>
              <w:left w:val="nil"/>
              <w:right w:val="single" w:sz="4" w:space="0" w:color="000000"/>
            </w:tcBorders>
            <w:shd w:val="clear" w:color="auto" w:fill="auto"/>
            <w:vAlign w:val="center"/>
            <w:hideMark/>
          </w:tcPr>
          <w:p w:rsidR="00E53AB2" w:rsidRDefault="00646BB0">
            <w:pPr>
              <w:jc w:val="center"/>
              <w:rPr>
                <w:color w:val="000000"/>
                <w:sz w:val="20"/>
              </w:rPr>
            </w:pPr>
            <w:r w:rsidRPr="00646BB0">
              <w:rPr>
                <w:color w:val="000000"/>
                <w:sz w:val="20"/>
              </w:rPr>
              <w:t>1</w:t>
            </w:r>
          </w:p>
        </w:tc>
        <w:tc>
          <w:tcPr>
            <w:tcW w:w="1620" w:type="dxa"/>
            <w:tcBorders>
              <w:top w:val="nil"/>
              <w:left w:val="nil"/>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managerial</w:t>
            </w:r>
          </w:p>
        </w:tc>
      </w:tr>
      <w:tr w:rsidR="00943F16" w:rsidRPr="00B57823" w:rsidTr="00F21A45">
        <w:trPr>
          <w:jc w:val="center"/>
        </w:trPr>
        <w:tc>
          <w:tcPr>
            <w:tcW w:w="4785" w:type="dxa"/>
            <w:vMerge/>
            <w:tcBorders>
              <w:left w:val="double" w:sz="6" w:space="0" w:color="000000"/>
              <w:right w:val="single" w:sz="4" w:space="0" w:color="000000"/>
            </w:tcBorders>
            <w:shd w:val="clear" w:color="auto" w:fill="auto"/>
            <w:vAlign w:val="center"/>
            <w:hideMark/>
          </w:tcPr>
          <w:p w:rsidR="00E53AB2" w:rsidRDefault="00E53AB2">
            <w:pPr>
              <w:rPr>
                <w:color w:val="000000"/>
                <w:sz w:val="20"/>
              </w:rPr>
            </w:pPr>
          </w:p>
        </w:tc>
        <w:tc>
          <w:tcPr>
            <w:tcW w:w="1483" w:type="dxa"/>
            <w:vMerge/>
            <w:tcBorders>
              <w:left w:val="nil"/>
              <w:right w:val="single" w:sz="4" w:space="0" w:color="000000"/>
            </w:tcBorders>
            <w:shd w:val="clear" w:color="auto" w:fill="auto"/>
            <w:noWrap/>
            <w:vAlign w:val="center"/>
            <w:hideMark/>
          </w:tcPr>
          <w:p w:rsidR="00E53AB2" w:rsidRDefault="00E53AB2">
            <w:pPr>
              <w:jc w:val="center"/>
              <w:rPr>
                <w:color w:val="000000"/>
                <w:sz w:val="20"/>
              </w:rPr>
            </w:pPr>
          </w:p>
        </w:tc>
        <w:tc>
          <w:tcPr>
            <w:tcW w:w="1588" w:type="dxa"/>
            <w:tcBorders>
              <w:top w:val="nil"/>
              <w:left w:val="nil"/>
              <w:right w:val="single" w:sz="4" w:space="0" w:color="000000"/>
            </w:tcBorders>
            <w:shd w:val="clear" w:color="auto" w:fill="auto"/>
            <w:vAlign w:val="center"/>
            <w:hideMark/>
          </w:tcPr>
          <w:p w:rsidR="00E53AB2" w:rsidRDefault="00943F16">
            <w:pPr>
              <w:jc w:val="center"/>
              <w:rPr>
                <w:color w:val="000000"/>
                <w:sz w:val="20"/>
              </w:rPr>
            </w:pPr>
            <w:r w:rsidRPr="00943F16">
              <w:rPr>
                <w:color w:val="000000"/>
                <w:sz w:val="20"/>
              </w:rPr>
              <w:t>0.1</w:t>
            </w:r>
          </w:p>
        </w:tc>
        <w:tc>
          <w:tcPr>
            <w:tcW w:w="1620" w:type="dxa"/>
            <w:tcBorders>
              <w:left w:val="nil"/>
              <w:right w:val="double" w:sz="6" w:space="0" w:color="000000"/>
            </w:tcBorders>
            <w:shd w:val="clear" w:color="auto" w:fill="auto"/>
            <w:vAlign w:val="center"/>
            <w:hideMark/>
          </w:tcPr>
          <w:p w:rsidR="00E53AB2" w:rsidRDefault="00943F16">
            <w:pPr>
              <w:jc w:val="center"/>
              <w:rPr>
                <w:color w:val="000000"/>
                <w:sz w:val="20"/>
              </w:rPr>
            </w:pPr>
            <w:r w:rsidRPr="00943F16">
              <w:rPr>
                <w:color w:val="000000"/>
                <w:sz w:val="20"/>
              </w:rPr>
              <w:t>clerical</w:t>
            </w:r>
          </w:p>
        </w:tc>
      </w:tr>
      <w:tr w:rsidR="00717D58" w:rsidRPr="00B57823" w:rsidTr="00F21A45">
        <w:trPr>
          <w:jc w:val="center"/>
        </w:trPr>
        <w:tc>
          <w:tcPr>
            <w:tcW w:w="9476" w:type="dxa"/>
            <w:gridSpan w:val="4"/>
            <w:tcBorders>
              <w:top w:val="single" w:sz="4" w:space="0" w:color="000000"/>
              <w:left w:val="double" w:sz="6" w:space="0" w:color="000000"/>
              <w:bottom w:val="nil"/>
              <w:right w:val="double" w:sz="6" w:space="0" w:color="000000"/>
            </w:tcBorders>
            <w:shd w:val="clear" w:color="auto" w:fill="auto"/>
            <w:hideMark/>
          </w:tcPr>
          <w:p w:rsidR="00E53AB2" w:rsidRDefault="00717D58">
            <w:pPr>
              <w:rPr>
                <w:color w:val="000000"/>
                <w:sz w:val="20"/>
              </w:rPr>
            </w:pPr>
            <w:r w:rsidRPr="00B57823">
              <w:rPr>
                <w:color w:val="000000"/>
                <w:sz w:val="20"/>
              </w:rPr>
              <w:t xml:space="preserve">*Not all respondents perform all activities. This weight reflects that for every firm that has to check for reports:  17% will submit reports of which </w:t>
            </w:r>
            <w:r>
              <w:rPr>
                <w:color w:val="000000"/>
                <w:sz w:val="20"/>
              </w:rPr>
              <w:t xml:space="preserve">1 firm (about </w:t>
            </w:r>
            <w:r w:rsidRPr="00B57823">
              <w:rPr>
                <w:color w:val="000000"/>
                <w:sz w:val="20"/>
              </w:rPr>
              <w:t>5%</w:t>
            </w:r>
            <w:r>
              <w:rPr>
                <w:color w:val="000000"/>
                <w:sz w:val="20"/>
              </w:rPr>
              <w:t xml:space="preserve">) </w:t>
            </w:r>
            <w:r w:rsidRPr="00B57823">
              <w:rPr>
                <w:color w:val="000000"/>
                <w:sz w:val="20"/>
              </w:rPr>
              <w:t xml:space="preserve">will provide robust summaries and 5% </w:t>
            </w:r>
            <w:r>
              <w:rPr>
                <w:color w:val="000000"/>
                <w:sz w:val="20"/>
              </w:rPr>
              <w:t xml:space="preserve">(about 1 firm) </w:t>
            </w:r>
            <w:r w:rsidRPr="00B57823">
              <w:rPr>
                <w:color w:val="000000"/>
                <w:sz w:val="20"/>
              </w:rPr>
              <w:t>will provide a second response.</w:t>
            </w:r>
          </w:p>
        </w:tc>
      </w:tr>
      <w:tr w:rsidR="00717D58" w:rsidRPr="00B57823" w:rsidTr="008308E8">
        <w:trPr>
          <w:jc w:val="center"/>
        </w:trPr>
        <w:tc>
          <w:tcPr>
            <w:tcW w:w="9476" w:type="dxa"/>
            <w:gridSpan w:val="4"/>
            <w:tcBorders>
              <w:top w:val="nil"/>
              <w:left w:val="double" w:sz="6" w:space="0" w:color="000000"/>
              <w:bottom w:val="nil"/>
              <w:right w:val="double" w:sz="6" w:space="0" w:color="000000"/>
            </w:tcBorders>
            <w:shd w:val="clear" w:color="auto" w:fill="auto"/>
            <w:noWrap/>
            <w:vAlign w:val="bottom"/>
            <w:hideMark/>
          </w:tcPr>
          <w:p w:rsidR="00E53AB2" w:rsidRDefault="00717D58">
            <w:pPr>
              <w:rPr>
                <w:color w:val="000000"/>
                <w:sz w:val="20"/>
              </w:rPr>
            </w:pPr>
            <w:r w:rsidRPr="00B57823">
              <w:rPr>
                <w:color w:val="000000"/>
                <w:sz w:val="20"/>
              </w:rPr>
              <w:t>** Basis of 1.5 sites per firm</w:t>
            </w:r>
          </w:p>
        </w:tc>
      </w:tr>
      <w:tr w:rsidR="008308E8" w:rsidRPr="00B57823" w:rsidTr="00F21A45">
        <w:trPr>
          <w:jc w:val="center"/>
        </w:trPr>
        <w:tc>
          <w:tcPr>
            <w:tcW w:w="9476" w:type="dxa"/>
            <w:gridSpan w:val="4"/>
            <w:tcBorders>
              <w:top w:val="nil"/>
              <w:left w:val="double" w:sz="6" w:space="0" w:color="000000"/>
              <w:bottom w:val="double" w:sz="6" w:space="0" w:color="000000"/>
              <w:right w:val="double" w:sz="6" w:space="0" w:color="000000"/>
            </w:tcBorders>
            <w:shd w:val="clear" w:color="auto" w:fill="auto"/>
            <w:noWrap/>
            <w:vAlign w:val="bottom"/>
          </w:tcPr>
          <w:p w:rsidR="008308E8" w:rsidRPr="00B57823" w:rsidRDefault="008308E8">
            <w:pPr>
              <w:rPr>
                <w:color w:val="000000"/>
                <w:sz w:val="20"/>
              </w:rPr>
            </w:pPr>
            <w:r>
              <w:rPr>
                <w:color w:val="000000"/>
                <w:sz w:val="20"/>
              </w:rPr>
              <w:t>*** 1 hour per study * 9 studies</w:t>
            </w:r>
          </w:p>
        </w:tc>
      </w:tr>
    </w:tbl>
    <w:p w:rsidR="00E53AB2" w:rsidRDefault="00E53AB2">
      <w:pPr>
        <w:widowControl w:val="0"/>
        <w:rPr>
          <w:color w:val="000000"/>
        </w:rPr>
      </w:pPr>
    </w:p>
    <w:p w:rsidR="006471F0" w:rsidRPr="006471F0" w:rsidRDefault="006471F0" w:rsidP="006471F0">
      <w:pPr>
        <w:widowControl w:val="0"/>
        <w:ind w:firstLine="720"/>
        <w:rPr>
          <w:b/>
          <w:color w:val="000000"/>
        </w:rPr>
      </w:pPr>
      <w:r>
        <w:rPr>
          <w:b/>
          <w:color w:val="000000"/>
        </w:rPr>
        <w:t xml:space="preserve">   (ii) Cadmium and Cadmium Compounds</w:t>
      </w:r>
    </w:p>
    <w:p w:rsidR="006471F0" w:rsidRDefault="006471F0">
      <w:pPr>
        <w:widowControl w:val="0"/>
        <w:rPr>
          <w:color w:val="000000"/>
        </w:rPr>
      </w:pPr>
    </w:p>
    <w:p w:rsidR="00E53AB2" w:rsidRDefault="00717D58">
      <w:pPr>
        <w:widowControl w:val="0"/>
        <w:rPr>
          <w:color w:val="000000"/>
        </w:rPr>
      </w:pPr>
      <w:r>
        <w:rPr>
          <w:color w:val="000000"/>
        </w:rPr>
        <w:tab/>
      </w:r>
      <w:r w:rsidR="006471F0" w:rsidRPr="006471F0">
        <w:t xml:space="preserve"> </w:t>
      </w:r>
      <w:r w:rsidR="006471F0" w:rsidRPr="006471F0">
        <w:rPr>
          <w:color w:val="000000"/>
        </w:rPr>
        <w:t xml:space="preserve">EPA used the methods and estimates from the </w:t>
      </w:r>
      <w:r w:rsidR="006471F0">
        <w:rPr>
          <w:color w:val="000000"/>
        </w:rPr>
        <w:t>typical case</w:t>
      </w:r>
      <w:r w:rsidR="006471F0" w:rsidRPr="006471F0">
        <w:rPr>
          <w:color w:val="000000"/>
        </w:rPr>
        <w:t xml:space="preserve"> ICR analysis that were described earlier in section </w:t>
      </w:r>
      <w:r w:rsidR="006471F0">
        <w:rPr>
          <w:color w:val="000000"/>
        </w:rPr>
        <w:t>6(a)(</w:t>
      </w:r>
      <w:proofErr w:type="spellStart"/>
      <w:r w:rsidR="006471F0">
        <w:rPr>
          <w:color w:val="000000"/>
        </w:rPr>
        <w:t>i</w:t>
      </w:r>
      <w:proofErr w:type="spellEnd"/>
      <w:r w:rsidR="006471F0">
        <w:rPr>
          <w:color w:val="000000"/>
        </w:rPr>
        <w:t>) of this supporting statement</w:t>
      </w:r>
      <w:r w:rsidR="006471F0" w:rsidRPr="006471F0">
        <w:rPr>
          <w:color w:val="000000"/>
        </w:rPr>
        <w:t xml:space="preserve">, but applied to the particular circumstances of </w:t>
      </w:r>
      <w:r w:rsidR="006471F0">
        <w:rPr>
          <w:color w:val="000000"/>
        </w:rPr>
        <w:t>the final</w:t>
      </w:r>
      <w:r w:rsidR="006471F0" w:rsidRPr="006471F0">
        <w:rPr>
          <w:color w:val="000000"/>
        </w:rPr>
        <w:t xml:space="preserve"> rule. The ICR estimates were modified to adjust to current wages and to reflect the estimated number of data collection related activities for this particular rule. The number of firms required to review the rule to determine whether they are subject to its reporting requirements is estimated to be 1,384. About half of that number are expected to be required to search for reports, and about 28 studies are expected to be found. The specific burden and cost estimates for this rule are shown in Table </w:t>
      </w:r>
      <w:r w:rsidR="004B2FCD">
        <w:rPr>
          <w:color w:val="000000"/>
        </w:rPr>
        <w:t>13</w:t>
      </w:r>
      <w:r w:rsidR="006471F0" w:rsidRPr="006471F0">
        <w:rPr>
          <w:color w:val="000000"/>
        </w:rPr>
        <w:t>, which is Table 3-16 from the economic analysis.</w:t>
      </w:r>
    </w:p>
    <w:p w:rsidR="00E53AB2" w:rsidRDefault="00717D58">
      <w:pPr>
        <w:widowControl w:val="0"/>
        <w:rPr>
          <w:color w:val="000000"/>
        </w:rPr>
      </w:pPr>
      <w:r>
        <w:rPr>
          <w:color w:val="000000"/>
        </w:rPr>
        <w:tab/>
      </w:r>
    </w:p>
    <w:p w:rsidR="003F54F6" w:rsidRDefault="003F54F6" w:rsidP="003F54F6">
      <w:pPr>
        <w:widowControl w:val="0"/>
        <w:rPr>
          <w:color w:val="000000"/>
        </w:rPr>
      </w:pPr>
      <w:r>
        <w:rPr>
          <w:b/>
          <w:color w:val="000000"/>
        </w:rPr>
        <w:t xml:space="preserve">Table </w:t>
      </w:r>
      <w:r w:rsidR="0036481A">
        <w:rPr>
          <w:b/>
          <w:color w:val="000000"/>
        </w:rPr>
        <w:t>6</w:t>
      </w:r>
      <w:r>
        <w:rPr>
          <w:b/>
          <w:color w:val="000000"/>
        </w:rPr>
        <w:t>.  Respondent Unit Costs for TSCA Section 8(d) Reporting for Manufacturers and Importers of Cadmium and Cadmium Compounds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690"/>
        <w:gridCol w:w="3060"/>
        <w:gridCol w:w="2610"/>
      </w:tblGrid>
      <w:tr w:rsidR="003F54F6" w:rsidTr="0091312F">
        <w:trPr>
          <w:cantSplit/>
        </w:trPr>
        <w:tc>
          <w:tcPr>
            <w:tcW w:w="369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rPr>
                <w:color w:val="000000"/>
                <w:sz w:val="20"/>
              </w:rPr>
            </w:pPr>
            <w:r>
              <w:rPr>
                <w:b/>
                <w:color w:val="000000"/>
                <w:sz w:val="20"/>
              </w:rPr>
              <w:t>Collection Activity</w:t>
            </w:r>
          </w:p>
        </w:tc>
        <w:tc>
          <w:tcPr>
            <w:tcW w:w="306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Pr>
                <w:b/>
                <w:color w:val="000000"/>
                <w:sz w:val="20"/>
              </w:rPr>
              <w:t>Average Burden Hours per Firm</w:t>
            </w:r>
          </w:p>
        </w:tc>
        <w:tc>
          <w:tcPr>
            <w:tcW w:w="261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sidRPr="00646BB0">
              <w:rPr>
                <w:b/>
                <w:bCs/>
                <w:color w:val="000000"/>
                <w:sz w:val="20"/>
              </w:rPr>
              <w:t>Labor Category</w:t>
            </w:r>
          </w:p>
        </w:tc>
      </w:tr>
      <w:tr w:rsidR="003F54F6" w:rsidTr="0091312F">
        <w:trPr>
          <w:cantSplit/>
        </w:trPr>
        <w:tc>
          <w:tcPr>
            <w:tcW w:w="369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rPr>
                <w:color w:val="000000"/>
                <w:sz w:val="20"/>
              </w:rPr>
            </w:pPr>
            <w:r>
              <w:rPr>
                <w:color w:val="000000"/>
                <w:sz w:val="20"/>
              </w:rPr>
              <w:t>1. Review of Rule</w:t>
            </w:r>
          </w:p>
        </w:tc>
        <w:tc>
          <w:tcPr>
            <w:tcW w:w="3060" w:type="dxa"/>
            <w:tcBorders>
              <w:top w:val="single" w:sz="7" w:space="0" w:color="000000"/>
              <w:left w:val="single" w:sz="7" w:space="0" w:color="000000"/>
              <w:bottom w:val="single" w:sz="7" w:space="0" w:color="000000"/>
              <w:right w:val="single" w:sz="7" w:space="0" w:color="000000"/>
            </w:tcBorders>
          </w:tcPr>
          <w:p w:rsidR="003F54F6" w:rsidRDefault="003F54F6" w:rsidP="003F54F6">
            <w:pPr>
              <w:widowControl w:val="0"/>
              <w:spacing w:before="85" w:after="44"/>
              <w:jc w:val="center"/>
              <w:rPr>
                <w:color w:val="000000"/>
                <w:sz w:val="20"/>
              </w:rPr>
            </w:pPr>
            <w:r>
              <w:rPr>
                <w:color w:val="000000"/>
                <w:sz w:val="20"/>
              </w:rPr>
              <w:t>2 hours</w:t>
            </w:r>
          </w:p>
        </w:tc>
        <w:tc>
          <w:tcPr>
            <w:tcW w:w="261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Pr>
                <w:color w:val="000000"/>
                <w:sz w:val="20"/>
              </w:rPr>
              <w:t>managerial</w:t>
            </w:r>
          </w:p>
        </w:tc>
      </w:tr>
      <w:tr w:rsidR="003F54F6" w:rsidTr="0091312F">
        <w:trPr>
          <w:cantSplit/>
        </w:trPr>
        <w:tc>
          <w:tcPr>
            <w:tcW w:w="369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rPr>
                <w:color w:val="000000"/>
                <w:sz w:val="20"/>
              </w:rPr>
            </w:pPr>
            <w:r>
              <w:rPr>
                <w:color w:val="000000"/>
                <w:sz w:val="20"/>
              </w:rPr>
              <w:t>2. Site Identification</w:t>
            </w:r>
          </w:p>
        </w:tc>
        <w:tc>
          <w:tcPr>
            <w:tcW w:w="3060" w:type="dxa"/>
            <w:tcBorders>
              <w:top w:val="single" w:sz="7" w:space="0" w:color="000000"/>
              <w:left w:val="single" w:sz="7" w:space="0" w:color="000000"/>
              <w:bottom w:val="single" w:sz="7" w:space="0" w:color="000000"/>
              <w:right w:val="single" w:sz="7" w:space="0" w:color="000000"/>
            </w:tcBorders>
          </w:tcPr>
          <w:p w:rsidR="003F54F6" w:rsidRDefault="003F54F6" w:rsidP="003F54F6">
            <w:pPr>
              <w:widowControl w:val="0"/>
              <w:spacing w:before="85" w:after="44"/>
              <w:jc w:val="center"/>
              <w:rPr>
                <w:color w:val="000000"/>
                <w:sz w:val="20"/>
              </w:rPr>
            </w:pPr>
            <w:r>
              <w:rPr>
                <w:color w:val="000000"/>
                <w:sz w:val="20"/>
              </w:rPr>
              <w:t>3 hours</w:t>
            </w:r>
          </w:p>
        </w:tc>
        <w:tc>
          <w:tcPr>
            <w:tcW w:w="261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Pr>
                <w:color w:val="000000"/>
                <w:sz w:val="20"/>
              </w:rPr>
              <w:t>managerial</w:t>
            </w:r>
          </w:p>
        </w:tc>
      </w:tr>
      <w:tr w:rsidR="003F54F6" w:rsidTr="0091312F">
        <w:trPr>
          <w:cantSplit/>
        </w:trPr>
        <w:tc>
          <w:tcPr>
            <w:tcW w:w="369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rPr>
                <w:color w:val="000000"/>
                <w:sz w:val="20"/>
              </w:rPr>
            </w:pPr>
            <w:r>
              <w:rPr>
                <w:color w:val="000000"/>
                <w:sz w:val="20"/>
              </w:rPr>
              <w:t>3. Site File Search</w:t>
            </w:r>
          </w:p>
        </w:tc>
        <w:tc>
          <w:tcPr>
            <w:tcW w:w="3060" w:type="dxa"/>
            <w:tcBorders>
              <w:top w:val="single" w:sz="7" w:space="0" w:color="000000"/>
              <w:left w:val="single" w:sz="7" w:space="0" w:color="000000"/>
              <w:bottom w:val="single" w:sz="7" w:space="0" w:color="000000"/>
              <w:right w:val="single" w:sz="7" w:space="0" w:color="000000"/>
            </w:tcBorders>
          </w:tcPr>
          <w:p w:rsidR="003F54F6" w:rsidRDefault="003F54F6" w:rsidP="003F54F6">
            <w:pPr>
              <w:widowControl w:val="0"/>
              <w:spacing w:before="85" w:after="44"/>
              <w:jc w:val="center"/>
              <w:rPr>
                <w:color w:val="000000"/>
                <w:sz w:val="20"/>
              </w:rPr>
            </w:pPr>
            <w:r>
              <w:rPr>
                <w:color w:val="000000"/>
                <w:sz w:val="20"/>
              </w:rPr>
              <w:t>3 hours</w:t>
            </w:r>
          </w:p>
        </w:tc>
        <w:tc>
          <w:tcPr>
            <w:tcW w:w="261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Pr>
                <w:color w:val="000000"/>
                <w:sz w:val="20"/>
              </w:rPr>
              <w:t>technical</w:t>
            </w:r>
          </w:p>
        </w:tc>
      </w:tr>
      <w:tr w:rsidR="003F54F6" w:rsidTr="0091312F">
        <w:trPr>
          <w:cantSplit/>
        </w:trPr>
        <w:tc>
          <w:tcPr>
            <w:tcW w:w="369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rPr>
                <w:color w:val="000000"/>
                <w:sz w:val="20"/>
              </w:rPr>
            </w:pPr>
            <w:r>
              <w:rPr>
                <w:color w:val="000000"/>
                <w:sz w:val="20"/>
              </w:rPr>
              <w:t>4. Study Title Lists</w:t>
            </w:r>
          </w:p>
        </w:tc>
        <w:tc>
          <w:tcPr>
            <w:tcW w:w="3060" w:type="dxa"/>
            <w:tcBorders>
              <w:top w:val="single" w:sz="7" w:space="0" w:color="000000"/>
              <w:left w:val="single" w:sz="7" w:space="0" w:color="000000"/>
              <w:bottom w:val="single" w:sz="7" w:space="0" w:color="000000"/>
              <w:right w:val="single" w:sz="7" w:space="0" w:color="000000"/>
            </w:tcBorders>
          </w:tcPr>
          <w:p w:rsidR="003F54F6" w:rsidRDefault="003F54F6" w:rsidP="003F54F6">
            <w:pPr>
              <w:widowControl w:val="0"/>
              <w:spacing w:before="85" w:after="44"/>
              <w:jc w:val="center"/>
              <w:rPr>
                <w:color w:val="000000"/>
                <w:sz w:val="20"/>
              </w:rPr>
            </w:pPr>
            <w:r>
              <w:rPr>
                <w:color w:val="000000"/>
                <w:sz w:val="20"/>
              </w:rPr>
              <w:t>1 hour</w:t>
            </w:r>
          </w:p>
        </w:tc>
        <w:tc>
          <w:tcPr>
            <w:tcW w:w="261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Pr>
                <w:color w:val="000000"/>
                <w:sz w:val="20"/>
              </w:rPr>
              <w:t>clerical</w:t>
            </w:r>
          </w:p>
        </w:tc>
      </w:tr>
      <w:tr w:rsidR="003F54F6" w:rsidTr="0091312F">
        <w:trPr>
          <w:cantSplit/>
        </w:trPr>
        <w:tc>
          <w:tcPr>
            <w:tcW w:w="369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rPr>
                <w:color w:val="000000"/>
                <w:sz w:val="20"/>
              </w:rPr>
            </w:pPr>
            <w:r>
              <w:rPr>
                <w:color w:val="000000"/>
                <w:sz w:val="20"/>
              </w:rPr>
              <w:t>5. Photocopy Studies</w:t>
            </w:r>
          </w:p>
        </w:tc>
        <w:tc>
          <w:tcPr>
            <w:tcW w:w="3060" w:type="dxa"/>
            <w:tcBorders>
              <w:top w:val="single" w:sz="7" w:space="0" w:color="000000"/>
              <w:left w:val="single" w:sz="7" w:space="0" w:color="000000"/>
              <w:bottom w:val="single" w:sz="7" w:space="0" w:color="000000"/>
              <w:right w:val="single" w:sz="7" w:space="0" w:color="000000"/>
            </w:tcBorders>
          </w:tcPr>
          <w:p w:rsidR="003F54F6" w:rsidRDefault="003F54F6" w:rsidP="003F54F6">
            <w:pPr>
              <w:widowControl w:val="0"/>
              <w:spacing w:before="85" w:after="44"/>
              <w:jc w:val="center"/>
              <w:rPr>
                <w:color w:val="000000"/>
                <w:sz w:val="20"/>
              </w:rPr>
            </w:pPr>
            <w:r>
              <w:rPr>
                <w:color w:val="000000"/>
                <w:sz w:val="20"/>
              </w:rPr>
              <w:t>0.11 hour</w:t>
            </w:r>
          </w:p>
        </w:tc>
        <w:tc>
          <w:tcPr>
            <w:tcW w:w="261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Pr>
                <w:color w:val="000000"/>
                <w:sz w:val="20"/>
              </w:rPr>
              <w:t>clerical</w:t>
            </w:r>
          </w:p>
        </w:tc>
      </w:tr>
      <w:tr w:rsidR="003F54F6" w:rsidTr="0091312F">
        <w:trPr>
          <w:cantSplit/>
        </w:trPr>
        <w:tc>
          <w:tcPr>
            <w:tcW w:w="369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rPr>
                <w:color w:val="000000"/>
                <w:sz w:val="20"/>
              </w:rPr>
            </w:pPr>
            <w:r>
              <w:rPr>
                <w:color w:val="000000"/>
                <w:sz w:val="20"/>
              </w:rPr>
              <w:t xml:space="preserve">6. Robust Summaries </w:t>
            </w:r>
          </w:p>
        </w:tc>
        <w:tc>
          <w:tcPr>
            <w:tcW w:w="3060" w:type="dxa"/>
            <w:tcBorders>
              <w:top w:val="single" w:sz="7" w:space="0" w:color="000000"/>
              <w:left w:val="single" w:sz="7" w:space="0" w:color="000000"/>
              <w:bottom w:val="single" w:sz="7" w:space="0" w:color="000000"/>
              <w:right w:val="single" w:sz="7" w:space="0" w:color="000000"/>
            </w:tcBorders>
          </w:tcPr>
          <w:p w:rsidR="003F54F6" w:rsidRDefault="003F54F6" w:rsidP="003F54F6">
            <w:pPr>
              <w:widowControl w:val="0"/>
              <w:spacing w:before="85" w:after="44"/>
              <w:jc w:val="center"/>
              <w:rPr>
                <w:color w:val="000000"/>
                <w:sz w:val="20"/>
              </w:rPr>
            </w:pPr>
            <w:r>
              <w:rPr>
                <w:color w:val="000000"/>
                <w:sz w:val="20"/>
              </w:rPr>
              <w:t>12 hours</w:t>
            </w:r>
          </w:p>
        </w:tc>
        <w:tc>
          <w:tcPr>
            <w:tcW w:w="261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Pr>
                <w:color w:val="000000"/>
                <w:sz w:val="20"/>
              </w:rPr>
              <w:t>technical</w:t>
            </w:r>
          </w:p>
        </w:tc>
      </w:tr>
      <w:tr w:rsidR="003F54F6" w:rsidTr="0091312F">
        <w:trPr>
          <w:cantSplit/>
        </w:trPr>
        <w:tc>
          <w:tcPr>
            <w:tcW w:w="369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rPr>
                <w:color w:val="000000"/>
                <w:sz w:val="20"/>
              </w:rPr>
            </w:pPr>
            <w:r>
              <w:rPr>
                <w:color w:val="000000"/>
                <w:sz w:val="20"/>
              </w:rPr>
              <w:t>7. CBI Review</w:t>
            </w:r>
          </w:p>
        </w:tc>
        <w:tc>
          <w:tcPr>
            <w:tcW w:w="3060" w:type="dxa"/>
            <w:tcBorders>
              <w:top w:val="single" w:sz="7" w:space="0" w:color="000000"/>
              <w:left w:val="single" w:sz="7" w:space="0" w:color="000000"/>
              <w:bottom w:val="single" w:sz="7" w:space="0" w:color="000000"/>
              <w:right w:val="single" w:sz="7" w:space="0" w:color="000000"/>
            </w:tcBorders>
          </w:tcPr>
          <w:p w:rsidR="003F54F6" w:rsidRDefault="003F54F6" w:rsidP="003F54F6">
            <w:pPr>
              <w:widowControl w:val="0"/>
              <w:spacing w:before="85" w:after="44"/>
              <w:jc w:val="center"/>
              <w:rPr>
                <w:color w:val="000000"/>
                <w:sz w:val="20"/>
              </w:rPr>
            </w:pPr>
            <w:r>
              <w:rPr>
                <w:color w:val="000000"/>
                <w:sz w:val="20"/>
              </w:rPr>
              <w:t>1 hour (per submitted study)</w:t>
            </w:r>
          </w:p>
        </w:tc>
        <w:tc>
          <w:tcPr>
            <w:tcW w:w="261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Pr>
                <w:color w:val="000000"/>
                <w:sz w:val="20"/>
              </w:rPr>
              <w:t>managerial</w:t>
            </w:r>
          </w:p>
        </w:tc>
      </w:tr>
      <w:tr w:rsidR="003F54F6" w:rsidTr="0091312F">
        <w:trPr>
          <w:cantSplit/>
        </w:trPr>
        <w:tc>
          <w:tcPr>
            <w:tcW w:w="3690" w:type="dxa"/>
            <w:vMerge w:val="restart"/>
            <w:tcBorders>
              <w:top w:val="single" w:sz="7" w:space="0" w:color="000000"/>
              <w:left w:val="single" w:sz="7" w:space="0" w:color="000000"/>
              <w:right w:val="single" w:sz="7" w:space="0" w:color="000000"/>
            </w:tcBorders>
          </w:tcPr>
          <w:p w:rsidR="003F54F6" w:rsidRDefault="003F54F6" w:rsidP="0091312F">
            <w:pPr>
              <w:widowControl w:val="0"/>
              <w:spacing w:before="85"/>
              <w:rPr>
                <w:color w:val="000000"/>
                <w:sz w:val="20"/>
              </w:rPr>
            </w:pPr>
            <w:r>
              <w:rPr>
                <w:color w:val="000000"/>
                <w:sz w:val="20"/>
              </w:rPr>
              <w:t xml:space="preserve">8. Post-Reporting Period Submission </w:t>
            </w:r>
          </w:p>
        </w:tc>
        <w:tc>
          <w:tcPr>
            <w:tcW w:w="3060" w:type="dxa"/>
            <w:tcBorders>
              <w:top w:val="single" w:sz="7" w:space="0" w:color="000000"/>
              <w:left w:val="single" w:sz="7" w:space="0" w:color="000000"/>
              <w:bottom w:val="single" w:sz="7" w:space="0" w:color="000000"/>
              <w:right w:val="single" w:sz="7" w:space="0" w:color="000000"/>
            </w:tcBorders>
          </w:tcPr>
          <w:p w:rsidR="003F54F6" w:rsidRDefault="003F54F6" w:rsidP="003F54F6">
            <w:pPr>
              <w:widowControl w:val="0"/>
              <w:spacing w:before="85"/>
              <w:jc w:val="center"/>
              <w:rPr>
                <w:color w:val="000000"/>
                <w:sz w:val="20"/>
              </w:rPr>
            </w:pPr>
            <w:r>
              <w:rPr>
                <w:color w:val="000000"/>
                <w:sz w:val="20"/>
              </w:rPr>
              <w:t>1 hour</w:t>
            </w:r>
          </w:p>
        </w:tc>
        <w:tc>
          <w:tcPr>
            <w:tcW w:w="261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Pr>
                <w:color w:val="000000"/>
                <w:sz w:val="20"/>
              </w:rPr>
              <w:t>managerial</w:t>
            </w:r>
          </w:p>
        </w:tc>
      </w:tr>
      <w:tr w:rsidR="003F54F6" w:rsidTr="0091312F">
        <w:trPr>
          <w:cantSplit/>
        </w:trPr>
        <w:tc>
          <w:tcPr>
            <w:tcW w:w="3690" w:type="dxa"/>
            <w:vMerge/>
            <w:tcBorders>
              <w:left w:val="single" w:sz="7" w:space="0" w:color="000000"/>
              <w:bottom w:val="single" w:sz="7" w:space="0" w:color="000000"/>
              <w:right w:val="single" w:sz="7" w:space="0" w:color="000000"/>
            </w:tcBorders>
          </w:tcPr>
          <w:p w:rsidR="003F54F6" w:rsidRDefault="003F54F6" w:rsidP="0091312F">
            <w:pPr>
              <w:widowControl w:val="0"/>
              <w:spacing w:before="85"/>
              <w:rPr>
                <w:color w:val="000000"/>
                <w:sz w:val="20"/>
              </w:rPr>
            </w:pPr>
          </w:p>
        </w:tc>
        <w:tc>
          <w:tcPr>
            <w:tcW w:w="3060" w:type="dxa"/>
            <w:tcBorders>
              <w:top w:val="single" w:sz="7" w:space="0" w:color="000000"/>
              <w:left w:val="single" w:sz="7" w:space="0" w:color="000000"/>
              <w:bottom w:val="single" w:sz="7" w:space="0" w:color="000000"/>
              <w:right w:val="single" w:sz="7" w:space="0" w:color="000000"/>
            </w:tcBorders>
          </w:tcPr>
          <w:p w:rsidR="003F54F6" w:rsidRDefault="003F54F6" w:rsidP="003F54F6">
            <w:pPr>
              <w:widowControl w:val="0"/>
              <w:spacing w:before="85"/>
              <w:jc w:val="center"/>
              <w:rPr>
                <w:color w:val="000000"/>
                <w:sz w:val="20"/>
              </w:rPr>
            </w:pPr>
            <w:r>
              <w:rPr>
                <w:color w:val="000000"/>
                <w:sz w:val="20"/>
              </w:rPr>
              <w:t>0.1 hours</w:t>
            </w:r>
          </w:p>
        </w:tc>
        <w:tc>
          <w:tcPr>
            <w:tcW w:w="2610" w:type="dxa"/>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jc w:val="center"/>
              <w:rPr>
                <w:color w:val="000000"/>
                <w:sz w:val="20"/>
              </w:rPr>
            </w:pPr>
            <w:r>
              <w:rPr>
                <w:color w:val="000000"/>
                <w:sz w:val="20"/>
              </w:rPr>
              <w:t>clerical</w:t>
            </w:r>
          </w:p>
        </w:tc>
      </w:tr>
      <w:tr w:rsidR="003F54F6" w:rsidTr="0091312F">
        <w:trPr>
          <w:cantSplit/>
        </w:trPr>
        <w:tc>
          <w:tcPr>
            <w:tcW w:w="9360" w:type="dxa"/>
            <w:gridSpan w:val="3"/>
            <w:tcBorders>
              <w:top w:val="single" w:sz="7" w:space="0" w:color="000000"/>
              <w:left w:val="single" w:sz="7" w:space="0" w:color="000000"/>
              <w:bottom w:val="single" w:sz="7" w:space="0" w:color="000000"/>
              <w:right w:val="single" w:sz="7" w:space="0" w:color="000000"/>
            </w:tcBorders>
          </w:tcPr>
          <w:p w:rsidR="003F54F6" w:rsidRDefault="003F54F6" w:rsidP="0091312F">
            <w:pPr>
              <w:widowControl w:val="0"/>
              <w:spacing w:before="85" w:after="44"/>
              <w:rPr>
                <w:color w:val="000000"/>
                <w:sz w:val="20"/>
              </w:rPr>
            </w:pPr>
            <w:r>
              <w:rPr>
                <w:color w:val="000000"/>
                <w:sz w:val="20"/>
              </w:rPr>
              <w:t>Note: Not all respondents perform all activities.</w:t>
            </w:r>
          </w:p>
        </w:tc>
      </w:tr>
    </w:tbl>
    <w:p w:rsidR="003F54F6" w:rsidRDefault="003F54F6">
      <w:pPr>
        <w:widowControl w:val="0"/>
        <w:rPr>
          <w:color w:val="000000"/>
        </w:rPr>
      </w:pPr>
    </w:p>
    <w:p w:rsidR="008567CC" w:rsidRDefault="008567CC">
      <w:pPr>
        <w:spacing w:after="200" w:line="276" w:lineRule="auto"/>
        <w:rPr>
          <w:b/>
          <w:color w:val="000000"/>
        </w:rPr>
      </w:pPr>
      <w:r>
        <w:rPr>
          <w:b/>
          <w:color w:val="000000"/>
        </w:rPr>
        <w:br w:type="page"/>
      </w:r>
    </w:p>
    <w:p w:rsidR="00E53AB2" w:rsidRDefault="00717D58">
      <w:pPr>
        <w:widowControl w:val="0"/>
        <w:ind w:left="720"/>
        <w:rPr>
          <w:color w:val="000000"/>
        </w:rPr>
      </w:pPr>
      <w:r>
        <w:rPr>
          <w:b/>
          <w:color w:val="000000"/>
        </w:rPr>
        <w:lastRenderedPageBreak/>
        <w:t>6(b)</w:t>
      </w:r>
      <w:r>
        <w:rPr>
          <w:b/>
          <w:color w:val="000000"/>
        </w:rPr>
        <w:tab/>
        <w:t>Estimating Respondent Costs</w:t>
      </w:r>
    </w:p>
    <w:p w:rsidR="00E53AB2" w:rsidRDefault="00E53AB2">
      <w:pPr>
        <w:widowControl w:val="0"/>
        <w:rPr>
          <w:color w:val="000000"/>
        </w:rPr>
      </w:pPr>
    </w:p>
    <w:p w:rsidR="007138E6" w:rsidRDefault="00717D58">
      <w:pPr>
        <w:ind w:right="216" w:firstLine="720"/>
      </w:pPr>
      <w:r w:rsidRPr="00C32A8F">
        <w:t>Unit labor costs are calculated by adding fringe benefits and overhead to the wage or salary to derive a fully loaded labor cost</w:t>
      </w:r>
      <w:r>
        <w:t xml:space="preserve">.  </w:t>
      </w:r>
      <w:r w:rsidRPr="00C32A8F">
        <w:t xml:space="preserve">Costs are calculated for </w:t>
      </w:r>
      <w:r>
        <w:t>m</w:t>
      </w:r>
      <w:r w:rsidRPr="00C32A8F">
        <w:t xml:space="preserve">anagerial, </w:t>
      </w:r>
      <w:r>
        <w:t>p</w:t>
      </w:r>
      <w:r w:rsidRPr="00C32A8F">
        <w:t xml:space="preserve">rofessional/ </w:t>
      </w:r>
      <w:r>
        <w:t>t</w:t>
      </w:r>
      <w:r w:rsidRPr="00C32A8F">
        <w:t xml:space="preserve">echnical, </w:t>
      </w:r>
      <w:r>
        <w:t>and cl</w:t>
      </w:r>
      <w:r w:rsidRPr="00C32A8F">
        <w:t>erical</w:t>
      </w:r>
      <w:r>
        <w:t xml:space="preserve"> workers.  </w:t>
      </w:r>
    </w:p>
    <w:p w:rsidR="007138E6" w:rsidRDefault="007138E6">
      <w:pPr>
        <w:ind w:right="216" w:firstLine="720"/>
        <w:rPr>
          <w:b/>
        </w:rPr>
      </w:pPr>
      <w:r w:rsidRPr="007138E6">
        <w:rPr>
          <w:b/>
        </w:rPr>
        <w:t xml:space="preserve">   (</w:t>
      </w:r>
      <w:proofErr w:type="spellStart"/>
      <w:r w:rsidRPr="007138E6">
        <w:rPr>
          <w:b/>
        </w:rPr>
        <w:t>i</w:t>
      </w:r>
      <w:proofErr w:type="spellEnd"/>
      <w:r w:rsidRPr="007138E6">
        <w:rPr>
          <w:b/>
        </w:rPr>
        <w:t>) Typical Case</w:t>
      </w:r>
    </w:p>
    <w:p w:rsidR="007138E6" w:rsidRPr="007138E6" w:rsidRDefault="007138E6">
      <w:pPr>
        <w:ind w:right="216" w:firstLine="720"/>
        <w:rPr>
          <w:b/>
        </w:rPr>
      </w:pPr>
    </w:p>
    <w:p w:rsidR="00E53AB2" w:rsidRDefault="00717D58">
      <w:pPr>
        <w:ind w:right="216" w:firstLine="720"/>
      </w:pPr>
      <w:r w:rsidRPr="00C32A8F">
        <w:rPr>
          <w:spacing w:val="-2"/>
        </w:rPr>
        <w:t>Wages and fringe benefits for managerial, professional/</w:t>
      </w:r>
      <w:r>
        <w:rPr>
          <w:spacing w:val="-2"/>
        </w:rPr>
        <w:t xml:space="preserve"> </w:t>
      </w:r>
      <w:r w:rsidRPr="00C32A8F">
        <w:rPr>
          <w:spacing w:val="-2"/>
        </w:rPr>
        <w:t xml:space="preserve">technical, </w:t>
      </w:r>
      <w:r>
        <w:rPr>
          <w:spacing w:val="-2"/>
        </w:rPr>
        <w:t xml:space="preserve">and </w:t>
      </w:r>
      <w:r w:rsidRPr="00C32A8F">
        <w:rPr>
          <w:spacing w:val="-2"/>
        </w:rPr>
        <w:t xml:space="preserve">clerical </w:t>
      </w:r>
      <w:r w:rsidRPr="00C32A8F">
        <w:t xml:space="preserve">labor </w:t>
      </w:r>
      <w:r>
        <w:t xml:space="preserve">are </w:t>
      </w:r>
      <w:r w:rsidRPr="00C32A8F">
        <w:t xml:space="preserve">taken from the Bureau of Labor Statistics (BLS) </w:t>
      </w:r>
      <w:r w:rsidRPr="00C32A8F">
        <w:rPr>
          <w:i/>
          <w:iCs/>
        </w:rPr>
        <w:t xml:space="preserve">Employer Costs for Employee Compensation </w:t>
      </w:r>
      <w:r w:rsidRPr="00C32A8F">
        <w:t xml:space="preserve">(ECEC) </w:t>
      </w:r>
      <w:r>
        <w:t xml:space="preserve">manufacturing industry </w:t>
      </w:r>
      <w:r w:rsidRPr="00C32A8F">
        <w:t>data</w:t>
      </w:r>
      <w:r>
        <w:t xml:space="preserve"> from 2010. </w:t>
      </w:r>
      <w:r w:rsidRPr="00C32A8F">
        <w:t>The cost of fringe benefits such as pai</w:t>
      </w:r>
      <w:r>
        <w:t xml:space="preserve">d leave and insurance </w:t>
      </w:r>
      <w:r w:rsidRPr="00C32A8F">
        <w:t>are taken from the same ECEC series</w:t>
      </w:r>
      <w:r>
        <w:t xml:space="preserve"> for each labor category</w:t>
      </w:r>
      <w:r w:rsidRPr="00C32A8F">
        <w:t xml:space="preserve">. </w:t>
      </w:r>
      <w:r>
        <w:t xml:space="preserve"> </w:t>
      </w:r>
      <w:r w:rsidRPr="00C32A8F">
        <w:t xml:space="preserve">Fringe benefits as a percent of wages are calculated separately for each labor category. </w:t>
      </w:r>
      <w:r>
        <w:t xml:space="preserve"> Table </w:t>
      </w:r>
      <w:r w:rsidR="0036481A">
        <w:t>7</w:t>
      </w:r>
      <w:r w:rsidR="007138E6">
        <w:t xml:space="preserve"> </w:t>
      </w:r>
      <w:r>
        <w:t xml:space="preserve">presents these results with fully loaded rates for managerial labor at $69.65/hr; for technical labor at $60.95/hr; and for clerical labor at $28.99/hr.  </w:t>
      </w:r>
    </w:p>
    <w:p w:rsidR="00E53AB2" w:rsidRDefault="00717D58">
      <w:pPr>
        <w:ind w:right="216" w:firstLine="720"/>
      </w:pPr>
      <w:r w:rsidDel="00E7302F">
        <w:t xml:space="preserve"> </w:t>
      </w:r>
    </w:p>
    <w:tbl>
      <w:tblPr>
        <w:tblW w:w="9336" w:type="dxa"/>
        <w:tblInd w:w="108" w:type="dxa"/>
        <w:tblLook w:val="04A0"/>
      </w:tblPr>
      <w:tblGrid>
        <w:gridCol w:w="1350"/>
        <w:gridCol w:w="1966"/>
        <w:gridCol w:w="788"/>
        <w:gridCol w:w="828"/>
        <w:gridCol w:w="827"/>
        <w:gridCol w:w="861"/>
        <w:gridCol w:w="776"/>
        <w:gridCol w:w="1036"/>
        <w:gridCol w:w="904"/>
      </w:tblGrid>
      <w:tr w:rsidR="00717D58" w:rsidRPr="00364FE1" w:rsidTr="00F21A45">
        <w:tc>
          <w:tcPr>
            <w:tcW w:w="9336" w:type="dxa"/>
            <w:gridSpan w:val="9"/>
            <w:tcBorders>
              <w:top w:val="nil"/>
              <w:left w:val="nil"/>
              <w:bottom w:val="double" w:sz="6" w:space="0" w:color="auto"/>
              <w:right w:val="nil"/>
            </w:tcBorders>
            <w:shd w:val="clear" w:color="auto" w:fill="auto"/>
            <w:noWrap/>
            <w:vAlign w:val="bottom"/>
            <w:hideMark/>
          </w:tcPr>
          <w:p w:rsidR="00E53AB2" w:rsidRDefault="00717D58" w:rsidP="0036481A">
            <w:pPr>
              <w:keepNext/>
              <w:rPr>
                <w:b/>
                <w:bCs/>
                <w:szCs w:val="24"/>
              </w:rPr>
            </w:pPr>
            <w:bookmarkStart w:id="0" w:name="_Toc201993158"/>
            <w:bookmarkStart w:id="1" w:name="_Ref201659447"/>
            <w:r w:rsidRPr="00364FE1">
              <w:rPr>
                <w:b/>
                <w:bCs/>
                <w:szCs w:val="24"/>
              </w:rPr>
              <w:t xml:space="preserve">Table </w:t>
            </w:r>
            <w:r w:rsidR="0036481A">
              <w:rPr>
                <w:b/>
                <w:bCs/>
                <w:szCs w:val="24"/>
              </w:rPr>
              <w:t>7</w:t>
            </w:r>
            <w:r w:rsidRPr="00364FE1">
              <w:rPr>
                <w:b/>
                <w:bCs/>
                <w:szCs w:val="24"/>
              </w:rPr>
              <w:t>: Loaded Industry Wage Rates (2010</w:t>
            </w:r>
            <w:r>
              <w:rPr>
                <w:b/>
                <w:bCs/>
                <w:szCs w:val="24"/>
              </w:rPr>
              <w:t>)</w:t>
            </w:r>
          </w:p>
        </w:tc>
      </w:tr>
      <w:tr w:rsidR="00717D58" w:rsidRPr="00364FE1" w:rsidTr="00F21A45">
        <w:tc>
          <w:tcPr>
            <w:tcW w:w="1350" w:type="dxa"/>
            <w:vMerge w:val="restart"/>
            <w:tcBorders>
              <w:top w:val="nil"/>
              <w:left w:val="double" w:sz="6" w:space="0" w:color="auto"/>
              <w:bottom w:val="double" w:sz="6" w:space="0" w:color="000000"/>
              <w:right w:val="single" w:sz="4" w:space="0" w:color="auto"/>
            </w:tcBorders>
            <w:shd w:val="clear" w:color="auto" w:fill="auto"/>
            <w:vAlign w:val="center"/>
            <w:hideMark/>
          </w:tcPr>
          <w:p w:rsidR="00E53AB2" w:rsidRDefault="00717D58">
            <w:pPr>
              <w:keepNext/>
              <w:jc w:val="center"/>
              <w:rPr>
                <w:b/>
                <w:bCs/>
                <w:sz w:val="20"/>
              </w:rPr>
            </w:pPr>
            <w:r w:rsidRPr="00364FE1">
              <w:rPr>
                <w:b/>
                <w:bCs/>
                <w:sz w:val="20"/>
              </w:rPr>
              <w:t>EPAB Labor Category</w:t>
            </w:r>
          </w:p>
        </w:tc>
        <w:tc>
          <w:tcPr>
            <w:tcW w:w="1966" w:type="dxa"/>
            <w:vMerge w:val="restart"/>
            <w:tcBorders>
              <w:top w:val="nil"/>
              <w:left w:val="single" w:sz="4" w:space="0" w:color="auto"/>
              <w:bottom w:val="double" w:sz="6" w:space="0" w:color="000000"/>
              <w:right w:val="single" w:sz="4" w:space="0" w:color="auto"/>
            </w:tcBorders>
            <w:shd w:val="clear" w:color="auto" w:fill="auto"/>
            <w:vAlign w:val="center"/>
            <w:hideMark/>
          </w:tcPr>
          <w:p w:rsidR="00E53AB2" w:rsidRDefault="00717D58">
            <w:pPr>
              <w:keepNext/>
              <w:jc w:val="center"/>
              <w:rPr>
                <w:b/>
                <w:bCs/>
                <w:sz w:val="20"/>
              </w:rPr>
            </w:pPr>
            <w:r w:rsidRPr="00364FE1">
              <w:rPr>
                <w:b/>
                <w:bCs/>
                <w:sz w:val="20"/>
              </w:rPr>
              <w:t xml:space="preserve">Data </w:t>
            </w:r>
            <w:proofErr w:type="spellStart"/>
            <w:r w:rsidRPr="00364FE1">
              <w:rPr>
                <w:b/>
                <w:bCs/>
                <w:sz w:val="20"/>
              </w:rPr>
              <w:t>Sources</w:t>
            </w:r>
            <w:r w:rsidRPr="00364FE1">
              <w:rPr>
                <w:b/>
                <w:bCs/>
                <w:sz w:val="20"/>
                <w:vertAlign w:val="superscript"/>
              </w:rPr>
              <w:t>d</w:t>
            </w:r>
            <w:proofErr w:type="spellEnd"/>
          </w:p>
        </w:tc>
        <w:tc>
          <w:tcPr>
            <w:tcW w:w="788" w:type="dxa"/>
            <w:vMerge w:val="restart"/>
            <w:tcBorders>
              <w:top w:val="nil"/>
              <w:left w:val="single" w:sz="4" w:space="0" w:color="auto"/>
              <w:bottom w:val="double" w:sz="6" w:space="0" w:color="000000"/>
              <w:right w:val="single" w:sz="4" w:space="0" w:color="auto"/>
            </w:tcBorders>
            <w:shd w:val="clear" w:color="auto" w:fill="auto"/>
            <w:vAlign w:val="center"/>
            <w:hideMark/>
          </w:tcPr>
          <w:p w:rsidR="00E53AB2" w:rsidRDefault="00717D58">
            <w:pPr>
              <w:keepNext/>
              <w:jc w:val="center"/>
              <w:rPr>
                <w:b/>
                <w:bCs/>
                <w:color w:val="000000"/>
                <w:sz w:val="20"/>
              </w:rPr>
            </w:pPr>
            <w:r w:rsidRPr="00364FE1">
              <w:rPr>
                <w:b/>
                <w:bCs/>
                <w:color w:val="000000"/>
                <w:sz w:val="20"/>
              </w:rPr>
              <w:t>Date</w:t>
            </w:r>
          </w:p>
        </w:tc>
        <w:tc>
          <w:tcPr>
            <w:tcW w:w="828" w:type="dxa"/>
            <w:tcBorders>
              <w:top w:val="nil"/>
              <w:left w:val="nil"/>
              <w:bottom w:val="single" w:sz="4" w:space="0" w:color="000000"/>
              <w:right w:val="single" w:sz="4" w:space="0" w:color="auto"/>
            </w:tcBorders>
            <w:shd w:val="clear" w:color="auto" w:fill="auto"/>
            <w:vAlign w:val="center"/>
            <w:hideMark/>
          </w:tcPr>
          <w:p w:rsidR="00E53AB2" w:rsidRDefault="00717D58">
            <w:pPr>
              <w:keepNext/>
              <w:jc w:val="center"/>
              <w:rPr>
                <w:b/>
                <w:bCs/>
                <w:color w:val="000000"/>
                <w:sz w:val="20"/>
              </w:rPr>
            </w:pPr>
            <w:r>
              <w:rPr>
                <w:b/>
                <w:bCs/>
                <w:color w:val="000000"/>
                <w:sz w:val="20"/>
              </w:rPr>
              <w:t xml:space="preserve">Hourly </w:t>
            </w:r>
            <w:r w:rsidRPr="00364FE1">
              <w:rPr>
                <w:b/>
                <w:bCs/>
                <w:color w:val="000000"/>
                <w:sz w:val="20"/>
              </w:rPr>
              <w:t>Wage</w:t>
            </w:r>
          </w:p>
        </w:tc>
        <w:tc>
          <w:tcPr>
            <w:tcW w:w="827" w:type="dxa"/>
            <w:tcBorders>
              <w:top w:val="nil"/>
              <w:left w:val="nil"/>
              <w:bottom w:val="single" w:sz="4" w:space="0" w:color="000000"/>
              <w:right w:val="single" w:sz="4" w:space="0" w:color="auto"/>
            </w:tcBorders>
            <w:shd w:val="clear" w:color="auto" w:fill="auto"/>
            <w:vAlign w:val="center"/>
            <w:hideMark/>
          </w:tcPr>
          <w:p w:rsidR="00E53AB2" w:rsidRDefault="00717D58">
            <w:pPr>
              <w:keepNext/>
              <w:jc w:val="center"/>
              <w:rPr>
                <w:b/>
                <w:bCs/>
                <w:color w:val="000000"/>
                <w:sz w:val="20"/>
              </w:rPr>
            </w:pPr>
            <w:r w:rsidRPr="00364FE1">
              <w:rPr>
                <w:b/>
                <w:bCs/>
                <w:color w:val="000000"/>
                <w:sz w:val="20"/>
              </w:rPr>
              <w:t>Fringe Benefit</w:t>
            </w:r>
          </w:p>
        </w:tc>
        <w:tc>
          <w:tcPr>
            <w:tcW w:w="861" w:type="dxa"/>
            <w:tcBorders>
              <w:top w:val="nil"/>
              <w:left w:val="nil"/>
              <w:bottom w:val="single" w:sz="4" w:space="0" w:color="000000"/>
              <w:right w:val="single" w:sz="4" w:space="0" w:color="auto"/>
            </w:tcBorders>
            <w:shd w:val="clear" w:color="auto" w:fill="auto"/>
            <w:vAlign w:val="center"/>
            <w:hideMark/>
          </w:tcPr>
          <w:p w:rsidR="00E53AB2" w:rsidRDefault="00717D58">
            <w:pPr>
              <w:keepNext/>
              <w:jc w:val="center"/>
              <w:rPr>
                <w:b/>
                <w:bCs/>
                <w:color w:val="000000"/>
                <w:sz w:val="20"/>
              </w:rPr>
            </w:pPr>
            <w:r w:rsidRPr="00364FE1">
              <w:rPr>
                <w:b/>
                <w:bCs/>
                <w:color w:val="000000"/>
                <w:sz w:val="20"/>
              </w:rPr>
              <w:t>Fringes as % wage</w:t>
            </w:r>
          </w:p>
        </w:tc>
        <w:tc>
          <w:tcPr>
            <w:tcW w:w="776" w:type="dxa"/>
            <w:tcBorders>
              <w:top w:val="nil"/>
              <w:left w:val="nil"/>
              <w:bottom w:val="single" w:sz="4" w:space="0" w:color="000000"/>
              <w:right w:val="single" w:sz="4" w:space="0" w:color="auto"/>
            </w:tcBorders>
            <w:shd w:val="clear" w:color="auto" w:fill="auto"/>
            <w:vAlign w:val="center"/>
            <w:hideMark/>
          </w:tcPr>
          <w:p w:rsidR="00E53AB2" w:rsidRDefault="00717D58">
            <w:pPr>
              <w:keepNext/>
              <w:jc w:val="center"/>
              <w:rPr>
                <w:b/>
                <w:bCs/>
                <w:color w:val="000000"/>
                <w:sz w:val="20"/>
              </w:rPr>
            </w:pPr>
            <w:r w:rsidRPr="00364FE1">
              <w:rPr>
                <w:b/>
                <w:bCs/>
                <w:color w:val="000000"/>
                <w:sz w:val="20"/>
              </w:rPr>
              <w:t xml:space="preserve">Over-head % </w:t>
            </w:r>
            <w:proofErr w:type="spellStart"/>
            <w:r w:rsidRPr="00364FE1">
              <w:rPr>
                <w:b/>
                <w:bCs/>
                <w:color w:val="000000"/>
                <w:sz w:val="20"/>
              </w:rPr>
              <w:t>wage</w:t>
            </w:r>
            <w:r w:rsidRPr="00364FE1">
              <w:rPr>
                <w:b/>
                <w:bCs/>
                <w:color w:val="000000"/>
                <w:sz w:val="20"/>
                <w:vertAlign w:val="superscript"/>
              </w:rPr>
              <w:t>b</w:t>
            </w:r>
            <w:proofErr w:type="spellEnd"/>
          </w:p>
        </w:tc>
        <w:tc>
          <w:tcPr>
            <w:tcW w:w="1036" w:type="dxa"/>
            <w:tcBorders>
              <w:top w:val="nil"/>
              <w:left w:val="nil"/>
              <w:bottom w:val="single" w:sz="4" w:space="0" w:color="000000"/>
              <w:right w:val="single" w:sz="4" w:space="0" w:color="auto"/>
            </w:tcBorders>
            <w:shd w:val="clear" w:color="auto" w:fill="auto"/>
            <w:vAlign w:val="center"/>
            <w:hideMark/>
          </w:tcPr>
          <w:p w:rsidR="00E53AB2" w:rsidRDefault="00717D58">
            <w:pPr>
              <w:keepNext/>
              <w:jc w:val="center"/>
              <w:rPr>
                <w:b/>
                <w:bCs/>
                <w:color w:val="000000"/>
                <w:sz w:val="20"/>
              </w:rPr>
            </w:pPr>
            <w:r w:rsidRPr="00364FE1">
              <w:rPr>
                <w:b/>
                <w:bCs/>
                <w:color w:val="000000"/>
                <w:sz w:val="20"/>
              </w:rPr>
              <w:t xml:space="preserve">Fringe + </w:t>
            </w:r>
            <w:r w:rsidRPr="00364FE1">
              <w:rPr>
                <w:b/>
                <w:bCs/>
                <w:color w:val="000000"/>
                <w:sz w:val="20"/>
              </w:rPr>
              <w:br/>
              <w:t xml:space="preserve">overhead </w:t>
            </w:r>
            <w:proofErr w:type="spellStart"/>
            <w:r w:rsidRPr="00364FE1">
              <w:rPr>
                <w:b/>
                <w:bCs/>
                <w:color w:val="000000"/>
                <w:sz w:val="20"/>
              </w:rPr>
              <w:t>factor</w:t>
            </w:r>
            <w:r w:rsidRPr="00364FE1">
              <w:rPr>
                <w:b/>
                <w:bCs/>
                <w:color w:val="000000"/>
                <w:sz w:val="20"/>
                <w:vertAlign w:val="superscript"/>
              </w:rPr>
              <w:t>c</w:t>
            </w:r>
            <w:proofErr w:type="spellEnd"/>
          </w:p>
        </w:tc>
        <w:tc>
          <w:tcPr>
            <w:tcW w:w="904" w:type="dxa"/>
            <w:tcBorders>
              <w:top w:val="nil"/>
              <w:left w:val="nil"/>
              <w:bottom w:val="single" w:sz="4" w:space="0" w:color="000000"/>
              <w:right w:val="double" w:sz="6" w:space="0" w:color="auto"/>
            </w:tcBorders>
            <w:shd w:val="clear" w:color="auto" w:fill="auto"/>
            <w:vAlign w:val="center"/>
            <w:hideMark/>
          </w:tcPr>
          <w:p w:rsidR="00E53AB2" w:rsidRDefault="00717D58">
            <w:pPr>
              <w:keepNext/>
              <w:jc w:val="center"/>
              <w:rPr>
                <w:b/>
                <w:bCs/>
                <w:color w:val="000000"/>
                <w:sz w:val="20"/>
              </w:rPr>
            </w:pPr>
            <w:r w:rsidRPr="00364FE1">
              <w:rPr>
                <w:b/>
                <w:bCs/>
                <w:color w:val="000000"/>
                <w:sz w:val="20"/>
              </w:rPr>
              <w:t xml:space="preserve">Loaded </w:t>
            </w:r>
            <w:proofErr w:type="spellStart"/>
            <w:r w:rsidRPr="00364FE1">
              <w:rPr>
                <w:b/>
                <w:bCs/>
                <w:color w:val="000000"/>
                <w:sz w:val="20"/>
              </w:rPr>
              <w:t>Wages</w:t>
            </w:r>
            <w:r w:rsidRPr="00364FE1">
              <w:rPr>
                <w:b/>
                <w:bCs/>
                <w:color w:val="000000"/>
                <w:sz w:val="20"/>
                <w:vertAlign w:val="superscript"/>
              </w:rPr>
              <w:t>a</w:t>
            </w:r>
            <w:proofErr w:type="spellEnd"/>
          </w:p>
        </w:tc>
      </w:tr>
      <w:tr w:rsidR="00717D58" w:rsidRPr="00364FE1" w:rsidTr="00F21A45">
        <w:tc>
          <w:tcPr>
            <w:tcW w:w="1350" w:type="dxa"/>
            <w:vMerge/>
            <w:tcBorders>
              <w:top w:val="nil"/>
              <w:left w:val="double" w:sz="6" w:space="0" w:color="auto"/>
              <w:bottom w:val="double" w:sz="6" w:space="0" w:color="000000"/>
              <w:right w:val="single" w:sz="4" w:space="0" w:color="auto"/>
            </w:tcBorders>
            <w:vAlign w:val="center"/>
            <w:hideMark/>
          </w:tcPr>
          <w:p w:rsidR="00E53AB2" w:rsidRDefault="00E53AB2">
            <w:pPr>
              <w:keepNext/>
              <w:rPr>
                <w:b/>
                <w:bCs/>
                <w:sz w:val="20"/>
              </w:rPr>
            </w:pPr>
          </w:p>
        </w:tc>
        <w:tc>
          <w:tcPr>
            <w:tcW w:w="1966" w:type="dxa"/>
            <w:vMerge/>
            <w:tcBorders>
              <w:top w:val="nil"/>
              <w:left w:val="single" w:sz="4" w:space="0" w:color="auto"/>
              <w:bottom w:val="double" w:sz="6" w:space="0" w:color="000000"/>
              <w:right w:val="single" w:sz="4" w:space="0" w:color="auto"/>
            </w:tcBorders>
            <w:vAlign w:val="center"/>
            <w:hideMark/>
          </w:tcPr>
          <w:p w:rsidR="00E53AB2" w:rsidRDefault="00E53AB2">
            <w:pPr>
              <w:keepNext/>
              <w:rPr>
                <w:b/>
                <w:bCs/>
                <w:sz w:val="20"/>
              </w:rPr>
            </w:pPr>
          </w:p>
        </w:tc>
        <w:tc>
          <w:tcPr>
            <w:tcW w:w="788" w:type="dxa"/>
            <w:vMerge/>
            <w:tcBorders>
              <w:top w:val="nil"/>
              <w:left w:val="single" w:sz="4" w:space="0" w:color="auto"/>
              <w:bottom w:val="double" w:sz="6" w:space="0" w:color="000000"/>
              <w:right w:val="single" w:sz="4" w:space="0" w:color="auto"/>
            </w:tcBorders>
            <w:vAlign w:val="center"/>
            <w:hideMark/>
          </w:tcPr>
          <w:p w:rsidR="00E53AB2" w:rsidRDefault="00E53AB2">
            <w:pPr>
              <w:keepNext/>
              <w:rPr>
                <w:b/>
                <w:bCs/>
                <w:color w:val="000000"/>
                <w:sz w:val="20"/>
              </w:rPr>
            </w:pPr>
          </w:p>
        </w:tc>
        <w:tc>
          <w:tcPr>
            <w:tcW w:w="828" w:type="dxa"/>
            <w:tcBorders>
              <w:top w:val="nil"/>
              <w:left w:val="nil"/>
              <w:bottom w:val="double" w:sz="6" w:space="0" w:color="auto"/>
              <w:right w:val="single" w:sz="4" w:space="0" w:color="auto"/>
            </w:tcBorders>
            <w:shd w:val="clear" w:color="auto" w:fill="auto"/>
            <w:hideMark/>
          </w:tcPr>
          <w:p w:rsidR="00E53AB2" w:rsidRDefault="00717D58">
            <w:pPr>
              <w:keepNext/>
              <w:jc w:val="center"/>
              <w:rPr>
                <w:sz w:val="16"/>
                <w:szCs w:val="16"/>
              </w:rPr>
            </w:pPr>
            <w:r w:rsidRPr="00364FE1">
              <w:rPr>
                <w:sz w:val="16"/>
                <w:szCs w:val="16"/>
              </w:rPr>
              <w:t>(A)</w:t>
            </w:r>
          </w:p>
        </w:tc>
        <w:tc>
          <w:tcPr>
            <w:tcW w:w="827" w:type="dxa"/>
            <w:tcBorders>
              <w:top w:val="nil"/>
              <w:left w:val="nil"/>
              <w:bottom w:val="double" w:sz="6" w:space="0" w:color="auto"/>
              <w:right w:val="single" w:sz="4" w:space="0" w:color="auto"/>
            </w:tcBorders>
            <w:shd w:val="clear" w:color="auto" w:fill="auto"/>
            <w:hideMark/>
          </w:tcPr>
          <w:p w:rsidR="00E53AB2" w:rsidRDefault="00717D58">
            <w:pPr>
              <w:keepNext/>
              <w:jc w:val="center"/>
              <w:rPr>
                <w:sz w:val="16"/>
                <w:szCs w:val="16"/>
              </w:rPr>
            </w:pPr>
            <w:r w:rsidRPr="00364FE1">
              <w:rPr>
                <w:sz w:val="16"/>
                <w:szCs w:val="16"/>
              </w:rPr>
              <w:t>(B)</w:t>
            </w:r>
          </w:p>
        </w:tc>
        <w:tc>
          <w:tcPr>
            <w:tcW w:w="861" w:type="dxa"/>
            <w:tcBorders>
              <w:top w:val="nil"/>
              <w:left w:val="nil"/>
              <w:bottom w:val="double" w:sz="6" w:space="0" w:color="auto"/>
              <w:right w:val="single" w:sz="4" w:space="0" w:color="auto"/>
            </w:tcBorders>
            <w:shd w:val="clear" w:color="auto" w:fill="auto"/>
            <w:hideMark/>
          </w:tcPr>
          <w:p w:rsidR="00E53AB2" w:rsidRDefault="00717D58">
            <w:pPr>
              <w:keepNext/>
              <w:jc w:val="center"/>
              <w:rPr>
                <w:sz w:val="16"/>
                <w:szCs w:val="16"/>
              </w:rPr>
            </w:pPr>
            <w:r w:rsidRPr="00364FE1">
              <w:rPr>
                <w:sz w:val="16"/>
                <w:szCs w:val="16"/>
              </w:rPr>
              <w:t>(C) =(B)/(A)</w:t>
            </w:r>
          </w:p>
        </w:tc>
        <w:tc>
          <w:tcPr>
            <w:tcW w:w="776" w:type="dxa"/>
            <w:tcBorders>
              <w:top w:val="nil"/>
              <w:left w:val="nil"/>
              <w:bottom w:val="double" w:sz="6" w:space="0" w:color="auto"/>
              <w:right w:val="single" w:sz="4" w:space="0" w:color="auto"/>
            </w:tcBorders>
            <w:shd w:val="clear" w:color="auto" w:fill="auto"/>
            <w:hideMark/>
          </w:tcPr>
          <w:p w:rsidR="00E53AB2" w:rsidRDefault="00717D58">
            <w:pPr>
              <w:keepNext/>
              <w:jc w:val="center"/>
              <w:rPr>
                <w:sz w:val="16"/>
                <w:szCs w:val="16"/>
              </w:rPr>
            </w:pPr>
            <w:r w:rsidRPr="00364FE1">
              <w:rPr>
                <w:sz w:val="16"/>
                <w:szCs w:val="16"/>
              </w:rPr>
              <w:t>(D)</w:t>
            </w:r>
          </w:p>
        </w:tc>
        <w:tc>
          <w:tcPr>
            <w:tcW w:w="1036" w:type="dxa"/>
            <w:tcBorders>
              <w:top w:val="nil"/>
              <w:left w:val="nil"/>
              <w:bottom w:val="double" w:sz="6" w:space="0" w:color="auto"/>
              <w:right w:val="single" w:sz="4" w:space="0" w:color="auto"/>
            </w:tcBorders>
            <w:shd w:val="clear" w:color="auto" w:fill="auto"/>
            <w:hideMark/>
          </w:tcPr>
          <w:p w:rsidR="00E53AB2" w:rsidRDefault="00717D58">
            <w:pPr>
              <w:keepNext/>
              <w:jc w:val="center"/>
              <w:rPr>
                <w:sz w:val="16"/>
                <w:szCs w:val="16"/>
              </w:rPr>
            </w:pPr>
            <w:r w:rsidRPr="00364FE1">
              <w:rPr>
                <w:sz w:val="16"/>
                <w:szCs w:val="16"/>
              </w:rPr>
              <w:t>(E) =(C)+(D)+1</w:t>
            </w:r>
          </w:p>
        </w:tc>
        <w:tc>
          <w:tcPr>
            <w:tcW w:w="904" w:type="dxa"/>
            <w:tcBorders>
              <w:top w:val="nil"/>
              <w:left w:val="nil"/>
              <w:bottom w:val="double" w:sz="6" w:space="0" w:color="auto"/>
              <w:right w:val="double" w:sz="6" w:space="0" w:color="auto"/>
            </w:tcBorders>
            <w:shd w:val="clear" w:color="auto" w:fill="auto"/>
            <w:hideMark/>
          </w:tcPr>
          <w:p w:rsidR="00E53AB2" w:rsidRDefault="00717D58">
            <w:pPr>
              <w:keepNext/>
              <w:jc w:val="center"/>
              <w:rPr>
                <w:sz w:val="16"/>
                <w:szCs w:val="16"/>
              </w:rPr>
            </w:pPr>
            <w:r w:rsidRPr="00364FE1">
              <w:rPr>
                <w:sz w:val="16"/>
                <w:szCs w:val="16"/>
              </w:rPr>
              <w:t>(F) =(A)*(E)</w:t>
            </w:r>
          </w:p>
        </w:tc>
      </w:tr>
      <w:tr w:rsidR="00717D58" w:rsidRPr="00364FE1" w:rsidTr="00F21A45">
        <w:tc>
          <w:tcPr>
            <w:tcW w:w="1350" w:type="dxa"/>
            <w:tcBorders>
              <w:top w:val="nil"/>
              <w:left w:val="double" w:sz="6" w:space="0" w:color="auto"/>
              <w:bottom w:val="single" w:sz="4" w:space="0" w:color="auto"/>
              <w:right w:val="single" w:sz="4" w:space="0" w:color="auto"/>
            </w:tcBorders>
            <w:shd w:val="clear" w:color="auto" w:fill="auto"/>
            <w:vAlign w:val="center"/>
            <w:hideMark/>
          </w:tcPr>
          <w:p w:rsidR="00E53AB2" w:rsidRDefault="00717D58">
            <w:pPr>
              <w:keepNext/>
              <w:jc w:val="center"/>
              <w:rPr>
                <w:b/>
                <w:bCs/>
                <w:sz w:val="20"/>
              </w:rPr>
            </w:pPr>
            <w:r w:rsidRPr="00364FE1">
              <w:rPr>
                <w:b/>
                <w:bCs/>
                <w:sz w:val="20"/>
              </w:rPr>
              <w:t>Managerial</w:t>
            </w:r>
          </w:p>
        </w:tc>
        <w:tc>
          <w:tcPr>
            <w:tcW w:w="1966" w:type="dxa"/>
            <w:tcBorders>
              <w:top w:val="nil"/>
              <w:left w:val="nil"/>
              <w:bottom w:val="single" w:sz="4" w:space="0" w:color="auto"/>
              <w:right w:val="single" w:sz="4" w:space="0" w:color="auto"/>
            </w:tcBorders>
            <w:shd w:val="clear" w:color="auto" w:fill="auto"/>
            <w:vAlign w:val="bottom"/>
            <w:hideMark/>
          </w:tcPr>
          <w:p w:rsidR="00E53AB2" w:rsidRDefault="00717D58">
            <w:pPr>
              <w:keepNext/>
              <w:rPr>
                <w:sz w:val="20"/>
              </w:rPr>
            </w:pPr>
            <w:r w:rsidRPr="00364FE1">
              <w:rPr>
                <w:sz w:val="20"/>
              </w:rPr>
              <w:t>BLS</w:t>
            </w:r>
            <w:r w:rsidRPr="00364FE1">
              <w:rPr>
                <w:i/>
                <w:iCs/>
                <w:sz w:val="20"/>
              </w:rPr>
              <w:t xml:space="preserve"> ECEC</w:t>
            </w:r>
            <w:r w:rsidRPr="00364FE1">
              <w:rPr>
                <w:sz w:val="20"/>
              </w:rPr>
              <w:t xml:space="preserve">, Private </w:t>
            </w:r>
            <w:r w:rsidRPr="00364FE1">
              <w:rPr>
                <w:b/>
                <w:bCs/>
                <w:sz w:val="20"/>
              </w:rPr>
              <w:t>Manufacturing industries</w:t>
            </w:r>
            <w:r w:rsidRPr="00364FE1">
              <w:rPr>
                <w:i/>
                <w:iCs/>
                <w:sz w:val="20"/>
              </w:rPr>
              <w:t>,</w:t>
            </w:r>
            <w:r w:rsidRPr="00364FE1">
              <w:rPr>
                <w:sz w:val="20"/>
              </w:rPr>
              <w:t xml:space="preserve"> “Mgt, Business, and Financial”</w:t>
            </w:r>
          </w:p>
        </w:tc>
        <w:tc>
          <w:tcPr>
            <w:tcW w:w="788" w:type="dxa"/>
            <w:tcBorders>
              <w:top w:val="nil"/>
              <w:left w:val="nil"/>
              <w:bottom w:val="single" w:sz="8" w:space="0" w:color="auto"/>
              <w:right w:val="single" w:sz="8" w:space="0" w:color="auto"/>
            </w:tcBorders>
            <w:shd w:val="clear" w:color="auto" w:fill="auto"/>
            <w:vAlign w:val="center"/>
            <w:hideMark/>
          </w:tcPr>
          <w:p w:rsidR="00E53AB2" w:rsidRDefault="00717D58">
            <w:pPr>
              <w:keepNext/>
              <w:jc w:val="center"/>
              <w:rPr>
                <w:sz w:val="16"/>
                <w:szCs w:val="16"/>
              </w:rPr>
            </w:pPr>
            <w:r>
              <w:rPr>
                <w:sz w:val="16"/>
                <w:szCs w:val="16"/>
              </w:rPr>
              <w:t>Avg of Mar, June, Sept, Dec</w:t>
            </w:r>
          </w:p>
        </w:tc>
        <w:tc>
          <w:tcPr>
            <w:tcW w:w="828" w:type="dxa"/>
            <w:tcBorders>
              <w:top w:val="nil"/>
              <w:left w:val="nil"/>
              <w:bottom w:val="single" w:sz="8" w:space="0" w:color="auto"/>
              <w:right w:val="single" w:sz="8" w:space="0" w:color="auto"/>
            </w:tcBorders>
            <w:shd w:val="clear" w:color="auto" w:fill="auto"/>
            <w:vAlign w:val="center"/>
            <w:hideMark/>
          </w:tcPr>
          <w:p w:rsidR="00E53AB2" w:rsidRDefault="00717D58">
            <w:pPr>
              <w:keepNext/>
              <w:jc w:val="center"/>
              <w:rPr>
                <w:sz w:val="20"/>
              </w:rPr>
            </w:pPr>
            <w:r w:rsidRPr="00364FE1">
              <w:rPr>
                <w:sz w:val="20"/>
              </w:rPr>
              <w:t xml:space="preserve">$42.97 </w:t>
            </w:r>
          </w:p>
        </w:tc>
        <w:tc>
          <w:tcPr>
            <w:tcW w:w="827" w:type="dxa"/>
            <w:tcBorders>
              <w:top w:val="nil"/>
              <w:left w:val="nil"/>
              <w:bottom w:val="single" w:sz="8" w:space="0" w:color="auto"/>
              <w:right w:val="single" w:sz="8" w:space="0" w:color="auto"/>
            </w:tcBorders>
            <w:shd w:val="clear" w:color="auto" w:fill="auto"/>
            <w:vAlign w:val="center"/>
            <w:hideMark/>
          </w:tcPr>
          <w:p w:rsidR="00E53AB2" w:rsidRDefault="00717D58">
            <w:pPr>
              <w:keepNext/>
              <w:jc w:val="center"/>
              <w:rPr>
                <w:sz w:val="20"/>
              </w:rPr>
            </w:pPr>
            <w:r w:rsidRPr="00364FE1">
              <w:rPr>
                <w:sz w:val="20"/>
              </w:rPr>
              <w:t xml:space="preserve">$19.38 </w:t>
            </w:r>
          </w:p>
        </w:tc>
        <w:tc>
          <w:tcPr>
            <w:tcW w:w="861" w:type="dxa"/>
            <w:tcBorders>
              <w:top w:val="nil"/>
              <w:left w:val="nil"/>
              <w:bottom w:val="single" w:sz="4" w:space="0" w:color="auto"/>
              <w:right w:val="single" w:sz="4" w:space="0" w:color="auto"/>
            </w:tcBorders>
            <w:shd w:val="clear" w:color="auto" w:fill="auto"/>
            <w:vAlign w:val="center"/>
            <w:hideMark/>
          </w:tcPr>
          <w:p w:rsidR="00E53AB2" w:rsidRDefault="00717D58">
            <w:pPr>
              <w:keepNext/>
              <w:jc w:val="center"/>
              <w:rPr>
                <w:sz w:val="20"/>
              </w:rPr>
            </w:pPr>
            <w:r w:rsidRPr="00364FE1">
              <w:rPr>
                <w:sz w:val="20"/>
              </w:rPr>
              <w:t>45%</w:t>
            </w:r>
          </w:p>
        </w:tc>
        <w:tc>
          <w:tcPr>
            <w:tcW w:w="776" w:type="dxa"/>
            <w:tcBorders>
              <w:top w:val="nil"/>
              <w:left w:val="nil"/>
              <w:bottom w:val="single" w:sz="4" w:space="0" w:color="auto"/>
              <w:right w:val="single" w:sz="4" w:space="0" w:color="auto"/>
            </w:tcBorders>
            <w:shd w:val="clear" w:color="auto" w:fill="auto"/>
            <w:vAlign w:val="center"/>
            <w:hideMark/>
          </w:tcPr>
          <w:p w:rsidR="00E53AB2" w:rsidRDefault="00717D58">
            <w:pPr>
              <w:keepNext/>
              <w:jc w:val="center"/>
              <w:rPr>
                <w:sz w:val="20"/>
              </w:rPr>
            </w:pPr>
            <w:r w:rsidRPr="00364FE1">
              <w:rPr>
                <w:sz w:val="20"/>
              </w:rPr>
              <w:t>17%</w:t>
            </w:r>
          </w:p>
        </w:tc>
        <w:tc>
          <w:tcPr>
            <w:tcW w:w="1036" w:type="dxa"/>
            <w:tcBorders>
              <w:top w:val="nil"/>
              <w:left w:val="nil"/>
              <w:bottom w:val="single" w:sz="4" w:space="0" w:color="auto"/>
              <w:right w:val="single" w:sz="4" w:space="0" w:color="auto"/>
            </w:tcBorders>
            <w:shd w:val="clear" w:color="auto" w:fill="auto"/>
            <w:vAlign w:val="center"/>
            <w:hideMark/>
          </w:tcPr>
          <w:p w:rsidR="00E53AB2" w:rsidRDefault="00717D58">
            <w:pPr>
              <w:keepNext/>
              <w:jc w:val="center"/>
              <w:rPr>
                <w:sz w:val="20"/>
              </w:rPr>
            </w:pPr>
            <w:r w:rsidRPr="00364FE1">
              <w:rPr>
                <w:sz w:val="20"/>
              </w:rPr>
              <w:t>1.62</w:t>
            </w:r>
          </w:p>
        </w:tc>
        <w:tc>
          <w:tcPr>
            <w:tcW w:w="904" w:type="dxa"/>
            <w:tcBorders>
              <w:top w:val="nil"/>
              <w:left w:val="nil"/>
              <w:bottom w:val="single" w:sz="4" w:space="0" w:color="auto"/>
              <w:right w:val="double" w:sz="6" w:space="0" w:color="auto"/>
            </w:tcBorders>
            <w:shd w:val="clear" w:color="auto" w:fill="auto"/>
            <w:vAlign w:val="center"/>
            <w:hideMark/>
          </w:tcPr>
          <w:p w:rsidR="00E53AB2" w:rsidRDefault="00717D58">
            <w:pPr>
              <w:keepNext/>
              <w:jc w:val="center"/>
              <w:rPr>
                <w:sz w:val="20"/>
              </w:rPr>
            </w:pPr>
            <w:r w:rsidRPr="00364FE1">
              <w:rPr>
                <w:sz w:val="20"/>
              </w:rPr>
              <w:t>$69.65</w:t>
            </w:r>
          </w:p>
        </w:tc>
      </w:tr>
      <w:tr w:rsidR="00717D58" w:rsidRPr="00364FE1" w:rsidTr="00F21A45">
        <w:tc>
          <w:tcPr>
            <w:tcW w:w="1350" w:type="dxa"/>
            <w:tcBorders>
              <w:top w:val="nil"/>
              <w:left w:val="double" w:sz="6" w:space="0" w:color="auto"/>
              <w:bottom w:val="single" w:sz="4" w:space="0" w:color="auto"/>
              <w:right w:val="single" w:sz="4" w:space="0" w:color="auto"/>
            </w:tcBorders>
            <w:shd w:val="clear" w:color="auto" w:fill="auto"/>
            <w:vAlign w:val="center"/>
            <w:hideMark/>
          </w:tcPr>
          <w:p w:rsidR="00E53AB2" w:rsidRDefault="00717D58">
            <w:pPr>
              <w:keepNext/>
              <w:jc w:val="center"/>
              <w:rPr>
                <w:b/>
                <w:bCs/>
                <w:sz w:val="20"/>
              </w:rPr>
            </w:pPr>
            <w:r w:rsidRPr="00364FE1">
              <w:rPr>
                <w:b/>
                <w:bCs/>
                <w:sz w:val="20"/>
              </w:rPr>
              <w:t>Professional/ Technical</w:t>
            </w:r>
          </w:p>
        </w:tc>
        <w:tc>
          <w:tcPr>
            <w:tcW w:w="1966" w:type="dxa"/>
            <w:tcBorders>
              <w:top w:val="nil"/>
              <w:left w:val="nil"/>
              <w:bottom w:val="single" w:sz="4" w:space="0" w:color="auto"/>
              <w:right w:val="single" w:sz="4" w:space="0" w:color="auto"/>
            </w:tcBorders>
            <w:shd w:val="clear" w:color="auto" w:fill="auto"/>
            <w:vAlign w:val="bottom"/>
            <w:hideMark/>
          </w:tcPr>
          <w:p w:rsidR="00E53AB2" w:rsidRDefault="00717D58">
            <w:pPr>
              <w:keepNext/>
              <w:rPr>
                <w:sz w:val="20"/>
              </w:rPr>
            </w:pPr>
            <w:r w:rsidRPr="00364FE1">
              <w:rPr>
                <w:sz w:val="20"/>
              </w:rPr>
              <w:t>BLS</w:t>
            </w:r>
            <w:r w:rsidRPr="00364FE1">
              <w:rPr>
                <w:i/>
                <w:iCs/>
                <w:sz w:val="20"/>
              </w:rPr>
              <w:t xml:space="preserve"> ECEC</w:t>
            </w:r>
            <w:r w:rsidRPr="00364FE1">
              <w:rPr>
                <w:sz w:val="20"/>
              </w:rPr>
              <w:t xml:space="preserve">, Private </w:t>
            </w:r>
            <w:r w:rsidRPr="00364FE1">
              <w:rPr>
                <w:b/>
                <w:bCs/>
                <w:sz w:val="20"/>
              </w:rPr>
              <w:t>Manufacturing industries</w:t>
            </w:r>
            <w:r w:rsidRPr="00364FE1">
              <w:rPr>
                <w:sz w:val="20"/>
              </w:rPr>
              <w:t>, “Professional and related“</w:t>
            </w:r>
          </w:p>
        </w:tc>
        <w:tc>
          <w:tcPr>
            <w:tcW w:w="788" w:type="dxa"/>
            <w:tcBorders>
              <w:top w:val="nil"/>
              <w:left w:val="nil"/>
              <w:bottom w:val="single" w:sz="8" w:space="0" w:color="auto"/>
              <w:right w:val="single" w:sz="8" w:space="0" w:color="auto"/>
            </w:tcBorders>
            <w:shd w:val="clear" w:color="auto" w:fill="auto"/>
            <w:vAlign w:val="center"/>
            <w:hideMark/>
          </w:tcPr>
          <w:p w:rsidR="00E53AB2" w:rsidRDefault="00717D58">
            <w:pPr>
              <w:keepNext/>
              <w:jc w:val="center"/>
              <w:rPr>
                <w:sz w:val="16"/>
                <w:szCs w:val="16"/>
              </w:rPr>
            </w:pPr>
            <w:r>
              <w:rPr>
                <w:sz w:val="16"/>
                <w:szCs w:val="16"/>
              </w:rPr>
              <w:t>Avg of Mar, June, Sept, Dec</w:t>
            </w:r>
          </w:p>
        </w:tc>
        <w:tc>
          <w:tcPr>
            <w:tcW w:w="828" w:type="dxa"/>
            <w:tcBorders>
              <w:top w:val="nil"/>
              <w:left w:val="nil"/>
              <w:bottom w:val="single" w:sz="8" w:space="0" w:color="auto"/>
              <w:right w:val="single" w:sz="8" w:space="0" w:color="auto"/>
            </w:tcBorders>
            <w:shd w:val="clear" w:color="auto" w:fill="auto"/>
            <w:vAlign w:val="center"/>
            <w:hideMark/>
          </w:tcPr>
          <w:p w:rsidR="00E53AB2" w:rsidRDefault="00717D58">
            <w:pPr>
              <w:keepNext/>
              <w:jc w:val="center"/>
              <w:rPr>
                <w:sz w:val="20"/>
              </w:rPr>
            </w:pPr>
            <w:r w:rsidRPr="00364FE1">
              <w:rPr>
                <w:sz w:val="20"/>
              </w:rPr>
              <w:t xml:space="preserve">$36.50 </w:t>
            </w:r>
          </w:p>
        </w:tc>
        <w:tc>
          <w:tcPr>
            <w:tcW w:w="827" w:type="dxa"/>
            <w:tcBorders>
              <w:top w:val="nil"/>
              <w:left w:val="nil"/>
              <w:bottom w:val="single" w:sz="8" w:space="0" w:color="auto"/>
              <w:right w:val="single" w:sz="8" w:space="0" w:color="auto"/>
            </w:tcBorders>
            <w:shd w:val="clear" w:color="auto" w:fill="auto"/>
            <w:vAlign w:val="center"/>
            <w:hideMark/>
          </w:tcPr>
          <w:p w:rsidR="00E53AB2" w:rsidRDefault="00717D58">
            <w:pPr>
              <w:keepNext/>
              <w:jc w:val="center"/>
              <w:rPr>
                <w:sz w:val="20"/>
              </w:rPr>
            </w:pPr>
            <w:r w:rsidRPr="00364FE1">
              <w:rPr>
                <w:sz w:val="20"/>
              </w:rPr>
              <w:t xml:space="preserve">$18.25 </w:t>
            </w:r>
          </w:p>
        </w:tc>
        <w:tc>
          <w:tcPr>
            <w:tcW w:w="861" w:type="dxa"/>
            <w:tcBorders>
              <w:top w:val="nil"/>
              <w:left w:val="nil"/>
              <w:bottom w:val="single" w:sz="4" w:space="0" w:color="auto"/>
              <w:right w:val="single" w:sz="4" w:space="0" w:color="auto"/>
            </w:tcBorders>
            <w:shd w:val="clear" w:color="auto" w:fill="auto"/>
            <w:vAlign w:val="center"/>
            <w:hideMark/>
          </w:tcPr>
          <w:p w:rsidR="00E53AB2" w:rsidRDefault="00717D58">
            <w:pPr>
              <w:keepNext/>
              <w:jc w:val="center"/>
              <w:rPr>
                <w:sz w:val="20"/>
              </w:rPr>
            </w:pPr>
            <w:r w:rsidRPr="00364FE1">
              <w:rPr>
                <w:sz w:val="20"/>
              </w:rPr>
              <w:t>50%</w:t>
            </w:r>
          </w:p>
        </w:tc>
        <w:tc>
          <w:tcPr>
            <w:tcW w:w="776" w:type="dxa"/>
            <w:tcBorders>
              <w:top w:val="nil"/>
              <w:left w:val="nil"/>
              <w:bottom w:val="single" w:sz="4" w:space="0" w:color="auto"/>
              <w:right w:val="single" w:sz="4" w:space="0" w:color="auto"/>
            </w:tcBorders>
            <w:shd w:val="clear" w:color="auto" w:fill="auto"/>
            <w:vAlign w:val="center"/>
            <w:hideMark/>
          </w:tcPr>
          <w:p w:rsidR="00E53AB2" w:rsidRDefault="00717D58">
            <w:pPr>
              <w:keepNext/>
              <w:jc w:val="center"/>
              <w:rPr>
                <w:sz w:val="20"/>
              </w:rPr>
            </w:pPr>
            <w:r w:rsidRPr="00364FE1">
              <w:rPr>
                <w:sz w:val="20"/>
              </w:rPr>
              <w:t>17%</w:t>
            </w:r>
          </w:p>
        </w:tc>
        <w:tc>
          <w:tcPr>
            <w:tcW w:w="1036" w:type="dxa"/>
            <w:tcBorders>
              <w:top w:val="nil"/>
              <w:left w:val="nil"/>
              <w:bottom w:val="single" w:sz="4" w:space="0" w:color="auto"/>
              <w:right w:val="single" w:sz="4" w:space="0" w:color="auto"/>
            </w:tcBorders>
            <w:shd w:val="clear" w:color="auto" w:fill="auto"/>
            <w:vAlign w:val="center"/>
            <w:hideMark/>
          </w:tcPr>
          <w:p w:rsidR="00E53AB2" w:rsidRDefault="00717D58">
            <w:pPr>
              <w:keepNext/>
              <w:jc w:val="center"/>
              <w:rPr>
                <w:sz w:val="20"/>
              </w:rPr>
            </w:pPr>
            <w:r w:rsidRPr="00364FE1">
              <w:rPr>
                <w:sz w:val="20"/>
              </w:rPr>
              <w:t>1.67</w:t>
            </w:r>
          </w:p>
        </w:tc>
        <w:tc>
          <w:tcPr>
            <w:tcW w:w="904" w:type="dxa"/>
            <w:tcBorders>
              <w:top w:val="nil"/>
              <w:left w:val="nil"/>
              <w:bottom w:val="single" w:sz="4" w:space="0" w:color="auto"/>
              <w:right w:val="double" w:sz="6" w:space="0" w:color="auto"/>
            </w:tcBorders>
            <w:shd w:val="clear" w:color="auto" w:fill="auto"/>
            <w:vAlign w:val="center"/>
            <w:hideMark/>
          </w:tcPr>
          <w:p w:rsidR="00E53AB2" w:rsidRDefault="00717D58">
            <w:pPr>
              <w:keepNext/>
              <w:jc w:val="center"/>
              <w:rPr>
                <w:sz w:val="20"/>
              </w:rPr>
            </w:pPr>
            <w:r w:rsidRPr="00364FE1">
              <w:rPr>
                <w:sz w:val="20"/>
              </w:rPr>
              <w:t>$60.95</w:t>
            </w:r>
          </w:p>
        </w:tc>
      </w:tr>
      <w:tr w:rsidR="00717D58" w:rsidRPr="00364FE1" w:rsidTr="00F21A45">
        <w:tc>
          <w:tcPr>
            <w:tcW w:w="1350" w:type="dxa"/>
            <w:tcBorders>
              <w:top w:val="nil"/>
              <w:left w:val="double" w:sz="6" w:space="0" w:color="auto"/>
              <w:bottom w:val="single" w:sz="4" w:space="0" w:color="auto"/>
              <w:right w:val="single" w:sz="4" w:space="0" w:color="auto"/>
            </w:tcBorders>
            <w:shd w:val="clear" w:color="auto" w:fill="auto"/>
            <w:vAlign w:val="center"/>
            <w:hideMark/>
          </w:tcPr>
          <w:p w:rsidR="00E53AB2" w:rsidRDefault="00717D58">
            <w:pPr>
              <w:keepNext/>
              <w:jc w:val="center"/>
              <w:rPr>
                <w:b/>
                <w:bCs/>
                <w:sz w:val="20"/>
              </w:rPr>
            </w:pPr>
            <w:r w:rsidRPr="00364FE1">
              <w:rPr>
                <w:b/>
                <w:bCs/>
                <w:sz w:val="20"/>
              </w:rPr>
              <w:t>Clerical</w:t>
            </w:r>
          </w:p>
        </w:tc>
        <w:tc>
          <w:tcPr>
            <w:tcW w:w="1966" w:type="dxa"/>
            <w:tcBorders>
              <w:top w:val="nil"/>
              <w:left w:val="nil"/>
              <w:bottom w:val="single" w:sz="4" w:space="0" w:color="auto"/>
              <w:right w:val="single" w:sz="4" w:space="0" w:color="auto"/>
            </w:tcBorders>
            <w:shd w:val="clear" w:color="auto" w:fill="auto"/>
            <w:vAlign w:val="bottom"/>
            <w:hideMark/>
          </w:tcPr>
          <w:p w:rsidR="00E53AB2" w:rsidRDefault="00717D58">
            <w:pPr>
              <w:keepNext/>
              <w:rPr>
                <w:sz w:val="20"/>
              </w:rPr>
            </w:pPr>
            <w:r w:rsidRPr="00364FE1">
              <w:rPr>
                <w:sz w:val="20"/>
              </w:rPr>
              <w:t>BLS</w:t>
            </w:r>
            <w:r w:rsidRPr="00364FE1">
              <w:rPr>
                <w:i/>
                <w:iCs/>
                <w:sz w:val="20"/>
              </w:rPr>
              <w:t xml:space="preserve"> ECEC</w:t>
            </w:r>
            <w:r w:rsidRPr="00364FE1">
              <w:rPr>
                <w:sz w:val="20"/>
              </w:rPr>
              <w:t xml:space="preserve">, Private </w:t>
            </w:r>
            <w:r w:rsidRPr="00364FE1">
              <w:rPr>
                <w:b/>
                <w:bCs/>
                <w:sz w:val="20"/>
              </w:rPr>
              <w:t>Manufacturing industries,</w:t>
            </w:r>
            <w:r w:rsidRPr="00364FE1">
              <w:rPr>
                <w:sz w:val="20"/>
              </w:rPr>
              <w:t xml:space="preserve"> “Office and Administrative Support”</w:t>
            </w:r>
          </w:p>
        </w:tc>
        <w:tc>
          <w:tcPr>
            <w:tcW w:w="788" w:type="dxa"/>
            <w:tcBorders>
              <w:top w:val="nil"/>
              <w:left w:val="nil"/>
              <w:bottom w:val="single" w:sz="4" w:space="0" w:color="auto"/>
              <w:right w:val="single" w:sz="8" w:space="0" w:color="auto"/>
            </w:tcBorders>
            <w:shd w:val="clear" w:color="auto" w:fill="auto"/>
            <w:vAlign w:val="center"/>
            <w:hideMark/>
          </w:tcPr>
          <w:p w:rsidR="00E53AB2" w:rsidRDefault="00717D58">
            <w:pPr>
              <w:keepNext/>
              <w:jc w:val="center"/>
              <w:rPr>
                <w:sz w:val="16"/>
                <w:szCs w:val="16"/>
              </w:rPr>
            </w:pPr>
            <w:r>
              <w:rPr>
                <w:sz w:val="16"/>
                <w:szCs w:val="16"/>
              </w:rPr>
              <w:t>Avg of Mar, June, Sept, Dec</w:t>
            </w:r>
          </w:p>
        </w:tc>
        <w:tc>
          <w:tcPr>
            <w:tcW w:w="828" w:type="dxa"/>
            <w:tcBorders>
              <w:top w:val="nil"/>
              <w:left w:val="nil"/>
              <w:bottom w:val="single" w:sz="4" w:space="0" w:color="auto"/>
              <w:right w:val="single" w:sz="8" w:space="0" w:color="auto"/>
            </w:tcBorders>
            <w:shd w:val="clear" w:color="auto" w:fill="auto"/>
            <w:vAlign w:val="center"/>
            <w:hideMark/>
          </w:tcPr>
          <w:p w:rsidR="00E53AB2" w:rsidRDefault="00717D58">
            <w:pPr>
              <w:keepNext/>
              <w:jc w:val="center"/>
              <w:rPr>
                <w:sz w:val="20"/>
              </w:rPr>
            </w:pPr>
            <w:r w:rsidRPr="00364FE1">
              <w:rPr>
                <w:sz w:val="20"/>
              </w:rPr>
              <w:t xml:space="preserve">$17.29 </w:t>
            </w:r>
          </w:p>
        </w:tc>
        <w:tc>
          <w:tcPr>
            <w:tcW w:w="827" w:type="dxa"/>
            <w:tcBorders>
              <w:top w:val="nil"/>
              <w:left w:val="nil"/>
              <w:bottom w:val="single" w:sz="4" w:space="0" w:color="auto"/>
              <w:right w:val="single" w:sz="8" w:space="0" w:color="auto"/>
            </w:tcBorders>
            <w:shd w:val="clear" w:color="auto" w:fill="auto"/>
            <w:vAlign w:val="center"/>
            <w:hideMark/>
          </w:tcPr>
          <w:p w:rsidR="00E53AB2" w:rsidRDefault="00717D58">
            <w:pPr>
              <w:keepNext/>
              <w:jc w:val="center"/>
              <w:rPr>
                <w:sz w:val="20"/>
              </w:rPr>
            </w:pPr>
            <w:r w:rsidRPr="00364FE1">
              <w:rPr>
                <w:sz w:val="20"/>
              </w:rPr>
              <w:t xml:space="preserve">$8.77 </w:t>
            </w:r>
          </w:p>
        </w:tc>
        <w:tc>
          <w:tcPr>
            <w:tcW w:w="861" w:type="dxa"/>
            <w:tcBorders>
              <w:top w:val="nil"/>
              <w:left w:val="nil"/>
              <w:bottom w:val="single" w:sz="4" w:space="0" w:color="auto"/>
              <w:right w:val="single" w:sz="4" w:space="0" w:color="auto"/>
            </w:tcBorders>
            <w:shd w:val="clear" w:color="auto" w:fill="auto"/>
            <w:vAlign w:val="center"/>
            <w:hideMark/>
          </w:tcPr>
          <w:p w:rsidR="00E53AB2" w:rsidRDefault="00717D58">
            <w:pPr>
              <w:keepNext/>
              <w:jc w:val="center"/>
              <w:rPr>
                <w:sz w:val="20"/>
              </w:rPr>
            </w:pPr>
            <w:r w:rsidRPr="00364FE1">
              <w:rPr>
                <w:sz w:val="20"/>
              </w:rPr>
              <w:t>50%</w:t>
            </w:r>
          </w:p>
        </w:tc>
        <w:tc>
          <w:tcPr>
            <w:tcW w:w="776" w:type="dxa"/>
            <w:tcBorders>
              <w:top w:val="nil"/>
              <w:left w:val="nil"/>
              <w:bottom w:val="single" w:sz="4" w:space="0" w:color="auto"/>
              <w:right w:val="single" w:sz="4" w:space="0" w:color="auto"/>
            </w:tcBorders>
            <w:shd w:val="clear" w:color="auto" w:fill="auto"/>
            <w:vAlign w:val="center"/>
            <w:hideMark/>
          </w:tcPr>
          <w:p w:rsidR="00E53AB2" w:rsidRDefault="00717D58">
            <w:pPr>
              <w:keepNext/>
              <w:jc w:val="center"/>
              <w:rPr>
                <w:sz w:val="20"/>
              </w:rPr>
            </w:pPr>
            <w:r w:rsidRPr="00364FE1">
              <w:rPr>
                <w:sz w:val="20"/>
              </w:rPr>
              <w:t>17%</w:t>
            </w:r>
          </w:p>
        </w:tc>
        <w:tc>
          <w:tcPr>
            <w:tcW w:w="1036" w:type="dxa"/>
            <w:tcBorders>
              <w:top w:val="nil"/>
              <w:left w:val="nil"/>
              <w:bottom w:val="single" w:sz="4" w:space="0" w:color="auto"/>
              <w:right w:val="single" w:sz="4" w:space="0" w:color="auto"/>
            </w:tcBorders>
            <w:shd w:val="clear" w:color="auto" w:fill="auto"/>
            <w:vAlign w:val="center"/>
            <w:hideMark/>
          </w:tcPr>
          <w:p w:rsidR="00E53AB2" w:rsidRDefault="00717D58">
            <w:pPr>
              <w:keepNext/>
              <w:jc w:val="center"/>
              <w:rPr>
                <w:sz w:val="20"/>
              </w:rPr>
            </w:pPr>
            <w:r w:rsidRPr="00364FE1">
              <w:rPr>
                <w:sz w:val="20"/>
              </w:rPr>
              <w:t>1.68</w:t>
            </w:r>
          </w:p>
        </w:tc>
        <w:tc>
          <w:tcPr>
            <w:tcW w:w="904" w:type="dxa"/>
            <w:tcBorders>
              <w:top w:val="nil"/>
              <w:left w:val="nil"/>
              <w:bottom w:val="single" w:sz="4" w:space="0" w:color="auto"/>
              <w:right w:val="double" w:sz="6" w:space="0" w:color="auto"/>
            </w:tcBorders>
            <w:shd w:val="clear" w:color="auto" w:fill="auto"/>
            <w:vAlign w:val="center"/>
            <w:hideMark/>
          </w:tcPr>
          <w:p w:rsidR="00E53AB2" w:rsidRDefault="00717D58">
            <w:pPr>
              <w:keepNext/>
              <w:jc w:val="center"/>
              <w:rPr>
                <w:sz w:val="20"/>
              </w:rPr>
            </w:pPr>
            <w:r w:rsidRPr="00364FE1">
              <w:rPr>
                <w:sz w:val="20"/>
              </w:rPr>
              <w:t>$28.99</w:t>
            </w:r>
          </w:p>
        </w:tc>
      </w:tr>
      <w:tr w:rsidR="00717D58" w:rsidRPr="00364FE1" w:rsidTr="00F21A45">
        <w:tc>
          <w:tcPr>
            <w:tcW w:w="9336" w:type="dxa"/>
            <w:gridSpan w:val="9"/>
            <w:tcBorders>
              <w:top w:val="nil"/>
              <w:left w:val="double" w:sz="6" w:space="0" w:color="auto"/>
              <w:bottom w:val="nil"/>
              <w:right w:val="double" w:sz="6" w:space="0" w:color="000000"/>
            </w:tcBorders>
            <w:shd w:val="clear" w:color="auto" w:fill="auto"/>
            <w:vAlign w:val="bottom"/>
            <w:hideMark/>
          </w:tcPr>
          <w:p w:rsidR="00E53AB2" w:rsidRDefault="00717D58">
            <w:pPr>
              <w:keepNext/>
              <w:rPr>
                <w:b/>
                <w:bCs/>
                <w:sz w:val="18"/>
                <w:szCs w:val="18"/>
              </w:rPr>
            </w:pPr>
            <w:r w:rsidRPr="00364FE1">
              <w:rPr>
                <w:b/>
                <w:bCs/>
                <w:sz w:val="18"/>
                <w:szCs w:val="18"/>
              </w:rPr>
              <w:t>Notes:</w:t>
            </w:r>
          </w:p>
        </w:tc>
      </w:tr>
      <w:tr w:rsidR="00717D58" w:rsidRPr="00364FE1" w:rsidTr="00F21A45">
        <w:tc>
          <w:tcPr>
            <w:tcW w:w="9336" w:type="dxa"/>
            <w:gridSpan w:val="9"/>
            <w:tcBorders>
              <w:top w:val="nil"/>
              <w:left w:val="double" w:sz="6" w:space="0" w:color="auto"/>
              <w:bottom w:val="nil"/>
              <w:right w:val="double" w:sz="6" w:space="0" w:color="000000"/>
            </w:tcBorders>
            <w:shd w:val="clear" w:color="auto" w:fill="auto"/>
            <w:vAlign w:val="bottom"/>
            <w:hideMark/>
          </w:tcPr>
          <w:p w:rsidR="00E53AB2" w:rsidRDefault="00717D58">
            <w:pPr>
              <w:keepNext/>
              <w:rPr>
                <w:sz w:val="18"/>
                <w:szCs w:val="18"/>
              </w:rPr>
            </w:pPr>
            <w:r w:rsidRPr="00364FE1">
              <w:rPr>
                <w:sz w:val="18"/>
                <w:szCs w:val="18"/>
                <w:vertAlign w:val="superscript"/>
              </w:rPr>
              <w:t xml:space="preserve">a </w:t>
            </w:r>
            <w:r w:rsidRPr="00364FE1">
              <w:rPr>
                <w:sz w:val="18"/>
                <w:szCs w:val="18"/>
              </w:rPr>
              <w:t xml:space="preserve">Wage data are rounded to the </w:t>
            </w:r>
            <w:r>
              <w:rPr>
                <w:sz w:val="18"/>
                <w:szCs w:val="18"/>
              </w:rPr>
              <w:t>cent</w:t>
            </w:r>
            <w:r w:rsidRPr="00364FE1">
              <w:rPr>
                <w:sz w:val="18"/>
                <w:szCs w:val="18"/>
              </w:rPr>
              <w:t xml:space="preserve"> in this table; however, in calculations</w:t>
            </w:r>
            <w:r>
              <w:rPr>
                <w:sz w:val="18"/>
                <w:szCs w:val="18"/>
              </w:rPr>
              <w:t xml:space="preserve">, </w:t>
            </w:r>
            <w:r w:rsidRPr="00364FE1">
              <w:rPr>
                <w:sz w:val="18"/>
                <w:szCs w:val="18"/>
              </w:rPr>
              <w:t>unrounded values were used.</w:t>
            </w:r>
          </w:p>
        </w:tc>
      </w:tr>
      <w:tr w:rsidR="00717D58" w:rsidRPr="00364FE1" w:rsidTr="00F21A45">
        <w:tc>
          <w:tcPr>
            <w:tcW w:w="9336" w:type="dxa"/>
            <w:gridSpan w:val="9"/>
            <w:tcBorders>
              <w:top w:val="nil"/>
              <w:left w:val="double" w:sz="6" w:space="0" w:color="auto"/>
              <w:bottom w:val="nil"/>
              <w:right w:val="double" w:sz="6" w:space="0" w:color="000000"/>
            </w:tcBorders>
            <w:shd w:val="clear" w:color="auto" w:fill="auto"/>
            <w:vAlign w:val="bottom"/>
            <w:hideMark/>
          </w:tcPr>
          <w:p w:rsidR="00E53AB2" w:rsidRDefault="00717D58">
            <w:pPr>
              <w:keepNext/>
              <w:rPr>
                <w:sz w:val="18"/>
                <w:szCs w:val="18"/>
              </w:rPr>
            </w:pPr>
            <w:r w:rsidRPr="00364FE1">
              <w:rPr>
                <w:sz w:val="18"/>
                <w:szCs w:val="18"/>
                <w:vertAlign w:val="superscript"/>
              </w:rPr>
              <w:t xml:space="preserve">b </w:t>
            </w:r>
            <w:r w:rsidRPr="00364FE1">
              <w:rPr>
                <w:sz w:val="18"/>
                <w:szCs w:val="18"/>
              </w:rPr>
              <w:t xml:space="preserve">An overhead rate of 17% was used based on assumptions in </w:t>
            </w:r>
            <w:r w:rsidRPr="00364FE1">
              <w:rPr>
                <w:i/>
                <w:iCs/>
                <w:sz w:val="18"/>
                <w:szCs w:val="18"/>
              </w:rPr>
              <w:t xml:space="preserve">Wage Rates for Economic Analyses of the Toxics Release Inventory Program </w:t>
            </w:r>
            <w:r w:rsidRPr="00364FE1">
              <w:rPr>
                <w:sz w:val="18"/>
                <w:szCs w:val="18"/>
              </w:rPr>
              <w:t xml:space="preserve">(Rice, 2002), and the </w:t>
            </w:r>
            <w:r w:rsidRPr="00364FE1">
              <w:rPr>
                <w:i/>
                <w:iCs/>
                <w:sz w:val="18"/>
                <w:szCs w:val="18"/>
              </w:rPr>
              <w:t xml:space="preserve">Revised Economic Analysis for the Amended Inventory Update Rule: Final Report </w:t>
            </w:r>
            <w:r w:rsidRPr="00364FE1">
              <w:rPr>
                <w:sz w:val="18"/>
                <w:szCs w:val="18"/>
              </w:rPr>
              <w:t>(EPAB, 2002).</w:t>
            </w:r>
          </w:p>
        </w:tc>
      </w:tr>
      <w:tr w:rsidR="00717D58" w:rsidRPr="00364FE1" w:rsidTr="00F21A45">
        <w:tc>
          <w:tcPr>
            <w:tcW w:w="9336" w:type="dxa"/>
            <w:gridSpan w:val="9"/>
            <w:tcBorders>
              <w:top w:val="nil"/>
              <w:left w:val="double" w:sz="6" w:space="0" w:color="auto"/>
              <w:bottom w:val="nil"/>
              <w:right w:val="double" w:sz="6" w:space="0" w:color="000000"/>
            </w:tcBorders>
            <w:shd w:val="clear" w:color="auto" w:fill="auto"/>
            <w:vAlign w:val="bottom"/>
            <w:hideMark/>
          </w:tcPr>
          <w:p w:rsidR="00E53AB2" w:rsidRDefault="00717D58">
            <w:pPr>
              <w:keepNext/>
              <w:rPr>
                <w:sz w:val="18"/>
                <w:szCs w:val="18"/>
              </w:rPr>
            </w:pPr>
            <w:r w:rsidRPr="00364FE1">
              <w:rPr>
                <w:sz w:val="18"/>
                <w:szCs w:val="18"/>
                <w:vertAlign w:val="superscript"/>
              </w:rPr>
              <w:t xml:space="preserve">c </w:t>
            </w:r>
            <w:r w:rsidRPr="00364FE1">
              <w:rPr>
                <w:sz w:val="18"/>
                <w:szCs w:val="18"/>
              </w:rPr>
              <w:t>An inflation factor of “1” means wage data were not escalated to reflect inflation.</w:t>
            </w:r>
          </w:p>
        </w:tc>
      </w:tr>
      <w:tr w:rsidR="00717D58" w:rsidRPr="00364FE1" w:rsidTr="00F21A45">
        <w:tc>
          <w:tcPr>
            <w:tcW w:w="9336" w:type="dxa"/>
            <w:gridSpan w:val="9"/>
            <w:tcBorders>
              <w:top w:val="nil"/>
              <w:left w:val="double" w:sz="6" w:space="0" w:color="auto"/>
              <w:bottom w:val="double" w:sz="6" w:space="0" w:color="000000"/>
              <w:right w:val="double" w:sz="6" w:space="0" w:color="000000"/>
            </w:tcBorders>
            <w:shd w:val="clear" w:color="auto" w:fill="auto"/>
            <w:vAlign w:val="bottom"/>
            <w:hideMark/>
          </w:tcPr>
          <w:p w:rsidR="00E53AB2" w:rsidRDefault="00717D58">
            <w:pPr>
              <w:keepNext/>
              <w:rPr>
                <w:sz w:val="18"/>
                <w:szCs w:val="18"/>
              </w:rPr>
            </w:pPr>
            <w:r w:rsidRPr="00364FE1">
              <w:rPr>
                <w:sz w:val="18"/>
                <w:szCs w:val="18"/>
                <w:vertAlign w:val="superscript"/>
              </w:rPr>
              <w:t xml:space="preserve">d </w:t>
            </w:r>
            <w:r w:rsidRPr="00364FE1">
              <w:rPr>
                <w:sz w:val="18"/>
                <w:szCs w:val="18"/>
              </w:rPr>
              <w:t xml:space="preserve">Source: </w:t>
            </w:r>
            <w:r w:rsidRPr="00364FE1">
              <w:rPr>
                <w:i/>
                <w:iCs/>
                <w:sz w:val="18"/>
                <w:szCs w:val="18"/>
              </w:rPr>
              <w:t xml:space="preserve">Employer Costs for Employee Compensation Supplementary Tables: December 2006-Mach 2011, </w:t>
            </w:r>
            <w:r w:rsidRPr="00364FE1">
              <w:rPr>
                <w:sz w:val="18"/>
                <w:szCs w:val="18"/>
              </w:rPr>
              <w:t>US Bureau of Labor Statistics, June 8, 2011 (pp 17,18,20) (http://www.bls.gov/ncs/ect/sp/ecsuphst.pdf, accessed July 13, 2011).</w:t>
            </w:r>
          </w:p>
        </w:tc>
      </w:tr>
      <w:bookmarkEnd w:id="0"/>
      <w:bookmarkEnd w:id="1"/>
    </w:tbl>
    <w:p w:rsidR="00E53AB2" w:rsidRDefault="00E53AB2">
      <w:pPr>
        <w:widowControl w:val="0"/>
        <w:rPr>
          <w:color w:val="000000"/>
        </w:rPr>
      </w:pPr>
    </w:p>
    <w:p w:rsidR="00E53AB2" w:rsidRDefault="00717D58">
      <w:pPr>
        <w:widowControl w:val="0"/>
        <w:rPr>
          <w:color w:val="000000"/>
        </w:rPr>
      </w:pPr>
      <w:r>
        <w:rPr>
          <w:color w:val="000000"/>
        </w:rPr>
        <w:tab/>
        <w:t xml:space="preserve">A typical firm submitting a response will engage in review of the rule, site identification, site file search, preparing study title lists, photocopying studies, and CBI review, and possibly  submit a robust summary or a post-reporting period submission.  Assuming that 70 chemicals per year are added to the TSCA section 8(d) list and that reporting is similar to the 2006 experience (see Table 3), the average annual cost for a firm is estimated at </w:t>
      </w:r>
      <w:r w:rsidRPr="00CE5495">
        <w:rPr>
          <w:color w:val="000000"/>
        </w:rPr>
        <w:t>$7</w:t>
      </w:r>
      <w:r>
        <w:rPr>
          <w:color w:val="000000"/>
        </w:rPr>
        <w:t>44 for 11.5 hours of burden</w:t>
      </w:r>
      <w:r w:rsidRPr="00CE5495">
        <w:rPr>
          <w:color w:val="000000"/>
        </w:rPr>
        <w:t>.</w:t>
      </w:r>
    </w:p>
    <w:p w:rsidR="00E53AB2" w:rsidRDefault="00E53AB2">
      <w:pPr>
        <w:widowControl w:val="0"/>
        <w:rPr>
          <w:color w:val="000000"/>
        </w:rPr>
      </w:pPr>
    </w:p>
    <w:p w:rsidR="007138E6" w:rsidRPr="007138E6" w:rsidRDefault="007138E6">
      <w:pPr>
        <w:widowControl w:val="0"/>
        <w:rPr>
          <w:b/>
          <w:color w:val="000000"/>
        </w:rPr>
      </w:pPr>
      <w:r>
        <w:rPr>
          <w:color w:val="000000"/>
        </w:rPr>
        <w:tab/>
        <w:t xml:space="preserve">   </w:t>
      </w:r>
      <w:r w:rsidRPr="007138E6">
        <w:rPr>
          <w:b/>
          <w:color w:val="000000"/>
        </w:rPr>
        <w:t>(ii) Cadmium and Cadmium Compounds</w:t>
      </w:r>
    </w:p>
    <w:p w:rsidR="007138E6" w:rsidRDefault="007138E6" w:rsidP="007138E6">
      <w:pPr>
        <w:pStyle w:val="Caption"/>
        <w:jc w:val="center"/>
        <w:rPr>
          <w:b w:val="0"/>
          <w:bCs w:val="0"/>
          <w:color w:val="000000"/>
        </w:rPr>
      </w:pPr>
    </w:p>
    <w:p w:rsidR="008567CC" w:rsidRDefault="008567CC">
      <w:pPr>
        <w:spacing w:after="200" w:line="276" w:lineRule="auto"/>
        <w:rPr>
          <w:b/>
        </w:rPr>
      </w:pPr>
      <w:r>
        <w:rPr>
          <w:b/>
        </w:rPr>
        <w:br w:type="page"/>
      </w:r>
    </w:p>
    <w:p w:rsidR="007138E6" w:rsidRPr="007138E6" w:rsidRDefault="007138E6" w:rsidP="007138E6">
      <w:pPr>
        <w:rPr>
          <w:b/>
        </w:rPr>
      </w:pPr>
      <w:r w:rsidRPr="007138E6">
        <w:rPr>
          <w:b/>
        </w:rPr>
        <w:lastRenderedPageBreak/>
        <w:t xml:space="preserve">Table </w:t>
      </w:r>
      <w:r w:rsidR="0036481A">
        <w:rPr>
          <w:b/>
        </w:rPr>
        <w:t>8</w:t>
      </w:r>
      <w:r w:rsidRPr="007138E6">
        <w:rPr>
          <w:b/>
        </w:rPr>
        <w:t xml:space="preserve">.  </w:t>
      </w:r>
      <w:r w:rsidRPr="007138E6">
        <w:rPr>
          <w:b/>
          <w:bCs/>
          <w:color w:val="000000"/>
        </w:rPr>
        <w:t>Derivation of Loaded Wage Rates</w:t>
      </w:r>
    </w:p>
    <w:tbl>
      <w:tblPr>
        <w:tblW w:w="5000" w:type="pct"/>
        <w:jc w:val="center"/>
        <w:tblLook w:val="0000"/>
      </w:tblPr>
      <w:tblGrid>
        <w:gridCol w:w="1425"/>
        <w:gridCol w:w="1959"/>
        <w:gridCol w:w="884"/>
        <w:gridCol w:w="883"/>
        <w:gridCol w:w="1327"/>
        <w:gridCol w:w="1057"/>
        <w:gridCol w:w="1492"/>
        <w:gridCol w:w="1269"/>
      </w:tblGrid>
      <w:tr w:rsidR="007138E6" w:rsidRPr="00C32A8F" w:rsidTr="0091312F">
        <w:trPr>
          <w:trHeight w:val="780"/>
          <w:jc w:val="center"/>
        </w:trPr>
        <w:tc>
          <w:tcPr>
            <w:tcW w:w="133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sz w:val="20"/>
              </w:rPr>
            </w:pPr>
            <w:r w:rsidRPr="00C32A8F">
              <w:rPr>
                <w:b/>
                <w:bCs/>
                <w:sz w:val="20"/>
              </w:rPr>
              <w:t>Labor Category</w:t>
            </w:r>
          </w:p>
        </w:tc>
        <w:tc>
          <w:tcPr>
            <w:tcW w:w="183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sz w:val="20"/>
              </w:rPr>
            </w:pPr>
            <w:r w:rsidRPr="00C32A8F">
              <w:rPr>
                <w:b/>
                <w:bCs/>
                <w:sz w:val="20"/>
              </w:rPr>
              <w:t>Data Sources</w:t>
            </w:r>
          </w:p>
          <w:p w:rsidR="007138E6" w:rsidRPr="00C32A8F" w:rsidRDefault="007138E6" w:rsidP="0091312F">
            <w:pPr>
              <w:jc w:val="center"/>
              <w:rPr>
                <w:b/>
                <w:bCs/>
                <w:color w:val="000000"/>
                <w:sz w:val="20"/>
              </w:rPr>
            </w:pPr>
            <w:r w:rsidRPr="00C32A8F">
              <w:rPr>
                <w:b/>
                <w:bCs/>
                <w:sz w:val="20"/>
              </w:rPr>
              <w:t> </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color w:val="000000"/>
                <w:sz w:val="20"/>
              </w:rPr>
            </w:pPr>
            <w:r>
              <w:rPr>
                <w:b/>
                <w:bCs/>
                <w:color w:val="000000"/>
                <w:sz w:val="20"/>
              </w:rPr>
              <w:t xml:space="preserve">Hourly </w:t>
            </w:r>
            <w:r w:rsidRPr="00C32A8F">
              <w:rPr>
                <w:b/>
                <w:bCs/>
                <w:color w:val="000000"/>
                <w:sz w:val="20"/>
              </w:rPr>
              <w:t>Wage</w:t>
            </w:r>
          </w:p>
        </w:tc>
        <w:tc>
          <w:tcPr>
            <w:tcW w:w="827"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color w:val="000000"/>
                <w:sz w:val="20"/>
              </w:rPr>
            </w:pPr>
            <w:r w:rsidRPr="00C32A8F">
              <w:rPr>
                <w:b/>
                <w:bCs/>
                <w:color w:val="000000"/>
                <w:sz w:val="20"/>
              </w:rPr>
              <w:t>Fringe Benefit</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color w:val="000000"/>
                <w:sz w:val="20"/>
              </w:rPr>
            </w:pPr>
            <w:r w:rsidRPr="00C32A8F">
              <w:rPr>
                <w:b/>
                <w:bCs/>
                <w:color w:val="000000"/>
                <w:sz w:val="20"/>
              </w:rPr>
              <w:t>Fringes as % wage</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color w:val="000000"/>
                <w:sz w:val="20"/>
              </w:rPr>
            </w:pPr>
            <w:r w:rsidRPr="00C32A8F">
              <w:rPr>
                <w:b/>
                <w:bCs/>
                <w:color w:val="000000"/>
                <w:sz w:val="20"/>
              </w:rPr>
              <w:t>Over-head % wage</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color w:val="000000"/>
                <w:sz w:val="20"/>
              </w:rPr>
            </w:pPr>
            <w:r w:rsidRPr="00C32A8F">
              <w:rPr>
                <w:b/>
                <w:bCs/>
                <w:color w:val="000000"/>
                <w:sz w:val="20"/>
              </w:rPr>
              <w:t>Fringe  overhead factor</w:t>
            </w:r>
          </w:p>
        </w:tc>
        <w:tc>
          <w:tcPr>
            <w:tcW w:w="1188"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color w:val="000000"/>
                <w:sz w:val="20"/>
              </w:rPr>
            </w:pPr>
            <w:r w:rsidRPr="00C32A8F">
              <w:rPr>
                <w:b/>
                <w:bCs/>
                <w:color w:val="000000"/>
                <w:sz w:val="20"/>
              </w:rPr>
              <w:t>Loaded Wages</w:t>
            </w:r>
          </w:p>
        </w:tc>
      </w:tr>
      <w:tr w:rsidR="007138E6" w:rsidRPr="00C32A8F" w:rsidTr="0091312F">
        <w:trPr>
          <w:trHeight w:val="198"/>
          <w:jc w:val="center"/>
        </w:trPr>
        <w:tc>
          <w:tcPr>
            <w:tcW w:w="1334" w:type="dxa"/>
            <w:vMerge/>
            <w:tcBorders>
              <w:top w:val="single" w:sz="8" w:space="0" w:color="auto"/>
              <w:left w:val="single" w:sz="8" w:space="0" w:color="auto"/>
              <w:bottom w:val="single" w:sz="8" w:space="0" w:color="auto"/>
              <w:right w:val="single" w:sz="8" w:space="0" w:color="auto"/>
            </w:tcBorders>
            <w:vAlign w:val="center"/>
          </w:tcPr>
          <w:p w:rsidR="007138E6" w:rsidRPr="00C32A8F" w:rsidRDefault="007138E6" w:rsidP="0091312F">
            <w:pPr>
              <w:rPr>
                <w:b/>
                <w:bCs/>
                <w:sz w:val="20"/>
              </w:rPr>
            </w:pPr>
          </w:p>
        </w:tc>
        <w:tc>
          <w:tcPr>
            <w:tcW w:w="1834" w:type="dxa"/>
            <w:vMerge/>
            <w:tcBorders>
              <w:top w:val="single" w:sz="8" w:space="0" w:color="auto"/>
              <w:left w:val="single" w:sz="8" w:space="0" w:color="auto"/>
              <w:bottom w:val="single" w:sz="8" w:space="0" w:color="auto"/>
              <w:right w:val="single" w:sz="8" w:space="0" w:color="auto"/>
            </w:tcBorders>
            <w:vAlign w:val="center"/>
          </w:tcPr>
          <w:p w:rsidR="007138E6" w:rsidRPr="00C32A8F" w:rsidRDefault="007138E6" w:rsidP="0091312F">
            <w:pPr>
              <w:jc w:val="center"/>
              <w:rPr>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tcPr>
          <w:p w:rsidR="007138E6" w:rsidRPr="00C32A8F" w:rsidRDefault="007138E6" w:rsidP="0091312F">
            <w:pPr>
              <w:jc w:val="center"/>
              <w:rPr>
                <w:sz w:val="20"/>
              </w:rPr>
            </w:pPr>
            <w:r w:rsidRPr="00C32A8F">
              <w:rPr>
                <w:sz w:val="20"/>
              </w:rPr>
              <w:t>(a)</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7138E6" w:rsidRPr="00C32A8F" w:rsidRDefault="007138E6" w:rsidP="0091312F">
            <w:pPr>
              <w:jc w:val="center"/>
              <w:rPr>
                <w:sz w:val="20"/>
              </w:rPr>
            </w:pPr>
            <w:r w:rsidRPr="00C32A8F">
              <w:rPr>
                <w:sz w:val="20"/>
              </w:rPr>
              <w:t>(b)</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7138E6" w:rsidRPr="00C32A8F" w:rsidRDefault="007138E6" w:rsidP="0091312F">
            <w:pPr>
              <w:jc w:val="center"/>
              <w:rPr>
                <w:sz w:val="20"/>
              </w:rPr>
            </w:pPr>
            <w:r w:rsidRPr="00C32A8F">
              <w:rPr>
                <w:sz w:val="20"/>
              </w:rPr>
              <w:t>(c) =(b)/(a)</w:t>
            </w:r>
          </w:p>
        </w:tc>
        <w:tc>
          <w:tcPr>
            <w:tcW w:w="990" w:type="dxa"/>
            <w:tcBorders>
              <w:top w:val="single" w:sz="8" w:space="0" w:color="auto"/>
              <w:left w:val="single" w:sz="8" w:space="0" w:color="auto"/>
              <w:bottom w:val="single" w:sz="8" w:space="0" w:color="auto"/>
              <w:right w:val="single" w:sz="8" w:space="0" w:color="auto"/>
            </w:tcBorders>
            <w:shd w:val="clear" w:color="auto" w:fill="auto"/>
          </w:tcPr>
          <w:p w:rsidR="007138E6" w:rsidRPr="00C32A8F" w:rsidRDefault="007138E6" w:rsidP="0091312F">
            <w:pPr>
              <w:jc w:val="center"/>
              <w:rPr>
                <w:sz w:val="20"/>
              </w:rPr>
            </w:pPr>
            <w:r w:rsidRPr="00C32A8F">
              <w:rPr>
                <w:sz w:val="20"/>
              </w:rPr>
              <w:t>(d)</w:t>
            </w:r>
          </w:p>
        </w:tc>
        <w:tc>
          <w:tcPr>
            <w:tcW w:w="1350" w:type="dxa"/>
            <w:tcBorders>
              <w:top w:val="single" w:sz="8" w:space="0" w:color="auto"/>
              <w:left w:val="single" w:sz="8" w:space="0" w:color="auto"/>
              <w:bottom w:val="single" w:sz="8" w:space="0" w:color="auto"/>
              <w:right w:val="single" w:sz="8" w:space="0" w:color="auto"/>
            </w:tcBorders>
            <w:shd w:val="clear" w:color="auto" w:fill="auto"/>
          </w:tcPr>
          <w:p w:rsidR="007138E6" w:rsidRPr="00C32A8F" w:rsidRDefault="007138E6" w:rsidP="0091312F">
            <w:pPr>
              <w:jc w:val="center"/>
              <w:rPr>
                <w:sz w:val="20"/>
              </w:rPr>
            </w:pPr>
            <w:r w:rsidRPr="00C32A8F">
              <w:rPr>
                <w:sz w:val="20"/>
              </w:rPr>
              <w:t>(e)=(c)</w:t>
            </w:r>
            <w:r>
              <w:rPr>
                <w:sz w:val="20"/>
              </w:rPr>
              <w:t>+</w:t>
            </w:r>
            <w:r w:rsidRPr="00C32A8F">
              <w:rPr>
                <w:sz w:val="20"/>
              </w:rPr>
              <w:t>(d)</w:t>
            </w:r>
            <w:r>
              <w:rPr>
                <w:sz w:val="20"/>
              </w:rPr>
              <w:t>+1</w:t>
            </w:r>
            <w:r w:rsidRPr="007103ED">
              <w:rPr>
                <w:sz w:val="20"/>
                <w:vertAlign w:val="superscript"/>
              </w:rPr>
              <w:t>1</w:t>
            </w:r>
          </w:p>
        </w:tc>
        <w:tc>
          <w:tcPr>
            <w:tcW w:w="1188" w:type="dxa"/>
            <w:tcBorders>
              <w:top w:val="single" w:sz="8" w:space="0" w:color="auto"/>
              <w:left w:val="single" w:sz="8" w:space="0" w:color="auto"/>
              <w:bottom w:val="single" w:sz="8" w:space="0" w:color="auto"/>
              <w:right w:val="single" w:sz="8" w:space="0" w:color="auto"/>
            </w:tcBorders>
            <w:shd w:val="clear" w:color="auto" w:fill="auto"/>
          </w:tcPr>
          <w:p w:rsidR="007138E6" w:rsidRPr="00C32A8F" w:rsidRDefault="007138E6" w:rsidP="0091312F">
            <w:pPr>
              <w:jc w:val="center"/>
              <w:rPr>
                <w:sz w:val="20"/>
              </w:rPr>
            </w:pPr>
            <w:r w:rsidRPr="00C32A8F">
              <w:rPr>
                <w:sz w:val="20"/>
              </w:rPr>
              <w:t>(f)=(a) x (e)</w:t>
            </w:r>
          </w:p>
        </w:tc>
      </w:tr>
      <w:tr w:rsidR="007138E6" w:rsidRPr="00C32A8F" w:rsidTr="0091312F">
        <w:trPr>
          <w:trHeight w:val="585"/>
          <w:jc w:val="center"/>
        </w:trPr>
        <w:tc>
          <w:tcPr>
            <w:tcW w:w="1334"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sz w:val="20"/>
              </w:rPr>
            </w:pPr>
            <w:r w:rsidRPr="00C32A8F">
              <w:rPr>
                <w:b/>
                <w:bCs/>
                <w:sz w:val="20"/>
              </w:rPr>
              <w:t>Managerial</w:t>
            </w:r>
          </w:p>
        </w:tc>
        <w:tc>
          <w:tcPr>
            <w:tcW w:w="1834" w:type="dxa"/>
            <w:tcBorders>
              <w:top w:val="single" w:sz="8" w:space="0" w:color="auto"/>
              <w:left w:val="single" w:sz="8" w:space="0" w:color="auto"/>
              <w:bottom w:val="single" w:sz="8" w:space="0" w:color="auto"/>
              <w:right w:val="single" w:sz="8" w:space="0" w:color="auto"/>
            </w:tcBorders>
            <w:shd w:val="clear" w:color="auto" w:fill="auto"/>
            <w:vAlign w:val="bottom"/>
          </w:tcPr>
          <w:p w:rsidR="007138E6" w:rsidRPr="00C32A8F" w:rsidRDefault="007138E6" w:rsidP="0091312F">
            <w:pPr>
              <w:rPr>
                <w:sz w:val="20"/>
              </w:rPr>
            </w:pPr>
            <w:r w:rsidRPr="00657DA6">
              <w:rPr>
                <w:sz w:val="20"/>
              </w:rPr>
              <w:t>BLS</w:t>
            </w:r>
            <w:r w:rsidRPr="00657DA6">
              <w:rPr>
                <w:iCs/>
                <w:sz w:val="20"/>
              </w:rPr>
              <w:t xml:space="preserve"> ECEC</w:t>
            </w:r>
            <w:r w:rsidRPr="00657DA6">
              <w:rPr>
                <w:sz w:val="20"/>
              </w:rPr>
              <w:t xml:space="preserve">, Private </w:t>
            </w:r>
            <w:r w:rsidRPr="00657DA6">
              <w:rPr>
                <w:bCs/>
                <w:sz w:val="20"/>
              </w:rPr>
              <w:t>Manufacturing industries</w:t>
            </w:r>
            <w:r w:rsidRPr="00657DA6">
              <w:rPr>
                <w:iCs/>
                <w:sz w:val="20"/>
              </w:rPr>
              <w:t>,</w:t>
            </w:r>
            <w:r w:rsidRPr="00657DA6">
              <w:rPr>
                <w:sz w:val="20"/>
              </w:rPr>
              <w:t xml:space="preserve"> “Mgt, Business, and Financial”</w:t>
            </w:r>
            <w:r w:rsidRPr="00657DA6">
              <w:rPr>
                <w:sz w:val="20"/>
                <w:vertAlign w:val="superscript"/>
              </w:rPr>
              <w:t>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7138E6">
            <w:pPr>
              <w:jc w:val="center"/>
              <w:rPr>
                <w:sz w:val="20"/>
              </w:rPr>
            </w:pPr>
            <w:r w:rsidRPr="00C32A8F">
              <w:rPr>
                <w:sz w:val="20"/>
              </w:rPr>
              <w:t>$</w:t>
            </w:r>
            <w:r>
              <w:rPr>
                <w:sz w:val="20"/>
              </w:rPr>
              <w:t>43.01</w:t>
            </w:r>
            <w:r w:rsidRPr="00C32A8F">
              <w:rPr>
                <w:sz w:val="20"/>
              </w:rPr>
              <w:t xml:space="preserve"> </w:t>
            </w:r>
          </w:p>
        </w:tc>
        <w:tc>
          <w:tcPr>
            <w:tcW w:w="827"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$20.</w:t>
            </w:r>
            <w:r>
              <w:rPr>
                <w:sz w:val="20"/>
              </w:rPr>
              <w:t>40</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Pr>
                <w:sz w:val="20"/>
              </w:rPr>
              <w:t>47.43%</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17%</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1.6</w:t>
            </w:r>
            <w:r>
              <w:rPr>
                <w:sz w:val="20"/>
              </w:rPr>
              <w:t>44</w:t>
            </w:r>
          </w:p>
        </w:tc>
        <w:tc>
          <w:tcPr>
            <w:tcW w:w="1188"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w:t>
            </w:r>
            <w:r>
              <w:rPr>
                <w:sz w:val="20"/>
              </w:rPr>
              <w:t>70.72</w:t>
            </w:r>
          </w:p>
        </w:tc>
      </w:tr>
      <w:tr w:rsidR="007138E6" w:rsidRPr="00C32A8F" w:rsidTr="007138E6">
        <w:trPr>
          <w:trHeight w:val="250"/>
          <w:jc w:val="center"/>
        </w:trPr>
        <w:tc>
          <w:tcPr>
            <w:tcW w:w="1334"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sz w:val="20"/>
              </w:rPr>
            </w:pPr>
            <w:r w:rsidRPr="00C32A8F">
              <w:rPr>
                <w:b/>
                <w:bCs/>
                <w:sz w:val="20"/>
              </w:rPr>
              <w:t>Professional/</w:t>
            </w:r>
            <w:r w:rsidRPr="00C32A8F">
              <w:rPr>
                <w:b/>
                <w:bCs/>
                <w:sz w:val="20"/>
              </w:rPr>
              <w:br/>
              <w:t>Technical</w:t>
            </w:r>
          </w:p>
        </w:tc>
        <w:tc>
          <w:tcPr>
            <w:tcW w:w="1834" w:type="dxa"/>
            <w:tcBorders>
              <w:top w:val="single" w:sz="8" w:space="0" w:color="auto"/>
              <w:left w:val="single" w:sz="8" w:space="0" w:color="auto"/>
              <w:bottom w:val="single" w:sz="8" w:space="0" w:color="auto"/>
              <w:right w:val="single" w:sz="8" w:space="0" w:color="auto"/>
            </w:tcBorders>
            <w:shd w:val="clear" w:color="auto" w:fill="auto"/>
            <w:vAlign w:val="bottom"/>
          </w:tcPr>
          <w:p w:rsidR="007138E6" w:rsidRPr="00C32A8F" w:rsidRDefault="007138E6" w:rsidP="0091312F">
            <w:pPr>
              <w:rPr>
                <w:sz w:val="20"/>
              </w:rPr>
            </w:pPr>
            <w:r w:rsidRPr="00657DA6">
              <w:rPr>
                <w:sz w:val="20"/>
              </w:rPr>
              <w:t>BLS</w:t>
            </w:r>
            <w:r w:rsidRPr="00657DA6">
              <w:rPr>
                <w:iCs/>
                <w:sz w:val="20"/>
              </w:rPr>
              <w:t xml:space="preserve"> ECEC</w:t>
            </w:r>
            <w:r w:rsidRPr="00657DA6">
              <w:rPr>
                <w:sz w:val="20"/>
              </w:rPr>
              <w:t xml:space="preserve">, Private </w:t>
            </w:r>
            <w:r w:rsidRPr="00657DA6">
              <w:rPr>
                <w:bCs/>
                <w:sz w:val="20"/>
              </w:rPr>
              <w:t>Manufacturing industries</w:t>
            </w:r>
            <w:r w:rsidRPr="00657DA6">
              <w:rPr>
                <w:sz w:val="20"/>
              </w:rPr>
              <w:t>, “Professional and related“</w:t>
            </w:r>
            <w:r w:rsidRPr="00657DA6">
              <w:rPr>
                <w:sz w:val="20"/>
                <w:vertAlign w:val="superscript"/>
              </w:rPr>
              <w:t>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7138E6">
            <w:pPr>
              <w:jc w:val="center"/>
              <w:rPr>
                <w:sz w:val="20"/>
              </w:rPr>
            </w:pPr>
            <w:r w:rsidRPr="00C32A8F">
              <w:rPr>
                <w:sz w:val="20"/>
              </w:rPr>
              <w:t>$</w:t>
            </w:r>
            <w:r w:rsidRPr="007138E6">
              <w:rPr>
                <w:sz w:val="20"/>
              </w:rPr>
              <w:t>38.48</w:t>
            </w:r>
          </w:p>
        </w:tc>
        <w:tc>
          <w:tcPr>
            <w:tcW w:w="827"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$1</w:t>
            </w:r>
            <w:r>
              <w:rPr>
                <w:sz w:val="20"/>
              </w:rPr>
              <w:t>9</w:t>
            </w:r>
            <w:r w:rsidRPr="00C32A8F">
              <w:rPr>
                <w:sz w:val="20"/>
              </w:rPr>
              <w:t>.6</w:t>
            </w:r>
            <w:r>
              <w:rPr>
                <w:sz w:val="20"/>
              </w:rPr>
              <w:t>4</w:t>
            </w:r>
            <w:r w:rsidRPr="00C32A8F">
              <w:rPr>
                <w:sz w:val="20"/>
              </w:rPr>
              <w:t xml:space="preserve"> </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Pr>
                <w:sz w:val="20"/>
              </w:rPr>
              <w:t>51.04</w:t>
            </w:r>
            <w:r w:rsidRPr="00C32A8F">
              <w:rPr>
                <w:sz w:val="20"/>
              </w:rPr>
              <w:t>%</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17%</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1.6</w:t>
            </w:r>
            <w:r>
              <w:rPr>
                <w:sz w:val="20"/>
              </w:rPr>
              <w:t>80</w:t>
            </w:r>
          </w:p>
        </w:tc>
        <w:tc>
          <w:tcPr>
            <w:tcW w:w="1188"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w:t>
            </w:r>
            <w:r>
              <w:rPr>
                <w:sz w:val="20"/>
              </w:rPr>
              <w:t>64.66</w:t>
            </w:r>
          </w:p>
        </w:tc>
      </w:tr>
      <w:tr w:rsidR="007138E6" w:rsidRPr="00C32A8F" w:rsidTr="0091312F">
        <w:trPr>
          <w:trHeight w:val="1150"/>
          <w:jc w:val="center"/>
        </w:trPr>
        <w:tc>
          <w:tcPr>
            <w:tcW w:w="1334"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b/>
                <w:bCs/>
                <w:sz w:val="20"/>
              </w:rPr>
            </w:pPr>
            <w:r w:rsidRPr="00C32A8F">
              <w:rPr>
                <w:b/>
                <w:bCs/>
                <w:sz w:val="20"/>
              </w:rPr>
              <w:t>Clerical</w:t>
            </w:r>
          </w:p>
        </w:tc>
        <w:tc>
          <w:tcPr>
            <w:tcW w:w="1834" w:type="dxa"/>
            <w:tcBorders>
              <w:top w:val="single" w:sz="8" w:space="0" w:color="auto"/>
              <w:left w:val="single" w:sz="8" w:space="0" w:color="auto"/>
              <w:bottom w:val="single" w:sz="8" w:space="0" w:color="auto"/>
              <w:right w:val="single" w:sz="8" w:space="0" w:color="auto"/>
            </w:tcBorders>
            <w:shd w:val="clear" w:color="auto" w:fill="auto"/>
            <w:vAlign w:val="bottom"/>
          </w:tcPr>
          <w:p w:rsidR="007138E6" w:rsidRPr="00C32A8F" w:rsidRDefault="007138E6" w:rsidP="0091312F">
            <w:pPr>
              <w:rPr>
                <w:sz w:val="20"/>
              </w:rPr>
            </w:pPr>
            <w:r w:rsidRPr="00657DA6">
              <w:rPr>
                <w:sz w:val="20"/>
              </w:rPr>
              <w:t>BLS</w:t>
            </w:r>
            <w:r w:rsidRPr="00657DA6">
              <w:rPr>
                <w:iCs/>
                <w:sz w:val="20"/>
              </w:rPr>
              <w:t xml:space="preserve"> ECEC</w:t>
            </w:r>
            <w:r w:rsidRPr="00657DA6">
              <w:rPr>
                <w:sz w:val="20"/>
              </w:rPr>
              <w:t xml:space="preserve">, Private </w:t>
            </w:r>
            <w:r w:rsidRPr="00657DA6">
              <w:rPr>
                <w:bCs/>
                <w:sz w:val="20"/>
              </w:rPr>
              <w:t>Manufacturing industries,</w:t>
            </w:r>
            <w:r w:rsidRPr="00657DA6">
              <w:rPr>
                <w:sz w:val="20"/>
              </w:rPr>
              <w:t xml:space="preserve"> “Office and Administrative Support”</w:t>
            </w:r>
            <w:r w:rsidRPr="00657DA6">
              <w:rPr>
                <w:sz w:val="20"/>
                <w:vertAlign w:val="superscript"/>
              </w:rPr>
              <w:t xml:space="preserve"> 1</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7138E6">
            <w:pPr>
              <w:jc w:val="center"/>
              <w:rPr>
                <w:sz w:val="20"/>
              </w:rPr>
            </w:pPr>
            <w:r w:rsidRPr="00C32A8F">
              <w:rPr>
                <w:sz w:val="20"/>
              </w:rPr>
              <w:t>$</w:t>
            </w:r>
            <w:r>
              <w:rPr>
                <w:sz w:val="20"/>
              </w:rPr>
              <w:t>17.69</w:t>
            </w:r>
            <w:r w:rsidRPr="00C32A8F">
              <w:rPr>
                <w:sz w:val="20"/>
              </w:rPr>
              <w:t xml:space="preserve"> </w:t>
            </w:r>
          </w:p>
        </w:tc>
        <w:tc>
          <w:tcPr>
            <w:tcW w:w="827"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$8.</w:t>
            </w:r>
            <w:r>
              <w:rPr>
                <w:sz w:val="20"/>
              </w:rPr>
              <w:t>93</w:t>
            </w:r>
            <w:r w:rsidRPr="00C32A8F">
              <w:rPr>
                <w:sz w:val="20"/>
              </w:rPr>
              <w:t xml:space="preserve"> </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Pr>
                <w:sz w:val="20"/>
              </w:rPr>
              <w:t>50.48</w:t>
            </w:r>
            <w:r w:rsidRPr="00C32A8F">
              <w:rPr>
                <w:sz w:val="20"/>
              </w:rPr>
              <w:t>%</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17%</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Pr>
                <w:sz w:val="20"/>
              </w:rPr>
              <w:t>1.675</w:t>
            </w:r>
          </w:p>
        </w:tc>
        <w:tc>
          <w:tcPr>
            <w:tcW w:w="1188" w:type="dxa"/>
            <w:tcBorders>
              <w:top w:val="single" w:sz="8" w:space="0" w:color="auto"/>
              <w:left w:val="single" w:sz="8" w:space="0" w:color="auto"/>
              <w:bottom w:val="single" w:sz="8" w:space="0" w:color="auto"/>
              <w:right w:val="single" w:sz="8" w:space="0" w:color="auto"/>
            </w:tcBorders>
            <w:shd w:val="clear" w:color="auto" w:fill="auto"/>
            <w:vAlign w:val="center"/>
          </w:tcPr>
          <w:p w:rsidR="007138E6" w:rsidRPr="00C32A8F" w:rsidRDefault="007138E6" w:rsidP="0091312F">
            <w:pPr>
              <w:jc w:val="center"/>
              <w:rPr>
                <w:sz w:val="20"/>
              </w:rPr>
            </w:pPr>
            <w:r w:rsidRPr="00C32A8F">
              <w:rPr>
                <w:sz w:val="20"/>
              </w:rPr>
              <w:t>$2</w:t>
            </w:r>
            <w:r>
              <w:rPr>
                <w:sz w:val="20"/>
              </w:rPr>
              <w:t>9.63</w:t>
            </w:r>
          </w:p>
        </w:tc>
      </w:tr>
      <w:tr w:rsidR="007138E6" w:rsidRPr="00C32A8F" w:rsidTr="0091312F">
        <w:trPr>
          <w:trHeight w:val="270"/>
          <w:jc w:val="center"/>
        </w:trPr>
        <w:tc>
          <w:tcPr>
            <w:tcW w:w="9576" w:type="dxa"/>
            <w:gridSpan w:val="8"/>
            <w:tcBorders>
              <w:top w:val="single" w:sz="8" w:space="0" w:color="auto"/>
              <w:left w:val="nil"/>
              <w:bottom w:val="nil"/>
              <w:right w:val="nil"/>
            </w:tcBorders>
            <w:shd w:val="clear" w:color="auto" w:fill="auto"/>
            <w:vAlign w:val="bottom"/>
          </w:tcPr>
          <w:p w:rsidR="007138E6" w:rsidRPr="00C32A8F" w:rsidRDefault="007138E6" w:rsidP="0091312F">
            <w:pPr>
              <w:rPr>
                <w:b/>
                <w:bCs/>
                <w:sz w:val="18"/>
                <w:szCs w:val="18"/>
              </w:rPr>
            </w:pPr>
            <w:r w:rsidRPr="00C32A8F">
              <w:rPr>
                <w:b/>
                <w:bCs/>
                <w:sz w:val="18"/>
                <w:szCs w:val="18"/>
              </w:rPr>
              <w:t>Notes:</w:t>
            </w:r>
            <w:r>
              <w:rPr>
                <w:b/>
                <w:bCs/>
                <w:sz w:val="18"/>
                <w:szCs w:val="18"/>
              </w:rPr>
              <w:t xml:space="preserve"> </w:t>
            </w:r>
            <w:r>
              <w:rPr>
                <w:sz w:val="18"/>
                <w:szCs w:val="18"/>
                <w:vertAlign w:val="superscript"/>
              </w:rPr>
              <w:t>1</w:t>
            </w:r>
            <w:r w:rsidRPr="00C32A8F">
              <w:rPr>
                <w:i/>
                <w:iCs/>
                <w:sz w:val="18"/>
                <w:szCs w:val="18"/>
              </w:rPr>
              <w:t xml:space="preserve"> Employer Costs for Employee Compensation Supplementary Tables: December 2007, </w:t>
            </w:r>
            <w:r w:rsidRPr="00C32A8F">
              <w:rPr>
                <w:sz w:val="18"/>
                <w:szCs w:val="18"/>
              </w:rPr>
              <w:t>US Bureau of Labor Statistics, March 12, 2008</w:t>
            </w:r>
            <w:r w:rsidRPr="00FA5E87">
              <w:rPr>
                <w:sz w:val="18"/>
                <w:szCs w:val="18"/>
              </w:rPr>
              <w:t xml:space="preserve"> at</w:t>
            </w:r>
            <w:r>
              <w:rPr>
                <w:sz w:val="18"/>
                <w:szCs w:val="18"/>
              </w:rPr>
              <w:t xml:space="preserve"> </w:t>
            </w:r>
            <w:hyperlink r:id="rId12" w:history="1">
              <w:r w:rsidRPr="00F07A1A">
                <w:rPr>
                  <w:rStyle w:val="Hyperlink"/>
                  <w:sz w:val="18"/>
                  <w:szCs w:val="18"/>
                </w:rPr>
                <w:t>http://www.bls.gov/ncs/ect/sp/ecsuptc5.pdf</w:t>
              </w:r>
            </w:hyperlink>
          </w:p>
        </w:tc>
      </w:tr>
    </w:tbl>
    <w:p w:rsidR="007138E6" w:rsidRDefault="007138E6" w:rsidP="007138E6">
      <w:pPr>
        <w:spacing w:before="288"/>
        <w:ind w:right="576" w:firstLine="720"/>
      </w:pPr>
      <w:r w:rsidRPr="00C32A8F">
        <w:t>Fully loaded costs for managerial</w:t>
      </w:r>
      <w:r>
        <w:t xml:space="preserve"> and clerical </w:t>
      </w:r>
      <w:r w:rsidRPr="00C32A8F">
        <w:t xml:space="preserve">labor </w:t>
      </w:r>
      <w:r w:rsidR="0036481A">
        <w:t xml:space="preserve">for manufacturers and importers of cadmium and cadmium compounds </w:t>
      </w:r>
      <w:r w:rsidRPr="00C32A8F">
        <w:t>are calculated in a similar manner</w:t>
      </w:r>
      <w:r>
        <w:t>.  A</w:t>
      </w:r>
      <w:r w:rsidRPr="00C32A8F">
        <w:t>s shown in</w:t>
      </w:r>
      <w:r>
        <w:t xml:space="preserve"> Table </w:t>
      </w:r>
      <w:r w:rsidR="0036481A">
        <w:t>8</w:t>
      </w:r>
      <w:r>
        <w:t xml:space="preserve">, the estimated fully loaded wage rates are $70.72 per hour for managerial staff, $64.66 per hour for technical staff, and $29.63 per hour for clerical staff. </w:t>
      </w:r>
    </w:p>
    <w:p w:rsidR="007138E6" w:rsidRDefault="007138E6">
      <w:pPr>
        <w:widowControl w:val="0"/>
        <w:rPr>
          <w:color w:val="000000"/>
        </w:rPr>
      </w:pPr>
      <w:r>
        <w:rPr>
          <w:color w:val="000000"/>
        </w:rPr>
        <w:br/>
      </w:r>
      <w:r>
        <w:rPr>
          <w:color w:val="000000"/>
        </w:rPr>
        <w:tab/>
        <w:t xml:space="preserve">Table X calculates the average unit costs for respondents by combining the unit burden estimates from Table </w:t>
      </w:r>
      <w:r w:rsidR="0036481A">
        <w:rPr>
          <w:color w:val="000000"/>
        </w:rPr>
        <w:t>6</w:t>
      </w:r>
      <w:r>
        <w:rPr>
          <w:color w:val="000000"/>
        </w:rPr>
        <w:t xml:space="preserve"> with the loaded wage rates from Table </w:t>
      </w:r>
      <w:r w:rsidR="0036481A">
        <w:rPr>
          <w:color w:val="000000"/>
        </w:rPr>
        <w:t>8</w:t>
      </w:r>
      <w:r>
        <w:rPr>
          <w:color w:val="000000"/>
        </w:rPr>
        <w:t>.</w:t>
      </w:r>
    </w:p>
    <w:p w:rsidR="007138E6" w:rsidRDefault="007138E6">
      <w:pPr>
        <w:widowControl w:val="0"/>
        <w:rPr>
          <w:color w:val="000000"/>
        </w:rPr>
      </w:pPr>
    </w:p>
    <w:p w:rsidR="00E53AB2" w:rsidRDefault="00CA49FE">
      <w:pPr>
        <w:widowControl w:val="0"/>
        <w:ind w:firstLine="720"/>
        <w:rPr>
          <w:color w:val="000000"/>
        </w:rPr>
      </w:pPr>
      <w:r>
        <w:rPr>
          <w:b/>
          <w:color w:val="000000"/>
        </w:rPr>
        <w:t>6(c)</w:t>
      </w:r>
      <w:r>
        <w:rPr>
          <w:b/>
          <w:color w:val="000000"/>
        </w:rPr>
        <w:tab/>
        <w:t xml:space="preserve">Estimating Agency Cost </w:t>
      </w:r>
    </w:p>
    <w:p w:rsidR="00E53AB2" w:rsidRDefault="00E53AB2">
      <w:pPr>
        <w:widowControl w:val="0"/>
        <w:rPr>
          <w:color w:val="000000"/>
        </w:rPr>
      </w:pPr>
    </w:p>
    <w:p w:rsidR="00E53AB2" w:rsidRDefault="00CA49FE">
      <w:pPr>
        <w:widowControl w:val="0"/>
        <w:rPr>
          <w:color w:val="000000"/>
        </w:rPr>
      </w:pPr>
      <w:r>
        <w:rPr>
          <w:color w:val="000000"/>
        </w:rPr>
        <w:tab/>
        <w:t>The activities routinely conducted by EPA related to processing and storage of the information collected under this rule include p</w:t>
      </w:r>
      <w:r w:rsidRPr="00596563">
        <w:rPr>
          <w:color w:val="000000"/>
        </w:rPr>
        <w:t>rocess</w:t>
      </w:r>
      <w:r>
        <w:rPr>
          <w:color w:val="000000"/>
        </w:rPr>
        <w:t>ing</w:t>
      </w:r>
      <w:r w:rsidRPr="00596563">
        <w:rPr>
          <w:color w:val="000000"/>
        </w:rPr>
        <w:t xml:space="preserve"> and analyze rule submissions, including requests for confidentiality; and</w:t>
      </w:r>
      <w:r>
        <w:rPr>
          <w:color w:val="000000"/>
        </w:rPr>
        <w:t xml:space="preserve"> main</w:t>
      </w:r>
      <w:r w:rsidRPr="00596563">
        <w:rPr>
          <w:color w:val="000000"/>
        </w:rPr>
        <w:t>tain</w:t>
      </w:r>
      <w:r>
        <w:rPr>
          <w:color w:val="000000"/>
        </w:rPr>
        <w:t>ing</w:t>
      </w:r>
      <w:r w:rsidRPr="00596563">
        <w:rPr>
          <w:color w:val="000000"/>
        </w:rPr>
        <w:t xml:space="preserve"> and distribut</w:t>
      </w:r>
      <w:r>
        <w:rPr>
          <w:color w:val="000000"/>
        </w:rPr>
        <w:t>ing</w:t>
      </w:r>
      <w:r w:rsidRPr="00596563">
        <w:rPr>
          <w:color w:val="000000"/>
        </w:rPr>
        <w:t xml:space="preserve"> data.</w:t>
      </w:r>
    </w:p>
    <w:p w:rsidR="00E53AB2" w:rsidRDefault="00E53AB2">
      <w:pPr>
        <w:pStyle w:val="a"/>
        <w:ind w:left="1440" w:hanging="1440"/>
        <w:rPr>
          <w:color w:val="000000"/>
        </w:rPr>
      </w:pPr>
    </w:p>
    <w:p w:rsidR="00E53AB2" w:rsidRDefault="00CA49FE">
      <w:pPr>
        <w:widowControl w:val="0"/>
        <w:spacing w:after="200"/>
        <w:ind w:firstLine="720"/>
        <w:rPr>
          <w:color w:val="000000"/>
        </w:rPr>
      </w:pPr>
      <w:r w:rsidRPr="00FC6AEF">
        <w:rPr>
          <w:color w:val="000000"/>
        </w:rPr>
        <w:t>The activities associated with Agency responses to TSCA section 8(d) listings are assumed to be accomplished by a GS 13, Step 5 federal employee.  The 20</w:t>
      </w:r>
      <w:r>
        <w:rPr>
          <w:color w:val="000000"/>
        </w:rPr>
        <w:t>11</w:t>
      </w:r>
      <w:r w:rsidRPr="00FC6AEF">
        <w:rPr>
          <w:color w:val="000000"/>
        </w:rPr>
        <w:t xml:space="preserve"> hourly wage rate for this level of employee in the Washington</w:t>
      </w:r>
      <w:r>
        <w:rPr>
          <w:color w:val="000000"/>
        </w:rPr>
        <w:t>, D.C.</w:t>
      </w:r>
      <w:r w:rsidRPr="00FC6AEF">
        <w:rPr>
          <w:color w:val="000000"/>
        </w:rPr>
        <w:t xml:space="preserve"> locality is $4</w:t>
      </w:r>
      <w:r>
        <w:rPr>
          <w:color w:val="000000"/>
        </w:rPr>
        <w:t>8</w:t>
      </w:r>
      <w:r w:rsidRPr="00FC6AEF">
        <w:rPr>
          <w:color w:val="000000"/>
        </w:rPr>
        <w:t>.</w:t>
      </w:r>
      <w:r>
        <w:rPr>
          <w:color w:val="000000"/>
        </w:rPr>
        <w:t>35</w:t>
      </w:r>
      <w:r w:rsidRPr="00FC6AEF">
        <w:rPr>
          <w:color w:val="000000"/>
        </w:rPr>
        <w:t xml:space="preserve"> per hour.  Adding 60% for benefits and overhead yields a loaded ann</w:t>
      </w:r>
      <w:r>
        <w:rPr>
          <w:color w:val="000000"/>
        </w:rPr>
        <w:t>ual wage rate of $77.36 per hour.</w:t>
      </w:r>
      <w:r>
        <w:rPr>
          <w:rStyle w:val="FootnoteReference"/>
          <w:color w:val="000000"/>
        </w:rPr>
        <w:footnoteReference w:id="2"/>
      </w:r>
    </w:p>
    <w:p w:rsidR="0091312F" w:rsidRPr="0091312F" w:rsidRDefault="0091312F" w:rsidP="0091312F">
      <w:pPr>
        <w:widowControl w:val="0"/>
        <w:spacing w:after="200"/>
        <w:ind w:firstLine="720"/>
        <w:rPr>
          <w:b/>
          <w:color w:val="000000"/>
        </w:rPr>
      </w:pPr>
      <w:r w:rsidRPr="0091312F">
        <w:rPr>
          <w:b/>
          <w:color w:val="000000"/>
        </w:rPr>
        <w:t xml:space="preserve">   (</w:t>
      </w:r>
      <w:proofErr w:type="spellStart"/>
      <w:r w:rsidRPr="0091312F">
        <w:rPr>
          <w:b/>
          <w:color w:val="000000"/>
        </w:rPr>
        <w:t>i</w:t>
      </w:r>
      <w:proofErr w:type="spellEnd"/>
      <w:r w:rsidRPr="0091312F">
        <w:rPr>
          <w:b/>
          <w:color w:val="000000"/>
        </w:rPr>
        <w:t>) Typical Case</w:t>
      </w:r>
    </w:p>
    <w:p w:rsidR="00E53AB2" w:rsidRDefault="00CA49FE" w:rsidP="0091312F">
      <w:pPr>
        <w:widowControl w:val="0"/>
        <w:ind w:firstLine="720"/>
        <w:rPr>
          <w:color w:val="000000"/>
        </w:rPr>
      </w:pPr>
      <w:r>
        <w:rPr>
          <w:color w:val="000000"/>
        </w:rPr>
        <w:t xml:space="preserve">The estimated annual cost to the federal government for TSCA section 8(d) data collection </w:t>
      </w:r>
      <w:r w:rsidR="0091312F">
        <w:rPr>
          <w:color w:val="000000"/>
        </w:rPr>
        <w:t xml:space="preserve">typically </w:t>
      </w:r>
      <w:r>
        <w:rPr>
          <w:color w:val="000000"/>
        </w:rPr>
        <w:t xml:space="preserve">totals $5,415, for 70 hours as presented in Table </w:t>
      </w:r>
      <w:r w:rsidR="004B2FCD">
        <w:rPr>
          <w:color w:val="000000"/>
        </w:rPr>
        <w:t>9</w:t>
      </w:r>
      <w:r>
        <w:rPr>
          <w:color w:val="000000"/>
        </w:rPr>
        <w:t>.</w:t>
      </w:r>
    </w:p>
    <w:p w:rsidR="008567CC" w:rsidRDefault="008567CC">
      <w:pPr>
        <w:spacing w:after="200" w:line="276" w:lineRule="auto"/>
        <w:rPr>
          <w:color w:val="000000"/>
        </w:rPr>
      </w:pPr>
      <w:r>
        <w:rPr>
          <w:color w:val="000000"/>
        </w:rPr>
        <w:br w:type="page"/>
      </w:r>
    </w:p>
    <w:p w:rsidR="00E53AB2" w:rsidRDefault="00E53AB2">
      <w:pPr>
        <w:widowControl w:val="0"/>
        <w:rPr>
          <w:color w:val="000000"/>
        </w:rPr>
      </w:pPr>
    </w:p>
    <w:tbl>
      <w:tblPr>
        <w:tblW w:w="9090" w:type="dxa"/>
        <w:tblInd w:w="108" w:type="dxa"/>
        <w:tblLook w:val="04A0"/>
      </w:tblPr>
      <w:tblGrid>
        <w:gridCol w:w="5196"/>
        <w:gridCol w:w="976"/>
        <w:gridCol w:w="1928"/>
        <w:gridCol w:w="990"/>
      </w:tblGrid>
      <w:tr w:rsidR="0091312F" w:rsidRPr="00F21A45" w:rsidTr="0091312F">
        <w:tc>
          <w:tcPr>
            <w:tcW w:w="9090" w:type="dxa"/>
            <w:gridSpan w:val="4"/>
            <w:tcBorders>
              <w:top w:val="nil"/>
              <w:left w:val="nil"/>
              <w:bottom w:val="double" w:sz="6" w:space="0" w:color="000000"/>
              <w:right w:val="nil"/>
            </w:tcBorders>
            <w:shd w:val="clear" w:color="auto" w:fill="auto"/>
            <w:noWrap/>
            <w:vAlign w:val="center"/>
            <w:hideMark/>
          </w:tcPr>
          <w:p w:rsidR="0091312F" w:rsidRDefault="0091312F" w:rsidP="004B2FCD">
            <w:pPr>
              <w:rPr>
                <w:rFonts w:ascii="Calibri" w:hAnsi="Calibri" w:cs="Calibri"/>
                <w:color w:val="000000"/>
                <w:sz w:val="20"/>
              </w:rPr>
            </w:pPr>
            <w:r w:rsidRPr="00F61E7D">
              <w:rPr>
                <w:b/>
                <w:bCs/>
                <w:szCs w:val="24"/>
              </w:rPr>
              <w:t xml:space="preserve">Table </w:t>
            </w:r>
            <w:r w:rsidR="004B2FCD">
              <w:rPr>
                <w:b/>
                <w:bCs/>
                <w:szCs w:val="24"/>
              </w:rPr>
              <w:t>9</w:t>
            </w:r>
            <w:r w:rsidRPr="00F61E7D">
              <w:rPr>
                <w:b/>
                <w:bCs/>
                <w:szCs w:val="24"/>
              </w:rPr>
              <w:t>.  Estimating Agency Burden and Costs</w:t>
            </w:r>
            <w:r>
              <w:rPr>
                <w:b/>
                <w:bCs/>
                <w:szCs w:val="24"/>
              </w:rPr>
              <w:t xml:space="preserve"> (Typical Case)</w:t>
            </w:r>
          </w:p>
        </w:tc>
      </w:tr>
      <w:tr w:rsidR="00CA49FE" w:rsidRPr="00F21A45" w:rsidTr="00F21A45">
        <w:tc>
          <w:tcPr>
            <w:tcW w:w="5196" w:type="dxa"/>
            <w:tcBorders>
              <w:top w:val="double" w:sz="6" w:space="0" w:color="000000"/>
              <w:left w:val="double" w:sz="6" w:space="0" w:color="000000"/>
              <w:bottom w:val="single" w:sz="4" w:space="0" w:color="auto"/>
              <w:right w:val="single" w:sz="8"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Collection Activity</w:t>
            </w:r>
          </w:p>
        </w:tc>
        <w:tc>
          <w:tcPr>
            <w:tcW w:w="976" w:type="dxa"/>
            <w:tcBorders>
              <w:top w:val="double" w:sz="6" w:space="0" w:color="000000"/>
              <w:left w:val="single" w:sz="8" w:space="0" w:color="000000"/>
              <w:bottom w:val="single" w:sz="4" w:space="0" w:color="auto"/>
              <w:right w:val="single" w:sz="8"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 xml:space="preserve">FTEs </w:t>
            </w:r>
          </w:p>
        </w:tc>
        <w:tc>
          <w:tcPr>
            <w:tcW w:w="1928" w:type="dxa"/>
            <w:tcBorders>
              <w:top w:val="double" w:sz="6" w:space="0" w:color="000000"/>
              <w:left w:val="nil"/>
              <w:bottom w:val="single" w:sz="4" w:space="0" w:color="auto"/>
              <w:right w:val="single" w:sz="8"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 xml:space="preserve">Hours at </w:t>
            </w:r>
          </w:p>
          <w:p w:rsidR="00E53AB2" w:rsidRDefault="00646BB0">
            <w:pPr>
              <w:jc w:val="center"/>
              <w:rPr>
                <w:b/>
                <w:bCs/>
                <w:color w:val="000000"/>
                <w:sz w:val="20"/>
              </w:rPr>
            </w:pPr>
            <w:r w:rsidRPr="00646BB0">
              <w:rPr>
                <w:b/>
                <w:bCs/>
                <w:color w:val="000000"/>
                <w:sz w:val="20"/>
              </w:rPr>
              <w:t>(at $77.36/hour)</w:t>
            </w:r>
          </w:p>
        </w:tc>
        <w:tc>
          <w:tcPr>
            <w:tcW w:w="990" w:type="dxa"/>
            <w:tcBorders>
              <w:top w:val="double" w:sz="6" w:space="0" w:color="000000"/>
              <w:left w:val="single" w:sz="8" w:space="0" w:color="000000"/>
              <w:bottom w:val="single" w:sz="4" w:space="0" w:color="auto"/>
              <w:right w:val="double" w:sz="6"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Annual Cost</w:t>
            </w:r>
          </w:p>
        </w:tc>
      </w:tr>
      <w:tr w:rsidR="00CA49FE" w:rsidRPr="00F21A45" w:rsidTr="00F21A45">
        <w:tc>
          <w:tcPr>
            <w:tcW w:w="5196" w:type="dxa"/>
            <w:tcBorders>
              <w:top w:val="single" w:sz="4" w:space="0" w:color="auto"/>
              <w:left w:val="double" w:sz="6" w:space="0" w:color="000000"/>
              <w:bottom w:val="single" w:sz="8" w:space="0" w:color="000000"/>
              <w:right w:val="single" w:sz="8" w:space="0" w:color="000000"/>
            </w:tcBorders>
            <w:shd w:val="clear" w:color="auto" w:fill="auto"/>
            <w:vAlign w:val="center"/>
            <w:hideMark/>
          </w:tcPr>
          <w:p w:rsidR="00E53AB2" w:rsidRDefault="00646BB0">
            <w:pPr>
              <w:rPr>
                <w:color w:val="000000"/>
                <w:sz w:val="20"/>
              </w:rPr>
            </w:pPr>
            <w:r w:rsidRPr="00646BB0">
              <w:rPr>
                <w:color w:val="000000"/>
                <w:sz w:val="20"/>
              </w:rPr>
              <w:t>Data processing and system support</w:t>
            </w:r>
          </w:p>
        </w:tc>
        <w:tc>
          <w:tcPr>
            <w:tcW w:w="976" w:type="dxa"/>
            <w:tcBorders>
              <w:top w:val="single" w:sz="4" w:space="0" w:color="auto"/>
              <w:left w:val="nil"/>
              <w:bottom w:val="single" w:sz="8" w:space="0" w:color="000000"/>
              <w:right w:val="single" w:sz="8" w:space="0" w:color="000000"/>
            </w:tcBorders>
            <w:shd w:val="clear" w:color="auto" w:fill="auto"/>
            <w:vAlign w:val="center"/>
            <w:hideMark/>
          </w:tcPr>
          <w:p w:rsidR="00E53AB2" w:rsidRDefault="00646BB0">
            <w:pPr>
              <w:jc w:val="center"/>
              <w:rPr>
                <w:color w:val="000000"/>
                <w:sz w:val="20"/>
              </w:rPr>
            </w:pPr>
            <w:r w:rsidRPr="00646BB0">
              <w:rPr>
                <w:color w:val="000000"/>
                <w:sz w:val="20"/>
              </w:rPr>
              <w:t>0.025</w:t>
            </w:r>
          </w:p>
        </w:tc>
        <w:tc>
          <w:tcPr>
            <w:tcW w:w="1928" w:type="dxa"/>
            <w:tcBorders>
              <w:top w:val="single" w:sz="4" w:space="0" w:color="auto"/>
              <w:left w:val="nil"/>
              <w:bottom w:val="single" w:sz="8" w:space="0" w:color="000000"/>
              <w:right w:val="single" w:sz="8" w:space="0" w:color="000000"/>
            </w:tcBorders>
            <w:shd w:val="clear" w:color="auto" w:fill="auto"/>
            <w:vAlign w:val="center"/>
            <w:hideMark/>
          </w:tcPr>
          <w:p w:rsidR="00E53AB2" w:rsidRDefault="00646BB0">
            <w:pPr>
              <w:jc w:val="center"/>
              <w:rPr>
                <w:color w:val="000000"/>
                <w:sz w:val="20"/>
              </w:rPr>
            </w:pPr>
            <w:r w:rsidRPr="00646BB0">
              <w:rPr>
                <w:color w:val="000000"/>
                <w:sz w:val="20"/>
              </w:rPr>
              <w:t>50</w:t>
            </w:r>
          </w:p>
        </w:tc>
        <w:tc>
          <w:tcPr>
            <w:tcW w:w="990" w:type="dxa"/>
            <w:tcBorders>
              <w:top w:val="single" w:sz="4" w:space="0" w:color="auto"/>
              <w:left w:val="nil"/>
              <w:bottom w:val="single" w:sz="8" w:space="0" w:color="000000"/>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 xml:space="preserve">$3,868 </w:t>
            </w:r>
          </w:p>
        </w:tc>
      </w:tr>
      <w:tr w:rsidR="00CA49FE" w:rsidRPr="00F21A45" w:rsidTr="00F21A45">
        <w:tc>
          <w:tcPr>
            <w:tcW w:w="5196" w:type="dxa"/>
            <w:tcBorders>
              <w:top w:val="nil"/>
              <w:left w:val="double" w:sz="6" w:space="0" w:color="000000"/>
              <w:bottom w:val="single" w:sz="8" w:space="0" w:color="000000"/>
              <w:right w:val="single" w:sz="8" w:space="0" w:color="000000"/>
            </w:tcBorders>
            <w:shd w:val="clear" w:color="auto" w:fill="auto"/>
            <w:vAlign w:val="center"/>
            <w:hideMark/>
          </w:tcPr>
          <w:p w:rsidR="00E53AB2" w:rsidRDefault="00646BB0">
            <w:pPr>
              <w:rPr>
                <w:color w:val="000000"/>
                <w:sz w:val="20"/>
              </w:rPr>
            </w:pPr>
            <w:r w:rsidRPr="00646BB0">
              <w:rPr>
                <w:color w:val="000000"/>
                <w:sz w:val="20"/>
              </w:rPr>
              <w:t>Storage and distribution</w:t>
            </w:r>
          </w:p>
        </w:tc>
        <w:tc>
          <w:tcPr>
            <w:tcW w:w="976" w:type="dxa"/>
            <w:tcBorders>
              <w:top w:val="nil"/>
              <w:left w:val="nil"/>
              <w:bottom w:val="single" w:sz="8" w:space="0" w:color="000000"/>
              <w:right w:val="single" w:sz="8" w:space="0" w:color="000000"/>
            </w:tcBorders>
            <w:shd w:val="clear" w:color="auto" w:fill="auto"/>
            <w:vAlign w:val="center"/>
            <w:hideMark/>
          </w:tcPr>
          <w:p w:rsidR="00E53AB2" w:rsidRDefault="00646BB0">
            <w:pPr>
              <w:jc w:val="center"/>
              <w:rPr>
                <w:color w:val="000000"/>
                <w:sz w:val="20"/>
              </w:rPr>
            </w:pPr>
            <w:r w:rsidRPr="00646BB0">
              <w:rPr>
                <w:color w:val="000000"/>
                <w:sz w:val="20"/>
              </w:rPr>
              <w:t>0.010</w:t>
            </w:r>
          </w:p>
        </w:tc>
        <w:tc>
          <w:tcPr>
            <w:tcW w:w="1928" w:type="dxa"/>
            <w:tcBorders>
              <w:top w:val="nil"/>
              <w:left w:val="nil"/>
              <w:bottom w:val="single" w:sz="8" w:space="0" w:color="000000"/>
              <w:right w:val="single" w:sz="8" w:space="0" w:color="000000"/>
            </w:tcBorders>
            <w:shd w:val="clear" w:color="auto" w:fill="auto"/>
            <w:vAlign w:val="center"/>
            <w:hideMark/>
          </w:tcPr>
          <w:p w:rsidR="00E53AB2" w:rsidRDefault="00646BB0">
            <w:pPr>
              <w:jc w:val="center"/>
              <w:rPr>
                <w:color w:val="000000"/>
                <w:sz w:val="20"/>
              </w:rPr>
            </w:pPr>
            <w:r w:rsidRPr="00646BB0">
              <w:rPr>
                <w:color w:val="000000"/>
                <w:sz w:val="20"/>
              </w:rPr>
              <w:t>20</w:t>
            </w:r>
          </w:p>
        </w:tc>
        <w:tc>
          <w:tcPr>
            <w:tcW w:w="990" w:type="dxa"/>
            <w:tcBorders>
              <w:top w:val="nil"/>
              <w:left w:val="nil"/>
              <w:bottom w:val="single" w:sz="8" w:space="0" w:color="000000"/>
              <w:right w:val="double" w:sz="6" w:space="0" w:color="000000"/>
            </w:tcBorders>
            <w:shd w:val="clear" w:color="auto" w:fill="auto"/>
            <w:vAlign w:val="center"/>
            <w:hideMark/>
          </w:tcPr>
          <w:p w:rsidR="00E53AB2" w:rsidRDefault="00646BB0">
            <w:pPr>
              <w:jc w:val="center"/>
              <w:rPr>
                <w:color w:val="000000"/>
                <w:sz w:val="20"/>
              </w:rPr>
            </w:pPr>
            <w:r w:rsidRPr="00646BB0">
              <w:rPr>
                <w:color w:val="000000"/>
                <w:sz w:val="20"/>
              </w:rPr>
              <w:t xml:space="preserve">$1,547 </w:t>
            </w:r>
          </w:p>
        </w:tc>
      </w:tr>
      <w:tr w:rsidR="00CA49FE" w:rsidRPr="00F21A45" w:rsidTr="00F21A45">
        <w:tc>
          <w:tcPr>
            <w:tcW w:w="5196" w:type="dxa"/>
            <w:tcBorders>
              <w:top w:val="nil"/>
              <w:left w:val="double" w:sz="6" w:space="0" w:color="000000"/>
              <w:bottom w:val="single" w:sz="8" w:space="0" w:color="000000"/>
              <w:right w:val="single" w:sz="8"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TOTALS</w:t>
            </w:r>
          </w:p>
        </w:tc>
        <w:tc>
          <w:tcPr>
            <w:tcW w:w="976" w:type="dxa"/>
            <w:tcBorders>
              <w:top w:val="nil"/>
              <w:left w:val="nil"/>
              <w:bottom w:val="single" w:sz="8" w:space="0" w:color="000000"/>
              <w:right w:val="single" w:sz="8"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0.035</w:t>
            </w:r>
          </w:p>
        </w:tc>
        <w:tc>
          <w:tcPr>
            <w:tcW w:w="1928" w:type="dxa"/>
            <w:tcBorders>
              <w:top w:val="nil"/>
              <w:left w:val="nil"/>
              <w:bottom w:val="single" w:sz="8" w:space="0" w:color="000000"/>
              <w:right w:val="single" w:sz="8"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70</w:t>
            </w:r>
          </w:p>
        </w:tc>
        <w:tc>
          <w:tcPr>
            <w:tcW w:w="990" w:type="dxa"/>
            <w:tcBorders>
              <w:top w:val="nil"/>
              <w:left w:val="nil"/>
              <w:bottom w:val="single" w:sz="8" w:space="0" w:color="000000"/>
              <w:right w:val="double" w:sz="6" w:space="0" w:color="000000"/>
            </w:tcBorders>
            <w:shd w:val="clear" w:color="auto" w:fill="auto"/>
            <w:vAlign w:val="center"/>
            <w:hideMark/>
          </w:tcPr>
          <w:p w:rsidR="00E53AB2" w:rsidRDefault="00646BB0">
            <w:pPr>
              <w:jc w:val="center"/>
              <w:rPr>
                <w:b/>
                <w:bCs/>
                <w:color w:val="000000"/>
                <w:sz w:val="20"/>
              </w:rPr>
            </w:pPr>
            <w:r w:rsidRPr="00646BB0">
              <w:rPr>
                <w:b/>
                <w:bCs/>
                <w:color w:val="000000"/>
                <w:sz w:val="20"/>
              </w:rPr>
              <w:t xml:space="preserve">$5,415 </w:t>
            </w:r>
          </w:p>
        </w:tc>
      </w:tr>
      <w:tr w:rsidR="00CA49FE" w:rsidRPr="00F21A45" w:rsidTr="00F21A45">
        <w:tc>
          <w:tcPr>
            <w:tcW w:w="9090" w:type="dxa"/>
            <w:gridSpan w:val="4"/>
            <w:tcBorders>
              <w:top w:val="single" w:sz="8" w:space="0" w:color="000000"/>
              <w:left w:val="double" w:sz="6" w:space="0" w:color="000000"/>
              <w:bottom w:val="double" w:sz="6" w:space="0" w:color="000000"/>
              <w:right w:val="double" w:sz="6" w:space="0" w:color="000000"/>
            </w:tcBorders>
            <w:shd w:val="clear" w:color="auto" w:fill="auto"/>
            <w:noWrap/>
            <w:vAlign w:val="bottom"/>
            <w:hideMark/>
          </w:tcPr>
          <w:p w:rsidR="00E53AB2" w:rsidRDefault="0028797C">
            <w:pPr>
              <w:rPr>
                <w:color w:val="000000"/>
                <w:sz w:val="20"/>
              </w:rPr>
            </w:pPr>
            <w:r>
              <w:rPr>
                <w:color w:val="000000"/>
                <w:sz w:val="20"/>
              </w:rPr>
              <w:t>Source: OPM 2011 hourly rate table for the Washington-Baltimore-Northern Virginia Locality Pay Area, with 60% for benefits and overhead added.</w:t>
            </w:r>
          </w:p>
        </w:tc>
      </w:tr>
    </w:tbl>
    <w:p w:rsidR="00E53AB2" w:rsidRDefault="00E53AB2">
      <w:pPr>
        <w:widowControl w:val="0"/>
        <w:rPr>
          <w:color w:val="000000"/>
        </w:rPr>
      </w:pPr>
    </w:p>
    <w:p w:rsidR="0091312F" w:rsidRDefault="0091312F" w:rsidP="0091312F">
      <w:pPr>
        <w:widowControl w:val="0"/>
        <w:spacing w:after="200"/>
        <w:ind w:firstLine="720"/>
        <w:rPr>
          <w:b/>
          <w:color w:val="000000"/>
        </w:rPr>
      </w:pPr>
      <w:r w:rsidRPr="0091312F">
        <w:rPr>
          <w:b/>
          <w:color w:val="000000"/>
        </w:rPr>
        <w:t xml:space="preserve">   (i</w:t>
      </w:r>
      <w:r>
        <w:rPr>
          <w:b/>
          <w:color w:val="000000"/>
        </w:rPr>
        <w:t>i</w:t>
      </w:r>
      <w:r w:rsidRPr="0091312F">
        <w:rPr>
          <w:b/>
          <w:color w:val="000000"/>
        </w:rPr>
        <w:t xml:space="preserve">) </w:t>
      </w:r>
      <w:r>
        <w:rPr>
          <w:b/>
          <w:color w:val="000000"/>
        </w:rPr>
        <w:t>Cadmium and Cadmium Compounds</w:t>
      </w:r>
    </w:p>
    <w:p w:rsidR="0091312F" w:rsidRDefault="0091312F" w:rsidP="0091312F">
      <w:pPr>
        <w:widowControl w:val="0"/>
        <w:ind w:firstLine="720"/>
        <w:rPr>
          <w:color w:val="000000"/>
        </w:rPr>
      </w:pPr>
      <w:r>
        <w:rPr>
          <w:color w:val="000000"/>
        </w:rPr>
        <w:t xml:space="preserve">The estimated annual cost to the federal government for the TSCA section 8(d) data collection for </w:t>
      </w:r>
      <w:r w:rsidR="000F32F7">
        <w:rPr>
          <w:color w:val="000000"/>
        </w:rPr>
        <w:t xml:space="preserve">the 2012 final rule concerning </w:t>
      </w:r>
      <w:r>
        <w:rPr>
          <w:color w:val="000000"/>
        </w:rPr>
        <w:t xml:space="preserve">cadmium and cadmium compounds is $23,332 for 301.6 hours, as presented in Table </w:t>
      </w:r>
      <w:r w:rsidR="004B2FCD">
        <w:rPr>
          <w:color w:val="000000"/>
        </w:rPr>
        <w:t>10</w:t>
      </w:r>
      <w:r>
        <w:rPr>
          <w:color w:val="000000"/>
        </w:rPr>
        <w:t>.</w:t>
      </w:r>
    </w:p>
    <w:p w:rsidR="0091312F" w:rsidRDefault="0091312F" w:rsidP="0091312F">
      <w:pPr>
        <w:widowControl w:val="0"/>
        <w:ind w:firstLine="720"/>
        <w:rPr>
          <w:color w:val="000000"/>
        </w:rPr>
      </w:pPr>
    </w:p>
    <w:p w:rsidR="004B2FCD" w:rsidRDefault="004B2FCD" w:rsidP="004B2FCD">
      <w:pPr>
        <w:widowControl w:val="0"/>
        <w:rPr>
          <w:color w:val="000000"/>
        </w:rPr>
      </w:pPr>
      <w:r w:rsidRPr="00F61E7D">
        <w:rPr>
          <w:b/>
          <w:bCs/>
          <w:szCs w:val="24"/>
        </w:rPr>
        <w:t xml:space="preserve">Table </w:t>
      </w:r>
      <w:r>
        <w:rPr>
          <w:b/>
          <w:bCs/>
          <w:szCs w:val="24"/>
        </w:rPr>
        <w:t>10</w:t>
      </w:r>
      <w:r w:rsidRPr="00F61E7D">
        <w:rPr>
          <w:b/>
          <w:bCs/>
          <w:szCs w:val="24"/>
        </w:rPr>
        <w:t>.  Estimating Agency Burden and Costs</w:t>
      </w:r>
      <w:r>
        <w:rPr>
          <w:b/>
          <w:bCs/>
          <w:szCs w:val="24"/>
        </w:rPr>
        <w:t xml:space="preserve"> (C</w:t>
      </w:r>
      <w:r w:rsidRPr="004B2FCD">
        <w:rPr>
          <w:b/>
          <w:bCs/>
          <w:szCs w:val="24"/>
        </w:rPr>
        <w:t xml:space="preserve">admium and </w:t>
      </w:r>
      <w:r>
        <w:rPr>
          <w:b/>
          <w:bCs/>
          <w:szCs w:val="24"/>
        </w:rPr>
        <w:t>C</w:t>
      </w:r>
      <w:r w:rsidRPr="004B2FCD">
        <w:rPr>
          <w:b/>
          <w:bCs/>
          <w:szCs w:val="24"/>
        </w:rPr>
        <w:t xml:space="preserve">admium </w:t>
      </w:r>
      <w:r>
        <w:rPr>
          <w:b/>
          <w:bCs/>
          <w:szCs w:val="24"/>
        </w:rPr>
        <w:t>C</w:t>
      </w:r>
      <w:r w:rsidRPr="004B2FCD">
        <w:rPr>
          <w:b/>
          <w:bCs/>
          <w:szCs w:val="24"/>
        </w:rPr>
        <w:t>ompounds</w:t>
      </w:r>
      <w:r>
        <w:rPr>
          <w:b/>
          <w:bCs/>
          <w:szCs w:val="24"/>
        </w:rPr>
        <w:t>)</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500"/>
        <w:gridCol w:w="1620"/>
        <w:gridCol w:w="1620"/>
        <w:gridCol w:w="1620"/>
      </w:tblGrid>
      <w:tr w:rsidR="0091312F" w:rsidTr="0091312F">
        <w:trPr>
          <w:cantSplit/>
        </w:trPr>
        <w:tc>
          <w:tcPr>
            <w:tcW w:w="4500" w:type="dxa"/>
            <w:tcBorders>
              <w:top w:val="single" w:sz="7" w:space="0" w:color="000000"/>
              <w:left w:val="single" w:sz="7" w:space="0" w:color="000000"/>
              <w:bottom w:val="single" w:sz="7" w:space="0" w:color="000000"/>
              <w:right w:val="single" w:sz="7" w:space="0" w:color="000000"/>
            </w:tcBorders>
            <w:vAlign w:val="bottom"/>
          </w:tcPr>
          <w:p w:rsidR="0091312F" w:rsidRDefault="0091312F" w:rsidP="0091312F">
            <w:pPr>
              <w:widowControl w:val="0"/>
              <w:spacing w:before="84" w:after="45"/>
              <w:jc w:val="center"/>
              <w:rPr>
                <w:color w:val="000000"/>
                <w:sz w:val="20"/>
              </w:rPr>
            </w:pPr>
            <w:r>
              <w:rPr>
                <w:b/>
                <w:color w:val="000000"/>
                <w:sz w:val="20"/>
              </w:rPr>
              <w:t>Collection Activity</w:t>
            </w:r>
          </w:p>
        </w:tc>
        <w:tc>
          <w:tcPr>
            <w:tcW w:w="1620" w:type="dxa"/>
            <w:tcBorders>
              <w:top w:val="single" w:sz="7" w:space="0" w:color="000000"/>
              <w:left w:val="single" w:sz="7" w:space="0" w:color="000000"/>
              <w:bottom w:val="single" w:sz="7" w:space="0" w:color="000000"/>
              <w:right w:val="single" w:sz="7" w:space="0" w:color="000000"/>
            </w:tcBorders>
            <w:vAlign w:val="bottom"/>
          </w:tcPr>
          <w:p w:rsidR="0091312F" w:rsidRDefault="0091312F" w:rsidP="0091312F">
            <w:pPr>
              <w:widowControl w:val="0"/>
              <w:spacing w:before="84" w:after="45"/>
              <w:jc w:val="center"/>
              <w:rPr>
                <w:color w:val="000000"/>
                <w:sz w:val="20"/>
              </w:rPr>
            </w:pPr>
            <w:r>
              <w:rPr>
                <w:b/>
                <w:color w:val="000000"/>
                <w:sz w:val="20"/>
              </w:rPr>
              <w:t xml:space="preserve">FTEs </w:t>
            </w:r>
          </w:p>
        </w:tc>
        <w:tc>
          <w:tcPr>
            <w:tcW w:w="1620" w:type="dxa"/>
            <w:tcBorders>
              <w:top w:val="single" w:sz="7" w:space="0" w:color="000000"/>
              <w:left w:val="single" w:sz="7" w:space="0" w:color="000000"/>
              <w:bottom w:val="single" w:sz="7" w:space="0" w:color="000000"/>
              <w:right w:val="single" w:sz="7" w:space="0" w:color="000000"/>
            </w:tcBorders>
            <w:vAlign w:val="bottom"/>
          </w:tcPr>
          <w:p w:rsidR="0091312F" w:rsidRDefault="0091312F" w:rsidP="0091312F">
            <w:pPr>
              <w:widowControl w:val="0"/>
              <w:spacing w:before="84"/>
              <w:jc w:val="center"/>
              <w:rPr>
                <w:b/>
                <w:color w:val="000000"/>
                <w:sz w:val="20"/>
              </w:rPr>
            </w:pPr>
            <w:r>
              <w:rPr>
                <w:b/>
                <w:color w:val="000000"/>
                <w:sz w:val="20"/>
              </w:rPr>
              <w:t xml:space="preserve">Hours </w:t>
            </w:r>
          </w:p>
          <w:p w:rsidR="0091312F" w:rsidRDefault="0091312F" w:rsidP="0091312F">
            <w:pPr>
              <w:widowControl w:val="0"/>
              <w:spacing w:after="45"/>
              <w:jc w:val="center"/>
              <w:rPr>
                <w:color w:val="000000"/>
                <w:sz w:val="20"/>
              </w:rPr>
            </w:pPr>
            <w:r>
              <w:rPr>
                <w:b/>
                <w:color w:val="000000"/>
                <w:sz w:val="20"/>
              </w:rPr>
              <w:t>(at $77.36/hour)</w:t>
            </w:r>
          </w:p>
        </w:tc>
        <w:tc>
          <w:tcPr>
            <w:tcW w:w="1620" w:type="dxa"/>
            <w:tcBorders>
              <w:top w:val="single" w:sz="7" w:space="0" w:color="000000"/>
              <w:left w:val="single" w:sz="7" w:space="0" w:color="000000"/>
              <w:bottom w:val="single" w:sz="7" w:space="0" w:color="000000"/>
              <w:right w:val="single" w:sz="7" w:space="0" w:color="000000"/>
            </w:tcBorders>
            <w:vAlign w:val="bottom"/>
          </w:tcPr>
          <w:p w:rsidR="0091312F" w:rsidRDefault="0091312F" w:rsidP="0091312F">
            <w:pPr>
              <w:widowControl w:val="0"/>
              <w:spacing w:before="84" w:after="45"/>
              <w:jc w:val="center"/>
              <w:rPr>
                <w:color w:val="000000"/>
                <w:sz w:val="20"/>
              </w:rPr>
            </w:pPr>
            <w:r>
              <w:rPr>
                <w:b/>
                <w:color w:val="000000"/>
                <w:sz w:val="20"/>
              </w:rPr>
              <w:t>Annual Cost</w:t>
            </w:r>
          </w:p>
        </w:tc>
      </w:tr>
      <w:tr w:rsidR="0091312F" w:rsidTr="0091312F">
        <w:trPr>
          <w:cantSplit/>
        </w:trPr>
        <w:tc>
          <w:tcPr>
            <w:tcW w:w="4500" w:type="dxa"/>
            <w:tcBorders>
              <w:top w:val="single" w:sz="7" w:space="0" w:color="000000"/>
              <w:left w:val="single" w:sz="7" w:space="0" w:color="000000"/>
              <w:bottom w:val="single" w:sz="7" w:space="0" w:color="000000"/>
              <w:right w:val="single" w:sz="7" w:space="0" w:color="000000"/>
            </w:tcBorders>
          </w:tcPr>
          <w:p w:rsidR="0091312F" w:rsidRDefault="0091312F" w:rsidP="0091312F">
            <w:pPr>
              <w:widowControl w:val="0"/>
              <w:spacing w:before="84" w:after="45"/>
              <w:rPr>
                <w:color w:val="000000"/>
                <w:sz w:val="20"/>
              </w:rPr>
            </w:pPr>
            <w:r>
              <w:rPr>
                <w:color w:val="000000"/>
                <w:sz w:val="20"/>
              </w:rPr>
              <w:t>Data processing and system support</w:t>
            </w:r>
          </w:p>
        </w:tc>
        <w:tc>
          <w:tcPr>
            <w:tcW w:w="1620" w:type="dxa"/>
            <w:tcBorders>
              <w:top w:val="single" w:sz="7" w:space="0" w:color="000000"/>
              <w:left w:val="single" w:sz="7" w:space="0" w:color="000000"/>
              <w:bottom w:val="single" w:sz="7" w:space="0" w:color="000000"/>
              <w:right w:val="single" w:sz="7" w:space="0" w:color="000000"/>
            </w:tcBorders>
          </w:tcPr>
          <w:p w:rsidR="0091312F" w:rsidRDefault="0091312F" w:rsidP="0091312F">
            <w:pPr>
              <w:widowControl w:val="0"/>
              <w:spacing w:before="84" w:after="45"/>
              <w:jc w:val="center"/>
              <w:rPr>
                <w:color w:val="000000"/>
                <w:sz w:val="20"/>
              </w:rPr>
            </w:pPr>
            <w:r>
              <w:rPr>
                <w:color w:val="000000"/>
                <w:sz w:val="20"/>
              </w:rPr>
              <w:t>0.025</w:t>
            </w:r>
          </w:p>
        </w:tc>
        <w:tc>
          <w:tcPr>
            <w:tcW w:w="1620" w:type="dxa"/>
            <w:tcBorders>
              <w:top w:val="single" w:sz="7" w:space="0" w:color="000000"/>
              <w:left w:val="single" w:sz="7" w:space="0" w:color="000000"/>
              <w:bottom w:val="single" w:sz="7" w:space="0" w:color="000000"/>
              <w:right w:val="single" w:sz="7" w:space="0" w:color="000000"/>
            </w:tcBorders>
          </w:tcPr>
          <w:p w:rsidR="0091312F" w:rsidRDefault="0091312F" w:rsidP="0091312F">
            <w:pPr>
              <w:widowControl w:val="0"/>
              <w:spacing w:before="84" w:after="45"/>
              <w:jc w:val="center"/>
              <w:rPr>
                <w:color w:val="000000"/>
                <w:sz w:val="20"/>
              </w:rPr>
            </w:pPr>
            <w:r>
              <w:rPr>
                <w:color w:val="000000"/>
                <w:sz w:val="20"/>
              </w:rPr>
              <w:t>216.32</w:t>
            </w:r>
          </w:p>
        </w:tc>
        <w:tc>
          <w:tcPr>
            <w:tcW w:w="1620" w:type="dxa"/>
            <w:tcBorders>
              <w:top w:val="single" w:sz="7" w:space="0" w:color="000000"/>
              <w:left w:val="single" w:sz="7" w:space="0" w:color="000000"/>
              <w:bottom w:val="single" w:sz="7" w:space="0" w:color="000000"/>
              <w:right w:val="single" w:sz="7" w:space="0" w:color="000000"/>
            </w:tcBorders>
          </w:tcPr>
          <w:p w:rsidR="0091312F" w:rsidRDefault="0091312F" w:rsidP="0091312F">
            <w:pPr>
              <w:widowControl w:val="0"/>
              <w:spacing w:before="84" w:after="45"/>
              <w:jc w:val="center"/>
              <w:rPr>
                <w:color w:val="000000"/>
                <w:sz w:val="20"/>
              </w:rPr>
            </w:pPr>
            <w:r>
              <w:rPr>
                <w:color w:val="000000"/>
                <w:sz w:val="20"/>
              </w:rPr>
              <w:t>$16,735</w:t>
            </w:r>
          </w:p>
        </w:tc>
      </w:tr>
      <w:tr w:rsidR="0091312F" w:rsidTr="0091312F">
        <w:trPr>
          <w:cantSplit/>
        </w:trPr>
        <w:tc>
          <w:tcPr>
            <w:tcW w:w="4500" w:type="dxa"/>
            <w:tcBorders>
              <w:top w:val="single" w:sz="7" w:space="0" w:color="000000"/>
              <w:left w:val="single" w:sz="7" w:space="0" w:color="000000"/>
              <w:bottom w:val="single" w:sz="7" w:space="0" w:color="000000"/>
              <w:right w:val="single" w:sz="7" w:space="0" w:color="000000"/>
            </w:tcBorders>
          </w:tcPr>
          <w:p w:rsidR="0091312F" w:rsidRDefault="0091312F" w:rsidP="0091312F">
            <w:pPr>
              <w:widowControl w:val="0"/>
              <w:spacing w:before="84" w:after="45"/>
              <w:rPr>
                <w:color w:val="000000"/>
                <w:sz w:val="20"/>
              </w:rPr>
            </w:pPr>
            <w:r>
              <w:rPr>
                <w:color w:val="000000"/>
                <w:sz w:val="20"/>
              </w:rPr>
              <w:t>Storage and distribution</w:t>
            </w:r>
          </w:p>
        </w:tc>
        <w:tc>
          <w:tcPr>
            <w:tcW w:w="1620" w:type="dxa"/>
            <w:tcBorders>
              <w:top w:val="single" w:sz="7" w:space="0" w:color="000000"/>
              <w:left w:val="single" w:sz="7" w:space="0" w:color="000000"/>
              <w:bottom w:val="single" w:sz="7" w:space="0" w:color="000000"/>
              <w:right w:val="single" w:sz="7" w:space="0" w:color="000000"/>
            </w:tcBorders>
          </w:tcPr>
          <w:p w:rsidR="0091312F" w:rsidRDefault="0091312F" w:rsidP="0091312F">
            <w:pPr>
              <w:widowControl w:val="0"/>
              <w:spacing w:before="84" w:after="45"/>
              <w:jc w:val="center"/>
              <w:rPr>
                <w:color w:val="000000"/>
                <w:sz w:val="20"/>
              </w:rPr>
            </w:pPr>
            <w:r>
              <w:rPr>
                <w:color w:val="000000"/>
                <w:sz w:val="20"/>
              </w:rPr>
              <w:t>0.01</w:t>
            </w:r>
          </w:p>
        </w:tc>
        <w:tc>
          <w:tcPr>
            <w:tcW w:w="1620" w:type="dxa"/>
            <w:tcBorders>
              <w:top w:val="single" w:sz="7" w:space="0" w:color="000000"/>
              <w:left w:val="single" w:sz="7" w:space="0" w:color="000000"/>
              <w:bottom w:val="single" w:sz="7" w:space="0" w:color="000000"/>
              <w:right w:val="single" w:sz="7" w:space="0" w:color="000000"/>
            </w:tcBorders>
          </w:tcPr>
          <w:p w:rsidR="0091312F" w:rsidRDefault="0091312F" w:rsidP="0091312F">
            <w:pPr>
              <w:widowControl w:val="0"/>
              <w:spacing w:before="84" w:after="45"/>
              <w:jc w:val="center"/>
              <w:rPr>
                <w:color w:val="000000"/>
                <w:sz w:val="20"/>
              </w:rPr>
            </w:pPr>
            <w:r>
              <w:rPr>
                <w:color w:val="000000"/>
                <w:sz w:val="20"/>
              </w:rPr>
              <w:t>85.28</w:t>
            </w:r>
          </w:p>
        </w:tc>
        <w:tc>
          <w:tcPr>
            <w:tcW w:w="1620" w:type="dxa"/>
            <w:tcBorders>
              <w:top w:val="single" w:sz="7" w:space="0" w:color="000000"/>
              <w:left w:val="single" w:sz="7" w:space="0" w:color="000000"/>
              <w:bottom w:val="single" w:sz="7" w:space="0" w:color="000000"/>
              <w:right w:val="single" w:sz="7" w:space="0" w:color="000000"/>
            </w:tcBorders>
          </w:tcPr>
          <w:p w:rsidR="0091312F" w:rsidRDefault="0091312F" w:rsidP="0091312F">
            <w:pPr>
              <w:widowControl w:val="0"/>
              <w:spacing w:before="84" w:after="45"/>
              <w:jc w:val="center"/>
              <w:rPr>
                <w:color w:val="000000"/>
                <w:sz w:val="20"/>
              </w:rPr>
            </w:pPr>
            <w:r>
              <w:rPr>
                <w:color w:val="000000"/>
                <w:sz w:val="20"/>
              </w:rPr>
              <w:t>$6,597</w:t>
            </w:r>
          </w:p>
        </w:tc>
      </w:tr>
      <w:tr w:rsidR="0091312F" w:rsidTr="0091312F">
        <w:trPr>
          <w:cantSplit/>
        </w:trPr>
        <w:tc>
          <w:tcPr>
            <w:tcW w:w="4500" w:type="dxa"/>
            <w:tcBorders>
              <w:top w:val="single" w:sz="7" w:space="0" w:color="000000"/>
              <w:left w:val="single" w:sz="7" w:space="0" w:color="000000"/>
              <w:bottom w:val="single" w:sz="7" w:space="0" w:color="000000"/>
              <w:right w:val="single" w:sz="7" w:space="0" w:color="000000"/>
            </w:tcBorders>
          </w:tcPr>
          <w:p w:rsidR="0091312F" w:rsidRPr="00EF1E55" w:rsidRDefault="0091312F" w:rsidP="0091312F">
            <w:pPr>
              <w:widowControl w:val="0"/>
              <w:spacing w:before="84" w:after="45"/>
              <w:jc w:val="center"/>
              <w:rPr>
                <w:b/>
                <w:color w:val="000000"/>
                <w:sz w:val="20"/>
              </w:rPr>
            </w:pPr>
            <w:r w:rsidRPr="00EF1E55">
              <w:rPr>
                <w:b/>
                <w:color w:val="000000"/>
                <w:sz w:val="20"/>
              </w:rPr>
              <w:t>TOTALS</w:t>
            </w:r>
          </w:p>
        </w:tc>
        <w:tc>
          <w:tcPr>
            <w:tcW w:w="1620" w:type="dxa"/>
            <w:tcBorders>
              <w:top w:val="single" w:sz="7" w:space="0" w:color="000000"/>
              <w:left w:val="single" w:sz="7" w:space="0" w:color="000000"/>
              <w:bottom w:val="single" w:sz="7" w:space="0" w:color="000000"/>
              <w:right w:val="single" w:sz="7" w:space="0" w:color="000000"/>
            </w:tcBorders>
          </w:tcPr>
          <w:p w:rsidR="0091312F" w:rsidRPr="00EF1E55" w:rsidRDefault="0091312F" w:rsidP="0091312F">
            <w:pPr>
              <w:widowControl w:val="0"/>
              <w:spacing w:before="84" w:after="45"/>
              <w:jc w:val="center"/>
              <w:rPr>
                <w:b/>
                <w:color w:val="000000"/>
                <w:sz w:val="20"/>
              </w:rPr>
            </w:pPr>
            <w:r>
              <w:rPr>
                <w:b/>
                <w:color w:val="000000"/>
                <w:sz w:val="20"/>
              </w:rPr>
              <w:t>0.035</w:t>
            </w:r>
          </w:p>
        </w:tc>
        <w:tc>
          <w:tcPr>
            <w:tcW w:w="1620" w:type="dxa"/>
            <w:tcBorders>
              <w:top w:val="single" w:sz="7" w:space="0" w:color="000000"/>
              <w:left w:val="single" w:sz="7" w:space="0" w:color="000000"/>
              <w:bottom w:val="single" w:sz="7" w:space="0" w:color="000000"/>
              <w:right w:val="single" w:sz="7" w:space="0" w:color="000000"/>
            </w:tcBorders>
          </w:tcPr>
          <w:p w:rsidR="0091312F" w:rsidRPr="00EF1E55" w:rsidRDefault="0091312F" w:rsidP="0091312F">
            <w:pPr>
              <w:widowControl w:val="0"/>
              <w:spacing w:before="84" w:after="45"/>
              <w:jc w:val="center"/>
              <w:rPr>
                <w:b/>
                <w:color w:val="000000"/>
                <w:sz w:val="20"/>
              </w:rPr>
            </w:pPr>
            <w:r>
              <w:rPr>
                <w:b/>
                <w:color w:val="000000"/>
                <w:sz w:val="20"/>
              </w:rPr>
              <w:t>301.60</w:t>
            </w:r>
          </w:p>
        </w:tc>
        <w:tc>
          <w:tcPr>
            <w:tcW w:w="1620" w:type="dxa"/>
            <w:tcBorders>
              <w:top w:val="single" w:sz="7" w:space="0" w:color="000000"/>
              <w:left w:val="single" w:sz="7" w:space="0" w:color="000000"/>
              <w:bottom w:val="single" w:sz="7" w:space="0" w:color="000000"/>
              <w:right w:val="single" w:sz="7" w:space="0" w:color="000000"/>
            </w:tcBorders>
          </w:tcPr>
          <w:p w:rsidR="0091312F" w:rsidRPr="00EF1E55" w:rsidRDefault="00054AFC" w:rsidP="0091312F">
            <w:pPr>
              <w:widowControl w:val="0"/>
              <w:spacing w:before="84" w:after="45"/>
              <w:jc w:val="center"/>
              <w:rPr>
                <w:b/>
                <w:color w:val="000000"/>
                <w:sz w:val="20"/>
              </w:rPr>
            </w:pPr>
            <w:r>
              <w:rPr>
                <w:b/>
                <w:color w:val="000000"/>
                <w:sz w:val="20"/>
              </w:rPr>
              <w:fldChar w:fldCharType="begin"/>
            </w:r>
            <w:r w:rsidR="0091312F">
              <w:rPr>
                <w:b/>
                <w:color w:val="000000"/>
                <w:sz w:val="20"/>
              </w:rPr>
              <w:instrText xml:space="preserve"> =SUM(ABOVE) </w:instrText>
            </w:r>
            <w:r>
              <w:rPr>
                <w:b/>
                <w:color w:val="000000"/>
                <w:sz w:val="20"/>
              </w:rPr>
              <w:fldChar w:fldCharType="separate"/>
            </w:r>
            <w:r w:rsidR="0091312F">
              <w:rPr>
                <w:b/>
                <w:noProof/>
                <w:color w:val="000000"/>
                <w:sz w:val="20"/>
              </w:rPr>
              <w:t>$23,332.00</w:t>
            </w:r>
            <w:r>
              <w:rPr>
                <w:b/>
                <w:color w:val="000000"/>
                <w:sz w:val="20"/>
              </w:rPr>
              <w:fldChar w:fldCharType="end"/>
            </w:r>
          </w:p>
        </w:tc>
      </w:tr>
    </w:tbl>
    <w:p w:rsidR="0091312F" w:rsidRDefault="0091312F">
      <w:pPr>
        <w:widowControl w:val="0"/>
        <w:rPr>
          <w:color w:val="000000"/>
        </w:rPr>
      </w:pPr>
    </w:p>
    <w:p w:rsidR="00E53AB2" w:rsidRDefault="00CA49FE">
      <w:pPr>
        <w:widowControl w:val="0"/>
        <w:ind w:left="720"/>
        <w:rPr>
          <w:color w:val="000000"/>
        </w:rPr>
      </w:pPr>
      <w:r>
        <w:rPr>
          <w:b/>
          <w:color w:val="000000"/>
        </w:rPr>
        <w:t>6(d</w:t>
      </w:r>
      <w:r w:rsidR="00717D58">
        <w:rPr>
          <w:b/>
          <w:color w:val="000000"/>
        </w:rPr>
        <w:t>)</w:t>
      </w:r>
      <w:r w:rsidR="00717D58">
        <w:rPr>
          <w:b/>
          <w:color w:val="000000"/>
        </w:rPr>
        <w:tab/>
        <w:t>Estimating the Respondent Universe and Total Burden and Costs</w:t>
      </w:r>
    </w:p>
    <w:p w:rsidR="00E53AB2" w:rsidRDefault="00E53AB2">
      <w:pPr>
        <w:widowControl w:val="0"/>
        <w:rPr>
          <w:color w:val="000000"/>
        </w:rPr>
      </w:pPr>
    </w:p>
    <w:p w:rsidR="003F54F6" w:rsidRDefault="00717D58">
      <w:pPr>
        <w:widowControl w:val="0"/>
        <w:rPr>
          <w:color w:val="000000"/>
        </w:rPr>
      </w:pPr>
      <w:r>
        <w:rPr>
          <w:color w:val="000000"/>
        </w:rPr>
        <w:tab/>
        <w:t xml:space="preserve">The number of chemicals added to the section 8(d) list has varied significantly from year to year and has been zero in many years.  EPA has added a total of 270 chemicals to the list since 1996 (47 in 1996, 15 in 2004, and 208 in 2006), which is an overall program historical average of approximately 17 chemicals per year.  In more recent ICR renewal periods, the frequency of additions has been higher (see Table 1). </w:t>
      </w:r>
    </w:p>
    <w:p w:rsidR="003F54F6" w:rsidRDefault="003F54F6">
      <w:pPr>
        <w:widowControl w:val="0"/>
        <w:rPr>
          <w:b/>
          <w:color w:val="000000"/>
        </w:rPr>
      </w:pPr>
      <w:r>
        <w:rPr>
          <w:color w:val="000000"/>
        </w:rPr>
        <w:tab/>
        <w:t xml:space="preserve">   </w:t>
      </w:r>
      <w:r w:rsidRPr="003F54F6">
        <w:rPr>
          <w:b/>
          <w:color w:val="000000"/>
        </w:rPr>
        <w:t>(</w:t>
      </w:r>
      <w:proofErr w:type="spellStart"/>
      <w:r w:rsidRPr="003F54F6">
        <w:rPr>
          <w:b/>
          <w:color w:val="000000"/>
        </w:rPr>
        <w:t>i</w:t>
      </w:r>
      <w:proofErr w:type="spellEnd"/>
      <w:r w:rsidRPr="003F54F6">
        <w:rPr>
          <w:b/>
          <w:color w:val="000000"/>
        </w:rPr>
        <w:t>) Typical Case</w:t>
      </w:r>
    </w:p>
    <w:p w:rsidR="0091312F" w:rsidRPr="003F54F6" w:rsidRDefault="0091312F">
      <w:pPr>
        <w:widowControl w:val="0"/>
        <w:rPr>
          <w:b/>
          <w:color w:val="000000"/>
        </w:rPr>
      </w:pPr>
    </w:p>
    <w:p w:rsidR="00E53AB2" w:rsidRDefault="00717D58" w:rsidP="003F54F6">
      <w:pPr>
        <w:widowControl w:val="0"/>
        <w:ind w:firstLine="720"/>
        <w:rPr>
          <w:color w:val="000000"/>
        </w:rPr>
      </w:pPr>
      <w:r>
        <w:rPr>
          <w:color w:val="000000"/>
        </w:rPr>
        <w:t xml:space="preserve">For estimates in this ICR, EPA assumes that an average of 70 chemicals per year will be added to the section 8(d) list from 2012 to 2015, for a total </w:t>
      </w:r>
      <w:r w:rsidR="004660D8">
        <w:rPr>
          <w:color w:val="000000"/>
        </w:rPr>
        <w:t>of 210 chemicals over the three-</w:t>
      </w:r>
      <w:r>
        <w:rPr>
          <w:color w:val="000000"/>
        </w:rPr>
        <w:t xml:space="preserve">year ICR period.  </w:t>
      </w:r>
    </w:p>
    <w:p w:rsidR="00E53AB2" w:rsidRDefault="00E53AB2">
      <w:pPr>
        <w:widowControl w:val="0"/>
        <w:rPr>
          <w:color w:val="000000"/>
        </w:rPr>
      </w:pPr>
    </w:p>
    <w:p w:rsidR="00E53AB2" w:rsidRDefault="00717D58">
      <w:pPr>
        <w:widowControl w:val="0"/>
        <w:rPr>
          <w:color w:val="000000"/>
        </w:rPr>
      </w:pPr>
      <w:r>
        <w:rPr>
          <w:color w:val="000000"/>
        </w:rPr>
        <w:tab/>
        <w:t xml:space="preserve">The total number of responses over the next three years is projected based on the frequency of chemical additions (stated above) and anticipated reporting implications, as observed in 8(d) reports submitted in response to the 2006 rule (see Table 3).  Applying the Table 3’s average of 1.7 manufacturers per chemical to the average of 70 chemicals per year that are assumed to be added to the section 8(d) list over the next three years results in an estimate that there will be 119 manufacturers per year with chemicals added to the section 8(d) list during the time frame covered by this ICR.  </w:t>
      </w:r>
    </w:p>
    <w:p w:rsidR="00E53AB2" w:rsidRDefault="00E53AB2">
      <w:pPr>
        <w:widowControl w:val="0"/>
        <w:rPr>
          <w:color w:val="000000"/>
        </w:rPr>
      </w:pPr>
    </w:p>
    <w:p w:rsidR="00E53AB2" w:rsidRDefault="00717D58">
      <w:pPr>
        <w:widowControl w:val="0"/>
        <w:rPr>
          <w:color w:val="000000"/>
        </w:rPr>
      </w:pPr>
      <w:r>
        <w:rPr>
          <w:color w:val="000000"/>
        </w:rPr>
        <w:tab/>
        <w:t xml:space="preserve">Assuming the reporting bases of Table 3, with 17 percent of the manufacturers of listed chemicals, or 20 firms (0.17 * 119 manufacturers), will submit reports each year.  Of these 20 firms, an estimated total </w:t>
      </w:r>
      <w:r w:rsidRPr="00825805">
        <w:rPr>
          <w:color w:val="000000"/>
        </w:rPr>
        <w:t xml:space="preserve">of </w:t>
      </w:r>
      <w:r w:rsidRPr="00DF5A47">
        <w:rPr>
          <w:color w:val="000000"/>
        </w:rPr>
        <w:t>18</w:t>
      </w:r>
      <w:r>
        <w:rPr>
          <w:color w:val="000000"/>
        </w:rPr>
        <w:t>0</w:t>
      </w:r>
      <w:r w:rsidRPr="00825805">
        <w:rPr>
          <w:color w:val="000000"/>
        </w:rPr>
        <w:t xml:space="preserve"> studies </w:t>
      </w:r>
      <w:r w:rsidRPr="00DF5A47">
        <w:rPr>
          <w:color w:val="000000"/>
        </w:rPr>
        <w:t xml:space="preserve">will be submitted </w:t>
      </w:r>
      <w:r w:rsidRPr="00825805">
        <w:rPr>
          <w:color w:val="000000"/>
        </w:rPr>
        <w:t>annually (</w:t>
      </w:r>
      <w:r>
        <w:rPr>
          <w:color w:val="000000"/>
        </w:rPr>
        <w:t>2</w:t>
      </w:r>
      <w:r w:rsidRPr="00DF5A47">
        <w:rPr>
          <w:color w:val="000000"/>
        </w:rPr>
        <w:t>0</w:t>
      </w:r>
      <w:r w:rsidRPr="00825805">
        <w:rPr>
          <w:color w:val="000000"/>
        </w:rPr>
        <w:t xml:space="preserve"> firms* 9 studies per firm).</w:t>
      </w:r>
      <w:r>
        <w:rPr>
          <w:color w:val="000000"/>
        </w:rPr>
        <w:t xml:space="preserve"> From this group of firms, one firm will submit a robust summary per year. And one firm </w:t>
      </w:r>
      <w:r w:rsidRPr="00825805">
        <w:rPr>
          <w:color w:val="000000"/>
        </w:rPr>
        <w:t xml:space="preserve">(5% of </w:t>
      </w:r>
      <w:r w:rsidRPr="00DF5A47">
        <w:rPr>
          <w:color w:val="000000"/>
        </w:rPr>
        <w:t>20</w:t>
      </w:r>
      <w:r w:rsidRPr="00825805">
        <w:rPr>
          <w:color w:val="000000"/>
        </w:rPr>
        <w:t xml:space="preserve"> firms)</w:t>
      </w:r>
      <w:r>
        <w:rPr>
          <w:color w:val="000000"/>
        </w:rPr>
        <w:t xml:space="preserve"> is estimated to submit a second response (for a newly initiated or ongoing study) after the reporting period ends. </w:t>
      </w:r>
    </w:p>
    <w:p w:rsidR="00E53AB2" w:rsidRDefault="00E53AB2">
      <w:pPr>
        <w:widowControl w:val="0"/>
        <w:rPr>
          <w:color w:val="000000"/>
        </w:rPr>
      </w:pPr>
    </w:p>
    <w:p w:rsidR="00E53AB2" w:rsidRDefault="00717D58">
      <w:pPr>
        <w:widowControl w:val="0"/>
        <w:rPr>
          <w:color w:val="000000"/>
        </w:rPr>
      </w:pPr>
      <w:r>
        <w:rPr>
          <w:color w:val="000000"/>
        </w:rPr>
        <w:tab/>
        <w:t xml:space="preserve">The number of firms estimated to engage in the various activities is summarized in Table </w:t>
      </w:r>
      <w:r w:rsidR="004B2FCD">
        <w:rPr>
          <w:color w:val="000000"/>
        </w:rPr>
        <w:t>11</w:t>
      </w:r>
      <w:r>
        <w:rPr>
          <w:color w:val="000000"/>
        </w:rPr>
        <w:t>.</w:t>
      </w:r>
      <w:r w:rsidRPr="00825805">
        <w:rPr>
          <w:color w:val="000000"/>
          <w:u w:val="single"/>
        </w:rPr>
        <w:t xml:space="preserve"> </w:t>
      </w:r>
      <w:r>
        <w:rPr>
          <w:color w:val="000000"/>
          <w:u w:val="single"/>
        </w:rPr>
        <w:lastRenderedPageBreak/>
        <w:t>Refer to Section 6(a) for detailed descriptions of the steps.</w:t>
      </w:r>
      <w:r w:rsidRPr="00DF5A47">
        <w:rPr>
          <w:color w:val="000000"/>
        </w:rPr>
        <w:t xml:space="preserve"> </w:t>
      </w:r>
      <w:r>
        <w:rPr>
          <w:color w:val="000000"/>
        </w:rPr>
        <w:t>Note that not all respondents incur every aspect of reporting burden. For this analysis, the conditions of the 2006 rule and its reporting implications (per Table 3) along with the condition of 70 chemical additions per year are assumed.</w:t>
      </w:r>
    </w:p>
    <w:p w:rsidR="0091312F" w:rsidRDefault="0091312F">
      <w:pPr>
        <w:widowControl w:val="0"/>
        <w:rPr>
          <w:color w:val="000000"/>
        </w:rPr>
      </w:pPr>
    </w:p>
    <w:tbl>
      <w:tblPr>
        <w:tblW w:w="6210" w:type="dxa"/>
        <w:jc w:val="center"/>
        <w:tblLook w:val="04A0"/>
      </w:tblPr>
      <w:tblGrid>
        <w:gridCol w:w="4185"/>
        <w:gridCol w:w="2025"/>
      </w:tblGrid>
      <w:tr w:rsidR="00717D58" w:rsidRPr="00F6743D" w:rsidTr="00F21A45">
        <w:trPr>
          <w:jc w:val="center"/>
        </w:trPr>
        <w:tc>
          <w:tcPr>
            <w:tcW w:w="6210" w:type="dxa"/>
            <w:gridSpan w:val="2"/>
            <w:tcBorders>
              <w:top w:val="nil"/>
              <w:left w:val="nil"/>
              <w:bottom w:val="double" w:sz="6" w:space="0" w:color="auto"/>
              <w:right w:val="nil"/>
            </w:tcBorders>
            <w:shd w:val="clear" w:color="auto" w:fill="auto"/>
            <w:vAlign w:val="bottom"/>
            <w:hideMark/>
          </w:tcPr>
          <w:p w:rsidR="00E53AB2" w:rsidRDefault="00717D58">
            <w:pPr>
              <w:keepNext/>
              <w:rPr>
                <w:b/>
                <w:color w:val="000000"/>
                <w:szCs w:val="24"/>
              </w:rPr>
            </w:pPr>
            <w:r w:rsidRPr="00DF5A47">
              <w:rPr>
                <w:b/>
                <w:color w:val="000000"/>
                <w:szCs w:val="24"/>
              </w:rPr>
              <w:t xml:space="preserve">Table </w:t>
            </w:r>
            <w:r w:rsidR="004B2FCD">
              <w:rPr>
                <w:b/>
                <w:color w:val="000000"/>
                <w:szCs w:val="24"/>
              </w:rPr>
              <w:t>11</w:t>
            </w:r>
            <w:r w:rsidRPr="00DF5A47">
              <w:rPr>
                <w:b/>
                <w:color w:val="000000"/>
                <w:szCs w:val="24"/>
              </w:rPr>
              <w:t xml:space="preserve">: Number of Firms Affected, by </w:t>
            </w:r>
            <w:r w:rsidR="00F21A45" w:rsidRPr="00DF5A47">
              <w:rPr>
                <w:b/>
                <w:color w:val="000000"/>
                <w:szCs w:val="24"/>
              </w:rPr>
              <w:t>Activity</w:t>
            </w:r>
          </w:p>
          <w:p w:rsidR="00E53AB2" w:rsidRDefault="00717D58">
            <w:pPr>
              <w:keepNext/>
              <w:rPr>
                <w:b/>
                <w:color w:val="000000"/>
                <w:szCs w:val="24"/>
              </w:rPr>
            </w:pPr>
            <w:r w:rsidRPr="00DF5A47">
              <w:rPr>
                <w:b/>
                <w:color w:val="000000"/>
                <w:szCs w:val="24"/>
              </w:rPr>
              <w:t>(70 Chemicals Added Per Year</w:t>
            </w:r>
            <w:r>
              <w:rPr>
                <w:b/>
                <w:color w:val="000000"/>
                <w:szCs w:val="24"/>
              </w:rPr>
              <w:t>; Table 3 Bases</w:t>
            </w:r>
            <w:r w:rsidRPr="00DF5A47">
              <w:rPr>
                <w:b/>
                <w:color w:val="000000"/>
                <w:szCs w:val="24"/>
              </w:rPr>
              <w:t>)</w:t>
            </w:r>
          </w:p>
        </w:tc>
      </w:tr>
      <w:tr w:rsidR="00717D58" w:rsidRPr="00F6743D" w:rsidTr="00F21A45">
        <w:trPr>
          <w:jc w:val="center"/>
        </w:trPr>
        <w:tc>
          <w:tcPr>
            <w:tcW w:w="4185"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E53AB2" w:rsidRDefault="00646BB0">
            <w:pPr>
              <w:keepNext/>
              <w:jc w:val="center"/>
              <w:rPr>
                <w:b/>
                <w:color w:val="000000"/>
                <w:sz w:val="20"/>
              </w:rPr>
            </w:pPr>
            <w:r w:rsidRPr="00646BB0">
              <w:rPr>
                <w:b/>
                <w:color w:val="000000"/>
                <w:sz w:val="20"/>
              </w:rPr>
              <w:t>Collection Activity</w:t>
            </w:r>
          </w:p>
        </w:tc>
        <w:tc>
          <w:tcPr>
            <w:tcW w:w="2025" w:type="dxa"/>
            <w:tcBorders>
              <w:top w:val="double" w:sz="6" w:space="0" w:color="auto"/>
              <w:left w:val="nil"/>
              <w:bottom w:val="double" w:sz="6" w:space="0" w:color="auto"/>
              <w:right w:val="double" w:sz="6" w:space="0" w:color="auto"/>
            </w:tcBorders>
            <w:shd w:val="clear" w:color="auto" w:fill="auto"/>
            <w:vAlign w:val="center"/>
            <w:hideMark/>
          </w:tcPr>
          <w:p w:rsidR="00E53AB2" w:rsidRDefault="00646BB0">
            <w:pPr>
              <w:keepNext/>
              <w:jc w:val="center"/>
              <w:rPr>
                <w:b/>
                <w:color w:val="000000"/>
                <w:sz w:val="20"/>
              </w:rPr>
            </w:pPr>
            <w:r w:rsidRPr="00646BB0">
              <w:rPr>
                <w:b/>
                <w:color w:val="000000"/>
                <w:sz w:val="20"/>
              </w:rPr>
              <w:t>BASIS</w:t>
            </w:r>
            <w:r w:rsidR="00F21A45">
              <w:rPr>
                <w:b/>
                <w:color w:val="000000"/>
                <w:sz w:val="20"/>
              </w:rPr>
              <w:t xml:space="preserve"> </w:t>
            </w:r>
            <w:r w:rsidRPr="00646BB0">
              <w:rPr>
                <w:b/>
                <w:color w:val="000000"/>
                <w:sz w:val="20"/>
              </w:rPr>
              <w:t xml:space="preserve">ICR </w:t>
            </w:r>
          </w:p>
          <w:p w:rsidR="00E53AB2" w:rsidRDefault="00646BB0">
            <w:pPr>
              <w:keepNext/>
              <w:jc w:val="center"/>
              <w:rPr>
                <w:b/>
                <w:color w:val="000000"/>
                <w:sz w:val="20"/>
              </w:rPr>
            </w:pPr>
            <w:r w:rsidRPr="00646BB0">
              <w:rPr>
                <w:b/>
                <w:color w:val="000000"/>
                <w:sz w:val="20"/>
              </w:rPr>
              <w:t>2012-15</w:t>
            </w:r>
          </w:p>
          <w:p w:rsidR="00E53AB2" w:rsidRDefault="00646BB0">
            <w:pPr>
              <w:keepNext/>
              <w:jc w:val="center"/>
              <w:rPr>
                <w:b/>
                <w:color w:val="000000"/>
                <w:sz w:val="20"/>
              </w:rPr>
            </w:pPr>
            <w:r w:rsidRPr="00646BB0">
              <w:rPr>
                <w:b/>
                <w:color w:val="000000"/>
                <w:sz w:val="20"/>
              </w:rPr>
              <w:t>No. of Firms</w:t>
            </w:r>
          </w:p>
        </w:tc>
      </w:tr>
      <w:tr w:rsidR="00717D58" w:rsidRPr="00F6743D" w:rsidTr="00F21A45">
        <w:trPr>
          <w:jc w:val="center"/>
        </w:trPr>
        <w:tc>
          <w:tcPr>
            <w:tcW w:w="4185"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E53AB2" w:rsidRDefault="00646BB0">
            <w:pPr>
              <w:keepNext/>
              <w:rPr>
                <w:color w:val="000000"/>
                <w:sz w:val="20"/>
              </w:rPr>
            </w:pPr>
            <w:r w:rsidRPr="00646BB0">
              <w:rPr>
                <w:color w:val="000000"/>
                <w:sz w:val="20"/>
              </w:rPr>
              <w:t>1. Review of Rule</w:t>
            </w:r>
          </w:p>
        </w:tc>
        <w:tc>
          <w:tcPr>
            <w:tcW w:w="2025" w:type="dxa"/>
            <w:tcBorders>
              <w:top w:val="double" w:sz="6" w:space="0" w:color="auto"/>
              <w:left w:val="nil"/>
              <w:bottom w:val="single" w:sz="4" w:space="0" w:color="auto"/>
              <w:right w:val="double" w:sz="6" w:space="0" w:color="auto"/>
            </w:tcBorders>
            <w:shd w:val="clear" w:color="auto" w:fill="auto"/>
            <w:noWrap/>
            <w:vAlign w:val="bottom"/>
            <w:hideMark/>
          </w:tcPr>
          <w:p w:rsidR="00E53AB2" w:rsidRDefault="00646BB0">
            <w:pPr>
              <w:keepNext/>
              <w:jc w:val="center"/>
              <w:rPr>
                <w:color w:val="000000"/>
                <w:sz w:val="20"/>
              </w:rPr>
            </w:pPr>
            <w:r w:rsidRPr="00646BB0">
              <w:rPr>
                <w:color w:val="000000"/>
                <w:sz w:val="20"/>
              </w:rPr>
              <w:t>119</w:t>
            </w:r>
          </w:p>
        </w:tc>
      </w:tr>
      <w:tr w:rsidR="00717D58" w:rsidRPr="00F6743D" w:rsidTr="00F21A45">
        <w:trPr>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rsidR="00E53AB2" w:rsidRDefault="00646BB0">
            <w:pPr>
              <w:keepNext/>
              <w:rPr>
                <w:color w:val="000000"/>
                <w:sz w:val="20"/>
              </w:rPr>
            </w:pPr>
            <w:r w:rsidRPr="00646BB0">
              <w:rPr>
                <w:color w:val="000000"/>
                <w:sz w:val="20"/>
              </w:rPr>
              <w:t>2. Site Identification</w:t>
            </w:r>
          </w:p>
        </w:tc>
        <w:tc>
          <w:tcPr>
            <w:tcW w:w="2025" w:type="dxa"/>
            <w:tcBorders>
              <w:top w:val="nil"/>
              <w:left w:val="nil"/>
              <w:bottom w:val="single" w:sz="4" w:space="0" w:color="auto"/>
              <w:right w:val="double" w:sz="6" w:space="0" w:color="auto"/>
            </w:tcBorders>
            <w:shd w:val="clear" w:color="auto" w:fill="auto"/>
            <w:noWrap/>
            <w:vAlign w:val="bottom"/>
            <w:hideMark/>
          </w:tcPr>
          <w:p w:rsidR="00E53AB2" w:rsidRDefault="00646BB0">
            <w:pPr>
              <w:keepNext/>
              <w:jc w:val="center"/>
              <w:rPr>
                <w:color w:val="000000"/>
                <w:sz w:val="20"/>
              </w:rPr>
            </w:pPr>
            <w:r w:rsidRPr="00646BB0">
              <w:rPr>
                <w:color w:val="000000"/>
                <w:sz w:val="20"/>
              </w:rPr>
              <w:t>119</w:t>
            </w:r>
          </w:p>
        </w:tc>
      </w:tr>
      <w:tr w:rsidR="00717D58" w:rsidRPr="00F6743D" w:rsidTr="00F21A45">
        <w:trPr>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rsidR="00E53AB2" w:rsidRDefault="00646BB0">
            <w:pPr>
              <w:keepNext/>
              <w:rPr>
                <w:color w:val="000000"/>
                <w:sz w:val="20"/>
              </w:rPr>
            </w:pPr>
            <w:r w:rsidRPr="00646BB0">
              <w:rPr>
                <w:color w:val="000000"/>
                <w:sz w:val="20"/>
              </w:rPr>
              <w:t>3. Site File Search</w:t>
            </w:r>
          </w:p>
        </w:tc>
        <w:tc>
          <w:tcPr>
            <w:tcW w:w="2025" w:type="dxa"/>
            <w:tcBorders>
              <w:top w:val="nil"/>
              <w:left w:val="nil"/>
              <w:bottom w:val="single" w:sz="4" w:space="0" w:color="auto"/>
              <w:right w:val="double" w:sz="6" w:space="0" w:color="auto"/>
            </w:tcBorders>
            <w:shd w:val="clear" w:color="auto" w:fill="auto"/>
            <w:noWrap/>
            <w:vAlign w:val="bottom"/>
            <w:hideMark/>
          </w:tcPr>
          <w:p w:rsidR="00E53AB2" w:rsidRDefault="00646BB0">
            <w:pPr>
              <w:keepNext/>
              <w:jc w:val="center"/>
              <w:rPr>
                <w:color w:val="000000"/>
                <w:sz w:val="20"/>
              </w:rPr>
            </w:pPr>
            <w:r w:rsidRPr="00646BB0">
              <w:rPr>
                <w:color w:val="000000"/>
                <w:sz w:val="20"/>
              </w:rPr>
              <w:t>119</w:t>
            </w:r>
          </w:p>
        </w:tc>
      </w:tr>
      <w:tr w:rsidR="00717D58" w:rsidRPr="00F6743D" w:rsidTr="00F21A45">
        <w:trPr>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rsidR="00E53AB2" w:rsidRDefault="00646BB0">
            <w:pPr>
              <w:keepNext/>
              <w:rPr>
                <w:color w:val="000000"/>
                <w:sz w:val="20"/>
              </w:rPr>
            </w:pPr>
            <w:r w:rsidRPr="00646BB0">
              <w:rPr>
                <w:color w:val="000000"/>
                <w:sz w:val="20"/>
              </w:rPr>
              <w:t>4. Study Title Lists</w:t>
            </w:r>
          </w:p>
        </w:tc>
        <w:tc>
          <w:tcPr>
            <w:tcW w:w="2025" w:type="dxa"/>
            <w:tcBorders>
              <w:top w:val="nil"/>
              <w:left w:val="nil"/>
              <w:bottom w:val="single" w:sz="4" w:space="0" w:color="auto"/>
              <w:right w:val="double" w:sz="6" w:space="0" w:color="auto"/>
            </w:tcBorders>
            <w:shd w:val="clear" w:color="auto" w:fill="auto"/>
            <w:noWrap/>
            <w:vAlign w:val="bottom"/>
            <w:hideMark/>
          </w:tcPr>
          <w:p w:rsidR="00E53AB2" w:rsidRDefault="00646BB0">
            <w:pPr>
              <w:keepNext/>
              <w:jc w:val="center"/>
              <w:rPr>
                <w:color w:val="000000"/>
                <w:sz w:val="20"/>
              </w:rPr>
            </w:pPr>
            <w:r w:rsidRPr="00646BB0">
              <w:rPr>
                <w:color w:val="000000"/>
                <w:sz w:val="20"/>
              </w:rPr>
              <w:t>20</w:t>
            </w:r>
          </w:p>
        </w:tc>
      </w:tr>
      <w:tr w:rsidR="00717D58" w:rsidRPr="00F6743D" w:rsidTr="00F21A45">
        <w:trPr>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rsidR="00E53AB2" w:rsidRDefault="00646BB0">
            <w:pPr>
              <w:keepNext/>
              <w:rPr>
                <w:color w:val="000000"/>
                <w:sz w:val="20"/>
              </w:rPr>
            </w:pPr>
            <w:r w:rsidRPr="00646BB0">
              <w:rPr>
                <w:color w:val="000000"/>
                <w:sz w:val="20"/>
              </w:rPr>
              <w:t>5. Photocopy Studies</w:t>
            </w:r>
          </w:p>
        </w:tc>
        <w:tc>
          <w:tcPr>
            <w:tcW w:w="2025" w:type="dxa"/>
            <w:tcBorders>
              <w:top w:val="nil"/>
              <w:left w:val="nil"/>
              <w:bottom w:val="single" w:sz="4" w:space="0" w:color="auto"/>
              <w:right w:val="double" w:sz="6" w:space="0" w:color="auto"/>
            </w:tcBorders>
            <w:shd w:val="clear" w:color="auto" w:fill="auto"/>
            <w:noWrap/>
            <w:vAlign w:val="bottom"/>
            <w:hideMark/>
          </w:tcPr>
          <w:p w:rsidR="00E53AB2" w:rsidRDefault="00646BB0">
            <w:pPr>
              <w:keepNext/>
              <w:jc w:val="center"/>
              <w:rPr>
                <w:color w:val="000000"/>
                <w:sz w:val="20"/>
              </w:rPr>
            </w:pPr>
            <w:r w:rsidRPr="00646BB0">
              <w:rPr>
                <w:color w:val="000000"/>
                <w:sz w:val="20"/>
              </w:rPr>
              <w:t>20</w:t>
            </w:r>
          </w:p>
        </w:tc>
      </w:tr>
      <w:tr w:rsidR="00717D58" w:rsidRPr="00F6743D" w:rsidTr="00F21A45">
        <w:trPr>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rsidR="00E53AB2" w:rsidRDefault="00646BB0">
            <w:pPr>
              <w:keepNext/>
              <w:rPr>
                <w:color w:val="000000"/>
                <w:sz w:val="20"/>
              </w:rPr>
            </w:pPr>
            <w:r w:rsidRPr="00646BB0">
              <w:rPr>
                <w:color w:val="000000"/>
                <w:sz w:val="20"/>
              </w:rPr>
              <w:t xml:space="preserve">6. Robust Summaries </w:t>
            </w:r>
          </w:p>
        </w:tc>
        <w:tc>
          <w:tcPr>
            <w:tcW w:w="2025" w:type="dxa"/>
            <w:tcBorders>
              <w:top w:val="nil"/>
              <w:left w:val="nil"/>
              <w:bottom w:val="single" w:sz="4" w:space="0" w:color="auto"/>
              <w:right w:val="double" w:sz="6" w:space="0" w:color="auto"/>
            </w:tcBorders>
            <w:shd w:val="clear" w:color="auto" w:fill="auto"/>
            <w:noWrap/>
            <w:vAlign w:val="bottom"/>
            <w:hideMark/>
          </w:tcPr>
          <w:p w:rsidR="00E53AB2" w:rsidRDefault="00646BB0">
            <w:pPr>
              <w:keepNext/>
              <w:jc w:val="center"/>
              <w:rPr>
                <w:color w:val="000000"/>
                <w:sz w:val="20"/>
              </w:rPr>
            </w:pPr>
            <w:r w:rsidRPr="00646BB0">
              <w:rPr>
                <w:color w:val="000000"/>
                <w:sz w:val="20"/>
              </w:rPr>
              <w:t>1</w:t>
            </w:r>
          </w:p>
        </w:tc>
      </w:tr>
      <w:tr w:rsidR="00717D58" w:rsidRPr="00F6743D" w:rsidTr="00F21A45">
        <w:trPr>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rsidR="00E53AB2" w:rsidRDefault="00646BB0">
            <w:pPr>
              <w:keepNext/>
              <w:rPr>
                <w:color w:val="000000"/>
                <w:sz w:val="20"/>
              </w:rPr>
            </w:pPr>
            <w:r w:rsidRPr="00646BB0">
              <w:rPr>
                <w:color w:val="000000"/>
                <w:sz w:val="20"/>
              </w:rPr>
              <w:t>7. CBI Review</w:t>
            </w:r>
          </w:p>
        </w:tc>
        <w:tc>
          <w:tcPr>
            <w:tcW w:w="2025" w:type="dxa"/>
            <w:tcBorders>
              <w:top w:val="nil"/>
              <w:left w:val="nil"/>
              <w:bottom w:val="single" w:sz="4" w:space="0" w:color="auto"/>
              <w:right w:val="double" w:sz="6" w:space="0" w:color="auto"/>
            </w:tcBorders>
            <w:shd w:val="clear" w:color="auto" w:fill="auto"/>
            <w:noWrap/>
            <w:vAlign w:val="bottom"/>
            <w:hideMark/>
          </w:tcPr>
          <w:p w:rsidR="00E53AB2" w:rsidRDefault="00646BB0">
            <w:pPr>
              <w:keepNext/>
              <w:jc w:val="center"/>
              <w:rPr>
                <w:color w:val="000000"/>
                <w:sz w:val="20"/>
              </w:rPr>
            </w:pPr>
            <w:r w:rsidRPr="00646BB0">
              <w:rPr>
                <w:color w:val="000000"/>
                <w:sz w:val="20"/>
              </w:rPr>
              <w:t>20</w:t>
            </w:r>
          </w:p>
        </w:tc>
      </w:tr>
      <w:tr w:rsidR="00717D58" w:rsidRPr="00F6743D" w:rsidTr="00F21A45">
        <w:trPr>
          <w:jc w:val="center"/>
        </w:trPr>
        <w:tc>
          <w:tcPr>
            <w:tcW w:w="4185" w:type="dxa"/>
            <w:tcBorders>
              <w:top w:val="nil"/>
              <w:left w:val="double" w:sz="6" w:space="0" w:color="auto"/>
              <w:bottom w:val="double" w:sz="6" w:space="0" w:color="auto"/>
              <w:right w:val="single" w:sz="4" w:space="0" w:color="auto"/>
            </w:tcBorders>
            <w:shd w:val="clear" w:color="auto" w:fill="auto"/>
            <w:noWrap/>
            <w:vAlign w:val="bottom"/>
            <w:hideMark/>
          </w:tcPr>
          <w:p w:rsidR="00E53AB2" w:rsidRDefault="00646BB0">
            <w:pPr>
              <w:keepNext/>
              <w:rPr>
                <w:color w:val="000000"/>
                <w:sz w:val="20"/>
              </w:rPr>
            </w:pPr>
            <w:r w:rsidRPr="00646BB0">
              <w:rPr>
                <w:color w:val="000000"/>
                <w:sz w:val="20"/>
              </w:rPr>
              <w:t>8. Post-Reporting Period Submission</w:t>
            </w:r>
          </w:p>
        </w:tc>
        <w:tc>
          <w:tcPr>
            <w:tcW w:w="2025" w:type="dxa"/>
            <w:tcBorders>
              <w:top w:val="nil"/>
              <w:left w:val="nil"/>
              <w:bottom w:val="double" w:sz="6" w:space="0" w:color="auto"/>
              <w:right w:val="double" w:sz="6" w:space="0" w:color="auto"/>
            </w:tcBorders>
            <w:shd w:val="clear" w:color="auto" w:fill="auto"/>
            <w:noWrap/>
            <w:vAlign w:val="bottom"/>
            <w:hideMark/>
          </w:tcPr>
          <w:p w:rsidR="00E53AB2" w:rsidRDefault="00646BB0">
            <w:pPr>
              <w:keepNext/>
              <w:jc w:val="center"/>
              <w:rPr>
                <w:color w:val="000000"/>
                <w:sz w:val="20"/>
              </w:rPr>
            </w:pPr>
            <w:r w:rsidRPr="00646BB0">
              <w:rPr>
                <w:color w:val="000000"/>
                <w:sz w:val="20"/>
              </w:rPr>
              <w:t>1</w:t>
            </w:r>
          </w:p>
        </w:tc>
      </w:tr>
    </w:tbl>
    <w:p w:rsidR="00E53AB2" w:rsidRDefault="00E53AB2">
      <w:pPr>
        <w:widowControl w:val="0"/>
        <w:rPr>
          <w:color w:val="000000"/>
        </w:rPr>
      </w:pPr>
    </w:p>
    <w:p w:rsidR="00E53AB2" w:rsidRDefault="00717D58">
      <w:pPr>
        <w:widowControl w:val="0"/>
        <w:rPr>
          <w:color w:val="000000"/>
        </w:rPr>
      </w:pPr>
      <w:r>
        <w:rPr>
          <w:color w:val="000000"/>
        </w:rPr>
        <w:tab/>
        <w:t xml:space="preserve">The number of firms or studies described above is combined with the estimated average unit burden hours and cost from Tables </w:t>
      </w:r>
      <w:r w:rsidR="004B2FCD">
        <w:rPr>
          <w:color w:val="000000"/>
        </w:rPr>
        <w:t xml:space="preserve">5 </w:t>
      </w:r>
      <w:r>
        <w:rPr>
          <w:color w:val="000000"/>
        </w:rPr>
        <w:t xml:space="preserve">and </w:t>
      </w:r>
      <w:r w:rsidR="004B2FCD">
        <w:rPr>
          <w:color w:val="000000"/>
        </w:rPr>
        <w:t xml:space="preserve">7 </w:t>
      </w:r>
      <w:r>
        <w:rPr>
          <w:color w:val="000000"/>
        </w:rPr>
        <w:t>to estimate the total burden hours and cost per year based on three types of response activities:  searching files, submitting studies during the reporting period, and submitting studies after the reporting period.  Th</w:t>
      </w:r>
      <w:r w:rsidR="00CA49FE">
        <w:rPr>
          <w:color w:val="000000"/>
        </w:rPr>
        <w:t xml:space="preserve">e results are shown in Table </w:t>
      </w:r>
      <w:r w:rsidR="004B2FCD">
        <w:rPr>
          <w:color w:val="000000"/>
        </w:rPr>
        <w:t>12</w:t>
      </w:r>
      <w:r w:rsidR="00CA49FE">
        <w:rPr>
          <w:color w:val="000000"/>
        </w:rPr>
        <w:t>.</w:t>
      </w:r>
    </w:p>
    <w:p w:rsidR="00E53AB2" w:rsidRDefault="00E53AB2"/>
    <w:tbl>
      <w:tblPr>
        <w:tblW w:w="9810" w:type="dxa"/>
        <w:tblInd w:w="108" w:type="dxa"/>
        <w:tblLayout w:type="fixed"/>
        <w:tblLook w:val="04A0"/>
      </w:tblPr>
      <w:tblGrid>
        <w:gridCol w:w="1710"/>
        <w:gridCol w:w="1710"/>
        <w:gridCol w:w="1080"/>
        <w:gridCol w:w="1170"/>
        <w:gridCol w:w="1080"/>
        <w:gridCol w:w="1260"/>
        <w:gridCol w:w="900"/>
        <w:gridCol w:w="900"/>
      </w:tblGrid>
      <w:tr w:rsidR="00717D58" w:rsidRPr="00B57823" w:rsidTr="008358A0">
        <w:trPr>
          <w:trHeight w:val="20"/>
        </w:trPr>
        <w:tc>
          <w:tcPr>
            <w:tcW w:w="9810" w:type="dxa"/>
            <w:gridSpan w:val="8"/>
            <w:tcBorders>
              <w:top w:val="nil"/>
              <w:left w:val="nil"/>
              <w:bottom w:val="double" w:sz="6" w:space="0" w:color="auto"/>
              <w:right w:val="nil"/>
            </w:tcBorders>
            <w:shd w:val="clear" w:color="auto" w:fill="auto"/>
            <w:noWrap/>
            <w:vAlign w:val="center"/>
            <w:hideMark/>
          </w:tcPr>
          <w:p w:rsidR="00E53AB2" w:rsidRDefault="00717D58" w:rsidP="004B2FCD">
            <w:pPr>
              <w:rPr>
                <w:b/>
                <w:bCs/>
                <w:color w:val="000000"/>
                <w:szCs w:val="24"/>
              </w:rPr>
            </w:pPr>
            <w:r>
              <w:rPr>
                <w:color w:val="000000"/>
              </w:rPr>
              <w:br w:type="page"/>
            </w:r>
            <w:r w:rsidRPr="00B57823">
              <w:rPr>
                <w:b/>
                <w:bCs/>
                <w:color w:val="000000"/>
                <w:szCs w:val="24"/>
              </w:rPr>
              <w:t xml:space="preserve">Table </w:t>
            </w:r>
            <w:r w:rsidR="004B2FCD">
              <w:rPr>
                <w:b/>
                <w:bCs/>
                <w:color w:val="000000"/>
                <w:szCs w:val="24"/>
              </w:rPr>
              <w:t>12</w:t>
            </w:r>
            <w:r w:rsidRPr="00B57823">
              <w:rPr>
                <w:b/>
                <w:bCs/>
                <w:color w:val="000000"/>
                <w:szCs w:val="24"/>
              </w:rPr>
              <w:t>.  Annual Respondent Cost and Burden Hour Estimates</w:t>
            </w:r>
            <w:r w:rsidR="008308E8">
              <w:rPr>
                <w:b/>
                <w:bCs/>
                <w:color w:val="000000"/>
                <w:szCs w:val="24"/>
              </w:rPr>
              <w:t xml:space="preserve"> (Typical</w:t>
            </w:r>
            <w:r w:rsidR="006471F0">
              <w:rPr>
                <w:b/>
                <w:bCs/>
                <w:color w:val="000000"/>
                <w:szCs w:val="24"/>
              </w:rPr>
              <w:t xml:space="preserve"> Case</w:t>
            </w:r>
            <w:r w:rsidR="008308E8">
              <w:rPr>
                <w:b/>
                <w:bCs/>
                <w:color w:val="000000"/>
                <w:szCs w:val="24"/>
              </w:rPr>
              <w:t>)</w:t>
            </w:r>
          </w:p>
        </w:tc>
      </w:tr>
      <w:tr w:rsidR="0061106F" w:rsidRPr="00B57823" w:rsidTr="008358A0">
        <w:trPr>
          <w:trHeight w:val="230"/>
        </w:trPr>
        <w:tc>
          <w:tcPr>
            <w:tcW w:w="1710" w:type="dxa"/>
            <w:vMerge w:val="restart"/>
            <w:tcBorders>
              <w:top w:val="nil"/>
              <w:left w:val="double" w:sz="6" w:space="0" w:color="auto"/>
              <w:bottom w:val="double" w:sz="6" w:space="0" w:color="000000"/>
              <w:right w:val="double" w:sz="6" w:space="0" w:color="auto"/>
            </w:tcBorders>
            <w:shd w:val="clear" w:color="auto" w:fill="auto"/>
            <w:vAlign w:val="center"/>
            <w:hideMark/>
          </w:tcPr>
          <w:p w:rsidR="00E53AB2" w:rsidRDefault="00717D58">
            <w:pPr>
              <w:jc w:val="center"/>
              <w:rPr>
                <w:b/>
                <w:bCs/>
                <w:color w:val="000000"/>
                <w:sz w:val="20"/>
              </w:rPr>
            </w:pPr>
            <w:r w:rsidRPr="00B57823">
              <w:rPr>
                <w:b/>
                <w:bCs/>
                <w:color w:val="000000"/>
                <w:sz w:val="20"/>
              </w:rPr>
              <w:t>Information Collections</w:t>
            </w:r>
          </w:p>
        </w:tc>
        <w:tc>
          <w:tcPr>
            <w:tcW w:w="1710" w:type="dxa"/>
            <w:vMerge w:val="restart"/>
            <w:tcBorders>
              <w:top w:val="nil"/>
              <w:left w:val="double" w:sz="6" w:space="0" w:color="auto"/>
              <w:bottom w:val="double" w:sz="6" w:space="0" w:color="000000"/>
              <w:right w:val="double" w:sz="6" w:space="0" w:color="auto"/>
            </w:tcBorders>
            <w:shd w:val="clear" w:color="auto" w:fill="auto"/>
            <w:vAlign w:val="center"/>
            <w:hideMark/>
          </w:tcPr>
          <w:p w:rsidR="00E53AB2" w:rsidRDefault="00717D58">
            <w:pPr>
              <w:jc w:val="center"/>
              <w:rPr>
                <w:b/>
                <w:bCs/>
                <w:color w:val="000000"/>
                <w:sz w:val="20"/>
              </w:rPr>
            </w:pPr>
            <w:r w:rsidRPr="00B57823">
              <w:rPr>
                <w:b/>
                <w:bCs/>
                <w:color w:val="000000"/>
                <w:sz w:val="20"/>
              </w:rPr>
              <w:t>Response Activities</w:t>
            </w:r>
          </w:p>
        </w:tc>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E53AB2" w:rsidRDefault="00717D58">
            <w:pPr>
              <w:jc w:val="center"/>
              <w:rPr>
                <w:b/>
                <w:bCs/>
                <w:color w:val="000000"/>
                <w:sz w:val="20"/>
              </w:rPr>
            </w:pPr>
            <w:r w:rsidRPr="00B57823">
              <w:rPr>
                <w:b/>
                <w:bCs/>
                <w:color w:val="000000"/>
                <w:sz w:val="20"/>
              </w:rPr>
              <w:t>Burden</w:t>
            </w:r>
            <w:r w:rsidR="008358A0">
              <w:rPr>
                <w:b/>
                <w:bCs/>
                <w:color w:val="000000"/>
                <w:sz w:val="20"/>
              </w:rPr>
              <w:t xml:space="preserve"> / </w:t>
            </w:r>
            <w:r w:rsidRPr="00B57823">
              <w:rPr>
                <w:b/>
                <w:bCs/>
                <w:color w:val="000000"/>
                <w:sz w:val="20"/>
              </w:rPr>
              <w:t>Response</w:t>
            </w:r>
            <w:r w:rsidR="008358A0">
              <w:rPr>
                <w:b/>
                <w:bCs/>
                <w:color w:val="000000"/>
                <w:sz w:val="20"/>
              </w:rPr>
              <w:t xml:space="preserve"> </w:t>
            </w:r>
            <w:r w:rsidRPr="00B57823">
              <w:rPr>
                <w:b/>
                <w:bCs/>
                <w:color w:val="000000"/>
                <w:sz w:val="20"/>
              </w:rPr>
              <w:t>(Hours)</w:t>
            </w:r>
          </w:p>
        </w:tc>
        <w:tc>
          <w:tcPr>
            <w:tcW w:w="1170" w:type="dxa"/>
            <w:vMerge w:val="restart"/>
            <w:tcBorders>
              <w:top w:val="nil"/>
              <w:left w:val="double" w:sz="6" w:space="0" w:color="auto"/>
              <w:bottom w:val="double" w:sz="6" w:space="0" w:color="000000"/>
              <w:right w:val="double" w:sz="6" w:space="0" w:color="auto"/>
            </w:tcBorders>
            <w:shd w:val="clear" w:color="auto" w:fill="auto"/>
            <w:vAlign w:val="center"/>
            <w:hideMark/>
          </w:tcPr>
          <w:p w:rsidR="00E53AB2" w:rsidRDefault="00717D58">
            <w:pPr>
              <w:jc w:val="center"/>
              <w:rPr>
                <w:b/>
                <w:bCs/>
                <w:color w:val="000000"/>
                <w:sz w:val="20"/>
              </w:rPr>
            </w:pPr>
            <w:r w:rsidRPr="00B57823">
              <w:rPr>
                <w:b/>
                <w:bCs/>
                <w:color w:val="000000"/>
                <w:sz w:val="20"/>
              </w:rPr>
              <w:t>Labor Category</w:t>
            </w:r>
          </w:p>
        </w:tc>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E53AB2" w:rsidRDefault="00717D58">
            <w:pPr>
              <w:jc w:val="center"/>
              <w:rPr>
                <w:b/>
                <w:bCs/>
                <w:color w:val="000000"/>
                <w:sz w:val="20"/>
              </w:rPr>
            </w:pPr>
            <w:r w:rsidRPr="00B57823">
              <w:rPr>
                <w:b/>
                <w:bCs/>
                <w:color w:val="000000"/>
                <w:sz w:val="20"/>
              </w:rPr>
              <w:t>Cost per Response</w:t>
            </w:r>
          </w:p>
        </w:tc>
        <w:tc>
          <w:tcPr>
            <w:tcW w:w="1260" w:type="dxa"/>
            <w:vMerge w:val="restart"/>
            <w:tcBorders>
              <w:top w:val="nil"/>
              <w:left w:val="double" w:sz="6" w:space="0" w:color="auto"/>
              <w:bottom w:val="double" w:sz="6" w:space="0" w:color="000000"/>
              <w:right w:val="double" w:sz="6" w:space="0" w:color="auto"/>
            </w:tcBorders>
            <w:shd w:val="clear" w:color="auto" w:fill="auto"/>
            <w:vAlign w:val="center"/>
            <w:hideMark/>
          </w:tcPr>
          <w:p w:rsidR="00E53AB2" w:rsidRDefault="0061106F">
            <w:pPr>
              <w:jc w:val="center"/>
              <w:rPr>
                <w:b/>
                <w:bCs/>
                <w:color w:val="000000"/>
                <w:sz w:val="20"/>
              </w:rPr>
            </w:pPr>
            <w:r>
              <w:rPr>
                <w:b/>
                <w:bCs/>
                <w:color w:val="000000"/>
                <w:sz w:val="20"/>
              </w:rPr>
              <w:t>No</w:t>
            </w:r>
            <w:r w:rsidRPr="00B57823">
              <w:rPr>
                <w:b/>
                <w:bCs/>
                <w:color w:val="000000"/>
                <w:sz w:val="20"/>
              </w:rPr>
              <w:t xml:space="preserve"> </w:t>
            </w:r>
            <w:r w:rsidR="00717D58" w:rsidRPr="00B57823">
              <w:rPr>
                <w:b/>
                <w:bCs/>
                <w:color w:val="000000"/>
                <w:sz w:val="20"/>
              </w:rPr>
              <w:t>of Responses*</w:t>
            </w:r>
          </w:p>
        </w:tc>
        <w:tc>
          <w:tcPr>
            <w:tcW w:w="900" w:type="dxa"/>
            <w:vMerge w:val="restart"/>
            <w:tcBorders>
              <w:top w:val="nil"/>
              <w:left w:val="double" w:sz="6" w:space="0" w:color="auto"/>
              <w:bottom w:val="double" w:sz="6" w:space="0" w:color="000000"/>
              <w:right w:val="double" w:sz="6" w:space="0" w:color="auto"/>
            </w:tcBorders>
            <w:shd w:val="clear" w:color="auto" w:fill="auto"/>
            <w:vAlign w:val="center"/>
            <w:hideMark/>
          </w:tcPr>
          <w:p w:rsidR="00E53AB2" w:rsidRDefault="00717D58">
            <w:pPr>
              <w:jc w:val="center"/>
              <w:rPr>
                <w:b/>
                <w:bCs/>
                <w:color w:val="000000"/>
                <w:sz w:val="20"/>
              </w:rPr>
            </w:pPr>
            <w:r w:rsidRPr="00B57823">
              <w:rPr>
                <w:b/>
                <w:bCs/>
                <w:color w:val="000000"/>
                <w:sz w:val="20"/>
              </w:rPr>
              <w:t>Total Burden (Hours)</w:t>
            </w:r>
          </w:p>
        </w:tc>
        <w:tc>
          <w:tcPr>
            <w:tcW w:w="900" w:type="dxa"/>
            <w:vMerge w:val="restart"/>
            <w:tcBorders>
              <w:top w:val="nil"/>
              <w:left w:val="double" w:sz="6" w:space="0" w:color="auto"/>
              <w:bottom w:val="double" w:sz="6" w:space="0" w:color="000000"/>
              <w:right w:val="double" w:sz="6" w:space="0" w:color="auto"/>
            </w:tcBorders>
            <w:shd w:val="clear" w:color="auto" w:fill="auto"/>
            <w:vAlign w:val="center"/>
            <w:hideMark/>
          </w:tcPr>
          <w:p w:rsidR="00E53AB2" w:rsidRDefault="00717D58">
            <w:pPr>
              <w:jc w:val="center"/>
              <w:rPr>
                <w:b/>
                <w:bCs/>
                <w:color w:val="000000"/>
                <w:sz w:val="20"/>
              </w:rPr>
            </w:pPr>
            <w:r w:rsidRPr="00B57823">
              <w:rPr>
                <w:b/>
                <w:bCs/>
                <w:color w:val="000000"/>
                <w:sz w:val="20"/>
              </w:rPr>
              <w:t>Total Cost</w:t>
            </w:r>
          </w:p>
        </w:tc>
      </w:tr>
      <w:tr w:rsidR="0061106F" w:rsidRPr="00B57823" w:rsidTr="008358A0">
        <w:trPr>
          <w:trHeight w:val="230"/>
        </w:trPr>
        <w:tc>
          <w:tcPr>
            <w:tcW w:w="1710" w:type="dxa"/>
            <w:vMerge/>
            <w:tcBorders>
              <w:top w:val="nil"/>
              <w:left w:val="double" w:sz="6" w:space="0" w:color="auto"/>
              <w:bottom w:val="double" w:sz="6" w:space="0" w:color="000000"/>
              <w:right w:val="double" w:sz="6" w:space="0" w:color="auto"/>
            </w:tcBorders>
            <w:vAlign w:val="center"/>
            <w:hideMark/>
          </w:tcPr>
          <w:p w:rsidR="00E53AB2" w:rsidRDefault="00E53AB2">
            <w:pPr>
              <w:rPr>
                <w:b/>
                <w:bCs/>
                <w:color w:val="000000"/>
                <w:sz w:val="20"/>
              </w:rPr>
            </w:pPr>
          </w:p>
        </w:tc>
        <w:tc>
          <w:tcPr>
            <w:tcW w:w="1710" w:type="dxa"/>
            <w:vMerge/>
            <w:tcBorders>
              <w:top w:val="nil"/>
              <w:left w:val="double" w:sz="6" w:space="0" w:color="auto"/>
              <w:bottom w:val="double" w:sz="6" w:space="0" w:color="000000"/>
              <w:right w:val="double" w:sz="6" w:space="0" w:color="auto"/>
            </w:tcBorders>
            <w:vAlign w:val="center"/>
            <w:hideMark/>
          </w:tcPr>
          <w:p w:rsidR="00E53AB2" w:rsidRDefault="00E53AB2">
            <w:pPr>
              <w:rPr>
                <w:b/>
                <w:bCs/>
                <w:color w:val="000000"/>
                <w:sz w:val="20"/>
              </w:rPr>
            </w:pPr>
          </w:p>
        </w:tc>
        <w:tc>
          <w:tcPr>
            <w:tcW w:w="1080" w:type="dxa"/>
            <w:vMerge/>
            <w:tcBorders>
              <w:top w:val="nil"/>
              <w:left w:val="double" w:sz="6" w:space="0" w:color="auto"/>
              <w:bottom w:val="double" w:sz="6" w:space="0" w:color="000000"/>
              <w:right w:val="double" w:sz="6" w:space="0" w:color="auto"/>
            </w:tcBorders>
            <w:vAlign w:val="center"/>
            <w:hideMark/>
          </w:tcPr>
          <w:p w:rsidR="00E53AB2" w:rsidRDefault="00E53AB2">
            <w:pPr>
              <w:rPr>
                <w:b/>
                <w:bCs/>
                <w:color w:val="000000"/>
                <w:sz w:val="20"/>
              </w:rPr>
            </w:pPr>
          </w:p>
        </w:tc>
        <w:tc>
          <w:tcPr>
            <w:tcW w:w="1170" w:type="dxa"/>
            <w:vMerge/>
            <w:tcBorders>
              <w:top w:val="nil"/>
              <w:left w:val="double" w:sz="6" w:space="0" w:color="auto"/>
              <w:bottom w:val="double" w:sz="6" w:space="0" w:color="000000"/>
              <w:right w:val="double" w:sz="6" w:space="0" w:color="auto"/>
            </w:tcBorders>
            <w:vAlign w:val="center"/>
            <w:hideMark/>
          </w:tcPr>
          <w:p w:rsidR="00E53AB2" w:rsidRDefault="00E53AB2">
            <w:pPr>
              <w:rPr>
                <w:b/>
                <w:bCs/>
                <w:color w:val="000000"/>
                <w:sz w:val="20"/>
              </w:rPr>
            </w:pPr>
          </w:p>
        </w:tc>
        <w:tc>
          <w:tcPr>
            <w:tcW w:w="1080" w:type="dxa"/>
            <w:vMerge/>
            <w:tcBorders>
              <w:top w:val="nil"/>
              <w:left w:val="double" w:sz="6" w:space="0" w:color="auto"/>
              <w:bottom w:val="double" w:sz="6" w:space="0" w:color="000000"/>
              <w:right w:val="double" w:sz="6" w:space="0" w:color="auto"/>
            </w:tcBorders>
            <w:vAlign w:val="center"/>
            <w:hideMark/>
          </w:tcPr>
          <w:p w:rsidR="00E53AB2" w:rsidRDefault="00E53AB2">
            <w:pPr>
              <w:rPr>
                <w:b/>
                <w:bCs/>
                <w:color w:val="000000"/>
                <w:sz w:val="20"/>
              </w:rPr>
            </w:pPr>
          </w:p>
        </w:tc>
        <w:tc>
          <w:tcPr>
            <w:tcW w:w="1260" w:type="dxa"/>
            <w:vMerge/>
            <w:tcBorders>
              <w:top w:val="nil"/>
              <w:left w:val="double" w:sz="6" w:space="0" w:color="auto"/>
              <w:bottom w:val="double" w:sz="6" w:space="0" w:color="000000"/>
              <w:right w:val="double" w:sz="6" w:space="0" w:color="auto"/>
            </w:tcBorders>
            <w:vAlign w:val="center"/>
            <w:hideMark/>
          </w:tcPr>
          <w:p w:rsidR="00E53AB2" w:rsidRDefault="00E53AB2">
            <w:pPr>
              <w:rPr>
                <w:b/>
                <w:bCs/>
                <w:color w:val="000000"/>
                <w:sz w:val="20"/>
              </w:rPr>
            </w:pPr>
          </w:p>
        </w:tc>
        <w:tc>
          <w:tcPr>
            <w:tcW w:w="900" w:type="dxa"/>
            <w:vMerge/>
            <w:tcBorders>
              <w:top w:val="nil"/>
              <w:left w:val="double" w:sz="6" w:space="0" w:color="auto"/>
              <w:bottom w:val="double" w:sz="6" w:space="0" w:color="000000"/>
              <w:right w:val="double" w:sz="6" w:space="0" w:color="auto"/>
            </w:tcBorders>
            <w:vAlign w:val="center"/>
            <w:hideMark/>
          </w:tcPr>
          <w:p w:rsidR="00E53AB2" w:rsidRDefault="00E53AB2">
            <w:pPr>
              <w:rPr>
                <w:b/>
                <w:bCs/>
                <w:color w:val="000000"/>
                <w:sz w:val="20"/>
              </w:rPr>
            </w:pPr>
          </w:p>
        </w:tc>
        <w:tc>
          <w:tcPr>
            <w:tcW w:w="900" w:type="dxa"/>
            <w:vMerge/>
            <w:tcBorders>
              <w:top w:val="nil"/>
              <w:left w:val="double" w:sz="6" w:space="0" w:color="auto"/>
              <w:bottom w:val="double" w:sz="6" w:space="0" w:color="000000"/>
              <w:right w:val="double" w:sz="6" w:space="0" w:color="auto"/>
            </w:tcBorders>
            <w:vAlign w:val="center"/>
            <w:hideMark/>
          </w:tcPr>
          <w:p w:rsidR="00E53AB2" w:rsidRDefault="00E53AB2">
            <w:pPr>
              <w:rPr>
                <w:b/>
                <w:bCs/>
                <w:color w:val="000000"/>
                <w:sz w:val="20"/>
              </w:rPr>
            </w:pPr>
          </w:p>
        </w:tc>
      </w:tr>
      <w:tr w:rsidR="0061106F" w:rsidRPr="003C4052" w:rsidTr="008358A0">
        <w:trPr>
          <w:trHeight w:val="20"/>
        </w:trPr>
        <w:tc>
          <w:tcPr>
            <w:tcW w:w="1710" w:type="dxa"/>
            <w:vMerge w:val="restart"/>
            <w:tcBorders>
              <w:top w:val="nil"/>
              <w:left w:val="double" w:sz="6" w:space="0" w:color="auto"/>
              <w:right w:val="single" w:sz="8" w:space="0" w:color="auto"/>
            </w:tcBorders>
            <w:shd w:val="clear" w:color="auto" w:fill="auto"/>
            <w:hideMark/>
          </w:tcPr>
          <w:p w:rsidR="00E53AB2" w:rsidRDefault="00593A49">
            <w:pPr>
              <w:rPr>
                <w:color w:val="000000"/>
                <w:sz w:val="20"/>
              </w:rPr>
            </w:pPr>
            <w:r>
              <w:rPr>
                <w:color w:val="000000"/>
                <w:sz w:val="20"/>
              </w:rPr>
              <w:t>C</w:t>
            </w:r>
            <w:r w:rsidRPr="00B57823">
              <w:rPr>
                <w:color w:val="000000"/>
                <w:sz w:val="20"/>
              </w:rPr>
              <w:t>ompliance determination and data search</w:t>
            </w:r>
          </w:p>
        </w:tc>
        <w:tc>
          <w:tcPr>
            <w:tcW w:w="1710" w:type="dxa"/>
            <w:tcBorders>
              <w:top w:val="nil"/>
              <w:left w:val="nil"/>
              <w:right w:val="single" w:sz="8" w:space="0" w:color="auto"/>
            </w:tcBorders>
            <w:shd w:val="clear" w:color="auto" w:fill="auto"/>
            <w:vAlign w:val="center"/>
            <w:hideMark/>
          </w:tcPr>
          <w:p w:rsidR="00E53AB2" w:rsidRDefault="00593A49">
            <w:pPr>
              <w:ind w:right="-108"/>
              <w:rPr>
                <w:color w:val="000000"/>
                <w:sz w:val="20"/>
              </w:rPr>
            </w:pPr>
            <w:r w:rsidRPr="00B57823">
              <w:rPr>
                <w:color w:val="000000"/>
                <w:sz w:val="20"/>
              </w:rPr>
              <w:t>1. Review of Rule</w:t>
            </w:r>
          </w:p>
        </w:tc>
        <w:tc>
          <w:tcPr>
            <w:tcW w:w="1080" w:type="dxa"/>
            <w:tcBorders>
              <w:top w:val="nil"/>
              <w:left w:val="nil"/>
              <w:bottom w:val="nil"/>
              <w:right w:val="nil"/>
            </w:tcBorders>
            <w:shd w:val="clear" w:color="auto" w:fill="auto"/>
            <w:vAlign w:val="center"/>
            <w:hideMark/>
          </w:tcPr>
          <w:p w:rsidR="00E53AB2" w:rsidRDefault="00593A49">
            <w:pPr>
              <w:jc w:val="center"/>
              <w:rPr>
                <w:color w:val="000000"/>
                <w:sz w:val="20"/>
              </w:rPr>
            </w:pPr>
            <w:r w:rsidRPr="00B57823">
              <w:rPr>
                <w:color w:val="000000"/>
                <w:sz w:val="20"/>
              </w:rPr>
              <w:t>2</w:t>
            </w:r>
          </w:p>
        </w:tc>
        <w:tc>
          <w:tcPr>
            <w:tcW w:w="1170" w:type="dxa"/>
            <w:tcBorders>
              <w:top w:val="nil"/>
              <w:left w:val="single" w:sz="8" w:space="0" w:color="auto"/>
              <w:bottom w:val="nil"/>
              <w:right w:val="single" w:sz="8" w:space="0" w:color="auto"/>
            </w:tcBorders>
            <w:shd w:val="clear" w:color="auto" w:fill="auto"/>
            <w:noWrap/>
            <w:vAlign w:val="center"/>
            <w:hideMark/>
          </w:tcPr>
          <w:p w:rsidR="00E53AB2" w:rsidRDefault="00593A49">
            <w:pPr>
              <w:jc w:val="center"/>
              <w:rPr>
                <w:color w:val="000000"/>
                <w:sz w:val="20"/>
              </w:rPr>
            </w:pPr>
            <w:r w:rsidRPr="00B57823">
              <w:rPr>
                <w:color w:val="000000"/>
                <w:sz w:val="20"/>
              </w:rPr>
              <w:t>managerial</w:t>
            </w:r>
          </w:p>
        </w:tc>
        <w:tc>
          <w:tcPr>
            <w:tcW w:w="1080" w:type="dxa"/>
            <w:tcBorders>
              <w:top w:val="nil"/>
              <w:left w:val="nil"/>
              <w:bottom w:val="nil"/>
              <w:right w:val="single" w:sz="8" w:space="0" w:color="auto"/>
            </w:tcBorders>
            <w:shd w:val="clear" w:color="auto" w:fill="auto"/>
            <w:vAlign w:val="center"/>
            <w:hideMark/>
          </w:tcPr>
          <w:p w:rsidR="00E53AB2" w:rsidRDefault="00593A49">
            <w:pPr>
              <w:jc w:val="center"/>
              <w:rPr>
                <w:color w:val="000000"/>
                <w:sz w:val="20"/>
              </w:rPr>
            </w:pPr>
            <w:r w:rsidRPr="00B57823">
              <w:rPr>
                <w:color w:val="000000"/>
                <w:sz w:val="20"/>
              </w:rPr>
              <w:t>$139</w:t>
            </w:r>
          </w:p>
        </w:tc>
        <w:tc>
          <w:tcPr>
            <w:tcW w:w="1260" w:type="dxa"/>
            <w:tcBorders>
              <w:top w:val="nil"/>
              <w:left w:val="nil"/>
              <w:bottom w:val="nil"/>
              <w:right w:val="single" w:sz="8" w:space="0" w:color="auto"/>
            </w:tcBorders>
            <w:shd w:val="clear" w:color="auto" w:fill="auto"/>
            <w:vAlign w:val="center"/>
            <w:hideMark/>
          </w:tcPr>
          <w:p w:rsidR="00E53AB2" w:rsidRDefault="00593A49">
            <w:pPr>
              <w:jc w:val="center"/>
              <w:rPr>
                <w:i/>
                <w:color w:val="000000"/>
                <w:sz w:val="20"/>
              </w:rPr>
            </w:pPr>
            <w:r w:rsidRPr="00B57823">
              <w:rPr>
                <w:color w:val="000000"/>
                <w:sz w:val="20"/>
              </w:rPr>
              <w:t>119</w:t>
            </w:r>
          </w:p>
        </w:tc>
        <w:tc>
          <w:tcPr>
            <w:tcW w:w="900" w:type="dxa"/>
            <w:tcBorders>
              <w:top w:val="nil"/>
              <w:left w:val="nil"/>
              <w:bottom w:val="nil"/>
              <w:right w:val="single" w:sz="8" w:space="0" w:color="auto"/>
            </w:tcBorders>
            <w:shd w:val="clear" w:color="auto" w:fill="auto"/>
            <w:noWrap/>
            <w:vAlign w:val="center"/>
            <w:hideMark/>
          </w:tcPr>
          <w:p w:rsidR="00E53AB2" w:rsidRDefault="00646BB0">
            <w:pPr>
              <w:jc w:val="center"/>
              <w:rPr>
                <w:color w:val="000000"/>
                <w:sz w:val="20"/>
              </w:rPr>
            </w:pPr>
            <w:r w:rsidRPr="00646BB0">
              <w:rPr>
                <w:color w:val="000000"/>
                <w:sz w:val="20"/>
              </w:rPr>
              <w:t>238</w:t>
            </w:r>
          </w:p>
        </w:tc>
        <w:tc>
          <w:tcPr>
            <w:tcW w:w="900" w:type="dxa"/>
            <w:tcBorders>
              <w:top w:val="nil"/>
              <w:left w:val="nil"/>
              <w:bottom w:val="nil"/>
              <w:right w:val="double" w:sz="6" w:space="0" w:color="auto"/>
            </w:tcBorders>
            <w:shd w:val="clear" w:color="auto" w:fill="auto"/>
            <w:noWrap/>
            <w:hideMark/>
          </w:tcPr>
          <w:p w:rsidR="00E53AB2" w:rsidRDefault="00646BB0">
            <w:pPr>
              <w:jc w:val="right"/>
              <w:rPr>
                <w:color w:val="000000"/>
                <w:sz w:val="20"/>
              </w:rPr>
            </w:pPr>
            <w:r w:rsidRPr="00646BB0">
              <w:rPr>
                <w:color w:val="000000"/>
                <w:sz w:val="20"/>
              </w:rPr>
              <w:t>$16,578</w:t>
            </w:r>
          </w:p>
        </w:tc>
      </w:tr>
      <w:tr w:rsidR="0061106F" w:rsidRPr="003C4052" w:rsidTr="008358A0">
        <w:trPr>
          <w:trHeight w:val="20"/>
        </w:trPr>
        <w:tc>
          <w:tcPr>
            <w:tcW w:w="1710" w:type="dxa"/>
            <w:vMerge/>
            <w:tcBorders>
              <w:left w:val="double" w:sz="6" w:space="0" w:color="auto"/>
              <w:right w:val="single" w:sz="8" w:space="0" w:color="auto"/>
            </w:tcBorders>
            <w:shd w:val="clear" w:color="auto" w:fill="auto"/>
            <w:vAlign w:val="center"/>
            <w:hideMark/>
          </w:tcPr>
          <w:p w:rsidR="00E53AB2" w:rsidRDefault="00E53AB2">
            <w:pPr>
              <w:rPr>
                <w:color w:val="000000"/>
                <w:sz w:val="20"/>
              </w:rPr>
            </w:pPr>
          </w:p>
        </w:tc>
        <w:tc>
          <w:tcPr>
            <w:tcW w:w="1710" w:type="dxa"/>
            <w:tcBorders>
              <w:left w:val="nil"/>
              <w:right w:val="single" w:sz="8" w:space="0" w:color="auto"/>
            </w:tcBorders>
            <w:shd w:val="clear" w:color="auto" w:fill="auto"/>
            <w:vAlign w:val="center"/>
            <w:hideMark/>
          </w:tcPr>
          <w:p w:rsidR="00E53AB2" w:rsidRDefault="00593A49">
            <w:pPr>
              <w:ind w:right="-108"/>
              <w:rPr>
                <w:rFonts w:ascii="Calibri" w:hAnsi="Calibri" w:cs="Calibri"/>
                <w:color w:val="000000"/>
                <w:sz w:val="22"/>
                <w:szCs w:val="22"/>
              </w:rPr>
            </w:pPr>
            <w:r w:rsidRPr="00B57823">
              <w:rPr>
                <w:color w:val="000000"/>
                <w:sz w:val="20"/>
              </w:rPr>
              <w:t>2. Site Identification</w:t>
            </w:r>
          </w:p>
        </w:tc>
        <w:tc>
          <w:tcPr>
            <w:tcW w:w="1080" w:type="dxa"/>
            <w:tcBorders>
              <w:left w:val="nil"/>
              <w:right w:val="nil"/>
            </w:tcBorders>
            <w:shd w:val="clear" w:color="auto" w:fill="auto"/>
            <w:vAlign w:val="center"/>
            <w:hideMark/>
          </w:tcPr>
          <w:p w:rsidR="00E53AB2" w:rsidRDefault="00593A49">
            <w:pPr>
              <w:jc w:val="center"/>
              <w:rPr>
                <w:color w:val="000000"/>
                <w:sz w:val="20"/>
              </w:rPr>
            </w:pPr>
            <w:r w:rsidRPr="00B57823">
              <w:rPr>
                <w:color w:val="000000"/>
                <w:sz w:val="20"/>
              </w:rPr>
              <w:t>3</w:t>
            </w:r>
          </w:p>
        </w:tc>
        <w:tc>
          <w:tcPr>
            <w:tcW w:w="1170" w:type="dxa"/>
            <w:tcBorders>
              <w:top w:val="nil"/>
              <w:left w:val="single" w:sz="8" w:space="0" w:color="auto"/>
              <w:bottom w:val="nil"/>
              <w:right w:val="single" w:sz="8" w:space="0" w:color="auto"/>
            </w:tcBorders>
            <w:shd w:val="clear" w:color="auto" w:fill="auto"/>
            <w:noWrap/>
            <w:vAlign w:val="center"/>
            <w:hideMark/>
          </w:tcPr>
          <w:p w:rsidR="00E53AB2" w:rsidRDefault="00593A49">
            <w:pPr>
              <w:jc w:val="center"/>
              <w:rPr>
                <w:color w:val="000000"/>
                <w:sz w:val="20"/>
              </w:rPr>
            </w:pPr>
            <w:r w:rsidRPr="00B57823">
              <w:rPr>
                <w:color w:val="000000"/>
                <w:sz w:val="20"/>
              </w:rPr>
              <w:t>managerial</w:t>
            </w:r>
          </w:p>
        </w:tc>
        <w:tc>
          <w:tcPr>
            <w:tcW w:w="1080" w:type="dxa"/>
            <w:tcBorders>
              <w:top w:val="nil"/>
              <w:left w:val="nil"/>
              <w:bottom w:val="nil"/>
              <w:right w:val="single" w:sz="8" w:space="0" w:color="auto"/>
            </w:tcBorders>
            <w:shd w:val="clear" w:color="auto" w:fill="auto"/>
            <w:vAlign w:val="center"/>
            <w:hideMark/>
          </w:tcPr>
          <w:p w:rsidR="00E53AB2" w:rsidRDefault="00593A49">
            <w:pPr>
              <w:jc w:val="center"/>
              <w:rPr>
                <w:color w:val="000000"/>
                <w:sz w:val="20"/>
              </w:rPr>
            </w:pPr>
            <w:r w:rsidRPr="00B57823">
              <w:rPr>
                <w:color w:val="000000"/>
                <w:sz w:val="20"/>
              </w:rPr>
              <w:t>$209</w:t>
            </w:r>
          </w:p>
        </w:tc>
        <w:tc>
          <w:tcPr>
            <w:tcW w:w="1260" w:type="dxa"/>
            <w:tcBorders>
              <w:left w:val="nil"/>
              <w:right w:val="single" w:sz="8" w:space="0" w:color="auto"/>
            </w:tcBorders>
            <w:shd w:val="clear" w:color="auto" w:fill="auto"/>
            <w:vAlign w:val="center"/>
            <w:hideMark/>
          </w:tcPr>
          <w:p w:rsidR="00E53AB2" w:rsidRDefault="00593A49">
            <w:pPr>
              <w:jc w:val="center"/>
              <w:rPr>
                <w:color w:val="000000"/>
                <w:sz w:val="20"/>
              </w:rPr>
            </w:pPr>
            <w:r w:rsidRPr="00B57823">
              <w:rPr>
                <w:color w:val="000000"/>
                <w:sz w:val="20"/>
              </w:rPr>
              <w:t>119</w:t>
            </w:r>
          </w:p>
        </w:tc>
        <w:tc>
          <w:tcPr>
            <w:tcW w:w="900" w:type="dxa"/>
            <w:tcBorders>
              <w:left w:val="nil"/>
              <w:right w:val="single" w:sz="8" w:space="0" w:color="auto"/>
            </w:tcBorders>
            <w:shd w:val="clear" w:color="auto" w:fill="auto"/>
            <w:vAlign w:val="center"/>
            <w:hideMark/>
          </w:tcPr>
          <w:p w:rsidR="00E53AB2" w:rsidRDefault="00593A49">
            <w:pPr>
              <w:jc w:val="center"/>
              <w:rPr>
                <w:color w:val="000000"/>
                <w:sz w:val="20"/>
              </w:rPr>
            </w:pPr>
            <w:r w:rsidRPr="00593A49">
              <w:rPr>
                <w:color w:val="000000"/>
                <w:sz w:val="20"/>
              </w:rPr>
              <w:t>357</w:t>
            </w:r>
          </w:p>
        </w:tc>
        <w:tc>
          <w:tcPr>
            <w:tcW w:w="900" w:type="dxa"/>
            <w:tcBorders>
              <w:left w:val="nil"/>
              <w:right w:val="double" w:sz="6" w:space="0" w:color="auto"/>
            </w:tcBorders>
            <w:shd w:val="clear" w:color="auto" w:fill="auto"/>
            <w:vAlign w:val="center"/>
            <w:hideMark/>
          </w:tcPr>
          <w:p w:rsidR="00E53AB2" w:rsidRDefault="0028797C">
            <w:pPr>
              <w:jc w:val="right"/>
              <w:rPr>
                <w:color w:val="000000"/>
                <w:sz w:val="20"/>
              </w:rPr>
            </w:pPr>
            <w:r>
              <w:rPr>
                <w:color w:val="000000"/>
                <w:sz w:val="20"/>
              </w:rPr>
              <w:t>$24,867</w:t>
            </w:r>
          </w:p>
        </w:tc>
      </w:tr>
      <w:tr w:rsidR="0061106F" w:rsidRPr="003C4052" w:rsidTr="008358A0">
        <w:trPr>
          <w:trHeight w:val="20"/>
        </w:trPr>
        <w:tc>
          <w:tcPr>
            <w:tcW w:w="1710" w:type="dxa"/>
            <w:vMerge/>
            <w:tcBorders>
              <w:left w:val="double" w:sz="6" w:space="0" w:color="auto"/>
              <w:right w:val="single" w:sz="8" w:space="0" w:color="auto"/>
            </w:tcBorders>
            <w:shd w:val="clear" w:color="auto" w:fill="auto"/>
            <w:vAlign w:val="center"/>
            <w:hideMark/>
          </w:tcPr>
          <w:p w:rsidR="00E53AB2" w:rsidRDefault="00E53AB2">
            <w:pPr>
              <w:rPr>
                <w:i/>
                <w:iCs/>
                <w:color w:val="000000"/>
                <w:sz w:val="20"/>
              </w:rPr>
            </w:pPr>
          </w:p>
        </w:tc>
        <w:tc>
          <w:tcPr>
            <w:tcW w:w="1710" w:type="dxa"/>
            <w:tcBorders>
              <w:left w:val="nil"/>
              <w:bottom w:val="nil"/>
              <w:right w:val="single" w:sz="8" w:space="0" w:color="auto"/>
            </w:tcBorders>
            <w:shd w:val="clear" w:color="auto" w:fill="auto"/>
            <w:vAlign w:val="center"/>
            <w:hideMark/>
          </w:tcPr>
          <w:p w:rsidR="00E53AB2" w:rsidRDefault="00593A49">
            <w:pPr>
              <w:ind w:right="-108"/>
              <w:rPr>
                <w:rFonts w:ascii="Calibri" w:hAnsi="Calibri" w:cs="Calibri"/>
                <w:color w:val="000000"/>
                <w:sz w:val="22"/>
                <w:szCs w:val="22"/>
              </w:rPr>
            </w:pPr>
            <w:r w:rsidRPr="00B57823">
              <w:rPr>
                <w:color w:val="000000"/>
                <w:sz w:val="20"/>
              </w:rPr>
              <w:t>3. Site File Search</w:t>
            </w:r>
          </w:p>
        </w:tc>
        <w:tc>
          <w:tcPr>
            <w:tcW w:w="1080" w:type="dxa"/>
            <w:tcBorders>
              <w:left w:val="nil"/>
              <w:bottom w:val="nil"/>
              <w:right w:val="nil"/>
            </w:tcBorders>
            <w:shd w:val="clear" w:color="auto" w:fill="auto"/>
            <w:vAlign w:val="center"/>
            <w:hideMark/>
          </w:tcPr>
          <w:p w:rsidR="00E53AB2" w:rsidRDefault="00593A49">
            <w:pPr>
              <w:jc w:val="center"/>
              <w:rPr>
                <w:i/>
                <w:iCs/>
                <w:color w:val="000000"/>
                <w:sz w:val="20"/>
              </w:rPr>
            </w:pPr>
            <w:r w:rsidRPr="00B57823">
              <w:rPr>
                <w:color w:val="000000"/>
                <w:sz w:val="20"/>
              </w:rPr>
              <w:t>4.5</w:t>
            </w:r>
          </w:p>
        </w:tc>
        <w:tc>
          <w:tcPr>
            <w:tcW w:w="1170" w:type="dxa"/>
            <w:tcBorders>
              <w:top w:val="nil"/>
              <w:left w:val="single" w:sz="8" w:space="0" w:color="auto"/>
              <w:bottom w:val="nil"/>
              <w:right w:val="single" w:sz="8" w:space="0" w:color="auto"/>
            </w:tcBorders>
            <w:shd w:val="clear" w:color="auto" w:fill="auto"/>
            <w:noWrap/>
            <w:vAlign w:val="center"/>
            <w:hideMark/>
          </w:tcPr>
          <w:p w:rsidR="00E53AB2" w:rsidRDefault="00593A49">
            <w:pPr>
              <w:jc w:val="center"/>
              <w:rPr>
                <w:color w:val="000000"/>
                <w:sz w:val="20"/>
              </w:rPr>
            </w:pPr>
            <w:r w:rsidRPr="00B57823">
              <w:rPr>
                <w:color w:val="000000"/>
                <w:sz w:val="20"/>
              </w:rPr>
              <w:t>technical</w:t>
            </w:r>
          </w:p>
        </w:tc>
        <w:tc>
          <w:tcPr>
            <w:tcW w:w="1080" w:type="dxa"/>
            <w:tcBorders>
              <w:top w:val="nil"/>
              <w:left w:val="nil"/>
              <w:bottom w:val="nil"/>
              <w:right w:val="single" w:sz="8" w:space="0" w:color="auto"/>
            </w:tcBorders>
            <w:shd w:val="clear" w:color="auto" w:fill="auto"/>
            <w:vAlign w:val="center"/>
            <w:hideMark/>
          </w:tcPr>
          <w:p w:rsidR="00E53AB2" w:rsidRDefault="00593A49">
            <w:pPr>
              <w:jc w:val="center"/>
              <w:rPr>
                <w:i/>
                <w:iCs/>
                <w:color w:val="000000"/>
                <w:sz w:val="20"/>
              </w:rPr>
            </w:pPr>
            <w:r w:rsidRPr="00B57823">
              <w:rPr>
                <w:color w:val="000000"/>
                <w:sz w:val="20"/>
              </w:rPr>
              <w:t>$274</w:t>
            </w:r>
          </w:p>
        </w:tc>
        <w:tc>
          <w:tcPr>
            <w:tcW w:w="1260" w:type="dxa"/>
            <w:tcBorders>
              <w:left w:val="nil"/>
              <w:bottom w:val="nil"/>
              <w:right w:val="single" w:sz="8" w:space="0" w:color="auto"/>
            </w:tcBorders>
            <w:shd w:val="clear" w:color="auto" w:fill="auto"/>
            <w:vAlign w:val="center"/>
            <w:hideMark/>
          </w:tcPr>
          <w:p w:rsidR="00E53AB2" w:rsidRDefault="00593A49">
            <w:pPr>
              <w:jc w:val="center"/>
              <w:rPr>
                <w:color w:val="000000"/>
                <w:sz w:val="20"/>
              </w:rPr>
            </w:pPr>
            <w:r w:rsidRPr="00B57823">
              <w:rPr>
                <w:color w:val="000000"/>
                <w:sz w:val="20"/>
              </w:rPr>
              <w:t>119</w:t>
            </w:r>
          </w:p>
        </w:tc>
        <w:tc>
          <w:tcPr>
            <w:tcW w:w="900" w:type="dxa"/>
            <w:tcBorders>
              <w:left w:val="nil"/>
              <w:bottom w:val="nil"/>
              <w:right w:val="single" w:sz="8" w:space="0" w:color="auto"/>
            </w:tcBorders>
            <w:shd w:val="clear" w:color="auto" w:fill="auto"/>
            <w:vAlign w:val="center"/>
            <w:hideMark/>
          </w:tcPr>
          <w:p w:rsidR="00E53AB2" w:rsidRDefault="00593A49">
            <w:pPr>
              <w:jc w:val="center"/>
              <w:rPr>
                <w:i/>
                <w:iCs/>
                <w:color w:val="000000"/>
                <w:sz w:val="20"/>
              </w:rPr>
            </w:pPr>
            <w:r w:rsidRPr="00593A49">
              <w:rPr>
                <w:color w:val="000000"/>
                <w:sz w:val="20"/>
              </w:rPr>
              <w:t>536</w:t>
            </w:r>
          </w:p>
        </w:tc>
        <w:tc>
          <w:tcPr>
            <w:tcW w:w="900" w:type="dxa"/>
            <w:tcBorders>
              <w:left w:val="nil"/>
              <w:bottom w:val="nil"/>
              <w:right w:val="double" w:sz="6" w:space="0" w:color="auto"/>
            </w:tcBorders>
            <w:shd w:val="clear" w:color="auto" w:fill="auto"/>
            <w:vAlign w:val="center"/>
            <w:hideMark/>
          </w:tcPr>
          <w:p w:rsidR="00E53AB2" w:rsidRDefault="0028797C">
            <w:pPr>
              <w:jc w:val="right"/>
              <w:rPr>
                <w:i/>
                <w:iCs/>
                <w:color w:val="000000"/>
                <w:sz w:val="20"/>
              </w:rPr>
            </w:pPr>
            <w:r>
              <w:rPr>
                <w:color w:val="000000"/>
                <w:sz w:val="20"/>
              </w:rPr>
              <w:t>$32,641</w:t>
            </w:r>
          </w:p>
        </w:tc>
      </w:tr>
      <w:tr w:rsidR="0061106F" w:rsidRPr="003C4052" w:rsidTr="008358A0">
        <w:trPr>
          <w:trHeight w:val="20"/>
        </w:trPr>
        <w:tc>
          <w:tcPr>
            <w:tcW w:w="1710" w:type="dxa"/>
            <w:tcBorders>
              <w:left w:val="double" w:sz="6" w:space="0" w:color="auto"/>
              <w:bottom w:val="single" w:sz="8" w:space="0" w:color="auto"/>
              <w:right w:val="single" w:sz="8" w:space="0" w:color="auto"/>
            </w:tcBorders>
            <w:shd w:val="clear" w:color="auto" w:fill="auto"/>
            <w:vAlign w:val="center"/>
            <w:hideMark/>
          </w:tcPr>
          <w:p w:rsidR="00E53AB2" w:rsidRDefault="00943F16">
            <w:pPr>
              <w:rPr>
                <w:rFonts w:ascii="Calibri" w:hAnsi="Calibri" w:cs="Calibri"/>
                <w:color w:val="000000"/>
                <w:sz w:val="22"/>
                <w:szCs w:val="22"/>
              </w:rPr>
            </w:pPr>
            <w:r w:rsidRPr="00B57823">
              <w:rPr>
                <w:i/>
                <w:iCs/>
                <w:color w:val="000000"/>
                <w:sz w:val="20"/>
              </w:rPr>
              <w:t>Subtotal</w:t>
            </w:r>
          </w:p>
        </w:tc>
        <w:tc>
          <w:tcPr>
            <w:tcW w:w="1710" w:type="dxa"/>
            <w:tcBorders>
              <w:top w:val="nil"/>
              <w:left w:val="nil"/>
              <w:bottom w:val="single" w:sz="8" w:space="0" w:color="auto"/>
              <w:right w:val="single" w:sz="8" w:space="0" w:color="auto"/>
            </w:tcBorders>
            <w:shd w:val="clear" w:color="auto" w:fill="auto"/>
            <w:vAlign w:val="center"/>
            <w:hideMark/>
          </w:tcPr>
          <w:p w:rsidR="00E53AB2" w:rsidRDefault="00E53AB2">
            <w:pPr>
              <w:ind w:right="-108"/>
              <w:rPr>
                <w:color w:val="000000"/>
                <w:sz w:val="20"/>
              </w:rPr>
            </w:pPr>
          </w:p>
        </w:tc>
        <w:tc>
          <w:tcPr>
            <w:tcW w:w="1080" w:type="dxa"/>
            <w:tcBorders>
              <w:top w:val="nil"/>
              <w:left w:val="nil"/>
              <w:bottom w:val="single" w:sz="8" w:space="0" w:color="auto"/>
              <w:right w:val="nil"/>
            </w:tcBorders>
            <w:shd w:val="clear" w:color="auto" w:fill="auto"/>
            <w:vAlign w:val="center"/>
            <w:hideMark/>
          </w:tcPr>
          <w:p w:rsidR="00E53AB2" w:rsidRDefault="00E53AB2">
            <w:pPr>
              <w:jc w:val="center"/>
              <w:rPr>
                <w:color w:val="000000"/>
                <w:sz w:val="20"/>
              </w:rPr>
            </w:pPr>
          </w:p>
        </w:tc>
        <w:tc>
          <w:tcPr>
            <w:tcW w:w="1170" w:type="dxa"/>
            <w:tcBorders>
              <w:top w:val="nil"/>
              <w:left w:val="single" w:sz="8" w:space="0" w:color="auto"/>
              <w:bottom w:val="single" w:sz="8" w:space="0" w:color="auto"/>
              <w:right w:val="single" w:sz="8" w:space="0" w:color="auto"/>
            </w:tcBorders>
            <w:shd w:val="clear" w:color="auto" w:fill="auto"/>
            <w:noWrap/>
            <w:vAlign w:val="center"/>
            <w:hideMark/>
          </w:tcPr>
          <w:p w:rsidR="00E53AB2" w:rsidRDefault="00E53AB2">
            <w:pPr>
              <w:jc w:val="center"/>
              <w:rPr>
                <w:color w:val="000000"/>
                <w:sz w:val="20"/>
              </w:rPr>
            </w:pPr>
          </w:p>
        </w:tc>
        <w:tc>
          <w:tcPr>
            <w:tcW w:w="1080" w:type="dxa"/>
            <w:tcBorders>
              <w:top w:val="nil"/>
              <w:left w:val="nil"/>
              <w:bottom w:val="single" w:sz="8" w:space="0" w:color="auto"/>
              <w:right w:val="single" w:sz="8" w:space="0" w:color="auto"/>
            </w:tcBorders>
            <w:shd w:val="clear" w:color="auto" w:fill="auto"/>
            <w:vAlign w:val="center"/>
            <w:hideMark/>
          </w:tcPr>
          <w:p w:rsidR="00E53AB2" w:rsidRDefault="00E53AB2">
            <w:pPr>
              <w:jc w:val="center"/>
              <w:rPr>
                <w:color w:val="000000"/>
                <w:sz w:val="20"/>
              </w:rPr>
            </w:pPr>
          </w:p>
        </w:tc>
        <w:tc>
          <w:tcPr>
            <w:tcW w:w="1260" w:type="dxa"/>
            <w:tcBorders>
              <w:top w:val="nil"/>
              <w:left w:val="nil"/>
              <w:bottom w:val="single" w:sz="8" w:space="0" w:color="auto"/>
              <w:right w:val="single" w:sz="8" w:space="0" w:color="auto"/>
            </w:tcBorders>
            <w:shd w:val="clear" w:color="auto" w:fill="auto"/>
            <w:vAlign w:val="center"/>
            <w:hideMark/>
          </w:tcPr>
          <w:p w:rsidR="00E53AB2" w:rsidRDefault="00943F16">
            <w:pPr>
              <w:jc w:val="center"/>
              <w:rPr>
                <w:color w:val="000000"/>
                <w:sz w:val="20"/>
              </w:rPr>
            </w:pPr>
            <w:r w:rsidRPr="0061106F">
              <w:rPr>
                <w:i/>
                <w:color w:val="000000"/>
                <w:sz w:val="20"/>
              </w:rPr>
              <w:t>119</w:t>
            </w:r>
          </w:p>
        </w:tc>
        <w:tc>
          <w:tcPr>
            <w:tcW w:w="900" w:type="dxa"/>
            <w:tcBorders>
              <w:top w:val="nil"/>
              <w:left w:val="nil"/>
              <w:bottom w:val="single" w:sz="8" w:space="0" w:color="auto"/>
              <w:right w:val="single" w:sz="8" w:space="0" w:color="auto"/>
            </w:tcBorders>
            <w:shd w:val="clear" w:color="auto" w:fill="auto"/>
            <w:vAlign w:val="center"/>
            <w:hideMark/>
          </w:tcPr>
          <w:p w:rsidR="00E53AB2" w:rsidRDefault="00943F16">
            <w:pPr>
              <w:jc w:val="center"/>
              <w:rPr>
                <w:color w:val="000000"/>
                <w:sz w:val="20"/>
              </w:rPr>
            </w:pPr>
            <w:r w:rsidRPr="0061106F">
              <w:rPr>
                <w:i/>
                <w:iCs/>
                <w:color w:val="000000"/>
                <w:sz w:val="20"/>
              </w:rPr>
              <w:t>1,131</w:t>
            </w:r>
          </w:p>
        </w:tc>
        <w:tc>
          <w:tcPr>
            <w:tcW w:w="900" w:type="dxa"/>
            <w:tcBorders>
              <w:top w:val="nil"/>
              <w:left w:val="nil"/>
              <w:bottom w:val="single" w:sz="8" w:space="0" w:color="auto"/>
              <w:right w:val="double" w:sz="6" w:space="0" w:color="auto"/>
            </w:tcBorders>
            <w:shd w:val="clear" w:color="auto" w:fill="auto"/>
            <w:vAlign w:val="center"/>
            <w:hideMark/>
          </w:tcPr>
          <w:p w:rsidR="00E53AB2" w:rsidRDefault="0028797C">
            <w:pPr>
              <w:jc w:val="right"/>
              <w:rPr>
                <w:color w:val="000000"/>
                <w:sz w:val="20"/>
              </w:rPr>
            </w:pPr>
            <w:r>
              <w:rPr>
                <w:i/>
                <w:iCs/>
                <w:color w:val="000000"/>
                <w:sz w:val="20"/>
              </w:rPr>
              <w:t>$74,086</w:t>
            </w:r>
          </w:p>
        </w:tc>
      </w:tr>
      <w:tr w:rsidR="0061106F" w:rsidRPr="003C4052" w:rsidTr="008358A0">
        <w:trPr>
          <w:trHeight w:val="20"/>
        </w:trPr>
        <w:tc>
          <w:tcPr>
            <w:tcW w:w="1710" w:type="dxa"/>
            <w:vMerge w:val="restart"/>
            <w:tcBorders>
              <w:top w:val="nil"/>
              <w:left w:val="double" w:sz="6" w:space="0" w:color="auto"/>
              <w:right w:val="single" w:sz="8" w:space="0" w:color="auto"/>
            </w:tcBorders>
            <w:shd w:val="clear" w:color="auto" w:fill="auto"/>
            <w:hideMark/>
          </w:tcPr>
          <w:p w:rsidR="00E53AB2" w:rsidRDefault="00593A49">
            <w:pPr>
              <w:rPr>
                <w:color w:val="000000"/>
                <w:sz w:val="20"/>
              </w:rPr>
            </w:pPr>
            <w:r w:rsidRPr="00B57823">
              <w:rPr>
                <w:color w:val="000000"/>
                <w:sz w:val="20"/>
              </w:rPr>
              <w:t>Submission of health and safety studies during the reporting period</w:t>
            </w:r>
          </w:p>
        </w:tc>
        <w:tc>
          <w:tcPr>
            <w:tcW w:w="1710" w:type="dxa"/>
            <w:tcBorders>
              <w:top w:val="nil"/>
              <w:left w:val="nil"/>
              <w:right w:val="single" w:sz="8" w:space="0" w:color="auto"/>
            </w:tcBorders>
            <w:shd w:val="clear" w:color="auto" w:fill="auto"/>
            <w:hideMark/>
          </w:tcPr>
          <w:p w:rsidR="00E53AB2" w:rsidRDefault="00593A49">
            <w:pPr>
              <w:ind w:right="-108"/>
              <w:rPr>
                <w:color w:val="000000"/>
                <w:sz w:val="20"/>
              </w:rPr>
            </w:pPr>
            <w:r w:rsidRPr="00B57823">
              <w:rPr>
                <w:color w:val="000000"/>
                <w:sz w:val="20"/>
              </w:rPr>
              <w:t>4. Study Title Lists</w:t>
            </w:r>
          </w:p>
        </w:tc>
        <w:tc>
          <w:tcPr>
            <w:tcW w:w="1080" w:type="dxa"/>
            <w:tcBorders>
              <w:top w:val="nil"/>
              <w:left w:val="nil"/>
              <w:bottom w:val="nil"/>
              <w:right w:val="nil"/>
            </w:tcBorders>
            <w:shd w:val="clear" w:color="auto" w:fill="auto"/>
            <w:hideMark/>
          </w:tcPr>
          <w:p w:rsidR="00E53AB2" w:rsidRDefault="00593A49">
            <w:pPr>
              <w:jc w:val="center"/>
              <w:rPr>
                <w:color w:val="000000"/>
                <w:sz w:val="20"/>
              </w:rPr>
            </w:pPr>
            <w:r w:rsidRPr="00B57823">
              <w:rPr>
                <w:color w:val="000000"/>
                <w:sz w:val="20"/>
              </w:rPr>
              <w:t>1</w:t>
            </w:r>
          </w:p>
        </w:tc>
        <w:tc>
          <w:tcPr>
            <w:tcW w:w="1170" w:type="dxa"/>
            <w:tcBorders>
              <w:top w:val="nil"/>
              <w:left w:val="single" w:sz="8" w:space="0" w:color="auto"/>
              <w:bottom w:val="nil"/>
              <w:right w:val="single" w:sz="8" w:space="0" w:color="auto"/>
            </w:tcBorders>
            <w:shd w:val="clear" w:color="auto" w:fill="auto"/>
            <w:noWrap/>
            <w:hideMark/>
          </w:tcPr>
          <w:p w:rsidR="00E53AB2" w:rsidRDefault="00593A49">
            <w:pPr>
              <w:jc w:val="center"/>
              <w:rPr>
                <w:color w:val="000000"/>
                <w:sz w:val="20"/>
              </w:rPr>
            </w:pPr>
            <w:r w:rsidRPr="00B57823">
              <w:rPr>
                <w:color w:val="000000"/>
                <w:sz w:val="20"/>
              </w:rPr>
              <w:t>clerical</w:t>
            </w:r>
          </w:p>
        </w:tc>
        <w:tc>
          <w:tcPr>
            <w:tcW w:w="108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B57823">
              <w:rPr>
                <w:color w:val="000000"/>
                <w:sz w:val="20"/>
              </w:rPr>
              <w:t>$29</w:t>
            </w:r>
          </w:p>
        </w:tc>
        <w:tc>
          <w:tcPr>
            <w:tcW w:w="1260" w:type="dxa"/>
            <w:tcBorders>
              <w:top w:val="nil"/>
              <w:left w:val="nil"/>
              <w:bottom w:val="nil"/>
              <w:right w:val="single" w:sz="8" w:space="0" w:color="auto"/>
            </w:tcBorders>
            <w:shd w:val="clear" w:color="auto" w:fill="auto"/>
            <w:hideMark/>
          </w:tcPr>
          <w:p w:rsidR="00E53AB2" w:rsidRDefault="00593A49">
            <w:pPr>
              <w:jc w:val="center"/>
              <w:rPr>
                <w:i/>
                <w:color w:val="000000"/>
                <w:sz w:val="20"/>
              </w:rPr>
            </w:pPr>
            <w:r w:rsidRPr="00B57823">
              <w:rPr>
                <w:color w:val="000000"/>
                <w:sz w:val="20"/>
              </w:rPr>
              <w:t>20</w:t>
            </w:r>
          </w:p>
        </w:tc>
        <w:tc>
          <w:tcPr>
            <w:tcW w:w="90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18681F">
              <w:rPr>
                <w:color w:val="000000"/>
                <w:sz w:val="20"/>
              </w:rPr>
              <w:t>20</w:t>
            </w:r>
          </w:p>
        </w:tc>
        <w:tc>
          <w:tcPr>
            <w:tcW w:w="900" w:type="dxa"/>
            <w:tcBorders>
              <w:top w:val="nil"/>
              <w:left w:val="nil"/>
              <w:bottom w:val="nil"/>
              <w:right w:val="double" w:sz="6" w:space="0" w:color="auto"/>
            </w:tcBorders>
            <w:shd w:val="clear" w:color="auto" w:fill="auto"/>
            <w:hideMark/>
          </w:tcPr>
          <w:p w:rsidR="00E53AB2" w:rsidRDefault="00593A49">
            <w:pPr>
              <w:jc w:val="right"/>
              <w:rPr>
                <w:color w:val="000000"/>
                <w:sz w:val="20"/>
              </w:rPr>
            </w:pPr>
            <w:r w:rsidRPr="00ED67F0">
              <w:rPr>
                <w:color w:val="000000"/>
                <w:sz w:val="20"/>
              </w:rPr>
              <w:t>$580</w:t>
            </w:r>
          </w:p>
        </w:tc>
      </w:tr>
      <w:tr w:rsidR="0061106F" w:rsidRPr="003C4052" w:rsidTr="008358A0">
        <w:trPr>
          <w:trHeight w:val="20"/>
        </w:trPr>
        <w:tc>
          <w:tcPr>
            <w:tcW w:w="1710" w:type="dxa"/>
            <w:vMerge/>
            <w:tcBorders>
              <w:left w:val="double" w:sz="6" w:space="0" w:color="auto"/>
              <w:right w:val="single" w:sz="8" w:space="0" w:color="auto"/>
            </w:tcBorders>
            <w:shd w:val="clear" w:color="auto" w:fill="auto"/>
            <w:hideMark/>
          </w:tcPr>
          <w:p w:rsidR="00E53AB2" w:rsidRDefault="00E53AB2">
            <w:pPr>
              <w:rPr>
                <w:color w:val="000000"/>
                <w:sz w:val="20"/>
              </w:rPr>
            </w:pPr>
          </w:p>
        </w:tc>
        <w:tc>
          <w:tcPr>
            <w:tcW w:w="1710" w:type="dxa"/>
            <w:tcBorders>
              <w:left w:val="nil"/>
              <w:right w:val="single" w:sz="8" w:space="0" w:color="auto"/>
            </w:tcBorders>
            <w:shd w:val="clear" w:color="auto" w:fill="auto"/>
            <w:hideMark/>
          </w:tcPr>
          <w:p w:rsidR="00E53AB2" w:rsidRDefault="00593A49">
            <w:pPr>
              <w:ind w:right="-108"/>
              <w:rPr>
                <w:color w:val="000000"/>
                <w:sz w:val="20"/>
              </w:rPr>
            </w:pPr>
            <w:r w:rsidRPr="00B57823">
              <w:rPr>
                <w:color w:val="000000"/>
                <w:sz w:val="20"/>
              </w:rPr>
              <w:t>5. Photocopy Studies</w:t>
            </w:r>
          </w:p>
        </w:tc>
        <w:tc>
          <w:tcPr>
            <w:tcW w:w="1080" w:type="dxa"/>
            <w:tcBorders>
              <w:top w:val="nil"/>
              <w:left w:val="nil"/>
              <w:bottom w:val="nil"/>
              <w:right w:val="nil"/>
            </w:tcBorders>
            <w:shd w:val="clear" w:color="auto" w:fill="auto"/>
            <w:hideMark/>
          </w:tcPr>
          <w:p w:rsidR="00E53AB2" w:rsidRDefault="00593A49">
            <w:pPr>
              <w:jc w:val="center"/>
              <w:rPr>
                <w:color w:val="000000"/>
                <w:sz w:val="20"/>
              </w:rPr>
            </w:pPr>
            <w:r w:rsidRPr="00B57823">
              <w:rPr>
                <w:color w:val="000000"/>
                <w:sz w:val="20"/>
              </w:rPr>
              <w:t>1</w:t>
            </w:r>
          </w:p>
        </w:tc>
        <w:tc>
          <w:tcPr>
            <w:tcW w:w="1170" w:type="dxa"/>
            <w:tcBorders>
              <w:top w:val="nil"/>
              <w:left w:val="single" w:sz="8" w:space="0" w:color="auto"/>
              <w:bottom w:val="nil"/>
              <w:right w:val="single" w:sz="8" w:space="0" w:color="auto"/>
            </w:tcBorders>
            <w:shd w:val="clear" w:color="auto" w:fill="auto"/>
            <w:noWrap/>
            <w:hideMark/>
          </w:tcPr>
          <w:p w:rsidR="00E53AB2" w:rsidRDefault="00593A49">
            <w:pPr>
              <w:jc w:val="center"/>
              <w:rPr>
                <w:color w:val="000000"/>
                <w:sz w:val="20"/>
              </w:rPr>
            </w:pPr>
            <w:r w:rsidRPr="00B57823">
              <w:rPr>
                <w:color w:val="000000"/>
                <w:sz w:val="20"/>
              </w:rPr>
              <w:t>clerical</w:t>
            </w:r>
          </w:p>
        </w:tc>
        <w:tc>
          <w:tcPr>
            <w:tcW w:w="108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B57823">
              <w:rPr>
                <w:color w:val="000000"/>
                <w:sz w:val="20"/>
              </w:rPr>
              <w:t>$29</w:t>
            </w:r>
          </w:p>
        </w:tc>
        <w:tc>
          <w:tcPr>
            <w:tcW w:w="126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B57823">
              <w:rPr>
                <w:color w:val="000000"/>
                <w:sz w:val="20"/>
              </w:rPr>
              <w:t>20</w:t>
            </w:r>
          </w:p>
        </w:tc>
        <w:tc>
          <w:tcPr>
            <w:tcW w:w="90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18681F">
              <w:rPr>
                <w:color w:val="000000"/>
                <w:sz w:val="20"/>
              </w:rPr>
              <w:t>20</w:t>
            </w:r>
          </w:p>
        </w:tc>
        <w:tc>
          <w:tcPr>
            <w:tcW w:w="900" w:type="dxa"/>
            <w:tcBorders>
              <w:top w:val="nil"/>
              <w:left w:val="nil"/>
              <w:bottom w:val="nil"/>
              <w:right w:val="double" w:sz="6" w:space="0" w:color="auto"/>
            </w:tcBorders>
            <w:shd w:val="clear" w:color="auto" w:fill="auto"/>
            <w:hideMark/>
          </w:tcPr>
          <w:p w:rsidR="00E53AB2" w:rsidRDefault="00593A49">
            <w:pPr>
              <w:jc w:val="right"/>
              <w:rPr>
                <w:color w:val="000000"/>
                <w:sz w:val="20"/>
              </w:rPr>
            </w:pPr>
            <w:r w:rsidRPr="00ED67F0">
              <w:rPr>
                <w:color w:val="000000"/>
                <w:sz w:val="20"/>
              </w:rPr>
              <w:t>$580</w:t>
            </w:r>
          </w:p>
        </w:tc>
      </w:tr>
      <w:tr w:rsidR="0061106F" w:rsidRPr="003C4052" w:rsidTr="008358A0">
        <w:trPr>
          <w:trHeight w:val="20"/>
        </w:trPr>
        <w:tc>
          <w:tcPr>
            <w:tcW w:w="1710" w:type="dxa"/>
            <w:vMerge/>
            <w:tcBorders>
              <w:left w:val="double" w:sz="6" w:space="0" w:color="auto"/>
              <w:right w:val="single" w:sz="8" w:space="0" w:color="auto"/>
            </w:tcBorders>
            <w:shd w:val="clear" w:color="auto" w:fill="auto"/>
            <w:hideMark/>
          </w:tcPr>
          <w:p w:rsidR="00E53AB2" w:rsidRDefault="00E53AB2">
            <w:pPr>
              <w:rPr>
                <w:color w:val="000000"/>
                <w:sz w:val="20"/>
              </w:rPr>
            </w:pPr>
          </w:p>
        </w:tc>
        <w:tc>
          <w:tcPr>
            <w:tcW w:w="1710" w:type="dxa"/>
            <w:tcBorders>
              <w:left w:val="nil"/>
              <w:right w:val="single" w:sz="8" w:space="0" w:color="auto"/>
            </w:tcBorders>
            <w:shd w:val="clear" w:color="auto" w:fill="auto"/>
            <w:hideMark/>
          </w:tcPr>
          <w:p w:rsidR="00E53AB2" w:rsidRDefault="00593A49">
            <w:pPr>
              <w:ind w:right="-108"/>
              <w:rPr>
                <w:color w:val="000000"/>
                <w:sz w:val="20"/>
              </w:rPr>
            </w:pPr>
            <w:r w:rsidRPr="00B57823">
              <w:rPr>
                <w:color w:val="000000"/>
                <w:sz w:val="20"/>
              </w:rPr>
              <w:t>6. Robust Summaries</w:t>
            </w:r>
          </w:p>
        </w:tc>
        <w:tc>
          <w:tcPr>
            <w:tcW w:w="1080" w:type="dxa"/>
            <w:tcBorders>
              <w:top w:val="nil"/>
              <w:left w:val="nil"/>
              <w:bottom w:val="nil"/>
              <w:right w:val="nil"/>
            </w:tcBorders>
            <w:shd w:val="clear" w:color="auto" w:fill="auto"/>
            <w:hideMark/>
          </w:tcPr>
          <w:p w:rsidR="00E53AB2" w:rsidRDefault="00593A49">
            <w:pPr>
              <w:jc w:val="center"/>
              <w:rPr>
                <w:color w:val="000000"/>
                <w:sz w:val="20"/>
              </w:rPr>
            </w:pPr>
            <w:r w:rsidRPr="00B57823">
              <w:rPr>
                <w:color w:val="000000"/>
                <w:sz w:val="20"/>
              </w:rPr>
              <w:t>12</w:t>
            </w:r>
          </w:p>
        </w:tc>
        <w:tc>
          <w:tcPr>
            <w:tcW w:w="1170" w:type="dxa"/>
            <w:tcBorders>
              <w:top w:val="nil"/>
              <w:left w:val="single" w:sz="8" w:space="0" w:color="auto"/>
              <w:bottom w:val="nil"/>
              <w:right w:val="single" w:sz="8" w:space="0" w:color="auto"/>
            </w:tcBorders>
            <w:shd w:val="clear" w:color="auto" w:fill="auto"/>
            <w:noWrap/>
            <w:hideMark/>
          </w:tcPr>
          <w:p w:rsidR="00E53AB2" w:rsidRDefault="00593A49">
            <w:pPr>
              <w:jc w:val="center"/>
              <w:rPr>
                <w:color w:val="000000"/>
                <w:sz w:val="20"/>
              </w:rPr>
            </w:pPr>
            <w:r w:rsidRPr="00B57823">
              <w:rPr>
                <w:color w:val="000000"/>
                <w:sz w:val="20"/>
              </w:rPr>
              <w:t>technical</w:t>
            </w:r>
          </w:p>
        </w:tc>
        <w:tc>
          <w:tcPr>
            <w:tcW w:w="108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B57823">
              <w:rPr>
                <w:color w:val="000000"/>
                <w:sz w:val="20"/>
              </w:rPr>
              <w:t>$731</w:t>
            </w:r>
          </w:p>
        </w:tc>
        <w:tc>
          <w:tcPr>
            <w:tcW w:w="126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B57823">
              <w:rPr>
                <w:color w:val="000000"/>
                <w:sz w:val="20"/>
              </w:rPr>
              <w:t>1</w:t>
            </w:r>
          </w:p>
        </w:tc>
        <w:tc>
          <w:tcPr>
            <w:tcW w:w="90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18681F">
              <w:rPr>
                <w:color w:val="000000"/>
                <w:sz w:val="20"/>
              </w:rPr>
              <w:t>12</w:t>
            </w:r>
          </w:p>
        </w:tc>
        <w:tc>
          <w:tcPr>
            <w:tcW w:w="900" w:type="dxa"/>
            <w:tcBorders>
              <w:top w:val="nil"/>
              <w:left w:val="nil"/>
              <w:bottom w:val="nil"/>
              <w:right w:val="double" w:sz="6" w:space="0" w:color="auto"/>
            </w:tcBorders>
            <w:shd w:val="clear" w:color="auto" w:fill="auto"/>
            <w:hideMark/>
          </w:tcPr>
          <w:p w:rsidR="00E53AB2" w:rsidRDefault="00593A49">
            <w:pPr>
              <w:jc w:val="right"/>
              <w:rPr>
                <w:color w:val="000000"/>
                <w:sz w:val="20"/>
              </w:rPr>
            </w:pPr>
            <w:r w:rsidRPr="00ED67F0">
              <w:rPr>
                <w:color w:val="000000"/>
                <w:sz w:val="20"/>
              </w:rPr>
              <w:t>$731</w:t>
            </w:r>
          </w:p>
        </w:tc>
      </w:tr>
      <w:tr w:rsidR="0061106F" w:rsidRPr="003C4052" w:rsidTr="008358A0">
        <w:trPr>
          <w:trHeight w:val="20"/>
        </w:trPr>
        <w:tc>
          <w:tcPr>
            <w:tcW w:w="1710" w:type="dxa"/>
            <w:vMerge/>
            <w:tcBorders>
              <w:left w:val="double" w:sz="6" w:space="0" w:color="auto"/>
              <w:right w:val="single" w:sz="8" w:space="0" w:color="auto"/>
            </w:tcBorders>
            <w:shd w:val="clear" w:color="auto" w:fill="auto"/>
            <w:hideMark/>
          </w:tcPr>
          <w:p w:rsidR="00E53AB2" w:rsidRDefault="00E53AB2">
            <w:pPr>
              <w:rPr>
                <w:color w:val="000000"/>
                <w:sz w:val="20"/>
              </w:rPr>
            </w:pPr>
          </w:p>
        </w:tc>
        <w:tc>
          <w:tcPr>
            <w:tcW w:w="1710" w:type="dxa"/>
            <w:tcBorders>
              <w:left w:val="nil"/>
              <w:right w:val="single" w:sz="8" w:space="0" w:color="auto"/>
            </w:tcBorders>
            <w:shd w:val="clear" w:color="auto" w:fill="auto"/>
            <w:hideMark/>
          </w:tcPr>
          <w:p w:rsidR="00E53AB2" w:rsidRDefault="00593A49">
            <w:pPr>
              <w:ind w:right="-108"/>
              <w:rPr>
                <w:color w:val="000000"/>
                <w:sz w:val="20"/>
              </w:rPr>
            </w:pPr>
            <w:r w:rsidRPr="00B57823">
              <w:rPr>
                <w:color w:val="000000"/>
                <w:sz w:val="20"/>
              </w:rPr>
              <w:t xml:space="preserve">7. CBI Review </w:t>
            </w:r>
          </w:p>
        </w:tc>
        <w:tc>
          <w:tcPr>
            <w:tcW w:w="1080" w:type="dxa"/>
            <w:tcBorders>
              <w:top w:val="nil"/>
              <w:left w:val="nil"/>
              <w:bottom w:val="nil"/>
              <w:right w:val="nil"/>
            </w:tcBorders>
            <w:shd w:val="clear" w:color="auto" w:fill="auto"/>
            <w:hideMark/>
          </w:tcPr>
          <w:p w:rsidR="00E53AB2" w:rsidRDefault="00593A49">
            <w:pPr>
              <w:jc w:val="center"/>
              <w:rPr>
                <w:color w:val="000000"/>
                <w:sz w:val="20"/>
              </w:rPr>
            </w:pPr>
            <w:r w:rsidRPr="00B57823">
              <w:rPr>
                <w:color w:val="000000"/>
                <w:sz w:val="20"/>
              </w:rPr>
              <w:t>9</w:t>
            </w:r>
          </w:p>
        </w:tc>
        <w:tc>
          <w:tcPr>
            <w:tcW w:w="1170" w:type="dxa"/>
            <w:tcBorders>
              <w:top w:val="nil"/>
              <w:left w:val="single" w:sz="8" w:space="0" w:color="auto"/>
              <w:bottom w:val="nil"/>
              <w:right w:val="single" w:sz="8" w:space="0" w:color="auto"/>
            </w:tcBorders>
            <w:shd w:val="clear" w:color="auto" w:fill="auto"/>
            <w:noWrap/>
            <w:hideMark/>
          </w:tcPr>
          <w:p w:rsidR="00E53AB2" w:rsidRDefault="00593A49">
            <w:pPr>
              <w:jc w:val="center"/>
              <w:rPr>
                <w:color w:val="000000"/>
                <w:sz w:val="20"/>
              </w:rPr>
            </w:pPr>
            <w:r w:rsidRPr="00B57823">
              <w:rPr>
                <w:color w:val="000000"/>
                <w:sz w:val="20"/>
              </w:rPr>
              <w:t>managerial</w:t>
            </w:r>
          </w:p>
        </w:tc>
        <w:tc>
          <w:tcPr>
            <w:tcW w:w="108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B57823">
              <w:rPr>
                <w:color w:val="000000"/>
                <w:sz w:val="20"/>
              </w:rPr>
              <w:t>$627</w:t>
            </w:r>
          </w:p>
        </w:tc>
        <w:tc>
          <w:tcPr>
            <w:tcW w:w="126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B57823">
              <w:rPr>
                <w:color w:val="000000"/>
                <w:sz w:val="20"/>
              </w:rPr>
              <w:t>20</w:t>
            </w:r>
          </w:p>
        </w:tc>
        <w:tc>
          <w:tcPr>
            <w:tcW w:w="90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18681F">
              <w:rPr>
                <w:color w:val="000000"/>
                <w:sz w:val="20"/>
              </w:rPr>
              <w:t>180</w:t>
            </w:r>
          </w:p>
        </w:tc>
        <w:tc>
          <w:tcPr>
            <w:tcW w:w="900" w:type="dxa"/>
            <w:tcBorders>
              <w:top w:val="nil"/>
              <w:left w:val="nil"/>
              <w:bottom w:val="nil"/>
              <w:right w:val="double" w:sz="6" w:space="0" w:color="auto"/>
            </w:tcBorders>
            <w:shd w:val="clear" w:color="auto" w:fill="auto"/>
            <w:hideMark/>
          </w:tcPr>
          <w:p w:rsidR="00E53AB2" w:rsidRDefault="00593A49">
            <w:pPr>
              <w:jc w:val="right"/>
              <w:rPr>
                <w:color w:val="000000"/>
                <w:sz w:val="20"/>
              </w:rPr>
            </w:pPr>
            <w:r w:rsidRPr="00ED67F0">
              <w:rPr>
                <w:color w:val="000000"/>
                <w:sz w:val="20"/>
              </w:rPr>
              <w:t>$12,538</w:t>
            </w:r>
          </w:p>
        </w:tc>
      </w:tr>
      <w:tr w:rsidR="0061106F" w:rsidRPr="003C4052" w:rsidTr="008358A0">
        <w:trPr>
          <w:trHeight w:val="20"/>
        </w:trPr>
        <w:tc>
          <w:tcPr>
            <w:tcW w:w="1710" w:type="dxa"/>
            <w:tcBorders>
              <w:left w:val="double" w:sz="6" w:space="0" w:color="auto"/>
              <w:bottom w:val="single" w:sz="8" w:space="0" w:color="auto"/>
              <w:right w:val="single" w:sz="8" w:space="0" w:color="auto"/>
            </w:tcBorders>
            <w:shd w:val="clear" w:color="auto" w:fill="auto"/>
            <w:vAlign w:val="center"/>
            <w:hideMark/>
          </w:tcPr>
          <w:p w:rsidR="00E53AB2" w:rsidRDefault="00593A49">
            <w:pPr>
              <w:rPr>
                <w:rFonts w:ascii="Calibri" w:hAnsi="Calibri" w:cs="Calibri"/>
                <w:color w:val="000000"/>
                <w:sz w:val="22"/>
                <w:szCs w:val="22"/>
              </w:rPr>
            </w:pPr>
            <w:r w:rsidRPr="00B57823">
              <w:rPr>
                <w:i/>
                <w:iCs/>
                <w:color w:val="000000"/>
                <w:sz w:val="20"/>
              </w:rPr>
              <w:t>Subtotal</w:t>
            </w:r>
          </w:p>
        </w:tc>
        <w:tc>
          <w:tcPr>
            <w:tcW w:w="1710" w:type="dxa"/>
            <w:tcBorders>
              <w:left w:val="nil"/>
              <w:bottom w:val="single" w:sz="8" w:space="0" w:color="auto"/>
              <w:right w:val="single" w:sz="8" w:space="0" w:color="auto"/>
            </w:tcBorders>
            <w:shd w:val="clear" w:color="auto" w:fill="auto"/>
            <w:vAlign w:val="center"/>
            <w:hideMark/>
          </w:tcPr>
          <w:p w:rsidR="00E53AB2" w:rsidRDefault="00E53AB2">
            <w:pPr>
              <w:ind w:right="-108"/>
              <w:rPr>
                <w:rFonts w:ascii="Calibri" w:hAnsi="Calibri" w:cs="Calibri"/>
                <w:color w:val="000000"/>
                <w:sz w:val="22"/>
                <w:szCs w:val="22"/>
              </w:rPr>
            </w:pPr>
          </w:p>
        </w:tc>
        <w:tc>
          <w:tcPr>
            <w:tcW w:w="1080" w:type="dxa"/>
            <w:tcBorders>
              <w:top w:val="nil"/>
              <w:left w:val="nil"/>
              <w:bottom w:val="single" w:sz="8" w:space="0" w:color="auto"/>
              <w:right w:val="nil"/>
            </w:tcBorders>
            <w:shd w:val="clear" w:color="auto" w:fill="auto"/>
            <w:vAlign w:val="center"/>
            <w:hideMark/>
          </w:tcPr>
          <w:p w:rsidR="00E53AB2" w:rsidRDefault="00E53AB2">
            <w:pPr>
              <w:jc w:val="center"/>
              <w:rPr>
                <w:i/>
                <w:iCs/>
                <w:color w:val="000000"/>
                <w:sz w:val="20"/>
              </w:rPr>
            </w:pPr>
          </w:p>
        </w:tc>
        <w:tc>
          <w:tcPr>
            <w:tcW w:w="1170" w:type="dxa"/>
            <w:tcBorders>
              <w:top w:val="nil"/>
              <w:left w:val="single" w:sz="8" w:space="0" w:color="auto"/>
              <w:bottom w:val="single" w:sz="8" w:space="0" w:color="auto"/>
              <w:right w:val="single" w:sz="8" w:space="0" w:color="auto"/>
            </w:tcBorders>
            <w:shd w:val="clear" w:color="auto" w:fill="auto"/>
            <w:noWrap/>
            <w:vAlign w:val="center"/>
            <w:hideMark/>
          </w:tcPr>
          <w:p w:rsidR="00E53AB2" w:rsidRDefault="00E53AB2">
            <w:pPr>
              <w:jc w:val="center"/>
              <w:rPr>
                <w:color w:val="000000"/>
                <w:sz w:val="20"/>
              </w:rPr>
            </w:pPr>
          </w:p>
        </w:tc>
        <w:tc>
          <w:tcPr>
            <w:tcW w:w="1080" w:type="dxa"/>
            <w:tcBorders>
              <w:top w:val="nil"/>
              <w:left w:val="nil"/>
              <w:bottom w:val="single" w:sz="8" w:space="0" w:color="auto"/>
              <w:right w:val="single" w:sz="8" w:space="0" w:color="auto"/>
            </w:tcBorders>
            <w:shd w:val="clear" w:color="auto" w:fill="auto"/>
            <w:vAlign w:val="center"/>
            <w:hideMark/>
          </w:tcPr>
          <w:p w:rsidR="00E53AB2" w:rsidRDefault="00E53AB2">
            <w:pPr>
              <w:jc w:val="center"/>
              <w:rPr>
                <w:i/>
                <w:iCs/>
                <w:color w:val="000000"/>
                <w:sz w:val="20"/>
              </w:rPr>
            </w:pPr>
          </w:p>
        </w:tc>
        <w:tc>
          <w:tcPr>
            <w:tcW w:w="1260" w:type="dxa"/>
            <w:tcBorders>
              <w:top w:val="nil"/>
              <w:left w:val="nil"/>
              <w:bottom w:val="single" w:sz="8" w:space="0" w:color="auto"/>
              <w:right w:val="single" w:sz="8" w:space="0" w:color="auto"/>
            </w:tcBorders>
            <w:shd w:val="clear" w:color="auto" w:fill="auto"/>
            <w:vAlign w:val="center"/>
            <w:hideMark/>
          </w:tcPr>
          <w:p w:rsidR="00E53AB2" w:rsidRDefault="00593A49">
            <w:pPr>
              <w:jc w:val="center"/>
              <w:rPr>
                <w:color w:val="000000"/>
                <w:sz w:val="20"/>
              </w:rPr>
            </w:pPr>
            <w:r>
              <w:rPr>
                <w:i/>
                <w:color w:val="000000"/>
                <w:sz w:val="20"/>
              </w:rPr>
              <w:t>21</w:t>
            </w:r>
          </w:p>
        </w:tc>
        <w:tc>
          <w:tcPr>
            <w:tcW w:w="900" w:type="dxa"/>
            <w:tcBorders>
              <w:top w:val="nil"/>
              <w:left w:val="nil"/>
              <w:bottom w:val="single" w:sz="8" w:space="0" w:color="auto"/>
              <w:right w:val="single" w:sz="8" w:space="0" w:color="auto"/>
            </w:tcBorders>
            <w:shd w:val="clear" w:color="auto" w:fill="auto"/>
            <w:vAlign w:val="center"/>
            <w:hideMark/>
          </w:tcPr>
          <w:p w:rsidR="00E53AB2" w:rsidRDefault="00593A49">
            <w:pPr>
              <w:jc w:val="center"/>
              <w:rPr>
                <w:color w:val="000000"/>
                <w:sz w:val="20"/>
              </w:rPr>
            </w:pPr>
            <w:r w:rsidRPr="0018681F">
              <w:rPr>
                <w:i/>
                <w:iCs/>
                <w:color w:val="000000"/>
                <w:sz w:val="20"/>
              </w:rPr>
              <w:t>232</w:t>
            </w:r>
          </w:p>
        </w:tc>
        <w:tc>
          <w:tcPr>
            <w:tcW w:w="900" w:type="dxa"/>
            <w:tcBorders>
              <w:top w:val="nil"/>
              <w:left w:val="nil"/>
              <w:bottom w:val="single" w:sz="8" w:space="0" w:color="auto"/>
              <w:right w:val="double" w:sz="6" w:space="0" w:color="auto"/>
            </w:tcBorders>
            <w:shd w:val="clear" w:color="auto" w:fill="auto"/>
            <w:vAlign w:val="center"/>
            <w:hideMark/>
          </w:tcPr>
          <w:p w:rsidR="00E53AB2" w:rsidRDefault="00593A49">
            <w:pPr>
              <w:jc w:val="right"/>
              <w:rPr>
                <w:color w:val="000000"/>
                <w:sz w:val="20"/>
              </w:rPr>
            </w:pPr>
            <w:r w:rsidRPr="00ED67F0">
              <w:rPr>
                <w:i/>
                <w:iCs/>
                <w:color w:val="000000"/>
                <w:sz w:val="20"/>
              </w:rPr>
              <w:t>$14,429</w:t>
            </w:r>
          </w:p>
        </w:tc>
      </w:tr>
      <w:tr w:rsidR="0061106F" w:rsidRPr="003C4052" w:rsidTr="008358A0">
        <w:trPr>
          <w:trHeight w:val="20"/>
        </w:trPr>
        <w:tc>
          <w:tcPr>
            <w:tcW w:w="1710" w:type="dxa"/>
            <w:vMerge w:val="restart"/>
            <w:tcBorders>
              <w:top w:val="nil"/>
              <w:left w:val="double" w:sz="6" w:space="0" w:color="auto"/>
              <w:right w:val="single" w:sz="8" w:space="0" w:color="auto"/>
            </w:tcBorders>
            <w:shd w:val="clear" w:color="auto" w:fill="auto"/>
            <w:hideMark/>
          </w:tcPr>
          <w:p w:rsidR="00E53AB2" w:rsidRDefault="00593A49">
            <w:pPr>
              <w:rPr>
                <w:color w:val="000000"/>
                <w:sz w:val="20"/>
              </w:rPr>
            </w:pPr>
            <w:r w:rsidRPr="00B57823">
              <w:rPr>
                <w:color w:val="000000"/>
                <w:sz w:val="20"/>
              </w:rPr>
              <w:t>Notification and Submission of health and safety studies initiated and/or completed after the reporting period</w:t>
            </w:r>
          </w:p>
        </w:tc>
        <w:tc>
          <w:tcPr>
            <w:tcW w:w="1710" w:type="dxa"/>
            <w:vMerge w:val="restart"/>
            <w:tcBorders>
              <w:top w:val="nil"/>
              <w:left w:val="nil"/>
              <w:right w:val="single" w:sz="8" w:space="0" w:color="auto"/>
            </w:tcBorders>
            <w:shd w:val="clear" w:color="auto" w:fill="auto"/>
            <w:hideMark/>
          </w:tcPr>
          <w:p w:rsidR="00E53AB2" w:rsidRDefault="00593A49">
            <w:pPr>
              <w:ind w:right="-108"/>
              <w:rPr>
                <w:color w:val="000000"/>
                <w:sz w:val="20"/>
              </w:rPr>
            </w:pPr>
            <w:r w:rsidRPr="00B57823">
              <w:rPr>
                <w:color w:val="000000"/>
                <w:sz w:val="20"/>
              </w:rPr>
              <w:t>8. Post-Reporting Period Submission</w:t>
            </w:r>
          </w:p>
        </w:tc>
        <w:tc>
          <w:tcPr>
            <w:tcW w:w="1080" w:type="dxa"/>
            <w:tcBorders>
              <w:top w:val="nil"/>
              <w:left w:val="nil"/>
              <w:right w:val="nil"/>
            </w:tcBorders>
            <w:shd w:val="clear" w:color="auto" w:fill="auto"/>
            <w:hideMark/>
          </w:tcPr>
          <w:p w:rsidR="00E53AB2" w:rsidRDefault="00593A49">
            <w:pPr>
              <w:jc w:val="center"/>
              <w:rPr>
                <w:color w:val="000000"/>
                <w:sz w:val="20"/>
              </w:rPr>
            </w:pPr>
            <w:r w:rsidRPr="00B57823">
              <w:rPr>
                <w:color w:val="000000"/>
                <w:sz w:val="20"/>
              </w:rPr>
              <w:t>1</w:t>
            </w:r>
          </w:p>
        </w:tc>
        <w:tc>
          <w:tcPr>
            <w:tcW w:w="1170" w:type="dxa"/>
            <w:tcBorders>
              <w:top w:val="nil"/>
              <w:left w:val="single" w:sz="8" w:space="0" w:color="auto"/>
              <w:right w:val="single" w:sz="8" w:space="0" w:color="auto"/>
            </w:tcBorders>
            <w:shd w:val="clear" w:color="auto" w:fill="auto"/>
            <w:noWrap/>
            <w:hideMark/>
          </w:tcPr>
          <w:p w:rsidR="00E53AB2" w:rsidRDefault="00593A49">
            <w:pPr>
              <w:jc w:val="center"/>
              <w:rPr>
                <w:color w:val="000000"/>
                <w:sz w:val="20"/>
              </w:rPr>
            </w:pPr>
            <w:r w:rsidRPr="00B57823">
              <w:rPr>
                <w:color w:val="000000"/>
                <w:sz w:val="20"/>
              </w:rPr>
              <w:t>managerial</w:t>
            </w:r>
          </w:p>
        </w:tc>
        <w:tc>
          <w:tcPr>
            <w:tcW w:w="1080" w:type="dxa"/>
            <w:tcBorders>
              <w:top w:val="nil"/>
              <w:left w:val="nil"/>
              <w:right w:val="single" w:sz="8" w:space="0" w:color="auto"/>
            </w:tcBorders>
            <w:shd w:val="clear" w:color="auto" w:fill="auto"/>
            <w:hideMark/>
          </w:tcPr>
          <w:p w:rsidR="00E53AB2" w:rsidRDefault="00593A49">
            <w:pPr>
              <w:jc w:val="center"/>
              <w:rPr>
                <w:color w:val="000000"/>
                <w:sz w:val="20"/>
              </w:rPr>
            </w:pPr>
            <w:r w:rsidRPr="00B57823">
              <w:rPr>
                <w:color w:val="000000"/>
                <w:sz w:val="20"/>
              </w:rPr>
              <w:t>$70</w:t>
            </w:r>
          </w:p>
        </w:tc>
        <w:tc>
          <w:tcPr>
            <w:tcW w:w="1260" w:type="dxa"/>
            <w:tcBorders>
              <w:top w:val="nil"/>
              <w:left w:val="nil"/>
              <w:right w:val="single" w:sz="8" w:space="0" w:color="auto"/>
            </w:tcBorders>
            <w:shd w:val="clear" w:color="auto" w:fill="auto"/>
            <w:hideMark/>
          </w:tcPr>
          <w:p w:rsidR="00E53AB2" w:rsidRDefault="00593A49">
            <w:pPr>
              <w:jc w:val="center"/>
              <w:rPr>
                <w:i/>
                <w:color w:val="000000"/>
                <w:sz w:val="20"/>
              </w:rPr>
            </w:pPr>
            <w:r w:rsidRPr="00B57823">
              <w:rPr>
                <w:color w:val="000000"/>
                <w:sz w:val="20"/>
              </w:rPr>
              <w:t>1</w:t>
            </w:r>
          </w:p>
        </w:tc>
        <w:tc>
          <w:tcPr>
            <w:tcW w:w="90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18681F">
              <w:rPr>
                <w:color w:val="000000"/>
                <w:sz w:val="20"/>
              </w:rPr>
              <w:t>1</w:t>
            </w:r>
          </w:p>
        </w:tc>
        <w:tc>
          <w:tcPr>
            <w:tcW w:w="900" w:type="dxa"/>
            <w:tcBorders>
              <w:top w:val="nil"/>
              <w:left w:val="nil"/>
              <w:right w:val="double" w:sz="6" w:space="0" w:color="auto"/>
            </w:tcBorders>
            <w:shd w:val="clear" w:color="auto" w:fill="auto"/>
            <w:hideMark/>
          </w:tcPr>
          <w:p w:rsidR="00E53AB2" w:rsidRDefault="00593A49">
            <w:pPr>
              <w:jc w:val="right"/>
              <w:rPr>
                <w:color w:val="000000"/>
                <w:sz w:val="20"/>
              </w:rPr>
            </w:pPr>
            <w:r w:rsidRPr="00ED67F0">
              <w:rPr>
                <w:color w:val="000000"/>
                <w:sz w:val="20"/>
              </w:rPr>
              <w:t>$70</w:t>
            </w:r>
          </w:p>
        </w:tc>
      </w:tr>
      <w:tr w:rsidR="0061106F" w:rsidRPr="003C4052" w:rsidTr="008358A0">
        <w:trPr>
          <w:trHeight w:val="20"/>
        </w:trPr>
        <w:tc>
          <w:tcPr>
            <w:tcW w:w="1710" w:type="dxa"/>
            <w:vMerge/>
            <w:tcBorders>
              <w:left w:val="double" w:sz="6" w:space="0" w:color="auto"/>
              <w:right w:val="single" w:sz="8" w:space="0" w:color="auto"/>
            </w:tcBorders>
            <w:shd w:val="clear" w:color="auto" w:fill="auto"/>
            <w:hideMark/>
          </w:tcPr>
          <w:p w:rsidR="00E53AB2" w:rsidRDefault="00E53AB2">
            <w:pPr>
              <w:rPr>
                <w:color w:val="000000"/>
                <w:sz w:val="20"/>
              </w:rPr>
            </w:pPr>
          </w:p>
        </w:tc>
        <w:tc>
          <w:tcPr>
            <w:tcW w:w="1710" w:type="dxa"/>
            <w:vMerge/>
            <w:tcBorders>
              <w:left w:val="nil"/>
              <w:right w:val="single" w:sz="8" w:space="0" w:color="auto"/>
            </w:tcBorders>
            <w:shd w:val="clear" w:color="auto" w:fill="auto"/>
            <w:hideMark/>
          </w:tcPr>
          <w:p w:rsidR="00E53AB2" w:rsidRDefault="00E53AB2">
            <w:pPr>
              <w:rPr>
                <w:color w:val="000000"/>
                <w:sz w:val="20"/>
              </w:rPr>
            </w:pPr>
          </w:p>
        </w:tc>
        <w:tc>
          <w:tcPr>
            <w:tcW w:w="1080" w:type="dxa"/>
            <w:tcBorders>
              <w:left w:val="nil"/>
              <w:right w:val="nil"/>
            </w:tcBorders>
            <w:shd w:val="clear" w:color="auto" w:fill="auto"/>
            <w:hideMark/>
          </w:tcPr>
          <w:p w:rsidR="00E53AB2" w:rsidRDefault="00593A49">
            <w:pPr>
              <w:jc w:val="center"/>
              <w:rPr>
                <w:color w:val="000000"/>
                <w:sz w:val="20"/>
              </w:rPr>
            </w:pPr>
            <w:r w:rsidRPr="00B57823">
              <w:rPr>
                <w:color w:val="000000"/>
                <w:sz w:val="20"/>
              </w:rPr>
              <w:t>0.1</w:t>
            </w:r>
          </w:p>
        </w:tc>
        <w:tc>
          <w:tcPr>
            <w:tcW w:w="1170" w:type="dxa"/>
            <w:tcBorders>
              <w:left w:val="single" w:sz="8" w:space="0" w:color="auto"/>
              <w:right w:val="single" w:sz="8" w:space="0" w:color="auto"/>
            </w:tcBorders>
            <w:shd w:val="clear" w:color="auto" w:fill="auto"/>
            <w:noWrap/>
            <w:hideMark/>
          </w:tcPr>
          <w:p w:rsidR="00E53AB2" w:rsidRDefault="00593A49">
            <w:pPr>
              <w:jc w:val="center"/>
              <w:rPr>
                <w:color w:val="000000"/>
                <w:sz w:val="20"/>
              </w:rPr>
            </w:pPr>
            <w:r w:rsidRPr="00B57823">
              <w:rPr>
                <w:color w:val="000000"/>
                <w:sz w:val="20"/>
              </w:rPr>
              <w:t>clerica</w:t>
            </w:r>
            <w:r>
              <w:rPr>
                <w:color w:val="000000"/>
                <w:sz w:val="20"/>
              </w:rPr>
              <w:t>l</w:t>
            </w:r>
          </w:p>
        </w:tc>
        <w:tc>
          <w:tcPr>
            <w:tcW w:w="1080" w:type="dxa"/>
            <w:tcBorders>
              <w:left w:val="nil"/>
              <w:right w:val="single" w:sz="8" w:space="0" w:color="auto"/>
            </w:tcBorders>
            <w:shd w:val="clear" w:color="auto" w:fill="auto"/>
            <w:hideMark/>
          </w:tcPr>
          <w:p w:rsidR="00E53AB2" w:rsidRDefault="00593A49">
            <w:pPr>
              <w:jc w:val="center"/>
              <w:rPr>
                <w:color w:val="000000"/>
                <w:sz w:val="20"/>
              </w:rPr>
            </w:pPr>
            <w:r w:rsidRPr="00ED67F0">
              <w:rPr>
                <w:color w:val="000000"/>
                <w:sz w:val="20"/>
              </w:rPr>
              <w:t>$3</w:t>
            </w:r>
          </w:p>
        </w:tc>
        <w:tc>
          <w:tcPr>
            <w:tcW w:w="1260" w:type="dxa"/>
            <w:tcBorders>
              <w:left w:val="nil"/>
              <w:right w:val="single" w:sz="8" w:space="0" w:color="auto"/>
            </w:tcBorders>
            <w:shd w:val="clear" w:color="auto" w:fill="auto"/>
            <w:hideMark/>
          </w:tcPr>
          <w:p w:rsidR="00E53AB2" w:rsidRDefault="00593A49">
            <w:pPr>
              <w:jc w:val="center"/>
              <w:rPr>
                <w:color w:val="000000"/>
                <w:sz w:val="20"/>
              </w:rPr>
            </w:pPr>
            <w:r w:rsidRPr="00B57823">
              <w:rPr>
                <w:color w:val="000000"/>
                <w:sz w:val="20"/>
              </w:rPr>
              <w:t>1</w:t>
            </w:r>
          </w:p>
        </w:tc>
        <w:tc>
          <w:tcPr>
            <w:tcW w:w="900" w:type="dxa"/>
            <w:tcBorders>
              <w:top w:val="nil"/>
              <w:left w:val="nil"/>
              <w:bottom w:val="nil"/>
              <w:right w:val="single" w:sz="8" w:space="0" w:color="auto"/>
            </w:tcBorders>
            <w:shd w:val="clear" w:color="auto" w:fill="auto"/>
            <w:hideMark/>
          </w:tcPr>
          <w:p w:rsidR="00E53AB2" w:rsidRDefault="00593A49">
            <w:pPr>
              <w:jc w:val="center"/>
              <w:rPr>
                <w:color w:val="000000"/>
                <w:sz w:val="20"/>
              </w:rPr>
            </w:pPr>
            <w:r w:rsidRPr="0018681F">
              <w:rPr>
                <w:color w:val="000000"/>
                <w:sz w:val="20"/>
              </w:rPr>
              <w:t>0.1</w:t>
            </w:r>
          </w:p>
        </w:tc>
        <w:tc>
          <w:tcPr>
            <w:tcW w:w="900" w:type="dxa"/>
            <w:tcBorders>
              <w:left w:val="nil"/>
              <w:right w:val="double" w:sz="6" w:space="0" w:color="auto"/>
            </w:tcBorders>
            <w:shd w:val="clear" w:color="auto" w:fill="auto"/>
            <w:hideMark/>
          </w:tcPr>
          <w:p w:rsidR="00E53AB2" w:rsidRDefault="00593A49">
            <w:pPr>
              <w:jc w:val="right"/>
              <w:rPr>
                <w:color w:val="000000"/>
                <w:sz w:val="20"/>
              </w:rPr>
            </w:pPr>
            <w:r w:rsidRPr="00ED67F0">
              <w:rPr>
                <w:color w:val="000000"/>
                <w:sz w:val="20"/>
              </w:rPr>
              <w:t>$3</w:t>
            </w:r>
          </w:p>
        </w:tc>
      </w:tr>
      <w:tr w:rsidR="0061106F" w:rsidRPr="003C4052" w:rsidTr="008358A0">
        <w:trPr>
          <w:trHeight w:val="20"/>
        </w:trPr>
        <w:tc>
          <w:tcPr>
            <w:tcW w:w="1710" w:type="dxa"/>
            <w:tcBorders>
              <w:left w:val="double" w:sz="6" w:space="0" w:color="auto"/>
              <w:bottom w:val="single" w:sz="8" w:space="0" w:color="auto"/>
              <w:right w:val="single" w:sz="8" w:space="0" w:color="auto"/>
            </w:tcBorders>
            <w:shd w:val="clear" w:color="auto" w:fill="auto"/>
            <w:noWrap/>
            <w:vAlign w:val="bottom"/>
            <w:hideMark/>
          </w:tcPr>
          <w:p w:rsidR="00E53AB2" w:rsidRDefault="00593A49">
            <w:pPr>
              <w:rPr>
                <w:rFonts w:ascii="Calibri" w:hAnsi="Calibri" w:cs="Calibri"/>
                <w:color w:val="000000"/>
                <w:sz w:val="22"/>
                <w:szCs w:val="22"/>
              </w:rPr>
            </w:pPr>
            <w:r w:rsidRPr="00B57823">
              <w:rPr>
                <w:i/>
                <w:iCs/>
                <w:color w:val="000000"/>
                <w:sz w:val="20"/>
              </w:rPr>
              <w:t>Subtotal</w:t>
            </w:r>
          </w:p>
        </w:tc>
        <w:tc>
          <w:tcPr>
            <w:tcW w:w="1710" w:type="dxa"/>
            <w:tcBorders>
              <w:left w:val="nil"/>
              <w:bottom w:val="single" w:sz="8" w:space="0" w:color="auto"/>
              <w:right w:val="single" w:sz="8" w:space="0" w:color="auto"/>
            </w:tcBorders>
            <w:shd w:val="clear" w:color="auto" w:fill="auto"/>
            <w:noWrap/>
            <w:vAlign w:val="bottom"/>
            <w:hideMark/>
          </w:tcPr>
          <w:p w:rsidR="00E53AB2" w:rsidRDefault="00E53AB2">
            <w:pPr>
              <w:rPr>
                <w:rFonts w:ascii="Calibri" w:hAnsi="Calibri" w:cs="Calibri"/>
                <w:color w:val="000000"/>
                <w:sz w:val="22"/>
                <w:szCs w:val="22"/>
              </w:rPr>
            </w:pPr>
          </w:p>
        </w:tc>
        <w:tc>
          <w:tcPr>
            <w:tcW w:w="1080" w:type="dxa"/>
            <w:tcBorders>
              <w:left w:val="nil"/>
              <w:bottom w:val="single" w:sz="8" w:space="0" w:color="auto"/>
              <w:right w:val="single" w:sz="8" w:space="0" w:color="auto"/>
            </w:tcBorders>
            <w:shd w:val="clear" w:color="auto" w:fill="auto"/>
            <w:noWrap/>
            <w:vAlign w:val="bottom"/>
            <w:hideMark/>
          </w:tcPr>
          <w:p w:rsidR="00E53AB2" w:rsidRDefault="00E53AB2">
            <w:pPr>
              <w:jc w:val="center"/>
              <w:rPr>
                <w:rFonts w:ascii="Calibri" w:hAnsi="Calibri" w:cs="Calibri"/>
                <w:color w:val="000000"/>
                <w:sz w:val="22"/>
                <w:szCs w:val="22"/>
              </w:rPr>
            </w:pPr>
          </w:p>
        </w:tc>
        <w:tc>
          <w:tcPr>
            <w:tcW w:w="1170" w:type="dxa"/>
            <w:tcBorders>
              <w:left w:val="single" w:sz="8" w:space="0" w:color="auto"/>
              <w:bottom w:val="single" w:sz="8" w:space="0" w:color="auto"/>
              <w:right w:val="single" w:sz="8" w:space="0" w:color="auto"/>
            </w:tcBorders>
            <w:shd w:val="clear" w:color="auto" w:fill="auto"/>
            <w:noWrap/>
            <w:vAlign w:val="bottom"/>
            <w:hideMark/>
          </w:tcPr>
          <w:p w:rsidR="00E53AB2" w:rsidRDefault="00E53AB2">
            <w:pPr>
              <w:rPr>
                <w:rFonts w:ascii="Calibri" w:hAnsi="Calibri" w:cs="Calibri"/>
                <w:color w:val="000000"/>
                <w:sz w:val="22"/>
                <w:szCs w:val="22"/>
              </w:rPr>
            </w:pPr>
          </w:p>
        </w:tc>
        <w:tc>
          <w:tcPr>
            <w:tcW w:w="1080" w:type="dxa"/>
            <w:tcBorders>
              <w:left w:val="nil"/>
              <w:bottom w:val="single" w:sz="8" w:space="0" w:color="auto"/>
              <w:right w:val="single" w:sz="8" w:space="0" w:color="auto"/>
            </w:tcBorders>
            <w:shd w:val="clear" w:color="auto" w:fill="auto"/>
            <w:noWrap/>
            <w:vAlign w:val="bottom"/>
            <w:hideMark/>
          </w:tcPr>
          <w:p w:rsidR="00E53AB2" w:rsidRDefault="00E53AB2">
            <w:pPr>
              <w:rPr>
                <w:rFonts w:ascii="Calibri" w:hAnsi="Calibri" w:cs="Calibri"/>
                <w:color w:val="000000"/>
                <w:sz w:val="22"/>
                <w:szCs w:val="22"/>
              </w:rPr>
            </w:pPr>
          </w:p>
        </w:tc>
        <w:tc>
          <w:tcPr>
            <w:tcW w:w="1260" w:type="dxa"/>
            <w:tcBorders>
              <w:left w:val="nil"/>
              <w:bottom w:val="single" w:sz="8" w:space="0" w:color="auto"/>
              <w:right w:val="single" w:sz="8" w:space="0" w:color="auto"/>
            </w:tcBorders>
            <w:shd w:val="clear" w:color="auto" w:fill="auto"/>
            <w:noWrap/>
            <w:vAlign w:val="bottom"/>
            <w:hideMark/>
          </w:tcPr>
          <w:p w:rsidR="00E53AB2" w:rsidRDefault="00593A49">
            <w:pPr>
              <w:jc w:val="center"/>
              <w:rPr>
                <w:rFonts w:ascii="Calibri" w:hAnsi="Calibri" w:cs="Calibri"/>
                <w:color w:val="000000"/>
                <w:sz w:val="22"/>
                <w:szCs w:val="22"/>
              </w:rPr>
            </w:pPr>
            <w:r>
              <w:rPr>
                <w:i/>
                <w:color w:val="000000"/>
                <w:sz w:val="20"/>
              </w:rPr>
              <w:t>1</w:t>
            </w:r>
          </w:p>
        </w:tc>
        <w:tc>
          <w:tcPr>
            <w:tcW w:w="900" w:type="dxa"/>
            <w:tcBorders>
              <w:top w:val="nil"/>
              <w:left w:val="nil"/>
              <w:bottom w:val="single" w:sz="8" w:space="0" w:color="auto"/>
              <w:right w:val="single" w:sz="8" w:space="0" w:color="auto"/>
            </w:tcBorders>
            <w:shd w:val="clear" w:color="auto" w:fill="auto"/>
            <w:noWrap/>
            <w:vAlign w:val="bottom"/>
            <w:hideMark/>
          </w:tcPr>
          <w:p w:rsidR="00E53AB2" w:rsidRDefault="00593A49">
            <w:pPr>
              <w:jc w:val="center"/>
              <w:rPr>
                <w:color w:val="000000"/>
                <w:sz w:val="22"/>
                <w:szCs w:val="22"/>
              </w:rPr>
            </w:pPr>
            <w:r w:rsidRPr="0018681F">
              <w:rPr>
                <w:i/>
                <w:iCs/>
                <w:color w:val="000000"/>
                <w:sz w:val="20"/>
              </w:rPr>
              <w:t>1</w:t>
            </w:r>
          </w:p>
        </w:tc>
        <w:tc>
          <w:tcPr>
            <w:tcW w:w="900" w:type="dxa"/>
            <w:tcBorders>
              <w:left w:val="nil"/>
              <w:bottom w:val="single" w:sz="8" w:space="0" w:color="auto"/>
              <w:right w:val="double" w:sz="6" w:space="0" w:color="auto"/>
            </w:tcBorders>
            <w:shd w:val="clear" w:color="auto" w:fill="auto"/>
            <w:noWrap/>
            <w:vAlign w:val="bottom"/>
            <w:hideMark/>
          </w:tcPr>
          <w:p w:rsidR="00E53AB2" w:rsidRDefault="00593A49">
            <w:pPr>
              <w:jc w:val="right"/>
              <w:rPr>
                <w:color w:val="000000"/>
                <w:sz w:val="22"/>
                <w:szCs w:val="22"/>
              </w:rPr>
            </w:pPr>
            <w:r w:rsidRPr="0018681F">
              <w:rPr>
                <w:i/>
                <w:iCs/>
                <w:color w:val="000000"/>
                <w:sz w:val="20"/>
              </w:rPr>
              <w:t>$73</w:t>
            </w:r>
          </w:p>
        </w:tc>
      </w:tr>
      <w:tr w:rsidR="0061106F" w:rsidRPr="0061106F" w:rsidTr="008358A0">
        <w:trPr>
          <w:trHeight w:val="20"/>
        </w:trPr>
        <w:tc>
          <w:tcPr>
            <w:tcW w:w="6750" w:type="dxa"/>
            <w:gridSpan w:val="5"/>
            <w:tcBorders>
              <w:top w:val="single" w:sz="8" w:space="0" w:color="auto"/>
              <w:left w:val="double" w:sz="6" w:space="0" w:color="auto"/>
              <w:bottom w:val="single" w:sz="8" w:space="0" w:color="auto"/>
              <w:right w:val="single" w:sz="4" w:space="0" w:color="auto"/>
            </w:tcBorders>
            <w:shd w:val="clear" w:color="auto" w:fill="auto"/>
            <w:noWrap/>
            <w:vAlign w:val="bottom"/>
            <w:hideMark/>
          </w:tcPr>
          <w:p w:rsidR="00E53AB2" w:rsidRDefault="00646BB0">
            <w:pPr>
              <w:rPr>
                <w:b/>
                <w:bCs/>
                <w:color w:val="000000"/>
                <w:sz w:val="20"/>
              </w:rPr>
            </w:pPr>
            <w:r w:rsidRPr="00646BB0">
              <w:rPr>
                <w:b/>
                <w:bCs/>
                <w:color w:val="000000"/>
                <w:sz w:val="20"/>
              </w:rPr>
              <w:t>Total</w:t>
            </w:r>
          </w:p>
        </w:tc>
        <w:tc>
          <w:tcPr>
            <w:tcW w:w="1260" w:type="dxa"/>
            <w:tcBorders>
              <w:top w:val="single" w:sz="8" w:space="0" w:color="auto"/>
              <w:left w:val="single" w:sz="4" w:space="0" w:color="auto"/>
              <w:bottom w:val="single" w:sz="4" w:space="0" w:color="auto"/>
              <w:right w:val="single" w:sz="8" w:space="0" w:color="000000"/>
            </w:tcBorders>
            <w:shd w:val="clear" w:color="auto" w:fill="auto"/>
            <w:vAlign w:val="bottom"/>
          </w:tcPr>
          <w:p w:rsidR="00E53AB2" w:rsidRDefault="00646BB0">
            <w:pPr>
              <w:jc w:val="center"/>
              <w:rPr>
                <w:b/>
                <w:bCs/>
                <w:color w:val="000000"/>
                <w:sz w:val="20"/>
              </w:rPr>
            </w:pPr>
            <w:r w:rsidRPr="00646BB0">
              <w:rPr>
                <w:b/>
                <w:bCs/>
                <w:color w:val="000000"/>
                <w:sz w:val="20"/>
              </w:rPr>
              <w:t>141</w:t>
            </w:r>
          </w:p>
        </w:tc>
        <w:tc>
          <w:tcPr>
            <w:tcW w:w="900" w:type="dxa"/>
            <w:tcBorders>
              <w:top w:val="nil"/>
              <w:left w:val="nil"/>
              <w:bottom w:val="single" w:sz="8" w:space="0" w:color="auto"/>
              <w:right w:val="single" w:sz="8" w:space="0" w:color="auto"/>
            </w:tcBorders>
            <w:shd w:val="clear" w:color="auto" w:fill="auto"/>
            <w:noWrap/>
            <w:vAlign w:val="bottom"/>
            <w:hideMark/>
          </w:tcPr>
          <w:p w:rsidR="00E53AB2" w:rsidRDefault="00646BB0">
            <w:pPr>
              <w:jc w:val="center"/>
              <w:rPr>
                <w:b/>
                <w:bCs/>
                <w:color w:val="000000"/>
                <w:sz w:val="20"/>
              </w:rPr>
            </w:pPr>
            <w:r w:rsidRPr="00646BB0">
              <w:rPr>
                <w:b/>
                <w:bCs/>
                <w:color w:val="000000"/>
                <w:sz w:val="20"/>
              </w:rPr>
              <w:t>1,364</w:t>
            </w:r>
          </w:p>
        </w:tc>
        <w:tc>
          <w:tcPr>
            <w:tcW w:w="900" w:type="dxa"/>
            <w:tcBorders>
              <w:top w:val="nil"/>
              <w:left w:val="nil"/>
              <w:bottom w:val="single" w:sz="8" w:space="0" w:color="auto"/>
              <w:right w:val="double" w:sz="6" w:space="0" w:color="auto"/>
            </w:tcBorders>
            <w:shd w:val="clear" w:color="auto" w:fill="auto"/>
            <w:noWrap/>
            <w:vAlign w:val="bottom"/>
            <w:hideMark/>
          </w:tcPr>
          <w:p w:rsidR="00E53AB2" w:rsidRDefault="00646BB0">
            <w:pPr>
              <w:jc w:val="right"/>
              <w:rPr>
                <w:b/>
                <w:bCs/>
                <w:color w:val="000000"/>
                <w:sz w:val="20"/>
              </w:rPr>
            </w:pPr>
            <w:r w:rsidRPr="00646BB0">
              <w:rPr>
                <w:b/>
                <w:bCs/>
                <w:color w:val="000000"/>
                <w:sz w:val="20"/>
              </w:rPr>
              <w:t>$88,588</w:t>
            </w:r>
          </w:p>
        </w:tc>
      </w:tr>
      <w:tr w:rsidR="00717D58" w:rsidRPr="00B57823" w:rsidTr="008358A0">
        <w:trPr>
          <w:trHeight w:val="20"/>
        </w:trPr>
        <w:tc>
          <w:tcPr>
            <w:tcW w:w="9810" w:type="dxa"/>
            <w:gridSpan w:val="8"/>
            <w:tcBorders>
              <w:top w:val="single" w:sz="8" w:space="0" w:color="auto"/>
              <w:left w:val="double" w:sz="6" w:space="0" w:color="auto"/>
              <w:bottom w:val="double" w:sz="6" w:space="0" w:color="auto"/>
              <w:right w:val="double" w:sz="6" w:space="0" w:color="000000"/>
            </w:tcBorders>
            <w:shd w:val="clear" w:color="auto" w:fill="auto"/>
            <w:vAlign w:val="bottom"/>
            <w:hideMark/>
          </w:tcPr>
          <w:p w:rsidR="00E53AB2" w:rsidRDefault="00646BB0">
            <w:pPr>
              <w:rPr>
                <w:b/>
                <w:bCs/>
                <w:color w:val="000000"/>
                <w:sz w:val="18"/>
                <w:szCs w:val="18"/>
              </w:rPr>
            </w:pPr>
            <w:r w:rsidRPr="00646BB0">
              <w:rPr>
                <w:b/>
                <w:bCs/>
                <w:color w:val="000000"/>
                <w:sz w:val="18"/>
                <w:szCs w:val="18"/>
              </w:rPr>
              <w:t>*</w:t>
            </w:r>
            <w:r w:rsidRPr="00646BB0">
              <w:rPr>
                <w:color w:val="000000"/>
                <w:sz w:val="18"/>
                <w:szCs w:val="18"/>
              </w:rPr>
              <w:t xml:space="preserve"> “No. of responses” for searching files is presented only to compute total burden.  Some firms that search their files do not have any studies that must be reported under the TSCA section 8(d) rule.</w:t>
            </w:r>
          </w:p>
        </w:tc>
      </w:tr>
    </w:tbl>
    <w:p w:rsidR="00E53AB2" w:rsidRDefault="00E53AB2">
      <w:pPr>
        <w:widowControl w:val="0"/>
        <w:rPr>
          <w:b/>
          <w:color w:val="000000"/>
        </w:rPr>
      </w:pPr>
    </w:p>
    <w:p w:rsidR="0091312F" w:rsidRDefault="0091312F">
      <w:pPr>
        <w:widowControl w:val="0"/>
        <w:rPr>
          <w:b/>
          <w:color w:val="000000"/>
        </w:rPr>
      </w:pPr>
      <w:r>
        <w:rPr>
          <w:color w:val="000000"/>
        </w:rPr>
        <w:tab/>
        <w:t xml:space="preserve">   </w:t>
      </w:r>
      <w:r w:rsidRPr="003F54F6">
        <w:rPr>
          <w:b/>
          <w:color w:val="000000"/>
        </w:rPr>
        <w:t>(i</w:t>
      </w:r>
      <w:r>
        <w:rPr>
          <w:b/>
          <w:color w:val="000000"/>
        </w:rPr>
        <w:t>i</w:t>
      </w:r>
      <w:r w:rsidRPr="003F54F6">
        <w:rPr>
          <w:b/>
          <w:color w:val="000000"/>
        </w:rPr>
        <w:t xml:space="preserve">) </w:t>
      </w:r>
      <w:r>
        <w:rPr>
          <w:b/>
          <w:color w:val="000000"/>
        </w:rPr>
        <w:t>Cadmium and Cadmium Compounds</w:t>
      </w:r>
    </w:p>
    <w:p w:rsidR="000F32F7" w:rsidRDefault="000F32F7">
      <w:pPr>
        <w:widowControl w:val="0"/>
        <w:rPr>
          <w:color w:val="000000"/>
        </w:rPr>
      </w:pPr>
    </w:p>
    <w:p w:rsidR="000F32F7" w:rsidRDefault="000F32F7" w:rsidP="000F32F7">
      <w:pPr>
        <w:widowControl w:val="0"/>
        <w:ind w:firstLine="720"/>
        <w:rPr>
          <w:color w:val="000000"/>
        </w:rPr>
      </w:pPr>
      <w:r w:rsidRPr="000F32F7">
        <w:rPr>
          <w:color w:val="000000"/>
        </w:rPr>
        <w:t>As</w:t>
      </w:r>
      <w:r>
        <w:rPr>
          <w:color w:val="000000"/>
        </w:rPr>
        <w:t xml:space="preserve"> indicated in section 6(a)(ii) of this supporting statement, EPA estimates that manufacturers </w:t>
      </w:r>
      <w:r>
        <w:rPr>
          <w:color w:val="000000"/>
        </w:rPr>
        <w:lastRenderedPageBreak/>
        <w:t xml:space="preserve">and importers of cadmium and cadmium compounds will submit 28 studies. The vast majority of the estimated 1,384 respondent firms are not expected to have responsive information to submit to EPA.  </w:t>
      </w:r>
    </w:p>
    <w:p w:rsidR="000F32F7" w:rsidRPr="000F32F7" w:rsidRDefault="000F32F7" w:rsidP="000F32F7">
      <w:pPr>
        <w:widowControl w:val="0"/>
        <w:ind w:firstLine="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2300"/>
        <w:gridCol w:w="1390"/>
        <w:gridCol w:w="1170"/>
        <w:gridCol w:w="1440"/>
        <w:gridCol w:w="1530"/>
        <w:gridCol w:w="1529"/>
      </w:tblGrid>
      <w:tr w:rsidR="000F32F7" w:rsidRPr="004E4B58" w:rsidTr="008567CC">
        <w:trPr>
          <w:cantSplit/>
        </w:trPr>
        <w:tc>
          <w:tcPr>
            <w:tcW w:w="9359" w:type="dxa"/>
            <w:gridSpan w:val="6"/>
            <w:tcBorders>
              <w:top w:val="single" w:sz="4" w:space="0" w:color="auto"/>
              <w:left w:val="single" w:sz="4" w:space="0" w:color="auto"/>
              <w:bottom w:val="single" w:sz="4" w:space="0" w:color="auto"/>
              <w:right w:val="single" w:sz="4" w:space="0" w:color="auto"/>
            </w:tcBorders>
            <w:vAlign w:val="center"/>
          </w:tcPr>
          <w:p w:rsidR="000F32F7" w:rsidRPr="004E4B58" w:rsidRDefault="000F32F7" w:rsidP="004B2FCD">
            <w:pPr>
              <w:rPr>
                <w:b/>
                <w:bCs/>
              </w:rPr>
            </w:pPr>
            <w:r>
              <w:rPr>
                <w:b/>
                <w:bCs/>
              </w:rPr>
              <w:t xml:space="preserve">Table </w:t>
            </w:r>
            <w:r w:rsidR="004B2FCD">
              <w:rPr>
                <w:b/>
                <w:bCs/>
              </w:rPr>
              <w:t>13</w:t>
            </w:r>
            <w:r>
              <w:rPr>
                <w:b/>
                <w:bCs/>
              </w:rPr>
              <w:t xml:space="preserve">. </w:t>
            </w:r>
            <w:r w:rsidRPr="004E4B58">
              <w:rPr>
                <w:b/>
                <w:bCs/>
              </w:rPr>
              <w:t>Respondent Cost and Burden Hour Estimates</w:t>
            </w:r>
          </w:p>
        </w:tc>
      </w:tr>
      <w:tr w:rsidR="000F32F7" w:rsidRPr="004E4B58" w:rsidTr="008567CC">
        <w:trPr>
          <w:cantSplit/>
        </w:trPr>
        <w:tc>
          <w:tcPr>
            <w:tcW w:w="230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b/>
                <w:bCs/>
                <w:sz w:val="20"/>
              </w:rPr>
            </w:pPr>
            <w:r w:rsidRPr="0064246C">
              <w:rPr>
                <w:b/>
                <w:bCs/>
                <w:sz w:val="20"/>
              </w:rPr>
              <w:t>Collection Activity</w:t>
            </w:r>
          </w:p>
        </w:tc>
        <w:tc>
          <w:tcPr>
            <w:tcW w:w="139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b/>
                <w:bCs/>
                <w:sz w:val="20"/>
              </w:rPr>
            </w:pPr>
            <w:r w:rsidRPr="0064246C">
              <w:rPr>
                <w:b/>
                <w:bCs/>
                <w:sz w:val="20"/>
              </w:rPr>
              <w:t>Unit Burden Hours</w:t>
            </w:r>
          </w:p>
        </w:tc>
        <w:tc>
          <w:tcPr>
            <w:tcW w:w="117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b/>
                <w:bCs/>
                <w:sz w:val="20"/>
              </w:rPr>
            </w:pPr>
            <w:r w:rsidRPr="0064246C">
              <w:rPr>
                <w:b/>
                <w:bCs/>
                <w:sz w:val="20"/>
              </w:rPr>
              <w:t>Unit Cost</w:t>
            </w:r>
          </w:p>
        </w:tc>
        <w:tc>
          <w:tcPr>
            <w:tcW w:w="144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b/>
                <w:bCs/>
                <w:sz w:val="20"/>
              </w:rPr>
            </w:pPr>
            <w:r w:rsidRPr="0064246C">
              <w:rPr>
                <w:b/>
                <w:bCs/>
                <w:sz w:val="20"/>
              </w:rPr>
              <w:t>Number of Firms or sites per activity</w:t>
            </w:r>
          </w:p>
        </w:tc>
        <w:tc>
          <w:tcPr>
            <w:tcW w:w="153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b/>
                <w:bCs/>
                <w:sz w:val="20"/>
              </w:rPr>
            </w:pPr>
            <w:r w:rsidRPr="0064246C">
              <w:rPr>
                <w:b/>
                <w:bCs/>
                <w:sz w:val="20"/>
              </w:rPr>
              <w:t>Total Burden Hours</w:t>
            </w:r>
          </w:p>
        </w:tc>
        <w:tc>
          <w:tcPr>
            <w:tcW w:w="1529"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b/>
                <w:bCs/>
                <w:sz w:val="20"/>
              </w:rPr>
            </w:pPr>
            <w:r w:rsidRPr="0064246C">
              <w:rPr>
                <w:b/>
                <w:bCs/>
                <w:sz w:val="20"/>
              </w:rPr>
              <w:t>Total Cost</w:t>
            </w:r>
          </w:p>
        </w:tc>
      </w:tr>
      <w:tr w:rsidR="000F32F7" w:rsidRPr="004E4B58" w:rsidTr="008567CC">
        <w:trPr>
          <w:cantSplit/>
        </w:trPr>
        <w:tc>
          <w:tcPr>
            <w:tcW w:w="230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p>
        </w:tc>
        <w:tc>
          <w:tcPr>
            <w:tcW w:w="139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jc w:val="center"/>
              <w:rPr>
                <w:b/>
                <w:bCs/>
                <w:sz w:val="20"/>
              </w:rPr>
            </w:pPr>
            <w:r w:rsidRPr="0064246C">
              <w:rPr>
                <w:b/>
                <w:bCs/>
                <w:sz w:val="20"/>
              </w:rPr>
              <w:t>(a)</w:t>
            </w:r>
          </w:p>
        </w:tc>
        <w:tc>
          <w:tcPr>
            <w:tcW w:w="117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jc w:val="center"/>
              <w:rPr>
                <w:b/>
                <w:bCs/>
                <w:sz w:val="20"/>
              </w:rPr>
            </w:pPr>
            <w:r w:rsidRPr="0064246C">
              <w:rPr>
                <w:b/>
                <w:bCs/>
                <w:sz w:val="20"/>
              </w:rPr>
              <w:t>(b)</w:t>
            </w:r>
          </w:p>
        </w:tc>
        <w:tc>
          <w:tcPr>
            <w:tcW w:w="144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jc w:val="center"/>
              <w:rPr>
                <w:b/>
                <w:bCs/>
                <w:sz w:val="20"/>
              </w:rPr>
            </w:pPr>
            <w:r w:rsidRPr="0064246C">
              <w:rPr>
                <w:b/>
                <w:bCs/>
                <w:sz w:val="20"/>
              </w:rPr>
              <w:t>(c)</w:t>
            </w:r>
          </w:p>
        </w:tc>
        <w:tc>
          <w:tcPr>
            <w:tcW w:w="153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jc w:val="center"/>
              <w:rPr>
                <w:b/>
                <w:bCs/>
                <w:sz w:val="20"/>
              </w:rPr>
            </w:pPr>
            <w:r w:rsidRPr="0064246C">
              <w:rPr>
                <w:b/>
                <w:bCs/>
                <w:sz w:val="20"/>
              </w:rPr>
              <w:t>(d) = (a)*(c)</w:t>
            </w:r>
          </w:p>
        </w:tc>
        <w:tc>
          <w:tcPr>
            <w:tcW w:w="1529"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jc w:val="center"/>
              <w:rPr>
                <w:b/>
                <w:bCs/>
                <w:sz w:val="20"/>
              </w:rPr>
            </w:pPr>
            <w:r w:rsidRPr="0064246C">
              <w:rPr>
                <w:b/>
                <w:bCs/>
                <w:sz w:val="20"/>
              </w:rPr>
              <w:t>(e) = (b)*(c)</w:t>
            </w:r>
          </w:p>
        </w:tc>
      </w:tr>
      <w:tr w:rsidR="000F32F7" w:rsidRPr="004E4B58" w:rsidTr="008567CC">
        <w:trPr>
          <w:cantSplit/>
        </w:trPr>
        <w:tc>
          <w:tcPr>
            <w:tcW w:w="230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rPr>
                <w:sz w:val="20"/>
              </w:rPr>
            </w:pPr>
            <w:r w:rsidRPr="0064246C">
              <w:rPr>
                <w:sz w:val="20"/>
              </w:rPr>
              <w:t>Review of Rule</w:t>
            </w:r>
          </w:p>
        </w:tc>
        <w:tc>
          <w:tcPr>
            <w:tcW w:w="139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2.00</w:t>
            </w:r>
          </w:p>
        </w:tc>
        <w:tc>
          <w:tcPr>
            <w:tcW w:w="117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$141.44</w:t>
            </w:r>
          </w:p>
        </w:tc>
        <w:tc>
          <w:tcPr>
            <w:tcW w:w="144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1,384 Firms</w:t>
            </w:r>
          </w:p>
        </w:tc>
        <w:tc>
          <w:tcPr>
            <w:tcW w:w="153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2,768</w:t>
            </w:r>
          </w:p>
        </w:tc>
        <w:tc>
          <w:tcPr>
            <w:tcW w:w="1529"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$195,753</w:t>
            </w:r>
          </w:p>
        </w:tc>
      </w:tr>
      <w:tr w:rsidR="000F32F7" w:rsidRPr="004E4B58" w:rsidTr="008567CC">
        <w:trPr>
          <w:cantSplit/>
        </w:trPr>
        <w:tc>
          <w:tcPr>
            <w:tcW w:w="230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rPr>
                <w:sz w:val="20"/>
              </w:rPr>
            </w:pPr>
            <w:r w:rsidRPr="0064246C">
              <w:rPr>
                <w:sz w:val="20"/>
              </w:rPr>
              <w:t>Site Identification</w:t>
            </w:r>
          </w:p>
        </w:tc>
        <w:tc>
          <w:tcPr>
            <w:tcW w:w="139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3.00</w:t>
            </w:r>
          </w:p>
        </w:tc>
        <w:tc>
          <w:tcPr>
            <w:tcW w:w="117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$212.16</w:t>
            </w:r>
          </w:p>
        </w:tc>
        <w:tc>
          <w:tcPr>
            <w:tcW w:w="144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0F32F7">
            <w:pPr>
              <w:spacing w:after="58"/>
              <w:jc w:val="right"/>
              <w:rPr>
                <w:sz w:val="20"/>
              </w:rPr>
            </w:pPr>
            <w:r w:rsidRPr="0064246C">
              <w:rPr>
                <w:sz w:val="20"/>
              </w:rPr>
              <w:t>595 Firms</w:t>
            </w:r>
          </w:p>
        </w:tc>
        <w:tc>
          <w:tcPr>
            <w:tcW w:w="153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1,785</w:t>
            </w:r>
          </w:p>
        </w:tc>
        <w:tc>
          <w:tcPr>
            <w:tcW w:w="1529"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$126,235</w:t>
            </w:r>
          </w:p>
        </w:tc>
      </w:tr>
      <w:tr w:rsidR="000F32F7" w:rsidRPr="004E4B58" w:rsidTr="008567CC">
        <w:trPr>
          <w:cantSplit/>
        </w:trPr>
        <w:tc>
          <w:tcPr>
            <w:tcW w:w="230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rPr>
                <w:sz w:val="20"/>
              </w:rPr>
            </w:pPr>
            <w:r w:rsidRPr="0064246C">
              <w:rPr>
                <w:sz w:val="20"/>
              </w:rPr>
              <w:t>Site File Search</w:t>
            </w:r>
          </w:p>
        </w:tc>
        <w:tc>
          <w:tcPr>
            <w:tcW w:w="139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3.00</w:t>
            </w:r>
          </w:p>
        </w:tc>
        <w:tc>
          <w:tcPr>
            <w:tcW w:w="117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$193.98</w:t>
            </w:r>
          </w:p>
        </w:tc>
        <w:tc>
          <w:tcPr>
            <w:tcW w:w="144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802 Sites</w:t>
            </w:r>
          </w:p>
        </w:tc>
        <w:tc>
          <w:tcPr>
            <w:tcW w:w="153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2,406</w:t>
            </w:r>
          </w:p>
        </w:tc>
        <w:tc>
          <w:tcPr>
            <w:tcW w:w="1529"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$155,572</w:t>
            </w:r>
          </w:p>
        </w:tc>
      </w:tr>
      <w:tr w:rsidR="000F32F7" w:rsidRPr="004E4B58" w:rsidTr="008567CC">
        <w:trPr>
          <w:cantSplit/>
        </w:trPr>
        <w:tc>
          <w:tcPr>
            <w:tcW w:w="230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rPr>
                <w:sz w:val="20"/>
              </w:rPr>
            </w:pPr>
            <w:r w:rsidRPr="0064246C">
              <w:rPr>
                <w:sz w:val="20"/>
              </w:rPr>
              <w:t>Study Title Lists</w:t>
            </w:r>
          </w:p>
        </w:tc>
        <w:tc>
          <w:tcPr>
            <w:tcW w:w="139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1.00</w:t>
            </w:r>
          </w:p>
        </w:tc>
        <w:tc>
          <w:tcPr>
            <w:tcW w:w="117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$29.63</w:t>
            </w:r>
          </w:p>
        </w:tc>
        <w:tc>
          <w:tcPr>
            <w:tcW w:w="144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28 Firms</w:t>
            </w:r>
          </w:p>
        </w:tc>
        <w:tc>
          <w:tcPr>
            <w:tcW w:w="153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28</w:t>
            </w:r>
          </w:p>
        </w:tc>
        <w:tc>
          <w:tcPr>
            <w:tcW w:w="1529"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$830</w:t>
            </w:r>
          </w:p>
        </w:tc>
      </w:tr>
      <w:tr w:rsidR="000F32F7" w:rsidRPr="004E4B58" w:rsidTr="008567CC">
        <w:trPr>
          <w:cantSplit/>
        </w:trPr>
        <w:tc>
          <w:tcPr>
            <w:tcW w:w="230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rPr>
                <w:sz w:val="20"/>
              </w:rPr>
            </w:pPr>
            <w:r w:rsidRPr="0064246C">
              <w:rPr>
                <w:sz w:val="20"/>
              </w:rPr>
              <w:t>Photocopy Studies</w:t>
            </w:r>
          </w:p>
        </w:tc>
        <w:tc>
          <w:tcPr>
            <w:tcW w:w="139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0.11</w:t>
            </w:r>
          </w:p>
        </w:tc>
        <w:tc>
          <w:tcPr>
            <w:tcW w:w="117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$3.26</w:t>
            </w:r>
          </w:p>
        </w:tc>
        <w:tc>
          <w:tcPr>
            <w:tcW w:w="144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28 Studies</w:t>
            </w:r>
          </w:p>
        </w:tc>
        <w:tc>
          <w:tcPr>
            <w:tcW w:w="153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3.08</w:t>
            </w:r>
          </w:p>
        </w:tc>
        <w:tc>
          <w:tcPr>
            <w:tcW w:w="1529"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$91.28</w:t>
            </w:r>
          </w:p>
        </w:tc>
      </w:tr>
      <w:tr w:rsidR="000F32F7" w:rsidRPr="004E4B58" w:rsidTr="008567CC">
        <w:trPr>
          <w:cantSplit/>
        </w:trPr>
        <w:tc>
          <w:tcPr>
            <w:tcW w:w="230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rPr>
                <w:sz w:val="20"/>
              </w:rPr>
            </w:pPr>
            <w:r w:rsidRPr="0064246C">
              <w:rPr>
                <w:sz w:val="20"/>
              </w:rPr>
              <w:t>CBI Review</w:t>
            </w:r>
          </w:p>
        </w:tc>
        <w:tc>
          <w:tcPr>
            <w:tcW w:w="139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1.00</w:t>
            </w:r>
          </w:p>
        </w:tc>
        <w:tc>
          <w:tcPr>
            <w:tcW w:w="117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$70.72</w:t>
            </w:r>
          </w:p>
        </w:tc>
        <w:tc>
          <w:tcPr>
            <w:tcW w:w="144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28 Studies</w:t>
            </w:r>
          </w:p>
        </w:tc>
        <w:tc>
          <w:tcPr>
            <w:tcW w:w="153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28</w:t>
            </w:r>
          </w:p>
        </w:tc>
        <w:tc>
          <w:tcPr>
            <w:tcW w:w="1529"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$1,980</w:t>
            </w:r>
          </w:p>
        </w:tc>
      </w:tr>
      <w:tr w:rsidR="000F32F7" w:rsidRPr="004E4B58" w:rsidTr="008567CC">
        <w:trPr>
          <w:cantSplit/>
        </w:trPr>
        <w:tc>
          <w:tcPr>
            <w:tcW w:w="230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rPr>
                <w:sz w:val="20"/>
              </w:rPr>
            </w:pPr>
            <w:r w:rsidRPr="0064246C">
              <w:rPr>
                <w:sz w:val="20"/>
              </w:rPr>
              <w:t xml:space="preserve">Post-Reporting Period Submission </w:t>
            </w:r>
          </w:p>
        </w:tc>
        <w:tc>
          <w:tcPr>
            <w:tcW w:w="139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1.11</w:t>
            </w:r>
          </w:p>
        </w:tc>
        <w:tc>
          <w:tcPr>
            <w:tcW w:w="117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$73.98</w:t>
            </w:r>
          </w:p>
        </w:tc>
        <w:tc>
          <w:tcPr>
            <w:tcW w:w="144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right"/>
              <w:rPr>
                <w:sz w:val="20"/>
              </w:rPr>
            </w:pPr>
            <w:r w:rsidRPr="0064246C">
              <w:rPr>
                <w:sz w:val="20"/>
              </w:rPr>
              <w:t>1 Firms</w:t>
            </w:r>
          </w:p>
        </w:tc>
        <w:tc>
          <w:tcPr>
            <w:tcW w:w="153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1.11</w:t>
            </w:r>
          </w:p>
        </w:tc>
        <w:tc>
          <w:tcPr>
            <w:tcW w:w="1529"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sz w:val="20"/>
              </w:rPr>
            </w:pPr>
            <w:r w:rsidRPr="0064246C">
              <w:rPr>
                <w:sz w:val="20"/>
              </w:rPr>
              <w:t>$73.98</w:t>
            </w:r>
          </w:p>
        </w:tc>
      </w:tr>
      <w:tr w:rsidR="000F32F7" w:rsidRPr="004E4B58" w:rsidTr="008567CC">
        <w:trPr>
          <w:cantSplit/>
        </w:trPr>
        <w:tc>
          <w:tcPr>
            <w:tcW w:w="6300" w:type="dxa"/>
            <w:gridSpan w:val="4"/>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rPr>
                <w:b/>
                <w:bCs/>
                <w:sz w:val="20"/>
              </w:rPr>
            </w:pPr>
            <w:r w:rsidRPr="0064246C">
              <w:rPr>
                <w:b/>
                <w:bCs/>
                <w:sz w:val="20"/>
              </w:rPr>
              <w:t>Total</w:t>
            </w:r>
          </w:p>
        </w:tc>
        <w:tc>
          <w:tcPr>
            <w:tcW w:w="1530"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b/>
                <w:bCs/>
                <w:sz w:val="20"/>
              </w:rPr>
            </w:pPr>
            <w:r w:rsidRPr="0064246C">
              <w:rPr>
                <w:b/>
                <w:bCs/>
                <w:sz w:val="20"/>
              </w:rPr>
              <w:t>7,019</w:t>
            </w:r>
          </w:p>
        </w:tc>
        <w:tc>
          <w:tcPr>
            <w:tcW w:w="1529" w:type="dxa"/>
            <w:tcBorders>
              <w:top w:val="single" w:sz="4" w:space="0" w:color="auto"/>
              <w:left w:val="single" w:sz="4" w:space="0" w:color="auto"/>
              <w:bottom w:val="single" w:sz="4" w:space="0" w:color="auto"/>
              <w:right w:val="single" w:sz="4" w:space="0" w:color="auto"/>
            </w:tcBorders>
            <w:vAlign w:val="center"/>
          </w:tcPr>
          <w:p w:rsidR="000F32F7" w:rsidRPr="0064246C" w:rsidRDefault="000F32F7" w:rsidP="008567CC">
            <w:pPr>
              <w:spacing w:after="58"/>
              <w:jc w:val="center"/>
              <w:rPr>
                <w:b/>
                <w:bCs/>
                <w:sz w:val="20"/>
              </w:rPr>
            </w:pPr>
            <w:r w:rsidRPr="0064246C">
              <w:rPr>
                <w:b/>
                <w:bCs/>
                <w:sz w:val="20"/>
              </w:rPr>
              <w:t>$480,535</w:t>
            </w:r>
          </w:p>
        </w:tc>
      </w:tr>
      <w:tr w:rsidR="000F32F7" w:rsidRPr="004E4B58" w:rsidTr="008567CC">
        <w:trPr>
          <w:cantSplit/>
        </w:trPr>
        <w:tc>
          <w:tcPr>
            <w:tcW w:w="9359" w:type="dxa"/>
            <w:gridSpan w:val="6"/>
            <w:tcBorders>
              <w:top w:val="single" w:sz="4" w:space="0" w:color="auto"/>
              <w:left w:val="single" w:sz="4" w:space="0" w:color="auto"/>
              <w:bottom w:val="single" w:sz="4" w:space="0" w:color="auto"/>
              <w:right w:val="single" w:sz="4" w:space="0" w:color="auto"/>
            </w:tcBorders>
          </w:tcPr>
          <w:p w:rsidR="000F32F7" w:rsidRPr="0064246C" w:rsidRDefault="000F32F7" w:rsidP="000F32F7">
            <w:pPr>
              <w:spacing w:after="58"/>
              <w:rPr>
                <w:sz w:val="20"/>
              </w:rPr>
            </w:pPr>
            <w:r w:rsidRPr="0064246C">
              <w:rPr>
                <w:sz w:val="20"/>
              </w:rPr>
              <w:t>Note: Not all respondents perform all activities.  Also, the ICR assumed 2.4 sites per company in the calculations of certain burden hours (e.g., Site File Search), whereas the economic analysis for this rule estimated the number of sites per company for each distinct NAICS category (see Table X).</w:t>
            </w:r>
          </w:p>
        </w:tc>
      </w:tr>
    </w:tbl>
    <w:p w:rsidR="000F32F7" w:rsidRDefault="000F32F7">
      <w:pPr>
        <w:widowControl w:val="0"/>
        <w:rPr>
          <w:b/>
          <w:color w:val="000000"/>
        </w:rPr>
      </w:pPr>
    </w:p>
    <w:p w:rsidR="00E53AB2" w:rsidRDefault="00717D58">
      <w:pPr>
        <w:keepNext/>
        <w:rPr>
          <w:b/>
          <w:color w:val="000000"/>
        </w:rPr>
      </w:pPr>
      <w:r>
        <w:rPr>
          <w:b/>
          <w:color w:val="000000"/>
        </w:rPr>
        <w:tab/>
        <w:t>6(</w:t>
      </w:r>
      <w:r w:rsidR="00CA49FE">
        <w:rPr>
          <w:b/>
          <w:color w:val="000000"/>
        </w:rPr>
        <w:t>e</w:t>
      </w:r>
      <w:r>
        <w:rPr>
          <w:b/>
          <w:color w:val="000000"/>
        </w:rPr>
        <w:t>)</w:t>
      </w:r>
      <w:r>
        <w:rPr>
          <w:b/>
          <w:color w:val="000000"/>
        </w:rPr>
        <w:tab/>
        <w:t>Bo</w:t>
      </w:r>
      <w:r w:rsidR="00B530F1">
        <w:rPr>
          <w:b/>
          <w:color w:val="000000"/>
        </w:rPr>
        <w:t>ttom Line Burden Hours and Cost</w:t>
      </w:r>
    </w:p>
    <w:p w:rsidR="00FC4CF6" w:rsidRDefault="00FC4CF6" w:rsidP="00FC4CF6">
      <w:pPr>
        <w:keepNext/>
        <w:ind w:firstLine="720"/>
        <w:rPr>
          <w:color w:val="000000"/>
        </w:rPr>
      </w:pPr>
    </w:p>
    <w:p w:rsidR="00E53AB2" w:rsidRDefault="00FC4CF6" w:rsidP="00FC4CF6">
      <w:pPr>
        <w:keepNext/>
        <w:ind w:firstLine="720"/>
        <w:rPr>
          <w:color w:val="000000"/>
        </w:rPr>
      </w:pPr>
      <w:r>
        <w:rPr>
          <w:color w:val="000000"/>
        </w:rPr>
        <w:t>EPA estimates that, based on the 2006 rule addressing 208 HPV chemicals and in consideration of the 2012 rule addressing cadmium and cadmium compounds, the annual paperwork burden is 8,383 hours</w:t>
      </w:r>
    </w:p>
    <w:p w:rsidR="00FC4CF6" w:rsidRDefault="00FC4CF6">
      <w:pPr>
        <w:keepNext/>
        <w:rPr>
          <w:b/>
          <w:color w:val="000000"/>
        </w:rPr>
      </w:pPr>
    </w:p>
    <w:p w:rsidR="00E53AB2" w:rsidRDefault="00B530F1">
      <w:pPr>
        <w:keepNext/>
        <w:ind w:firstLine="720"/>
        <w:rPr>
          <w:color w:val="000000"/>
          <w:u w:val="single"/>
        </w:rPr>
      </w:pPr>
      <w:r w:rsidRPr="007C03C1">
        <w:rPr>
          <w:color w:val="000000"/>
          <w:u w:val="single"/>
        </w:rPr>
        <w:t>Respondent Burden and Costs</w:t>
      </w:r>
    </w:p>
    <w:p w:rsidR="009234A8" w:rsidRDefault="009234A8" w:rsidP="009234A8">
      <w:pPr>
        <w:keepNext/>
        <w:ind w:left="720"/>
        <w:rPr>
          <w:color w:val="000000"/>
        </w:rPr>
      </w:pPr>
      <w:r>
        <w:rPr>
          <w:color w:val="000000"/>
        </w:rPr>
        <w:t>R</w:t>
      </w:r>
      <w:r w:rsidR="00B530F1" w:rsidRPr="00B530F1">
        <w:rPr>
          <w:color w:val="000000"/>
        </w:rPr>
        <w:t>espondent annual burden hours</w:t>
      </w:r>
      <w:r>
        <w:rPr>
          <w:color w:val="000000"/>
        </w:rPr>
        <w:t xml:space="preserve"> (typical)</w:t>
      </w:r>
      <w:r w:rsidR="00B530F1" w:rsidRPr="00B530F1">
        <w:rPr>
          <w:color w:val="000000"/>
        </w:rPr>
        <w:t xml:space="preserve"> = </w:t>
      </w:r>
      <w:r w:rsidR="007C03C1">
        <w:rPr>
          <w:color w:val="000000"/>
        </w:rPr>
        <w:t>1,364</w:t>
      </w:r>
      <w:r w:rsidR="00B530F1" w:rsidRPr="00B530F1">
        <w:rPr>
          <w:color w:val="000000"/>
        </w:rPr>
        <w:t xml:space="preserve"> hours</w:t>
      </w:r>
    </w:p>
    <w:p w:rsidR="00E53AB2" w:rsidRDefault="009234A8" w:rsidP="009234A8">
      <w:pPr>
        <w:keepNext/>
        <w:ind w:left="720"/>
        <w:rPr>
          <w:color w:val="000000"/>
        </w:rPr>
      </w:pPr>
      <w:r>
        <w:rPr>
          <w:color w:val="000000"/>
        </w:rPr>
        <w:t>R</w:t>
      </w:r>
      <w:r w:rsidRPr="00B530F1">
        <w:rPr>
          <w:color w:val="000000"/>
        </w:rPr>
        <w:t xml:space="preserve">espondent </w:t>
      </w:r>
      <w:r>
        <w:rPr>
          <w:color w:val="000000"/>
        </w:rPr>
        <w:t>= 7,019 hours</w:t>
      </w:r>
      <w:r w:rsidRPr="009234A8">
        <w:rPr>
          <w:color w:val="000000"/>
        </w:rPr>
        <w:t xml:space="preserve"> </w:t>
      </w:r>
    </w:p>
    <w:p w:rsidR="009234A8" w:rsidRDefault="009234A8">
      <w:pPr>
        <w:keepNext/>
        <w:ind w:firstLine="720"/>
        <w:rPr>
          <w:color w:val="000000"/>
        </w:rPr>
      </w:pPr>
      <w:r>
        <w:rPr>
          <w:color w:val="000000"/>
        </w:rPr>
        <w:t xml:space="preserve">Total respondent burden = </w:t>
      </w:r>
      <w:r w:rsidRPr="009234A8">
        <w:rPr>
          <w:color w:val="000000"/>
        </w:rPr>
        <w:t>8</w:t>
      </w:r>
      <w:r>
        <w:rPr>
          <w:color w:val="000000"/>
        </w:rPr>
        <w:t>,</w:t>
      </w:r>
      <w:r w:rsidRPr="009234A8">
        <w:rPr>
          <w:color w:val="000000"/>
        </w:rPr>
        <w:t>383</w:t>
      </w:r>
      <w:r>
        <w:rPr>
          <w:color w:val="000000"/>
        </w:rPr>
        <w:t xml:space="preserve"> hours</w:t>
      </w:r>
    </w:p>
    <w:p w:rsidR="009234A8" w:rsidRDefault="009234A8">
      <w:pPr>
        <w:keepNext/>
        <w:ind w:firstLine="720"/>
        <w:rPr>
          <w:color w:val="000000"/>
        </w:rPr>
      </w:pPr>
    </w:p>
    <w:p w:rsidR="009234A8" w:rsidRDefault="009234A8">
      <w:pPr>
        <w:keepNext/>
        <w:ind w:firstLine="720"/>
        <w:rPr>
          <w:color w:val="000000"/>
        </w:rPr>
      </w:pPr>
      <w:r>
        <w:rPr>
          <w:color w:val="000000"/>
        </w:rPr>
        <w:t>R</w:t>
      </w:r>
      <w:r w:rsidR="00B530F1" w:rsidRPr="00B530F1">
        <w:rPr>
          <w:color w:val="000000"/>
        </w:rPr>
        <w:t xml:space="preserve">espondent annual costs </w:t>
      </w:r>
      <w:r>
        <w:rPr>
          <w:color w:val="000000"/>
        </w:rPr>
        <w:t xml:space="preserve">(typical) </w:t>
      </w:r>
      <w:r w:rsidR="00B530F1" w:rsidRPr="00B530F1">
        <w:rPr>
          <w:color w:val="000000"/>
        </w:rPr>
        <w:t>= $</w:t>
      </w:r>
      <w:r w:rsidR="007C03C1">
        <w:rPr>
          <w:color w:val="000000"/>
        </w:rPr>
        <w:t>88,588</w:t>
      </w:r>
    </w:p>
    <w:p w:rsidR="009234A8" w:rsidRDefault="009234A8">
      <w:pPr>
        <w:keepNext/>
        <w:ind w:firstLine="720"/>
        <w:rPr>
          <w:color w:val="000000"/>
        </w:rPr>
      </w:pPr>
      <w:r>
        <w:rPr>
          <w:color w:val="000000"/>
        </w:rPr>
        <w:t>R</w:t>
      </w:r>
      <w:r w:rsidRPr="00B530F1">
        <w:rPr>
          <w:color w:val="000000"/>
        </w:rPr>
        <w:t>espondent costs</w:t>
      </w:r>
      <w:r>
        <w:rPr>
          <w:color w:val="000000"/>
        </w:rPr>
        <w:t xml:space="preserve"> (cadmium and cadmium compounds) = $480,535</w:t>
      </w:r>
    </w:p>
    <w:p w:rsidR="00E53AB2" w:rsidRDefault="009234A8">
      <w:pPr>
        <w:keepNext/>
        <w:ind w:firstLine="720"/>
        <w:rPr>
          <w:color w:val="000000"/>
        </w:rPr>
      </w:pPr>
      <w:r>
        <w:rPr>
          <w:color w:val="000000"/>
        </w:rPr>
        <w:t>Total respondent costs = $</w:t>
      </w:r>
      <w:r w:rsidRPr="009234A8">
        <w:rPr>
          <w:color w:val="000000"/>
        </w:rPr>
        <w:t>569</w:t>
      </w:r>
      <w:r>
        <w:rPr>
          <w:color w:val="000000"/>
        </w:rPr>
        <w:t>,</w:t>
      </w:r>
      <w:r w:rsidRPr="009234A8">
        <w:rPr>
          <w:color w:val="000000"/>
        </w:rPr>
        <w:t>123</w:t>
      </w:r>
    </w:p>
    <w:p w:rsidR="00E53AB2" w:rsidRDefault="00E53AB2">
      <w:pPr>
        <w:widowControl w:val="0"/>
        <w:rPr>
          <w:color w:val="000000"/>
        </w:rPr>
      </w:pPr>
    </w:p>
    <w:p w:rsidR="00E53AB2" w:rsidRDefault="00E53AB2">
      <w:pPr>
        <w:widowControl w:val="0"/>
        <w:ind w:firstLine="720"/>
        <w:rPr>
          <w:color w:val="000000"/>
          <w:u w:val="single"/>
        </w:rPr>
      </w:pPr>
    </w:p>
    <w:p w:rsidR="00E53AB2" w:rsidRDefault="00B530F1">
      <w:pPr>
        <w:widowControl w:val="0"/>
        <w:ind w:firstLine="720"/>
        <w:rPr>
          <w:color w:val="000000"/>
          <w:u w:val="single"/>
        </w:rPr>
      </w:pPr>
      <w:r w:rsidRPr="007C03C1">
        <w:rPr>
          <w:color w:val="000000"/>
          <w:u w:val="single"/>
        </w:rPr>
        <w:t>Agency Burden and Costs</w:t>
      </w:r>
    </w:p>
    <w:p w:rsidR="00E53AB2" w:rsidRDefault="00B530F1">
      <w:pPr>
        <w:widowControl w:val="0"/>
        <w:ind w:firstLine="720"/>
        <w:rPr>
          <w:color w:val="000000"/>
        </w:rPr>
      </w:pPr>
      <w:r w:rsidRPr="00B530F1">
        <w:rPr>
          <w:color w:val="000000"/>
        </w:rPr>
        <w:t>Agency burden hours</w:t>
      </w:r>
      <w:r w:rsidR="009234A8">
        <w:rPr>
          <w:color w:val="000000"/>
        </w:rPr>
        <w:t xml:space="preserve"> (typical)</w:t>
      </w:r>
      <w:r w:rsidRPr="00B530F1">
        <w:rPr>
          <w:color w:val="000000"/>
        </w:rPr>
        <w:t>: 70 hours</w:t>
      </w:r>
    </w:p>
    <w:p w:rsidR="009234A8" w:rsidRDefault="009234A8">
      <w:pPr>
        <w:widowControl w:val="0"/>
        <w:ind w:firstLine="720"/>
        <w:rPr>
          <w:color w:val="000000"/>
        </w:rPr>
      </w:pPr>
      <w:r w:rsidRPr="00B530F1">
        <w:rPr>
          <w:color w:val="000000"/>
        </w:rPr>
        <w:t>Agency burden hours</w:t>
      </w:r>
      <w:r>
        <w:rPr>
          <w:color w:val="000000"/>
        </w:rPr>
        <w:t xml:space="preserve"> (cadmium and cadmium compounds): </w:t>
      </w:r>
      <w:r w:rsidRPr="009234A8">
        <w:rPr>
          <w:color w:val="000000"/>
        </w:rPr>
        <w:t>301.60</w:t>
      </w:r>
      <w:r>
        <w:rPr>
          <w:color w:val="000000"/>
        </w:rPr>
        <w:t xml:space="preserve"> hours</w:t>
      </w:r>
    </w:p>
    <w:p w:rsidR="009234A8" w:rsidRDefault="009234A8">
      <w:pPr>
        <w:widowControl w:val="0"/>
        <w:ind w:firstLine="720"/>
        <w:rPr>
          <w:color w:val="000000"/>
        </w:rPr>
      </w:pPr>
      <w:r>
        <w:rPr>
          <w:color w:val="000000"/>
        </w:rPr>
        <w:t>Total agency burden</w:t>
      </w:r>
      <w:r w:rsidR="00FC4CF6">
        <w:rPr>
          <w:color w:val="000000"/>
        </w:rPr>
        <w:t>: 371.6 hours</w:t>
      </w:r>
    </w:p>
    <w:p w:rsidR="009234A8" w:rsidRDefault="009234A8">
      <w:pPr>
        <w:widowControl w:val="0"/>
        <w:ind w:firstLine="720"/>
        <w:rPr>
          <w:color w:val="000000"/>
        </w:rPr>
      </w:pPr>
    </w:p>
    <w:p w:rsidR="00E53AB2" w:rsidRDefault="00B530F1">
      <w:pPr>
        <w:widowControl w:val="0"/>
        <w:ind w:firstLine="720"/>
        <w:rPr>
          <w:color w:val="000000"/>
        </w:rPr>
      </w:pPr>
      <w:r w:rsidRPr="00B530F1">
        <w:rPr>
          <w:color w:val="000000"/>
        </w:rPr>
        <w:t xml:space="preserve">Agency annual costs </w:t>
      </w:r>
      <w:r w:rsidR="009234A8">
        <w:rPr>
          <w:color w:val="000000"/>
        </w:rPr>
        <w:t xml:space="preserve">(typical) </w:t>
      </w:r>
      <w:r w:rsidRPr="00B530F1">
        <w:rPr>
          <w:color w:val="000000"/>
        </w:rPr>
        <w:t>= $</w:t>
      </w:r>
      <w:r w:rsidR="007C03C1">
        <w:rPr>
          <w:color w:val="000000"/>
        </w:rPr>
        <w:t>5</w:t>
      </w:r>
      <w:r w:rsidRPr="00B530F1">
        <w:rPr>
          <w:color w:val="000000"/>
        </w:rPr>
        <w:t>,</w:t>
      </w:r>
      <w:r w:rsidR="007C03C1">
        <w:rPr>
          <w:color w:val="000000"/>
        </w:rPr>
        <w:t>415</w:t>
      </w:r>
    </w:p>
    <w:p w:rsidR="00E53AB2" w:rsidRDefault="009234A8" w:rsidP="009234A8">
      <w:pPr>
        <w:widowControl w:val="0"/>
        <w:ind w:firstLine="720"/>
        <w:rPr>
          <w:color w:val="000000"/>
        </w:rPr>
      </w:pPr>
      <w:r w:rsidRPr="00B530F1">
        <w:rPr>
          <w:color w:val="000000"/>
        </w:rPr>
        <w:t xml:space="preserve">Agency costs </w:t>
      </w:r>
      <w:r>
        <w:rPr>
          <w:color w:val="000000"/>
        </w:rPr>
        <w:t xml:space="preserve">(cadmium and cadmium compounds) </w:t>
      </w:r>
      <w:r w:rsidRPr="00B530F1">
        <w:rPr>
          <w:color w:val="000000"/>
        </w:rPr>
        <w:t xml:space="preserve">= </w:t>
      </w:r>
      <w:r w:rsidRPr="009234A8">
        <w:rPr>
          <w:color w:val="000000"/>
        </w:rPr>
        <w:t>$</w:t>
      </w:r>
      <w:r w:rsidR="00FC4CF6" w:rsidRPr="00FC4CF6">
        <w:rPr>
          <w:color w:val="000000"/>
        </w:rPr>
        <w:t>23,332</w:t>
      </w:r>
    </w:p>
    <w:p w:rsidR="00FC4CF6" w:rsidRDefault="00FC4CF6" w:rsidP="009234A8">
      <w:pPr>
        <w:widowControl w:val="0"/>
        <w:ind w:firstLine="720"/>
        <w:rPr>
          <w:color w:val="000000"/>
        </w:rPr>
      </w:pPr>
      <w:r>
        <w:rPr>
          <w:color w:val="000000"/>
        </w:rPr>
        <w:t>Total agency costs: $</w:t>
      </w:r>
      <w:r w:rsidRPr="00FC4CF6">
        <w:rPr>
          <w:color w:val="000000"/>
        </w:rPr>
        <w:t>28</w:t>
      </w:r>
      <w:r>
        <w:rPr>
          <w:color w:val="000000"/>
        </w:rPr>
        <w:t>,</w:t>
      </w:r>
      <w:r w:rsidRPr="00FC4CF6">
        <w:rPr>
          <w:color w:val="000000"/>
        </w:rPr>
        <w:t>747</w:t>
      </w:r>
    </w:p>
    <w:p w:rsidR="00FC4CF6" w:rsidRDefault="00FC4CF6" w:rsidP="009234A8">
      <w:pPr>
        <w:widowControl w:val="0"/>
        <w:ind w:firstLine="720"/>
        <w:rPr>
          <w:b/>
          <w:color w:val="000000"/>
        </w:rPr>
      </w:pPr>
    </w:p>
    <w:p w:rsidR="0064246C" w:rsidRDefault="00717D58">
      <w:pPr>
        <w:widowControl w:val="0"/>
        <w:rPr>
          <w:color w:val="000000"/>
        </w:rPr>
      </w:pPr>
      <w:r>
        <w:rPr>
          <w:color w:val="000000"/>
        </w:rPr>
        <w:tab/>
      </w:r>
    </w:p>
    <w:p w:rsidR="0064246C" w:rsidRDefault="0064246C">
      <w:pPr>
        <w:spacing w:after="200" w:line="276" w:lineRule="auto"/>
        <w:rPr>
          <w:color w:val="000000"/>
        </w:rPr>
      </w:pPr>
      <w:r>
        <w:rPr>
          <w:color w:val="000000"/>
        </w:rPr>
        <w:br w:type="page"/>
      </w:r>
    </w:p>
    <w:p w:rsidR="00E53AB2" w:rsidRDefault="00717D58">
      <w:pPr>
        <w:widowControl w:val="0"/>
        <w:rPr>
          <w:color w:val="000000"/>
        </w:rPr>
      </w:pPr>
      <w:r>
        <w:rPr>
          <w:b/>
          <w:color w:val="000000"/>
        </w:rPr>
        <w:lastRenderedPageBreak/>
        <w:t>6(f)</w:t>
      </w:r>
      <w:r>
        <w:rPr>
          <w:b/>
          <w:color w:val="000000"/>
        </w:rPr>
        <w:tab/>
        <w:t>Reasons For Changes in Burden</w:t>
      </w:r>
      <w:r>
        <w:rPr>
          <w:color w:val="000000"/>
        </w:rPr>
        <w:tab/>
      </w:r>
      <w:r>
        <w:rPr>
          <w:color w:val="000000"/>
        </w:rPr>
        <w:tab/>
      </w:r>
      <w:r>
        <w:rPr>
          <w:color w:val="000000"/>
        </w:rPr>
        <w:tab/>
      </w:r>
    </w:p>
    <w:p w:rsidR="00E53AB2" w:rsidRDefault="00E53AB2">
      <w:pPr>
        <w:widowControl w:val="0"/>
        <w:rPr>
          <w:color w:val="000000"/>
        </w:rPr>
      </w:pPr>
    </w:p>
    <w:p w:rsidR="00E53AB2" w:rsidRDefault="00717D58">
      <w:pPr>
        <w:widowControl w:val="0"/>
        <w:rPr>
          <w:color w:val="000000"/>
        </w:rPr>
      </w:pPr>
      <w:r>
        <w:rPr>
          <w:color w:val="000000"/>
        </w:rPr>
        <w:tab/>
      </w:r>
      <w:r>
        <w:t xml:space="preserve">There is an increase of </w:t>
      </w:r>
      <w:r w:rsidR="00FC4CF6" w:rsidRPr="00FC4CF6">
        <w:t>7</w:t>
      </w:r>
      <w:r w:rsidR="004B2FCD">
        <w:t>,</w:t>
      </w:r>
      <w:r w:rsidR="00FC4CF6" w:rsidRPr="00FC4CF6">
        <w:t>930</w:t>
      </w:r>
      <w:r w:rsidR="0064246C">
        <w:t xml:space="preserve"> </w:t>
      </w:r>
      <w:r>
        <w:t xml:space="preserve">hours (from 456 hours to </w:t>
      </w:r>
      <w:r w:rsidR="004B2FCD">
        <w:t>8,383</w:t>
      </w:r>
      <w:r>
        <w:t xml:space="preserve"> hours) in the total estimated respondent burden compared with that currently in the OMB inventory.</w:t>
      </w:r>
      <w:r w:rsidRPr="0038477F">
        <w:rPr>
          <w:color w:val="000000"/>
        </w:rPr>
        <w:t xml:space="preserve">  </w:t>
      </w:r>
      <w:r w:rsidR="00FC4CF6">
        <w:rPr>
          <w:color w:val="000000"/>
        </w:rPr>
        <w:t xml:space="preserve">Much of the burden increase identified in this ICR is associated with a single </w:t>
      </w:r>
      <w:r w:rsidR="00FC4CF6" w:rsidRPr="0038477F">
        <w:rPr>
          <w:color w:val="000000"/>
        </w:rPr>
        <w:t>TSCA section 8(d)</w:t>
      </w:r>
      <w:r w:rsidR="00FC4CF6">
        <w:rPr>
          <w:color w:val="000000"/>
        </w:rPr>
        <w:t xml:space="preserve"> collection for manufacturers and importers of cadmium and cadmium compounds in 2012 (7,019 hours)</w:t>
      </w:r>
      <w:r w:rsidR="00FC4CF6" w:rsidRPr="0038477F">
        <w:rPr>
          <w:color w:val="000000"/>
        </w:rPr>
        <w:t xml:space="preserve">.  </w:t>
      </w:r>
      <w:r w:rsidR="00FC4CF6">
        <w:rPr>
          <w:color w:val="000000"/>
        </w:rPr>
        <w:t xml:space="preserve">The remaining 908 hour increase </w:t>
      </w:r>
      <w:r w:rsidRPr="0038477F">
        <w:rPr>
          <w:color w:val="000000"/>
        </w:rPr>
        <w:t xml:space="preserve">is </w:t>
      </w:r>
      <w:r>
        <w:rPr>
          <w:color w:val="000000"/>
        </w:rPr>
        <w:t xml:space="preserve">due to a revised basis for the rate of chemical additions (from 20 to 70 chemicals per year) and to </w:t>
      </w:r>
      <w:r w:rsidRPr="0038477F">
        <w:rPr>
          <w:color w:val="000000"/>
        </w:rPr>
        <w:t>the episodic nature of rulemakings t</w:t>
      </w:r>
      <w:r>
        <w:rPr>
          <w:color w:val="000000"/>
        </w:rPr>
        <w:t>hat</w:t>
      </w:r>
      <w:r w:rsidRPr="0038477F">
        <w:rPr>
          <w:color w:val="000000"/>
        </w:rPr>
        <w:t xml:space="preserve"> add chemicals to the TSCA section 8(d) list.  </w:t>
      </w:r>
      <w:r>
        <w:rPr>
          <w:color w:val="000000"/>
        </w:rPr>
        <w:t xml:space="preserve">In light of most recent history of additions by ICR Period, </w:t>
      </w:r>
      <w:r w:rsidRPr="0038477F">
        <w:rPr>
          <w:color w:val="000000"/>
        </w:rPr>
        <w:t xml:space="preserve">EPA </w:t>
      </w:r>
      <w:r>
        <w:rPr>
          <w:color w:val="000000"/>
        </w:rPr>
        <w:t>is basing estimates for this ICR on 70 chemical additions per year -- similar to the 2006-2009 ICR period -- and on reporting implications similar to those brought on by chemical additions to TSCA 8(d) in the 2006 rule.</w:t>
      </w:r>
    </w:p>
    <w:p w:rsidR="00E53AB2" w:rsidRDefault="00E53AB2">
      <w:pPr>
        <w:widowControl w:val="0"/>
        <w:rPr>
          <w:color w:val="000000"/>
        </w:rPr>
      </w:pPr>
    </w:p>
    <w:p w:rsidR="00E53AB2" w:rsidRDefault="00717D58">
      <w:pPr>
        <w:widowControl w:val="0"/>
        <w:rPr>
          <w:color w:val="000000"/>
        </w:rPr>
      </w:pPr>
      <w:r>
        <w:rPr>
          <w:color w:val="000000"/>
        </w:rPr>
        <w:tab/>
      </w:r>
      <w:r>
        <w:rPr>
          <w:b/>
          <w:color w:val="000000"/>
        </w:rPr>
        <w:t>6(g)</w:t>
      </w:r>
      <w:r>
        <w:rPr>
          <w:b/>
          <w:color w:val="000000"/>
        </w:rPr>
        <w:tab/>
        <w:t>Burden Statement</w:t>
      </w:r>
    </w:p>
    <w:p w:rsidR="00E53AB2" w:rsidRDefault="00E53AB2">
      <w:pPr>
        <w:widowControl w:val="0"/>
        <w:rPr>
          <w:color w:val="000000"/>
        </w:rPr>
      </w:pPr>
    </w:p>
    <w:p w:rsidR="00E53AB2" w:rsidRDefault="00717D58">
      <w:pPr>
        <w:widowControl w:val="0"/>
        <w:rPr>
          <w:color w:val="000000"/>
        </w:rPr>
      </w:pPr>
      <w:r>
        <w:rPr>
          <w:color w:val="000000"/>
        </w:rPr>
        <w:tab/>
      </w:r>
      <w:r w:rsidRPr="00540B6B">
        <w:rPr>
          <w:color w:val="000000"/>
        </w:rPr>
        <w:t xml:space="preserve">The annual public burden for this collection of information, which is approved under OMB Control No. 2070-0004, is </w:t>
      </w:r>
      <w:r w:rsidR="009234A8">
        <w:rPr>
          <w:color w:val="000000"/>
        </w:rPr>
        <w:t xml:space="preserve">typically </w:t>
      </w:r>
      <w:r w:rsidRPr="00540B6B">
        <w:rPr>
          <w:color w:val="000000"/>
        </w:rPr>
        <w:t xml:space="preserve">estimated to </w:t>
      </w:r>
      <w:r>
        <w:rPr>
          <w:color w:val="000000"/>
        </w:rPr>
        <w:t>average</w:t>
      </w:r>
      <w:r w:rsidRPr="00540B6B">
        <w:rPr>
          <w:color w:val="000000"/>
        </w:rPr>
        <w:t xml:space="preserve"> </w:t>
      </w:r>
      <w:r>
        <w:rPr>
          <w:color w:val="000000"/>
        </w:rPr>
        <w:t>about</w:t>
      </w:r>
      <w:r w:rsidRPr="00540B6B">
        <w:rPr>
          <w:color w:val="000000"/>
        </w:rPr>
        <w:t xml:space="preserve"> </w:t>
      </w:r>
      <w:r>
        <w:rPr>
          <w:color w:val="000000"/>
        </w:rPr>
        <w:t>9.7</w:t>
      </w:r>
      <w:r w:rsidRPr="00540B6B">
        <w:rPr>
          <w:color w:val="000000"/>
        </w:rPr>
        <w:t xml:space="preserve"> </w:t>
      </w:r>
      <w:r>
        <w:rPr>
          <w:color w:val="000000"/>
        </w:rPr>
        <w:t xml:space="preserve">hours </w:t>
      </w:r>
      <w:r w:rsidRPr="00540B6B">
        <w:rPr>
          <w:color w:val="000000"/>
        </w:rPr>
        <w:t>per response</w:t>
      </w:r>
      <w:r>
        <w:rPr>
          <w:color w:val="000000"/>
        </w:rPr>
        <w:t xml:space="preserve">. </w:t>
      </w:r>
      <w:r w:rsidRPr="007C29E2">
        <w:rPr>
          <w:color w:val="000000"/>
        </w:rPr>
        <w:t>Burden is defined in 5 CFR 1320.3(b).</w:t>
      </w:r>
      <w:r>
        <w:rPr>
          <w:color w:val="000000"/>
        </w:rPr>
        <w:t xml:space="preserve">  An agency may not conduct or sponsor, and a person is not required to respond to, a collection of information unless it displays a currently valid OMB control number.  The OMB control number for this information collection appears above.  In addition, the OMB control numbers for EPA’s regulation in Title 40 of the CFR, after initial display in the final rule, are listed in 40 CFR part 9.</w:t>
      </w:r>
    </w:p>
    <w:p w:rsidR="00E53AB2" w:rsidRDefault="00E53A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E53AB2" w:rsidRDefault="00717D58">
      <w:r>
        <w:tab/>
        <w:t xml:space="preserve">The Agency has established a public docket for this ICR under </w:t>
      </w:r>
      <w:r w:rsidRPr="005705DF">
        <w:t>Docket ID No. EPA-HQ-OPPT-2011-0</w:t>
      </w:r>
      <w:r>
        <w:t xml:space="preserve">777, which is available for online viewing at www.regulations.gov, or in person viewing at the EPA Docket Center (EPA/DC), EPA West, Room 3334, 1301 Constitution Ave., NW.,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The </w:t>
      </w:r>
      <w:r w:rsidR="003B5A90">
        <w:t>EPA/DC</w:t>
      </w:r>
      <w:r>
        <w:t xml:space="preserve"> Public Reading Room is open from 8:30 a.m. to 4:30 p.m., Monday through Friday, excluding legal holidays.  The telephone number for the Reading Room is (202) 566-1744, and the telephone number for the Pollution Prevention and Toxics Docket is (202) 566-0280.  You may submit comments regarding the Agency's need for this information, the accuracy of the provided burden estimates and any suggested methods for minimizing respondent burden, including the use of automated collection techniques.</w:t>
      </w:r>
    </w:p>
    <w:p w:rsidR="00E53AB2" w:rsidRDefault="00E53AB2"/>
    <w:p w:rsidR="00E53AB2" w:rsidRDefault="00717D58">
      <w:pPr>
        <w:rPr>
          <w:color w:val="000000"/>
        </w:rPr>
      </w:pPr>
      <w:r>
        <w:tab/>
        <w:t xml:space="preserve">Submit your comments, referencing </w:t>
      </w:r>
      <w:r w:rsidRPr="005705DF">
        <w:t>Docket ID No. EPA-HQ-OPPT-20</w:t>
      </w:r>
      <w:r>
        <w:t>11</w:t>
      </w:r>
      <w:r w:rsidRPr="005705DF">
        <w:t>-0</w:t>
      </w:r>
      <w:r>
        <w:t xml:space="preserve">777 and OMB Control No. </w:t>
      </w:r>
      <w:r w:rsidRPr="009E46AD">
        <w:t>2070-</w:t>
      </w:r>
      <w:r>
        <w:t xml:space="preserve">0004, to </w:t>
      </w:r>
      <w:r w:rsidR="007C03C1">
        <w:t xml:space="preserve">(1) </w:t>
      </w:r>
      <w:r>
        <w:t>EPA online using www.regulations.gov (our preferred method), or by mail to: Document Control Office (DCO), Office of Pollution Prevention and Toxics (OPPT), Environmental Protection Agency, Mail Code: 7407T, 1200 Pennsylvania Av</w:t>
      </w:r>
      <w:r w:rsidR="002534BD">
        <w:t xml:space="preserve">e., NW,  Washington, D.C. 20460, </w:t>
      </w:r>
      <w:r w:rsidR="007C03C1" w:rsidRPr="00154660">
        <w:rPr>
          <w:szCs w:val="24"/>
        </w:rPr>
        <w:t>and (2) OMB by mail to: Office of Information and Regulatory Affairs, Office of Management and Budget (OMB), Attention: Desk Officer for EPA, 725 17th Street, NW, Washington, DC 20503.</w:t>
      </w:r>
      <w:r>
        <w:rPr>
          <w:color w:val="000000"/>
        </w:rPr>
        <w:br w:type="page"/>
      </w:r>
      <w:r>
        <w:rPr>
          <w:b/>
          <w:smallCaps/>
          <w:color w:val="000000"/>
        </w:rPr>
        <w:lastRenderedPageBreak/>
        <w:t>Attachments</w:t>
      </w:r>
    </w:p>
    <w:p w:rsidR="00E53AB2" w:rsidRDefault="00717D58">
      <w:pPr>
        <w:widowControl w:val="0"/>
        <w:rPr>
          <w:color w:val="000000"/>
        </w:rPr>
      </w:pPr>
      <w:r>
        <w:rPr>
          <w:color w:val="000000"/>
        </w:rPr>
        <w:tab/>
      </w:r>
      <w:r>
        <w:rPr>
          <w:color w:val="000000"/>
        </w:rPr>
        <w:tab/>
      </w:r>
      <w:r>
        <w:rPr>
          <w:color w:val="000000"/>
        </w:rPr>
        <w:tab/>
      </w:r>
      <w:r>
        <w:rPr>
          <w:color w:val="000000"/>
        </w:rPr>
        <w:tab/>
      </w:r>
      <w:r>
        <w:rPr>
          <w:color w:val="000000"/>
        </w:rPr>
        <w:tab/>
      </w:r>
    </w:p>
    <w:p w:rsidR="00E53AB2" w:rsidRDefault="00717D58">
      <w:pPr>
        <w:widowControl w:val="0"/>
        <w:rPr>
          <w:color w:val="000000"/>
        </w:rPr>
      </w:pPr>
      <w:r>
        <w:rPr>
          <w:color w:val="000000"/>
        </w:rPr>
        <w:t>All of the attachments listed below can be found in the docket for this ICR (unless otherwise noted); accessible electronically through</w:t>
      </w:r>
      <w:r>
        <w:rPr>
          <w:b/>
          <w:color w:val="000000"/>
        </w:rPr>
        <w:t xml:space="preserve"> </w:t>
      </w:r>
      <w:hyperlink r:id="rId13" w:history="1">
        <w:r w:rsidRPr="00DE3BE7">
          <w:rPr>
            <w:rStyle w:val="Hyperlink"/>
          </w:rPr>
          <w:t>www.regulations.gov</w:t>
        </w:r>
      </w:hyperlink>
      <w:r>
        <w:rPr>
          <w:color w:val="000000"/>
        </w:rPr>
        <w:t xml:space="preserve">. On the main page, select </w:t>
      </w:r>
      <w:r>
        <w:rPr>
          <w:b/>
          <w:color w:val="000000"/>
        </w:rPr>
        <w:t>Advanced Search</w:t>
      </w:r>
      <w:r>
        <w:rPr>
          <w:color w:val="000000"/>
        </w:rPr>
        <w:t xml:space="preserve"> from the menu bar at the top and select </w:t>
      </w:r>
      <w:r>
        <w:rPr>
          <w:b/>
          <w:color w:val="000000"/>
        </w:rPr>
        <w:t>Docket Search</w:t>
      </w:r>
      <w:r>
        <w:rPr>
          <w:color w:val="000000"/>
        </w:rPr>
        <w:t xml:space="preserve">. Enter the </w:t>
      </w:r>
      <w:r>
        <w:rPr>
          <w:b/>
          <w:color w:val="000000"/>
        </w:rPr>
        <w:t>Docket ID</w:t>
      </w:r>
      <w:r>
        <w:rPr>
          <w:color w:val="000000"/>
        </w:rPr>
        <w:t xml:space="preserve"> Number, </w:t>
      </w:r>
      <w:r w:rsidRPr="005705DF">
        <w:rPr>
          <w:b/>
          <w:color w:val="000000"/>
        </w:rPr>
        <w:t>EPA-HQ-OPPT-20</w:t>
      </w:r>
      <w:r>
        <w:rPr>
          <w:b/>
          <w:color w:val="000000"/>
        </w:rPr>
        <w:t>11</w:t>
      </w:r>
      <w:r w:rsidRPr="005705DF">
        <w:rPr>
          <w:b/>
          <w:color w:val="000000"/>
        </w:rPr>
        <w:t>-0</w:t>
      </w:r>
      <w:r>
        <w:rPr>
          <w:b/>
          <w:color w:val="000000"/>
        </w:rPr>
        <w:t>777</w:t>
      </w:r>
      <w:r>
        <w:rPr>
          <w:color w:val="000000"/>
        </w:rPr>
        <w:t xml:space="preserve"> in the </w:t>
      </w:r>
      <w:r>
        <w:rPr>
          <w:b/>
          <w:color w:val="000000"/>
        </w:rPr>
        <w:t>Docket ID</w:t>
      </w:r>
      <w:r>
        <w:rPr>
          <w:color w:val="000000"/>
        </w:rPr>
        <w:t xml:space="preserve"> field. Click on the</w:t>
      </w:r>
      <w:r>
        <w:rPr>
          <w:b/>
          <w:color w:val="000000"/>
        </w:rPr>
        <w:t xml:space="preserve"> Submit</w:t>
      </w:r>
      <w:r>
        <w:rPr>
          <w:color w:val="000000"/>
        </w:rPr>
        <w:t xml:space="preserve"> button. From the results page, you will be able to link to the docket view or directly open select documents found in the docket.</w:t>
      </w:r>
    </w:p>
    <w:p w:rsidR="00E53AB2" w:rsidRDefault="00E53AB2">
      <w:pPr>
        <w:widowControl w:val="0"/>
        <w:rPr>
          <w:color w:val="000000"/>
        </w:rPr>
      </w:pPr>
    </w:p>
    <w:p w:rsidR="00E53AB2" w:rsidRDefault="00717D58">
      <w:pPr>
        <w:widowControl w:val="0"/>
        <w:rPr>
          <w:color w:val="000000"/>
        </w:rPr>
      </w:pPr>
      <w:r>
        <w:rPr>
          <w:b/>
          <w:smallCaps/>
          <w:color w:val="000000"/>
        </w:rPr>
        <w:t xml:space="preserve">attachment 1 - </w:t>
      </w:r>
      <w:r>
        <w:rPr>
          <w:color w:val="000000"/>
        </w:rPr>
        <w:t>Toxic Substances Control Act Section 8(d), 15 U.S.C. 2607(d)</w:t>
      </w:r>
    </w:p>
    <w:p w:rsidR="00E53AB2" w:rsidRDefault="00E53AB2">
      <w:pPr>
        <w:widowControl w:val="0"/>
        <w:rPr>
          <w:color w:val="000000"/>
        </w:rPr>
      </w:pPr>
    </w:p>
    <w:p w:rsidR="00E53AB2" w:rsidRDefault="00717D58">
      <w:pPr>
        <w:widowControl w:val="0"/>
        <w:rPr>
          <w:color w:val="000000"/>
        </w:rPr>
      </w:pPr>
      <w:r>
        <w:rPr>
          <w:b/>
          <w:smallCaps/>
          <w:color w:val="000000"/>
        </w:rPr>
        <w:t>Attachment 2 -</w:t>
      </w:r>
      <w:r>
        <w:rPr>
          <w:b/>
          <w:color w:val="000000"/>
        </w:rPr>
        <w:t xml:space="preserve"> </w:t>
      </w:r>
      <w:r>
        <w:rPr>
          <w:color w:val="000000"/>
        </w:rPr>
        <w:t>Health and Safety Data Reporting, 40 CFR 716</w:t>
      </w:r>
    </w:p>
    <w:p w:rsidR="00E53AB2" w:rsidRDefault="00E53AB2">
      <w:pPr>
        <w:widowControl w:val="0"/>
        <w:rPr>
          <w:color w:val="000000"/>
        </w:rPr>
      </w:pPr>
    </w:p>
    <w:p w:rsidR="00E53AB2" w:rsidRDefault="00717D58">
      <w:pPr>
        <w:widowControl w:val="0"/>
        <w:rPr>
          <w:color w:val="000000"/>
        </w:rPr>
      </w:pPr>
      <w:r>
        <w:rPr>
          <w:b/>
          <w:smallCaps/>
          <w:color w:val="000000"/>
        </w:rPr>
        <w:t xml:space="preserve">Attachment 3 - </w:t>
      </w:r>
      <w:r w:rsidRPr="00244D86">
        <w:rPr>
          <w:color w:val="000000"/>
        </w:rPr>
        <w:t>Copy of Consultations Message Sent by EPA to Potential Respondents</w:t>
      </w:r>
    </w:p>
    <w:p w:rsidR="003F7D38" w:rsidRDefault="003F7D38"/>
    <w:sectPr w:rsidR="003F7D38" w:rsidSect="00D076A0">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3AC" w:rsidRDefault="00F003AC" w:rsidP="00717D58">
      <w:r>
        <w:separator/>
      </w:r>
    </w:p>
  </w:endnote>
  <w:endnote w:type="continuationSeparator" w:id="0">
    <w:p w:rsidR="00F003AC" w:rsidRDefault="00F003AC" w:rsidP="00717D58">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7CC" w:rsidRDefault="00054AFC">
    <w:pPr>
      <w:pStyle w:val="Footer"/>
      <w:jc w:val="center"/>
    </w:pPr>
    <w:sdt>
      <w:sdtPr>
        <w:id w:val="31332876"/>
        <w:docPartObj>
          <w:docPartGallery w:val="Page Numbers (Bottom of Page)"/>
          <w:docPartUnique/>
        </w:docPartObj>
      </w:sdtPr>
      <w:sdtContent>
        <w:fldSimple w:instr=" PAGE   \* MERGEFORMAT ">
          <w:r w:rsidR="00DA25AF">
            <w:rPr>
              <w:noProof/>
            </w:rPr>
            <w:t>20</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3AC" w:rsidRDefault="00F003AC" w:rsidP="00717D58">
      <w:r>
        <w:separator/>
      </w:r>
    </w:p>
  </w:footnote>
  <w:footnote w:type="continuationSeparator" w:id="0">
    <w:p w:rsidR="00F003AC" w:rsidRDefault="00F003AC" w:rsidP="00717D58">
      <w:r>
        <w:continuationSeparator/>
      </w:r>
    </w:p>
  </w:footnote>
  <w:footnote w:id="1">
    <w:p w:rsidR="008567CC" w:rsidRDefault="008567CC" w:rsidP="00717D58">
      <w:pPr>
        <w:pStyle w:val="FootnoteText"/>
      </w:pPr>
      <w:r>
        <w:rPr>
          <w:rStyle w:val="FootnoteReference"/>
        </w:rPr>
        <w:footnoteRef/>
      </w:r>
      <w:r>
        <w:t xml:space="preserve"> According to 40 CFR part 716.5, persons are required to report under a TSCA section 8(d) rule if, during the 10 years preceding the effective date of the rule, they manufactured (including imported) or planned to manufacture (including import) a listed chemical.  The IUR data for this analysis is not limited to reporting from chemical manufacturers and petroleum refiners. This scope does not affect the accuracy of the results, given that only firms regulated under TSCA 8(d) submit reports.</w:t>
      </w:r>
    </w:p>
  </w:footnote>
  <w:footnote w:id="2">
    <w:p w:rsidR="008567CC" w:rsidRDefault="008567CC" w:rsidP="00CA49FE">
      <w:pPr>
        <w:pStyle w:val="FootnoteText"/>
      </w:pPr>
      <w:r>
        <w:rPr>
          <w:rStyle w:val="FootnoteReference"/>
        </w:rPr>
        <w:footnoteRef/>
      </w:r>
      <w:r>
        <w:t xml:space="preserve"> </w:t>
      </w:r>
      <w:r w:rsidRPr="005E06E2">
        <w:t>The EPA wage rate is calculated based on the GS-13 Step 5 wage rate for calendar 20</w:t>
      </w:r>
      <w:r>
        <w:t>11</w:t>
      </w:r>
      <w:r w:rsidRPr="005E06E2">
        <w:t>, from the Office of Personnel Management salary and wage tables for Washington-Baltimore</w:t>
      </w:r>
      <w:r w:rsidRPr="005E06E2">
        <w:rPr>
          <w:i/>
          <w:iCs/>
        </w:rPr>
        <w:t>-</w:t>
      </w:r>
      <w:r w:rsidRPr="005E06E2">
        <w:t>Northern Virgini</w:t>
      </w:r>
      <w:r>
        <w:t xml:space="preserve">a. </w:t>
      </w:r>
      <w:r w:rsidRPr="005E06E2">
        <w:t xml:space="preserve">The 60% fringes-and-overhead rate is from </w:t>
      </w:r>
      <w:r w:rsidRPr="005E06E2">
        <w:rPr>
          <w:i/>
          <w:iCs/>
        </w:rPr>
        <w:t xml:space="preserve">ICR Handbook: EPA’s Guide to Writing Information Collection Requests Under the Paperwork Reduction Act of 1995.  </w:t>
      </w:r>
      <w:r w:rsidRPr="005E06E2">
        <w:t>(EPA Office of Environmental Information, 2005).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Roman"/>
      <w:suff w:val="nothing"/>
      <w:lvlText w:val="(%1)"/>
      <w:lvlJc w:val="left"/>
    </w:lvl>
    <w:lvl w:ilvl="1">
      <w:start w:val="1"/>
      <w:numFmt w:val="lowerRoman"/>
      <w:suff w:val="nothing"/>
      <w:lvlText w:val="(%2)"/>
      <w:lvlJc w:val="left"/>
    </w:lvl>
    <w:lvl w:ilvl="2">
      <w:start w:val="1"/>
      <w:numFmt w:val="lowerRoman"/>
      <w:suff w:val="nothing"/>
      <w:lvlText w:val="(%3)"/>
      <w:lvlJc w:val="left"/>
    </w:lvl>
    <w:lvl w:ilvl="3">
      <w:start w:val="1"/>
      <w:numFmt w:val="lowerRoman"/>
      <w:suff w:val="nothing"/>
      <w:lvlText w:val="(%4)"/>
      <w:lvlJc w:val="left"/>
    </w:lvl>
    <w:lvl w:ilvl="4">
      <w:start w:val="1"/>
      <w:numFmt w:val="lowerRoman"/>
      <w:suff w:val="nothing"/>
      <w:lvlText w:val="(%5)"/>
      <w:lvlJc w:val="left"/>
    </w:lvl>
    <w:lvl w:ilvl="5">
      <w:start w:val="1"/>
      <w:numFmt w:val="lowerRoman"/>
      <w:suff w:val="nothing"/>
      <w:lvlText w:val="(%6)"/>
      <w:lvlJc w:val="left"/>
    </w:lvl>
    <w:lvl w:ilvl="6">
      <w:start w:val="1"/>
      <w:numFmt w:val="lowerRoman"/>
      <w:suff w:val="nothing"/>
      <w:lvlText w:val="(%7)"/>
      <w:lvlJc w:val="left"/>
    </w:lvl>
    <w:lvl w:ilvl="7">
      <w:start w:val="1"/>
      <w:numFmt w:val="lowerRoman"/>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C"/>
      <w:lvlJc w:val="left"/>
      <w:rPr>
        <w:rFonts w:ascii="WP MathA" w:hAnsi="WP MathA"/>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S"/>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S"/>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S"/>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S"/>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S"/>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S"/>
      <w:lvlJc w:val="left"/>
      <w:rPr>
        <w:rFonts w:ascii="WP TypographicSymbols" w:hAnsi="WP TypographicSymbols"/>
      </w:rPr>
    </w:lvl>
  </w:abstractNum>
  <w:abstractNum w:abstractNumId="8">
    <w:nsid w:val="00000009"/>
    <w:multiLevelType w:val="singleLevel"/>
    <w:tmpl w:val="00000009"/>
    <w:lvl w:ilvl="0">
      <w:start w:val="1"/>
      <w:numFmt w:val="none"/>
      <w:suff w:val="nothing"/>
      <w:lvlText w:val="S"/>
      <w:lvlJc w:val="left"/>
      <w:rPr>
        <w:rFonts w:ascii="WP TypographicSymbols" w:hAnsi="WP TypographicSymbols"/>
      </w:rPr>
    </w:lvl>
  </w:abstractNum>
  <w:abstractNum w:abstractNumId="9">
    <w:nsid w:val="0000000A"/>
    <w:multiLevelType w:val="singleLevel"/>
    <w:tmpl w:val="0000000A"/>
    <w:lvl w:ilvl="0">
      <w:start w:val="1"/>
      <w:numFmt w:val="none"/>
      <w:suff w:val="nothing"/>
      <w:lvlText w:val="S"/>
      <w:lvlJc w:val="left"/>
      <w:rPr>
        <w:rFonts w:ascii="WP TypographicSymbols" w:hAnsi="WP TypographicSymbols"/>
      </w:rPr>
    </w:lvl>
  </w:abstractNum>
  <w:abstractNum w:abstractNumId="10">
    <w:nsid w:val="0000000B"/>
    <w:multiLevelType w:val="singleLevel"/>
    <w:tmpl w:val="0000000B"/>
    <w:lvl w:ilvl="0">
      <w:start w:val="1"/>
      <w:numFmt w:val="none"/>
      <w:suff w:val="nothing"/>
      <w:lvlText w:val="S"/>
      <w:lvlJc w:val="left"/>
      <w:rPr>
        <w:rFonts w:ascii="WP TypographicSymbols" w:hAnsi="WP TypographicSymbols"/>
      </w:rPr>
    </w:lvl>
  </w:abstractNum>
  <w:abstractNum w:abstractNumId="11">
    <w:nsid w:val="0000000C"/>
    <w:multiLevelType w:val="singleLevel"/>
    <w:tmpl w:val="0000000C"/>
    <w:lvl w:ilvl="0">
      <w:start w:val="1"/>
      <w:numFmt w:val="none"/>
      <w:suff w:val="nothing"/>
      <w:lvlText w:val="S"/>
      <w:lvlJc w:val="left"/>
      <w:rPr>
        <w:rFonts w:ascii="WP TypographicSymbols" w:hAnsi="WP TypographicSymbols"/>
      </w:rPr>
    </w:lvl>
  </w:abstractNum>
  <w:abstractNum w:abstractNumId="12">
    <w:nsid w:val="0000000D"/>
    <w:multiLevelType w:val="singleLevel"/>
    <w:tmpl w:val="0000000D"/>
    <w:lvl w:ilvl="0">
      <w:start w:val="1"/>
      <w:numFmt w:val="none"/>
      <w:suff w:val="nothing"/>
      <w:lvlText w:val="S"/>
      <w:lvlJc w:val="left"/>
      <w:rPr>
        <w:rFonts w:ascii="WP TypographicSymbols" w:hAnsi="WP TypographicSymbols"/>
      </w:rPr>
    </w:lvl>
  </w:abstractNum>
  <w:abstractNum w:abstractNumId="13">
    <w:nsid w:val="0000000E"/>
    <w:multiLevelType w:val="singleLevel"/>
    <w:tmpl w:val="0000000E"/>
    <w:lvl w:ilvl="0">
      <w:start w:val="1"/>
      <w:numFmt w:val="none"/>
      <w:suff w:val="nothing"/>
      <w:lvlText w:val="S"/>
      <w:lvlJc w:val="left"/>
      <w:rPr>
        <w:rFonts w:ascii="WP TypographicSymbols" w:hAnsi="WP TypographicSymbols"/>
      </w:rPr>
    </w:lvl>
  </w:abstractNum>
  <w:abstractNum w:abstractNumId="14">
    <w:nsid w:val="064D6C13"/>
    <w:multiLevelType w:val="hybridMultilevel"/>
    <w:tmpl w:val="C884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007B9C"/>
    <w:multiLevelType w:val="hybridMultilevel"/>
    <w:tmpl w:val="B56C9506"/>
    <w:lvl w:ilvl="0" w:tplc="398C30F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DCD26E6"/>
    <w:multiLevelType w:val="hybridMultilevel"/>
    <w:tmpl w:val="22EC0096"/>
    <w:lvl w:ilvl="0" w:tplc="0409000F">
      <w:start w:val="1"/>
      <w:numFmt w:val="decimal"/>
      <w:lvlText w:val="%1."/>
      <w:lvlJc w:val="left"/>
      <w:pPr>
        <w:tabs>
          <w:tab w:val="num" w:pos="1440"/>
        </w:tabs>
        <w:ind w:left="144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7F2E45"/>
    <w:multiLevelType w:val="hybridMultilevel"/>
    <w:tmpl w:val="A0BE4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1A4666"/>
    <w:multiLevelType w:val="hybridMultilevel"/>
    <w:tmpl w:val="7F369E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E71669"/>
    <w:multiLevelType w:val="hybridMultilevel"/>
    <w:tmpl w:val="DC9E5414"/>
    <w:lvl w:ilvl="0" w:tplc="8E5271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EE444D"/>
    <w:multiLevelType w:val="hybridMultilevel"/>
    <w:tmpl w:val="181C2BD4"/>
    <w:lvl w:ilvl="0" w:tplc="8E52715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837F40"/>
    <w:multiLevelType w:val="hybridMultilevel"/>
    <w:tmpl w:val="FF448890"/>
    <w:lvl w:ilvl="0" w:tplc="398C30F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274BE4"/>
    <w:multiLevelType w:val="hybridMultilevel"/>
    <w:tmpl w:val="47A8869C"/>
    <w:lvl w:ilvl="0" w:tplc="398C30F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095837"/>
    <w:multiLevelType w:val="hybridMultilevel"/>
    <w:tmpl w:val="B020327E"/>
    <w:lvl w:ilvl="0" w:tplc="398C30F0">
      <w:numFmt w:val="bullet"/>
      <w:lvlText w:val=""/>
      <w:lvlJc w:val="left"/>
      <w:pPr>
        <w:ind w:left="1440" w:hanging="720"/>
      </w:pPr>
      <w:rPr>
        <w:rFonts w:ascii="WP MathA" w:eastAsia="Times New Roman" w:hAnsi="WP Math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881422"/>
    <w:multiLevelType w:val="hybridMultilevel"/>
    <w:tmpl w:val="3D345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CD57132"/>
    <w:multiLevelType w:val="hybridMultilevel"/>
    <w:tmpl w:val="B8ECE1FE"/>
    <w:lvl w:ilvl="0" w:tplc="8E5271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842DA9"/>
    <w:multiLevelType w:val="hybridMultilevel"/>
    <w:tmpl w:val="E36E6E52"/>
    <w:lvl w:ilvl="0" w:tplc="04090001">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3D2DEF"/>
    <w:multiLevelType w:val="hybridMultilevel"/>
    <w:tmpl w:val="CBDC67E4"/>
    <w:lvl w:ilvl="0" w:tplc="EA16F94E">
      <w:start w:val="2"/>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5725A34"/>
    <w:multiLevelType w:val="hybridMultilevel"/>
    <w:tmpl w:val="7F369E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E60163"/>
    <w:multiLevelType w:val="hybridMultilevel"/>
    <w:tmpl w:val="22EC0096"/>
    <w:lvl w:ilvl="0" w:tplc="0409000F">
      <w:start w:val="1"/>
      <w:numFmt w:val="decimal"/>
      <w:lvlText w:val="%1."/>
      <w:lvlJc w:val="left"/>
      <w:pPr>
        <w:tabs>
          <w:tab w:val="num" w:pos="1440"/>
        </w:tabs>
        <w:ind w:left="144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DA7164"/>
    <w:multiLevelType w:val="hybridMultilevel"/>
    <w:tmpl w:val="B0540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E014921"/>
    <w:multiLevelType w:val="multilevel"/>
    <w:tmpl w:val="92F6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8F0CD6"/>
    <w:multiLevelType w:val="hybridMultilevel"/>
    <w:tmpl w:val="7F369E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543863"/>
    <w:multiLevelType w:val="hybridMultilevel"/>
    <w:tmpl w:val="22EC0096"/>
    <w:lvl w:ilvl="0" w:tplc="0409000F">
      <w:start w:val="1"/>
      <w:numFmt w:val="decimal"/>
      <w:lvlText w:val="%1."/>
      <w:lvlJc w:val="left"/>
      <w:pPr>
        <w:tabs>
          <w:tab w:val="num" w:pos="1440"/>
        </w:tabs>
        <w:ind w:left="144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D31181"/>
    <w:multiLevelType w:val="hybridMultilevel"/>
    <w:tmpl w:val="901C03D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99773A1"/>
    <w:multiLevelType w:val="hybridMultilevel"/>
    <w:tmpl w:val="DBBC6D48"/>
    <w:lvl w:ilvl="0" w:tplc="8D3CB04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7621C1"/>
    <w:multiLevelType w:val="hybridMultilevel"/>
    <w:tmpl w:val="3F0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400035"/>
    <w:multiLevelType w:val="hybridMultilevel"/>
    <w:tmpl w:val="CD84CB22"/>
    <w:lvl w:ilvl="0" w:tplc="87763E06">
      <w:numFmt w:val="bullet"/>
      <w:lvlText w:val=""/>
      <w:lvlJc w:val="left"/>
      <w:pPr>
        <w:ind w:left="1440" w:hanging="720"/>
      </w:pPr>
      <w:rPr>
        <w:rFonts w:ascii="WP MathA" w:eastAsia="Times New Roman" w:hAnsi="WP Math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7"/>
  </w:num>
  <w:num w:numId="16">
    <w:abstractNumId w:val="15"/>
  </w:num>
  <w:num w:numId="17">
    <w:abstractNumId w:val="30"/>
  </w:num>
  <w:num w:numId="18">
    <w:abstractNumId w:val="37"/>
  </w:num>
  <w:num w:numId="19">
    <w:abstractNumId w:val="21"/>
  </w:num>
  <w:num w:numId="20">
    <w:abstractNumId w:val="22"/>
  </w:num>
  <w:num w:numId="21">
    <w:abstractNumId w:val="26"/>
  </w:num>
  <w:num w:numId="22">
    <w:abstractNumId w:val="24"/>
  </w:num>
  <w:num w:numId="23">
    <w:abstractNumId w:val="23"/>
  </w:num>
  <w:num w:numId="24">
    <w:abstractNumId w:val="16"/>
  </w:num>
  <w:num w:numId="25">
    <w:abstractNumId w:val="34"/>
  </w:num>
  <w:num w:numId="26">
    <w:abstractNumId w:val="36"/>
  </w:num>
  <w:num w:numId="27">
    <w:abstractNumId w:val="28"/>
  </w:num>
  <w:num w:numId="28">
    <w:abstractNumId w:val="32"/>
  </w:num>
  <w:num w:numId="29">
    <w:abstractNumId w:val="18"/>
  </w:num>
  <w:num w:numId="30">
    <w:abstractNumId w:val="29"/>
  </w:num>
  <w:num w:numId="31">
    <w:abstractNumId w:val="33"/>
  </w:num>
  <w:num w:numId="32">
    <w:abstractNumId w:val="31"/>
  </w:num>
  <w:num w:numId="33">
    <w:abstractNumId w:val="35"/>
  </w:num>
  <w:num w:numId="34">
    <w:abstractNumId w:val="17"/>
  </w:num>
  <w:num w:numId="35">
    <w:abstractNumId w:val="25"/>
  </w:num>
  <w:num w:numId="36">
    <w:abstractNumId w:val="19"/>
  </w:num>
  <w:num w:numId="37">
    <w:abstractNumId w:val="20"/>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17D58"/>
    <w:rsid w:val="00011737"/>
    <w:rsid w:val="00040220"/>
    <w:rsid w:val="00054AFC"/>
    <w:rsid w:val="000765BB"/>
    <w:rsid w:val="000B0F72"/>
    <w:rsid w:val="000F32F7"/>
    <w:rsid w:val="00122C45"/>
    <w:rsid w:val="001D0923"/>
    <w:rsid w:val="001E11FE"/>
    <w:rsid w:val="00222ACB"/>
    <w:rsid w:val="002534BD"/>
    <w:rsid w:val="00272D6B"/>
    <w:rsid w:val="0028797C"/>
    <w:rsid w:val="002B7259"/>
    <w:rsid w:val="002E6820"/>
    <w:rsid w:val="002F2337"/>
    <w:rsid w:val="0036481A"/>
    <w:rsid w:val="00385824"/>
    <w:rsid w:val="003B2309"/>
    <w:rsid w:val="003B5A90"/>
    <w:rsid w:val="003F08A3"/>
    <w:rsid w:val="003F54F6"/>
    <w:rsid w:val="003F7D38"/>
    <w:rsid w:val="00421554"/>
    <w:rsid w:val="00443D6B"/>
    <w:rsid w:val="004660D8"/>
    <w:rsid w:val="004B2FCD"/>
    <w:rsid w:val="004E4D0C"/>
    <w:rsid w:val="004F1669"/>
    <w:rsid w:val="00593A49"/>
    <w:rsid w:val="00610FE6"/>
    <w:rsid w:val="0061106F"/>
    <w:rsid w:val="0064246C"/>
    <w:rsid w:val="00644095"/>
    <w:rsid w:val="00646BB0"/>
    <w:rsid w:val="006471F0"/>
    <w:rsid w:val="00650C2D"/>
    <w:rsid w:val="007138E6"/>
    <w:rsid w:val="00717D58"/>
    <w:rsid w:val="007C03C1"/>
    <w:rsid w:val="008308E8"/>
    <w:rsid w:val="008358A0"/>
    <w:rsid w:val="008567CC"/>
    <w:rsid w:val="008D3E3F"/>
    <w:rsid w:val="00912C1A"/>
    <w:rsid w:val="0091312F"/>
    <w:rsid w:val="00915AF7"/>
    <w:rsid w:val="009234A8"/>
    <w:rsid w:val="00934B0B"/>
    <w:rsid w:val="00943F16"/>
    <w:rsid w:val="00A2193C"/>
    <w:rsid w:val="00A537F8"/>
    <w:rsid w:val="00A57D5B"/>
    <w:rsid w:val="00A601EF"/>
    <w:rsid w:val="00B259EC"/>
    <w:rsid w:val="00B530F1"/>
    <w:rsid w:val="00B64102"/>
    <w:rsid w:val="00C76E5B"/>
    <w:rsid w:val="00CA49FE"/>
    <w:rsid w:val="00D076A0"/>
    <w:rsid w:val="00D7112A"/>
    <w:rsid w:val="00D83162"/>
    <w:rsid w:val="00D97103"/>
    <w:rsid w:val="00DA25AF"/>
    <w:rsid w:val="00E36168"/>
    <w:rsid w:val="00E53AB2"/>
    <w:rsid w:val="00F003AC"/>
    <w:rsid w:val="00F21A45"/>
    <w:rsid w:val="00F61E7D"/>
    <w:rsid w:val="00F756D4"/>
    <w:rsid w:val="00FC4CF6"/>
    <w:rsid w:val="00FF6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58"/>
    <w:pPr>
      <w:spacing w:after="0" w:line="240" w:lineRule="auto"/>
    </w:pPr>
    <w:rPr>
      <w:rFonts w:eastAsia="Times New Roman" w:cs="Times New Roman"/>
      <w:szCs w:val="20"/>
    </w:rPr>
  </w:style>
  <w:style w:type="paragraph" w:styleId="Heading1">
    <w:name w:val="heading 1"/>
    <w:basedOn w:val="Normal"/>
    <w:next w:val="Normal"/>
    <w:link w:val="Heading1Char"/>
    <w:qFormat/>
    <w:rsid w:val="00717D58"/>
    <w:pPr>
      <w:keepNext/>
      <w:autoSpaceDE w:val="0"/>
      <w:autoSpaceDN w:val="0"/>
      <w:spacing w:before="480" w:after="240"/>
      <w:outlineLvl w:val="0"/>
    </w:pPr>
    <w:rPr>
      <w:rFonts w:ascii="Times New Roman Bold" w:hAnsi="Times New Roman Bold"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D58"/>
    <w:rPr>
      <w:rFonts w:ascii="Times New Roman Bold" w:eastAsia="Times New Roman" w:hAnsi="Times New Roman Bold" w:cs="Arial"/>
      <w:b/>
      <w:bCs/>
      <w:kern w:val="32"/>
      <w:szCs w:val="32"/>
    </w:rPr>
  </w:style>
  <w:style w:type="character" w:customStyle="1" w:styleId="CaptionChar">
    <w:name w:val="Caption Char"/>
    <w:link w:val="Caption"/>
    <w:rsid w:val="00717D58"/>
    <w:rPr>
      <w:rFonts w:ascii="Times New Roman Bold" w:hAnsi="Times New Roman Bold"/>
      <w:b/>
      <w:bCs/>
      <w:sz w:val="22"/>
    </w:rPr>
  </w:style>
  <w:style w:type="paragraph" w:customStyle="1" w:styleId="Level1">
    <w:name w:val="Level 1"/>
    <w:basedOn w:val="Normal"/>
    <w:rsid w:val="00717D58"/>
    <w:pPr>
      <w:widowControl w:val="0"/>
    </w:pPr>
  </w:style>
  <w:style w:type="paragraph" w:customStyle="1" w:styleId="Level2">
    <w:name w:val="Level 2"/>
    <w:basedOn w:val="Normal"/>
    <w:rsid w:val="00717D58"/>
    <w:pPr>
      <w:widowControl w:val="0"/>
    </w:pPr>
  </w:style>
  <w:style w:type="paragraph" w:customStyle="1" w:styleId="Level3">
    <w:name w:val="Level 3"/>
    <w:basedOn w:val="Normal"/>
    <w:rsid w:val="00717D58"/>
    <w:pPr>
      <w:widowControl w:val="0"/>
    </w:pPr>
  </w:style>
  <w:style w:type="paragraph" w:customStyle="1" w:styleId="Level4">
    <w:name w:val="Level 4"/>
    <w:basedOn w:val="Normal"/>
    <w:rsid w:val="00717D58"/>
    <w:pPr>
      <w:widowControl w:val="0"/>
    </w:pPr>
  </w:style>
  <w:style w:type="paragraph" w:customStyle="1" w:styleId="Level5">
    <w:name w:val="Level 5"/>
    <w:basedOn w:val="Normal"/>
    <w:rsid w:val="00717D58"/>
    <w:pPr>
      <w:widowControl w:val="0"/>
    </w:pPr>
  </w:style>
  <w:style w:type="paragraph" w:customStyle="1" w:styleId="Level6">
    <w:name w:val="Level 6"/>
    <w:basedOn w:val="Normal"/>
    <w:rsid w:val="00717D58"/>
    <w:pPr>
      <w:widowControl w:val="0"/>
    </w:pPr>
  </w:style>
  <w:style w:type="paragraph" w:customStyle="1" w:styleId="Level7">
    <w:name w:val="Level 7"/>
    <w:basedOn w:val="Normal"/>
    <w:rsid w:val="00717D58"/>
    <w:pPr>
      <w:widowControl w:val="0"/>
    </w:pPr>
  </w:style>
  <w:style w:type="paragraph" w:customStyle="1" w:styleId="Level8">
    <w:name w:val="Level 8"/>
    <w:basedOn w:val="Normal"/>
    <w:rsid w:val="00717D58"/>
    <w:pPr>
      <w:widowControl w:val="0"/>
    </w:pPr>
  </w:style>
  <w:style w:type="paragraph" w:customStyle="1" w:styleId="Level9">
    <w:name w:val="Level 9"/>
    <w:basedOn w:val="Normal"/>
    <w:rsid w:val="00717D58"/>
    <w:pPr>
      <w:widowControl w:val="0"/>
    </w:pPr>
  </w:style>
  <w:style w:type="paragraph" w:customStyle="1" w:styleId="level10">
    <w:name w:val="_level1"/>
    <w:basedOn w:val="Normal"/>
    <w:rsid w:val="00717D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717D5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rsid w:val="00717D58"/>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717D58"/>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717D58"/>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717D58"/>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717D58"/>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rsid w:val="00717D58"/>
    <w:pPr>
      <w:widowControl w:val="0"/>
      <w:tabs>
        <w:tab w:val="left" w:pos="5760"/>
        <w:tab w:val="left" w:pos="6480"/>
        <w:tab w:val="left" w:pos="7200"/>
        <w:tab w:val="left" w:pos="7920"/>
      </w:tabs>
      <w:ind w:left="5760" w:hanging="720"/>
    </w:pPr>
  </w:style>
  <w:style w:type="paragraph" w:customStyle="1" w:styleId="level90">
    <w:name w:val="_level9"/>
    <w:basedOn w:val="Normal"/>
    <w:rsid w:val="00717D58"/>
    <w:pPr>
      <w:widowControl w:val="0"/>
      <w:tabs>
        <w:tab w:val="left" w:pos="6480"/>
        <w:tab w:val="left" w:pos="7200"/>
        <w:tab w:val="left" w:pos="7920"/>
      </w:tabs>
      <w:ind w:left="6480" w:hanging="720"/>
    </w:pPr>
  </w:style>
  <w:style w:type="paragraph" w:customStyle="1" w:styleId="levsl1">
    <w:name w:val="_levsl1"/>
    <w:basedOn w:val="Normal"/>
    <w:rsid w:val="00717D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717D5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717D58"/>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717D58"/>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717D58"/>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717D58"/>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717D58"/>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rsid w:val="00717D58"/>
    <w:pPr>
      <w:widowControl w:val="0"/>
      <w:tabs>
        <w:tab w:val="left" w:pos="5760"/>
        <w:tab w:val="left" w:pos="6480"/>
        <w:tab w:val="left" w:pos="7200"/>
        <w:tab w:val="left" w:pos="7920"/>
      </w:tabs>
      <w:ind w:left="5760" w:hanging="720"/>
    </w:pPr>
  </w:style>
  <w:style w:type="paragraph" w:customStyle="1" w:styleId="levsl9">
    <w:name w:val="_levsl9"/>
    <w:basedOn w:val="Normal"/>
    <w:rsid w:val="00717D58"/>
    <w:pPr>
      <w:widowControl w:val="0"/>
      <w:tabs>
        <w:tab w:val="left" w:pos="6480"/>
        <w:tab w:val="left" w:pos="7200"/>
        <w:tab w:val="left" w:pos="7920"/>
      </w:tabs>
      <w:ind w:left="6480" w:hanging="720"/>
    </w:pPr>
  </w:style>
  <w:style w:type="paragraph" w:customStyle="1" w:styleId="levnl1">
    <w:name w:val="_levnl1"/>
    <w:basedOn w:val="Normal"/>
    <w:rsid w:val="00717D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717D5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717D58"/>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717D58"/>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717D58"/>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717D58"/>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717D58"/>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rsid w:val="00717D58"/>
    <w:pPr>
      <w:widowControl w:val="0"/>
      <w:tabs>
        <w:tab w:val="left" w:pos="5760"/>
        <w:tab w:val="left" w:pos="6480"/>
        <w:tab w:val="left" w:pos="7200"/>
        <w:tab w:val="left" w:pos="7920"/>
      </w:tabs>
      <w:ind w:left="5760" w:hanging="720"/>
    </w:pPr>
  </w:style>
  <w:style w:type="paragraph" w:customStyle="1" w:styleId="levnl9">
    <w:name w:val="_levnl9"/>
    <w:basedOn w:val="Normal"/>
    <w:rsid w:val="00717D58"/>
    <w:pPr>
      <w:widowControl w:val="0"/>
      <w:tabs>
        <w:tab w:val="left" w:pos="6480"/>
        <w:tab w:val="left" w:pos="7200"/>
        <w:tab w:val="left" w:pos="7920"/>
      </w:tabs>
      <w:ind w:left="6480" w:hanging="720"/>
    </w:pPr>
  </w:style>
  <w:style w:type="paragraph" w:customStyle="1" w:styleId="a">
    <w:name w:val="آ"/>
    <w:basedOn w:val="Normal"/>
    <w:rsid w:val="00717D58"/>
    <w:pPr>
      <w:widowControl w:val="0"/>
    </w:pPr>
  </w:style>
  <w:style w:type="character" w:customStyle="1" w:styleId="SYSHYPERTEXT">
    <w:name w:val="SYS_HYPERTEXT"/>
    <w:rsid w:val="00717D58"/>
    <w:rPr>
      <w:color w:val="0000FF"/>
      <w:u w:val="single"/>
    </w:rPr>
  </w:style>
  <w:style w:type="paragraph" w:styleId="Caption">
    <w:name w:val="caption"/>
    <w:basedOn w:val="Normal"/>
    <w:next w:val="Normal"/>
    <w:link w:val="CaptionChar"/>
    <w:qFormat/>
    <w:rsid w:val="00717D58"/>
    <w:pPr>
      <w:autoSpaceDE w:val="0"/>
      <w:autoSpaceDN w:val="0"/>
    </w:pPr>
    <w:rPr>
      <w:rFonts w:ascii="Times New Roman Bold" w:eastAsiaTheme="minorHAnsi" w:hAnsi="Times New Roman Bold" w:cstheme="minorBidi"/>
      <w:b/>
      <w:bCs/>
      <w:sz w:val="22"/>
      <w:szCs w:val="22"/>
    </w:rPr>
  </w:style>
  <w:style w:type="paragraph" w:styleId="Header">
    <w:name w:val="header"/>
    <w:basedOn w:val="Normal"/>
    <w:link w:val="HeaderChar"/>
    <w:rsid w:val="00717D58"/>
    <w:pPr>
      <w:tabs>
        <w:tab w:val="center" w:pos="4320"/>
        <w:tab w:val="right" w:pos="8640"/>
      </w:tabs>
    </w:pPr>
  </w:style>
  <w:style w:type="character" w:customStyle="1" w:styleId="HeaderChar">
    <w:name w:val="Header Char"/>
    <w:basedOn w:val="DefaultParagraphFont"/>
    <w:link w:val="Header"/>
    <w:rsid w:val="00717D58"/>
    <w:rPr>
      <w:rFonts w:eastAsia="Times New Roman" w:cs="Times New Roman"/>
      <w:szCs w:val="20"/>
    </w:rPr>
  </w:style>
  <w:style w:type="paragraph" w:styleId="Footer">
    <w:name w:val="footer"/>
    <w:basedOn w:val="Normal"/>
    <w:link w:val="FooterChar"/>
    <w:uiPriority w:val="99"/>
    <w:rsid w:val="00717D58"/>
    <w:pPr>
      <w:tabs>
        <w:tab w:val="center" w:pos="4320"/>
        <w:tab w:val="right" w:pos="8640"/>
      </w:tabs>
    </w:pPr>
  </w:style>
  <w:style w:type="character" w:customStyle="1" w:styleId="FooterChar">
    <w:name w:val="Footer Char"/>
    <w:basedOn w:val="DefaultParagraphFont"/>
    <w:link w:val="Footer"/>
    <w:uiPriority w:val="99"/>
    <w:rsid w:val="00717D58"/>
    <w:rPr>
      <w:rFonts w:eastAsia="Times New Roman" w:cs="Times New Roman"/>
      <w:szCs w:val="20"/>
    </w:rPr>
  </w:style>
  <w:style w:type="character" w:styleId="PageNumber">
    <w:name w:val="page number"/>
    <w:basedOn w:val="DefaultParagraphFont"/>
    <w:rsid w:val="00717D58"/>
  </w:style>
  <w:style w:type="paragraph" w:styleId="FootnoteText">
    <w:name w:val="footnote text"/>
    <w:basedOn w:val="Normal"/>
    <w:link w:val="FootnoteTextChar"/>
    <w:semiHidden/>
    <w:rsid w:val="00717D58"/>
    <w:rPr>
      <w:sz w:val="20"/>
    </w:rPr>
  </w:style>
  <w:style w:type="character" w:customStyle="1" w:styleId="FootnoteTextChar">
    <w:name w:val="Footnote Text Char"/>
    <w:basedOn w:val="DefaultParagraphFont"/>
    <w:link w:val="FootnoteText"/>
    <w:semiHidden/>
    <w:rsid w:val="00717D58"/>
    <w:rPr>
      <w:rFonts w:eastAsia="Times New Roman" w:cs="Times New Roman"/>
      <w:sz w:val="20"/>
      <w:szCs w:val="20"/>
    </w:rPr>
  </w:style>
  <w:style w:type="character" w:styleId="FootnoteReference">
    <w:name w:val="footnote reference"/>
    <w:semiHidden/>
    <w:rsid w:val="00717D58"/>
    <w:rPr>
      <w:vertAlign w:val="superscript"/>
    </w:rPr>
  </w:style>
  <w:style w:type="character" w:styleId="CommentReference">
    <w:name w:val="annotation reference"/>
    <w:semiHidden/>
    <w:rsid w:val="00717D58"/>
    <w:rPr>
      <w:sz w:val="16"/>
      <w:szCs w:val="16"/>
    </w:rPr>
  </w:style>
  <w:style w:type="paragraph" w:styleId="CommentText">
    <w:name w:val="annotation text"/>
    <w:basedOn w:val="Normal"/>
    <w:link w:val="CommentTextChar"/>
    <w:uiPriority w:val="99"/>
    <w:semiHidden/>
    <w:rsid w:val="00717D58"/>
    <w:rPr>
      <w:sz w:val="20"/>
    </w:rPr>
  </w:style>
  <w:style w:type="character" w:customStyle="1" w:styleId="CommentTextChar">
    <w:name w:val="Comment Text Char"/>
    <w:basedOn w:val="DefaultParagraphFont"/>
    <w:link w:val="CommentText"/>
    <w:uiPriority w:val="99"/>
    <w:semiHidden/>
    <w:rsid w:val="00717D58"/>
    <w:rPr>
      <w:rFonts w:eastAsia="Times New Roman" w:cs="Times New Roman"/>
      <w:sz w:val="20"/>
      <w:szCs w:val="20"/>
    </w:rPr>
  </w:style>
  <w:style w:type="paragraph" w:styleId="CommentSubject">
    <w:name w:val="annotation subject"/>
    <w:basedOn w:val="CommentText"/>
    <w:next w:val="CommentText"/>
    <w:link w:val="CommentSubjectChar"/>
    <w:semiHidden/>
    <w:rsid w:val="00717D58"/>
    <w:rPr>
      <w:b/>
      <w:bCs/>
    </w:rPr>
  </w:style>
  <w:style w:type="character" w:customStyle="1" w:styleId="CommentSubjectChar">
    <w:name w:val="Comment Subject Char"/>
    <w:basedOn w:val="CommentTextChar"/>
    <w:link w:val="CommentSubject"/>
    <w:semiHidden/>
    <w:rsid w:val="00717D58"/>
    <w:rPr>
      <w:b/>
      <w:bCs/>
    </w:rPr>
  </w:style>
  <w:style w:type="paragraph" w:styleId="BalloonText">
    <w:name w:val="Balloon Text"/>
    <w:basedOn w:val="Normal"/>
    <w:link w:val="BalloonTextChar"/>
    <w:semiHidden/>
    <w:rsid w:val="00717D58"/>
    <w:rPr>
      <w:rFonts w:ascii="Tahoma" w:hAnsi="Tahoma" w:cs="Tahoma"/>
      <w:sz w:val="16"/>
      <w:szCs w:val="16"/>
    </w:rPr>
  </w:style>
  <w:style w:type="character" w:customStyle="1" w:styleId="BalloonTextChar">
    <w:name w:val="Balloon Text Char"/>
    <w:basedOn w:val="DefaultParagraphFont"/>
    <w:link w:val="BalloonText"/>
    <w:semiHidden/>
    <w:rsid w:val="00717D58"/>
    <w:rPr>
      <w:rFonts w:ascii="Tahoma" w:eastAsia="Times New Roman" w:hAnsi="Tahoma" w:cs="Tahoma"/>
      <w:sz w:val="16"/>
      <w:szCs w:val="16"/>
    </w:rPr>
  </w:style>
  <w:style w:type="character" w:styleId="Hyperlink">
    <w:name w:val="Hyperlink"/>
    <w:rsid w:val="00717D58"/>
    <w:rPr>
      <w:color w:val="0000FF"/>
      <w:u w:val="single"/>
    </w:rPr>
  </w:style>
  <w:style w:type="table" w:styleId="TableGrid">
    <w:name w:val="Table Grid"/>
    <w:basedOn w:val="TableNormal"/>
    <w:rsid w:val="00717D5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17D58"/>
    <w:pPr>
      <w:spacing w:after="0" w:line="240" w:lineRule="auto"/>
    </w:pPr>
    <w:rPr>
      <w:rFonts w:eastAsia="Times New Roman" w:cs="Times New Roman"/>
      <w:szCs w:val="20"/>
    </w:rPr>
  </w:style>
  <w:style w:type="paragraph" w:styleId="NormalWeb">
    <w:name w:val="Normal (Web)"/>
    <w:basedOn w:val="Normal"/>
    <w:rsid w:val="00717D58"/>
    <w:rPr>
      <w:szCs w:val="24"/>
    </w:rPr>
  </w:style>
  <w:style w:type="paragraph" w:styleId="NoSpacing">
    <w:name w:val="No Spacing"/>
    <w:uiPriority w:val="1"/>
    <w:qFormat/>
    <w:rsid w:val="00717D58"/>
    <w:pPr>
      <w:spacing w:after="0" w:line="240" w:lineRule="auto"/>
    </w:pPr>
    <w:rPr>
      <w:rFonts w:asciiTheme="minorHAnsi" w:hAnsiTheme="minorHAnsi"/>
      <w:sz w:val="22"/>
    </w:rPr>
  </w:style>
  <w:style w:type="paragraph" w:styleId="ListParagraph">
    <w:name w:val="List Paragraph"/>
    <w:basedOn w:val="Normal"/>
    <w:uiPriority w:val="34"/>
    <w:qFormat/>
    <w:rsid w:val="00CA49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http://www.epa.gov/oppt/chemtest/pubs/whatitc.html" TargetMode="External"/><Relationship Id="rId12" Type="http://schemas.openxmlformats.org/officeDocument/2006/relationships/hyperlink" Target="http://www.bls.gov/ncs/ect/sp/ecsuptc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7380</Words>
  <Characters>42072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RCarlson</dc:creator>
  <cp:lastModifiedBy>rwestlund</cp:lastModifiedBy>
  <cp:revision>2</cp:revision>
  <dcterms:created xsi:type="dcterms:W3CDTF">2012-11-19T17:20:00Z</dcterms:created>
  <dcterms:modified xsi:type="dcterms:W3CDTF">2012-11-19T17:20:00Z</dcterms:modified>
</cp:coreProperties>
</file>