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12" w:rsidRPr="005375C4" w:rsidRDefault="00915C3F" w:rsidP="005375C4">
      <w:pPr>
        <w:pStyle w:val="t1"/>
        <w:tabs>
          <w:tab w:val="left" w:pos="2919"/>
          <w:tab w:val="left" w:pos="6865"/>
        </w:tabs>
        <w:spacing w:after="0" w:line="240" w:lineRule="auto"/>
        <w:jc w:val="center"/>
        <w:rPr>
          <w:b/>
        </w:rPr>
      </w:pPr>
      <w:r w:rsidRPr="005375C4">
        <w:rPr>
          <w:b/>
        </w:rPr>
        <w:t>Supporting Statement</w:t>
      </w:r>
      <w:r w:rsidR="00073CC2" w:rsidRPr="005375C4">
        <w:rPr>
          <w:b/>
        </w:rPr>
        <w:t xml:space="preserve"> </w:t>
      </w:r>
      <w:r w:rsidRPr="005375C4">
        <w:rPr>
          <w:b/>
        </w:rPr>
        <w:t xml:space="preserve">for </w:t>
      </w:r>
      <w:r w:rsidR="00085912" w:rsidRPr="005375C4">
        <w:rPr>
          <w:b/>
        </w:rPr>
        <w:t>Information Collection 9000-</w:t>
      </w:r>
      <w:r w:rsidR="005375C4" w:rsidRPr="005375C4">
        <w:rPr>
          <w:b/>
        </w:rPr>
        <w:t>0179</w:t>
      </w:r>
      <w:r w:rsidR="005375C4">
        <w:rPr>
          <w:b/>
        </w:rPr>
        <w:t>,</w:t>
      </w:r>
    </w:p>
    <w:p w:rsidR="006C5BC0" w:rsidRPr="005375C4" w:rsidRDefault="00085912" w:rsidP="00085912">
      <w:pPr>
        <w:pStyle w:val="t1"/>
        <w:tabs>
          <w:tab w:val="left" w:pos="2919"/>
          <w:tab w:val="left" w:pos="6865"/>
        </w:tabs>
        <w:spacing w:after="0" w:line="240" w:lineRule="auto"/>
        <w:jc w:val="center"/>
        <w:rPr>
          <w:b/>
        </w:rPr>
      </w:pPr>
      <w:r w:rsidRPr="005375C4">
        <w:rPr>
          <w:b/>
        </w:rPr>
        <w:t>F</w:t>
      </w:r>
      <w:r w:rsidR="007F1FC8" w:rsidRPr="005375C4">
        <w:rPr>
          <w:b/>
        </w:rPr>
        <w:t xml:space="preserve">AR Case 2010-010; </w:t>
      </w:r>
      <w:r w:rsidR="00915C3F" w:rsidRPr="005375C4">
        <w:rPr>
          <w:b/>
        </w:rPr>
        <w:t>Service Contractor Reporting Requirement</w:t>
      </w:r>
      <w:r w:rsidR="007F1FC8" w:rsidRPr="005375C4">
        <w:rPr>
          <w:b/>
        </w:rPr>
        <w:t>, Proposed rule</w:t>
      </w:r>
    </w:p>
    <w:p w:rsidR="00085912" w:rsidRPr="005375C4" w:rsidRDefault="00085912" w:rsidP="00085912">
      <w:pPr>
        <w:pStyle w:val="t1"/>
        <w:tabs>
          <w:tab w:val="left" w:pos="2919"/>
          <w:tab w:val="left" w:pos="6865"/>
        </w:tabs>
        <w:spacing w:after="0" w:line="240" w:lineRule="auto"/>
        <w:jc w:val="center"/>
        <w:rPr>
          <w:b/>
        </w:rPr>
      </w:pPr>
    </w:p>
    <w:p w:rsidR="006C5BC0" w:rsidRPr="005375C4" w:rsidRDefault="006C5BC0" w:rsidP="004D5B93">
      <w:pPr>
        <w:pStyle w:val="p3"/>
        <w:ind w:left="583"/>
        <w:rPr>
          <w:b/>
          <w:bCs/>
        </w:rPr>
      </w:pPr>
      <w:r w:rsidRPr="005375C4">
        <w:rPr>
          <w:b/>
          <w:bCs/>
        </w:rPr>
        <w:t>A.</w:t>
      </w:r>
      <w:r w:rsidRPr="005375C4">
        <w:rPr>
          <w:b/>
          <w:bCs/>
        </w:rPr>
        <w:tab/>
      </w:r>
      <w:r w:rsidR="006C45BA" w:rsidRPr="005375C4">
        <w:rPr>
          <w:b/>
          <w:bCs/>
        </w:rPr>
        <w:t>Justification</w:t>
      </w:r>
    </w:p>
    <w:tbl>
      <w:tblPr>
        <w:tblW w:w="0" w:type="auto"/>
        <w:tblCellSpacing w:w="15" w:type="dxa"/>
        <w:tblCellMar>
          <w:top w:w="15" w:type="dxa"/>
          <w:left w:w="15" w:type="dxa"/>
          <w:bottom w:w="15" w:type="dxa"/>
          <w:right w:w="15" w:type="dxa"/>
        </w:tblCellMar>
        <w:tblLook w:val="04A0"/>
      </w:tblPr>
      <w:tblGrid>
        <w:gridCol w:w="9450"/>
      </w:tblGrid>
      <w:tr w:rsidR="007E6FF6" w:rsidRPr="00EA66F6" w:rsidTr="007E6FF6">
        <w:trPr>
          <w:tblCellSpacing w:w="15" w:type="dxa"/>
        </w:trPr>
        <w:tc>
          <w:tcPr>
            <w:tcW w:w="0" w:type="auto"/>
            <w:hideMark/>
          </w:tcPr>
          <w:p w:rsidR="007E6FF6" w:rsidRPr="00EA66F6" w:rsidRDefault="00EC15F4" w:rsidP="007E1865">
            <w:r w:rsidRPr="00EA66F6">
              <w:rPr>
                <w:b/>
              </w:rPr>
              <w:t>1.</w:t>
            </w:r>
            <w:r w:rsidR="00F962F5" w:rsidRPr="00EA66F6">
              <w:t xml:space="preserve"> </w:t>
            </w:r>
            <w:r w:rsidR="000E154E" w:rsidRPr="00EA66F6">
              <w:rPr>
                <w:b/>
              </w:rPr>
              <w:t>Administrative requirements</w:t>
            </w:r>
            <w:r w:rsidR="000E154E" w:rsidRPr="00EA66F6">
              <w:t xml:space="preserve">.  </w:t>
            </w:r>
            <w:r w:rsidR="00665EAA" w:rsidRPr="00EA66F6">
              <w:t>Under FAR Case 2010-</w:t>
            </w:r>
            <w:r w:rsidR="007F1FC8" w:rsidRPr="00EA66F6">
              <w:t>0</w:t>
            </w:r>
            <w:r w:rsidR="00665EAA" w:rsidRPr="00EA66F6">
              <w:t xml:space="preserve">10, Service Contract Inventory Reporting, the FAR is being updated to collect information on service contractors.  </w:t>
            </w:r>
            <w:r w:rsidR="007E1865" w:rsidRPr="00EA66F6">
              <w:t>Therefore, t</w:t>
            </w:r>
            <w:r w:rsidR="006C5BC0" w:rsidRPr="00EA66F6">
              <w:t>his is a request for a</w:t>
            </w:r>
            <w:r w:rsidR="00F962F5" w:rsidRPr="00EA66F6">
              <w:t xml:space="preserve"> </w:t>
            </w:r>
            <w:r w:rsidR="006C5BC0" w:rsidRPr="00EA66F6">
              <w:t>n</w:t>
            </w:r>
            <w:r w:rsidR="00F962F5" w:rsidRPr="00EA66F6">
              <w:t>ew</w:t>
            </w:r>
            <w:r w:rsidR="006C5BC0" w:rsidRPr="00EA66F6">
              <w:t xml:space="preserve"> information collection requirement </w:t>
            </w:r>
            <w:r w:rsidR="00F962F5" w:rsidRPr="00EA66F6">
              <w:t>for Federal Acquisition Regulation (FAR)</w:t>
            </w:r>
            <w:r w:rsidR="00A14C13" w:rsidRPr="00EA66F6">
              <w:t xml:space="preserve"> </w:t>
            </w:r>
            <w:r w:rsidR="000A7ABD" w:rsidRPr="00EA66F6">
              <w:t>pa</w:t>
            </w:r>
            <w:r w:rsidR="00E00418" w:rsidRPr="00EA66F6">
              <w:t>rt</w:t>
            </w:r>
            <w:r w:rsidR="00A14C13" w:rsidRPr="00EA66F6">
              <w:t xml:space="preserve"> </w:t>
            </w:r>
            <w:r w:rsidR="00F962F5" w:rsidRPr="00EA66F6">
              <w:t>4</w:t>
            </w:r>
            <w:r w:rsidR="00E00418" w:rsidRPr="00EA66F6">
              <w:t xml:space="preserve">, </w:t>
            </w:r>
            <w:r w:rsidR="00F962F5" w:rsidRPr="00EA66F6">
              <w:t>Administrative Matters</w:t>
            </w:r>
            <w:r w:rsidR="00A55D6A" w:rsidRPr="00EA66F6">
              <w:t>.</w:t>
            </w:r>
            <w:r w:rsidR="007E1865" w:rsidRPr="00EA66F6">
              <w:t xml:space="preserve">  Furthermore, t</w:t>
            </w:r>
            <w:r w:rsidR="006C5BC0" w:rsidRPr="00EA66F6">
              <w:t xml:space="preserve">his request covers </w:t>
            </w:r>
            <w:r w:rsidR="00CD3823" w:rsidRPr="00EA66F6">
              <w:t xml:space="preserve">the </w:t>
            </w:r>
            <w:r w:rsidR="00A55D6A" w:rsidRPr="00EA66F6">
              <w:t xml:space="preserve">burden hours related to the </w:t>
            </w:r>
            <w:r w:rsidR="00CD3823" w:rsidRPr="00EA66F6">
              <w:t xml:space="preserve">requirement at </w:t>
            </w:r>
            <w:r w:rsidR="00782465" w:rsidRPr="00EA66F6">
              <w:t>F</w:t>
            </w:r>
            <w:r w:rsidR="006C5BC0" w:rsidRPr="00EA66F6">
              <w:t xml:space="preserve">AR </w:t>
            </w:r>
            <w:r w:rsidR="00F962F5" w:rsidRPr="00EA66F6">
              <w:t>subp</w:t>
            </w:r>
            <w:r w:rsidR="00E00418" w:rsidRPr="00EA66F6">
              <w:t xml:space="preserve">art </w:t>
            </w:r>
            <w:r w:rsidR="00F962F5" w:rsidRPr="00EA66F6">
              <w:t>4.1</w:t>
            </w:r>
            <w:r w:rsidR="001B008F" w:rsidRPr="00EA66F6">
              <w:t>7</w:t>
            </w:r>
            <w:r w:rsidR="00F962F5" w:rsidRPr="00EA66F6">
              <w:t>, Service Contract</w:t>
            </w:r>
            <w:r w:rsidR="000A7ABD" w:rsidRPr="00EA66F6">
              <w:t>or Reporting</w:t>
            </w:r>
            <w:r w:rsidR="00F962F5" w:rsidRPr="00EA66F6">
              <w:t xml:space="preserve"> Requirement</w:t>
            </w:r>
            <w:r w:rsidR="000A7ABD" w:rsidRPr="00EA66F6">
              <w:t>s</w:t>
            </w:r>
            <w:r w:rsidR="00F962F5" w:rsidRPr="00EA66F6">
              <w:t>,</w:t>
            </w:r>
            <w:r w:rsidR="00E00418" w:rsidRPr="00EA66F6">
              <w:t xml:space="preserve"> and </w:t>
            </w:r>
            <w:r w:rsidR="003319F2" w:rsidRPr="00EA66F6">
              <w:t>its</w:t>
            </w:r>
            <w:r w:rsidR="00E00418" w:rsidRPr="00EA66F6">
              <w:t xml:space="preserve"> associated clause</w:t>
            </w:r>
            <w:r w:rsidR="00FA1A63" w:rsidRPr="00EA66F6">
              <w:t xml:space="preserve"> and solicitation provision</w:t>
            </w:r>
            <w:r w:rsidR="003319F2" w:rsidRPr="00EA66F6">
              <w:t xml:space="preserve">.  </w:t>
            </w:r>
            <w:r w:rsidR="00F962F5" w:rsidRPr="00EA66F6">
              <w:tab/>
            </w:r>
          </w:p>
        </w:tc>
      </w:tr>
    </w:tbl>
    <w:p w:rsidR="008F5E0D" w:rsidRPr="00EA66F6" w:rsidRDefault="006C5BC0" w:rsidP="007E1865">
      <w:pPr>
        <w:pStyle w:val="p4"/>
      </w:pPr>
      <w:bookmarkStart w:id="0" w:name="wp1179422"/>
      <w:bookmarkEnd w:id="0"/>
      <w:r w:rsidRPr="00EA66F6">
        <w:rPr>
          <w:b/>
        </w:rPr>
        <w:t>2.</w:t>
      </w:r>
      <w:r w:rsidRPr="00EA66F6">
        <w:tab/>
      </w:r>
      <w:r w:rsidR="000E154E" w:rsidRPr="00EA66F6">
        <w:rPr>
          <w:b/>
        </w:rPr>
        <w:t>Uses of this information</w:t>
      </w:r>
      <w:r w:rsidR="000E154E" w:rsidRPr="00EA66F6">
        <w:t xml:space="preserve">.  </w:t>
      </w:r>
      <w:r w:rsidR="00EB2C19" w:rsidRPr="00EA66F6">
        <w:t>C</w:t>
      </w:r>
      <w:r w:rsidR="001C5283" w:rsidRPr="00EA66F6">
        <w:t xml:space="preserve">ivilian agencies required by the </w:t>
      </w:r>
      <w:r w:rsidR="00A12630" w:rsidRPr="00EA66F6">
        <w:t xml:space="preserve">FAIR </w:t>
      </w:r>
      <w:r w:rsidR="008C02D7" w:rsidRPr="00EA66F6">
        <w:t>Act</w:t>
      </w:r>
      <w:r w:rsidR="00D84280" w:rsidRPr="00EA66F6">
        <w:t xml:space="preserve"> </w:t>
      </w:r>
      <w:r w:rsidR="002032CD" w:rsidRPr="00EA66F6">
        <w:t>(Pub. L.</w:t>
      </w:r>
      <w:r w:rsidR="00A12630" w:rsidRPr="00EA66F6">
        <w:t xml:space="preserve"> 105-270</w:t>
      </w:r>
      <w:r w:rsidR="002032CD" w:rsidRPr="00EA66F6">
        <w:t xml:space="preserve">) </w:t>
      </w:r>
      <w:r w:rsidR="001C5283" w:rsidRPr="00EA66F6">
        <w:t xml:space="preserve">to submit inventories of </w:t>
      </w:r>
      <w:r w:rsidR="00DA4E88" w:rsidRPr="00EA66F6">
        <w:t>G</w:t>
      </w:r>
      <w:r w:rsidR="00A12630" w:rsidRPr="00EA66F6">
        <w:t>overnment</w:t>
      </w:r>
      <w:r w:rsidR="00431857" w:rsidRPr="00EA66F6">
        <w:t xml:space="preserve"> personnel </w:t>
      </w:r>
      <w:r w:rsidR="00C2013B" w:rsidRPr="00EA66F6">
        <w:t xml:space="preserve">will </w:t>
      </w:r>
      <w:r w:rsidR="00431857" w:rsidRPr="00EA66F6">
        <w:t xml:space="preserve">also be required to </w:t>
      </w:r>
      <w:r w:rsidR="001C5283" w:rsidRPr="00EA66F6">
        <w:t>submit to OMB annually an inventory of service contracts</w:t>
      </w:r>
      <w:r w:rsidR="000C45E0" w:rsidRPr="00EA66F6">
        <w:t>.</w:t>
      </w:r>
      <w:r w:rsidR="008C02D7" w:rsidRPr="00EA66F6">
        <w:t xml:space="preserve">  </w:t>
      </w:r>
      <w:r w:rsidR="001C5283" w:rsidRPr="00EA66F6">
        <w:t>House Report 111-366 notes, in connection with section 743</w:t>
      </w:r>
      <w:r w:rsidR="002032CD" w:rsidRPr="00EA66F6">
        <w:t xml:space="preserve"> of Division C of the Consolidated Appropriations Act for Fiscal Year 2010 (Pub. L. 111-117)</w:t>
      </w:r>
      <w:r w:rsidR="001C5283" w:rsidRPr="00EA66F6">
        <w:t>, that, “in the absence of complete and reliable information on the extent of their reliance on service contractors, Federal agencies are not well-equipped to determine whether they have the right balance of contractor and in-house resources needed to accomplish their missions</w:t>
      </w:r>
      <w:r w:rsidR="00B31320" w:rsidRPr="00EA66F6">
        <w:t xml:space="preserve">.  </w:t>
      </w:r>
      <w:r w:rsidR="00C2013B" w:rsidRPr="00EA66F6">
        <w:t>Therefore, this rule intends to supplement agency annual</w:t>
      </w:r>
      <w:r w:rsidR="000C45E0" w:rsidRPr="00EA66F6">
        <w:t xml:space="preserve"> service contract reporting requirements with the contractor </w:t>
      </w:r>
      <w:r w:rsidR="00BA01C1" w:rsidRPr="00EA66F6">
        <w:t xml:space="preserve">provided </w:t>
      </w:r>
      <w:r w:rsidR="008C02D7" w:rsidRPr="00EA66F6">
        <w:t xml:space="preserve">service contract </w:t>
      </w:r>
      <w:r w:rsidR="000C45E0" w:rsidRPr="00EA66F6">
        <w:t>reporting</w:t>
      </w:r>
      <w:r w:rsidR="008C02D7" w:rsidRPr="00EA66F6">
        <w:t xml:space="preserve"> information.  </w:t>
      </w:r>
    </w:p>
    <w:p w:rsidR="002477BA" w:rsidRPr="00EA66F6" w:rsidRDefault="007E1865" w:rsidP="002477BA">
      <w:pPr>
        <w:pStyle w:val="p4"/>
      </w:pPr>
      <w:r w:rsidRPr="00EA66F6">
        <w:tab/>
      </w:r>
      <w:r w:rsidR="002477BA" w:rsidRPr="00EA66F6">
        <w:t>The information is to be submitted pursuant to the new clause and solicitation provision addressed in this justification.  Certain prime service contractors will provide annually—</w:t>
      </w:r>
    </w:p>
    <w:p w:rsidR="007E1865" w:rsidRPr="00EA66F6" w:rsidRDefault="002477BA" w:rsidP="002477BA">
      <w:pPr>
        <w:pStyle w:val="p4"/>
        <w:numPr>
          <w:ilvl w:val="0"/>
          <w:numId w:val="13"/>
        </w:numPr>
      </w:pPr>
      <w:r w:rsidRPr="00EA66F6">
        <w:t>The contract number, and, as applicable, order number;</w:t>
      </w:r>
    </w:p>
    <w:p w:rsidR="002477BA" w:rsidRPr="00EA66F6" w:rsidRDefault="002477BA" w:rsidP="002477BA">
      <w:pPr>
        <w:pStyle w:val="p4"/>
        <w:numPr>
          <w:ilvl w:val="0"/>
          <w:numId w:val="13"/>
        </w:numPr>
      </w:pPr>
      <w:r w:rsidRPr="00EA66F6">
        <w:t xml:space="preserve">The total dollar amount invoiced for services performed during the previous Government fiscal year under the contract; </w:t>
      </w:r>
    </w:p>
    <w:p w:rsidR="002477BA" w:rsidRPr="00EA66F6" w:rsidRDefault="002477BA" w:rsidP="002477BA">
      <w:pPr>
        <w:numPr>
          <w:ilvl w:val="0"/>
          <w:numId w:val="13"/>
        </w:numPr>
      </w:pPr>
      <w:r w:rsidRPr="00EA66F6">
        <w:t>The number of contractor direct labor hours expended on the services performed during the previous Government fiscal year; and</w:t>
      </w:r>
    </w:p>
    <w:p w:rsidR="002477BA" w:rsidRPr="00EA66F6" w:rsidRDefault="002477BA" w:rsidP="002477BA">
      <w:pPr>
        <w:numPr>
          <w:ilvl w:val="0"/>
          <w:numId w:val="13"/>
        </w:numPr>
      </w:pPr>
      <w:r w:rsidRPr="00EA66F6">
        <w:t>Data reported by subcontractors.</w:t>
      </w:r>
    </w:p>
    <w:p w:rsidR="002477BA" w:rsidRPr="00EA66F6" w:rsidRDefault="002477BA" w:rsidP="007E1865">
      <w:pPr>
        <w:ind w:firstLine="675"/>
      </w:pPr>
      <w:r w:rsidRPr="00EA66F6">
        <w:t>The prime contractor shall require each first-tier subcontractor performing under the contract to provide annually-</w:t>
      </w:r>
    </w:p>
    <w:p w:rsidR="002477BA" w:rsidRPr="00EA66F6" w:rsidRDefault="002477BA" w:rsidP="005375C4">
      <w:pPr>
        <w:pStyle w:val="p4"/>
        <w:numPr>
          <w:ilvl w:val="0"/>
          <w:numId w:val="18"/>
        </w:numPr>
        <w:spacing w:after="0" w:line="240" w:lineRule="auto"/>
      </w:pPr>
      <w:r w:rsidRPr="00EA66F6">
        <w:lastRenderedPageBreak/>
        <w:t>The subcontract number (including subcontractor name and if available, DUNS number; and</w:t>
      </w:r>
    </w:p>
    <w:p w:rsidR="005375C4" w:rsidRPr="00EA66F6" w:rsidRDefault="005375C4" w:rsidP="005375C4">
      <w:pPr>
        <w:pStyle w:val="p4"/>
        <w:spacing w:after="0" w:line="240" w:lineRule="auto"/>
        <w:ind w:left="1080"/>
      </w:pPr>
    </w:p>
    <w:p w:rsidR="002477BA" w:rsidRPr="00EA66F6" w:rsidRDefault="002477BA" w:rsidP="005375C4">
      <w:pPr>
        <w:pStyle w:val="p4"/>
        <w:numPr>
          <w:ilvl w:val="0"/>
          <w:numId w:val="18"/>
        </w:numPr>
        <w:spacing w:after="0" w:line="240" w:lineRule="auto"/>
      </w:pPr>
      <w:r w:rsidRPr="00EA66F6">
        <w:t>The number of first–tier subcontractor direct–labor hours expended on the services performed during the previous Government fiscal year.</w:t>
      </w:r>
    </w:p>
    <w:p w:rsidR="005375C4" w:rsidRPr="00EA66F6" w:rsidRDefault="005375C4" w:rsidP="005375C4">
      <w:pPr>
        <w:pStyle w:val="p4"/>
        <w:spacing w:after="0" w:line="240" w:lineRule="auto"/>
        <w:ind w:left="1080"/>
      </w:pPr>
    </w:p>
    <w:p w:rsidR="002477BA" w:rsidRPr="00EA66F6" w:rsidRDefault="007E1865" w:rsidP="005375C4">
      <w:pPr>
        <w:pStyle w:val="p4"/>
        <w:spacing w:after="0" w:line="240" w:lineRule="auto"/>
      </w:pPr>
      <w:r w:rsidRPr="00EA66F6">
        <w:tab/>
      </w:r>
      <w:r w:rsidR="002477BA" w:rsidRPr="00EA66F6">
        <w:t>In order to invoice the government for time-and-material/labor-hour (T&amp;M/LH) and cost-reimbursement contracts, contractors already track labor hours expended, so the rule will cover T&amp;M/LH and cost-reimbursement contracts over the simplified acquisition threshold.</w:t>
      </w:r>
    </w:p>
    <w:p w:rsidR="005375C4" w:rsidRPr="00EA66F6" w:rsidRDefault="005375C4" w:rsidP="005375C4">
      <w:pPr>
        <w:pStyle w:val="p4"/>
        <w:spacing w:after="0" w:line="240" w:lineRule="auto"/>
      </w:pPr>
    </w:p>
    <w:p w:rsidR="002477BA" w:rsidRPr="00EA66F6" w:rsidRDefault="007E1865" w:rsidP="005375C4">
      <w:pPr>
        <w:pStyle w:val="p4"/>
        <w:spacing w:after="0" w:line="240" w:lineRule="auto"/>
      </w:pPr>
      <w:r w:rsidRPr="00EA66F6">
        <w:rPr>
          <w:szCs w:val="20"/>
        </w:rPr>
        <w:tab/>
      </w:r>
      <w:r w:rsidR="002477BA" w:rsidRPr="00EA66F6">
        <w:rPr>
          <w:szCs w:val="20"/>
        </w:rPr>
        <w:t xml:space="preserve">In an effort to keep the reporting burden </w:t>
      </w:r>
      <w:r w:rsidR="002477BA" w:rsidRPr="00EA66F6">
        <w:t>to the absolute minimum</w:t>
      </w:r>
      <w:r w:rsidR="002477BA" w:rsidRPr="00EA66F6">
        <w:rPr>
          <w:szCs w:val="20"/>
        </w:rPr>
        <w:t xml:space="preserve"> on civilian </w:t>
      </w:r>
      <w:r w:rsidR="002477BA" w:rsidRPr="00EA66F6">
        <w:t>agencies and their service contractors, a phased-in approach will be used for fixed-price contract awards.  Fixed price contracts will be covered if the estimated total value is a</w:t>
      </w:r>
      <w:r w:rsidR="00E33234">
        <w:t>t or above $5 million in FY 2012, $2.5 million in FY 2013</w:t>
      </w:r>
      <w:r w:rsidR="002477BA" w:rsidRPr="00EA66F6">
        <w:t>, $1 million in FY 201</w:t>
      </w:r>
      <w:r w:rsidR="00E33234">
        <w:t>4 and $500,000 in FY 2015</w:t>
      </w:r>
      <w:r w:rsidR="002477BA" w:rsidRPr="00EA66F6">
        <w:t xml:space="preserve"> and thereafter.   </w:t>
      </w:r>
    </w:p>
    <w:p w:rsidR="005375C4" w:rsidRPr="00EA66F6" w:rsidRDefault="005375C4" w:rsidP="005375C4">
      <w:pPr>
        <w:pStyle w:val="p4"/>
        <w:spacing w:after="0" w:line="240" w:lineRule="auto"/>
      </w:pPr>
    </w:p>
    <w:p w:rsidR="002477BA" w:rsidRPr="00EA66F6" w:rsidRDefault="002477BA" w:rsidP="005375C4">
      <w:pPr>
        <w:spacing w:after="0" w:line="240" w:lineRule="auto"/>
        <w:ind w:firstLine="720"/>
      </w:pPr>
      <w:r w:rsidRPr="00EA66F6">
        <w:t xml:space="preserve">For indefinite-delivery contracts, including but not limited to, indefinite-delivery indefinite-quantity (IDIQ) contracts, Federal Supply Schedule (FSS) contracts, </w:t>
      </w:r>
      <w:proofErr w:type="spellStart"/>
      <w:r w:rsidRPr="00EA66F6">
        <w:t>Governmentwide</w:t>
      </w:r>
      <w:proofErr w:type="spellEnd"/>
      <w:r w:rsidRPr="00EA66F6">
        <w:t xml:space="preserve"> Acquisition contracts (GWACs), and multi-agency contracts, reporting requirements will be determined based on the expected dollar amount and type of the orders issued under the contracts.  </w:t>
      </w:r>
    </w:p>
    <w:p w:rsidR="005375C4" w:rsidRPr="00EA66F6" w:rsidRDefault="005375C4" w:rsidP="005375C4">
      <w:pPr>
        <w:spacing w:after="0" w:line="240" w:lineRule="auto"/>
        <w:ind w:firstLine="720"/>
      </w:pPr>
    </w:p>
    <w:p w:rsidR="002477BA" w:rsidRPr="00EA66F6" w:rsidRDefault="007E1865" w:rsidP="005375C4">
      <w:pPr>
        <w:pStyle w:val="NormalWeb"/>
        <w:tabs>
          <w:tab w:val="left" w:pos="360"/>
          <w:tab w:val="left" w:pos="630"/>
        </w:tabs>
        <w:spacing w:before="0" w:beforeAutospacing="0" w:after="0" w:afterAutospacing="0" w:line="240" w:lineRule="auto"/>
        <w:rPr>
          <w:rFonts w:ascii="Times New Roman" w:hAnsi="Times New Roman" w:cs="Times New Roman"/>
          <w:b/>
        </w:rPr>
      </w:pPr>
      <w:r w:rsidRPr="00EA66F6">
        <w:rPr>
          <w:rFonts w:ascii="Times New Roman" w:hAnsi="Times New Roman" w:cs="Times New Roman"/>
        </w:rPr>
        <w:tab/>
      </w:r>
      <w:r w:rsidR="002477BA" w:rsidRPr="00EA66F6">
        <w:rPr>
          <w:rFonts w:ascii="Times New Roman" w:hAnsi="Times New Roman" w:cs="Times New Roman"/>
        </w:rPr>
        <w:t>Existing indefinite-delivery contracts will be bilaterally modified within six months of the effective date of the final rule if sufficient time and value remain on the base contract, which is defined as: (1) a performance period that extends beyond October 1, 201</w:t>
      </w:r>
      <w:r w:rsidR="001B008F" w:rsidRPr="00EA66F6">
        <w:rPr>
          <w:rFonts w:ascii="Times New Roman" w:hAnsi="Times New Roman" w:cs="Times New Roman"/>
        </w:rPr>
        <w:t>2</w:t>
      </w:r>
      <w:r w:rsidR="002477BA" w:rsidRPr="00EA66F6">
        <w:rPr>
          <w:rFonts w:ascii="Times New Roman" w:hAnsi="Times New Roman" w:cs="Times New Roman"/>
        </w:rPr>
        <w:t xml:space="preserve">, and (2) $5 million or more remaining to be obligated to the indefinite-delivery contract. </w:t>
      </w:r>
      <w:r w:rsidR="002477BA" w:rsidRPr="00EA66F6">
        <w:rPr>
          <w:rFonts w:ascii="Times New Roman" w:hAnsi="Times New Roman" w:cs="Times New Roman"/>
          <w:b/>
        </w:rPr>
        <w:t xml:space="preserve"> </w:t>
      </w:r>
    </w:p>
    <w:p w:rsidR="005375C4" w:rsidRPr="00EA66F6" w:rsidRDefault="005375C4" w:rsidP="005375C4">
      <w:pPr>
        <w:pStyle w:val="NormalWeb"/>
        <w:tabs>
          <w:tab w:val="left" w:pos="360"/>
          <w:tab w:val="left" w:pos="630"/>
        </w:tabs>
        <w:spacing w:before="0" w:beforeAutospacing="0" w:after="0" w:afterAutospacing="0" w:line="240" w:lineRule="auto"/>
        <w:rPr>
          <w:rFonts w:ascii="Times New Roman" w:hAnsi="Times New Roman" w:cs="Times New Roman"/>
          <w:b/>
        </w:rPr>
      </w:pPr>
    </w:p>
    <w:p w:rsidR="006C5BC0" w:rsidRPr="00EA66F6" w:rsidRDefault="006C5BC0" w:rsidP="005375C4">
      <w:pPr>
        <w:pStyle w:val="p4"/>
        <w:spacing w:after="0" w:line="240" w:lineRule="auto"/>
      </w:pPr>
      <w:r w:rsidRPr="00EA66F6">
        <w:rPr>
          <w:b/>
        </w:rPr>
        <w:t>3.</w:t>
      </w:r>
      <w:r w:rsidRPr="00EA66F6">
        <w:tab/>
      </w:r>
      <w:r w:rsidR="000E154E" w:rsidRPr="00EA66F6">
        <w:rPr>
          <w:b/>
        </w:rPr>
        <w:t>Consideration of information technology</w:t>
      </w:r>
      <w:r w:rsidR="000E154E" w:rsidRPr="00EA66F6">
        <w:t xml:space="preserve">.  </w:t>
      </w:r>
      <w:r w:rsidRPr="00EA66F6">
        <w:t>Improved information technology will be used to the maximum extent practicable in obtaining this information.</w:t>
      </w:r>
      <w:r w:rsidR="002032CD" w:rsidRPr="00EA66F6">
        <w:t xml:space="preserve">  Contractors will report data directly into a </w:t>
      </w:r>
      <w:r w:rsidR="00FA1A63" w:rsidRPr="00EA66F6">
        <w:t>Service Contract Reporting Portal</w:t>
      </w:r>
      <w:r w:rsidR="002032CD" w:rsidRPr="00EA66F6">
        <w:t xml:space="preserve">.  </w:t>
      </w:r>
    </w:p>
    <w:p w:rsidR="005375C4" w:rsidRPr="00EA66F6" w:rsidRDefault="005375C4" w:rsidP="005375C4">
      <w:pPr>
        <w:pStyle w:val="p4"/>
        <w:spacing w:after="0" w:line="240" w:lineRule="auto"/>
      </w:pPr>
    </w:p>
    <w:p w:rsidR="00D676B1" w:rsidRPr="00EA66F6" w:rsidRDefault="0024334A" w:rsidP="005375C4">
      <w:pPr>
        <w:pStyle w:val="p4"/>
        <w:spacing w:after="0" w:line="240" w:lineRule="auto"/>
      </w:pPr>
      <w:r w:rsidRPr="00EA66F6">
        <w:rPr>
          <w:b/>
        </w:rPr>
        <w:t>4</w:t>
      </w:r>
      <w:r w:rsidR="006C5BC0" w:rsidRPr="00EA66F6">
        <w:rPr>
          <w:b/>
        </w:rPr>
        <w:t>.</w:t>
      </w:r>
      <w:r w:rsidR="006C5BC0" w:rsidRPr="00EA66F6">
        <w:tab/>
      </w:r>
      <w:r w:rsidR="000E154E" w:rsidRPr="00EA66F6">
        <w:rPr>
          <w:b/>
        </w:rPr>
        <w:t>Efforts to identify duplication</w:t>
      </w:r>
      <w:r w:rsidR="000E154E" w:rsidRPr="00EA66F6">
        <w:t xml:space="preserve">.  </w:t>
      </w:r>
      <w:r w:rsidR="006C5BC0" w:rsidRPr="00EA66F6">
        <w:t xml:space="preserve">As a matter of policy, </w:t>
      </w:r>
      <w:r w:rsidR="002032CD" w:rsidRPr="00EA66F6">
        <w:t>the Civilian Agencies Acquisition Council (CAAC) and the Defense Acquisition Regulations Council (DARC)</w:t>
      </w:r>
      <w:r w:rsidR="006C5BC0" w:rsidRPr="00EA66F6">
        <w:t xml:space="preserve"> review the </w:t>
      </w:r>
      <w:r w:rsidR="00C84D06" w:rsidRPr="00EA66F6">
        <w:t>F</w:t>
      </w:r>
      <w:r w:rsidR="006C5BC0" w:rsidRPr="00EA66F6">
        <w:t xml:space="preserve">AR to determine whether adequate language already exists. </w:t>
      </w:r>
      <w:r w:rsidR="00CD4DF2" w:rsidRPr="00EA66F6">
        <w:t xml:space="preserve"> </w:t>
      </w:r>
      <w:r w:rsidR="006C5BC0" w:rsidRPr="00EA66F6">
        <w:t>This information collection does not duplicate any other requirement.</w:t>
      </w:r>
    </w:p>
    <w:p w:rsidR="005375C4" w:rsidRPr="00EA66F6" w:rsidRDefault="005375C4" w:rsidP="005375C4">
      <w:pPr>
        <w:pStyle w:val="p4"/>
        <w:spacing w:after="0" w:line="240" w:lineRule="auto"/>
      </w:pPr>
    </w:p>
    <w:p w:rsidR="00C84D06" w:rsidRPr="00EA66F6" w:rsidRDefault="006C5BC0" w:rsidP="005375C4">
      <w:pPr>
        <w:pStyle w:val="p4"/>
        <w:spacing w:line="240" w:lineRule="auto"/>
      </w:pPr>
      <w:r w:rsidRPr="00EA66F6">
        <w:rPr>
          <w:b/>
        </w:rPr>
        <w:t>5.</w:t>
      </w:r>
      <w:r w:rsidRPr="00EA66F6">
        <w:tab/>
      </w:r>
      <w:r w:rsidR="00F36BA5" w:rsidRPr="00EA66F6">
        <w:rPr>
          <w:b/>
        </w:rPr>
        <w:t xml:space="preserve">If the collection of the information impacts small businesses or other entities, describe methods used to minimize the burden. </w:t>
      </w:r>
      <w:r w:rsidR="000E154E" w:rsidRPr="00EA66F6">
        <w:t xml:space="preserve"> </w:t>
      </w:r>
      <w:r w:rsidR="00C84D06" w:rsidRPr="00EA66F6">
        <w:t>The burden applied to small businesses is the minimum consistent with applicable laws, Executive orders, regulations, and prudent business practices.</w:t>
      </w:r>
      <w:r w:rsidR="00A05C31" w:rsidRPr="00EA66F6">
        <w:t xml:space="preserve">  The following methods were used to minimize the burden on small businesses:  </w:t>
      </w:r>
    </w:p>
    <w:p w:rsidR="00915C3F" w:rsidRPr="00EA66F6" w:rsidRDefault="00177AC9" w:rsidP="00915C3F">
      <w:r w:rsidRPr="00EA66F6">
        <w:lastRenderedPageBreak/>
        <w:tab/>
      </w:r>
      <w:r w:rsidR="00567EA3" w:rsidRPr="00EA66F6">
        <w:t xml:space="preserve">1. </w:t>
      </w:r>
      <w:r w:rsidRPr="00EA66F6">
        <w:t xml:space="preserve">Every contractor, whether a large or small business, holding a contract </w:t>
      </w:r>
      <w:r w:rsidR="00FA1A63" w:rsidRPr="00EA66F6">
        <w:t xml:space="preserve">that is predominantly for services </w:t>
      </w:r>
      <w:r w:rsidR="00B106FF" w:rsidRPr="00EA66F6">
        <w:t xml:space="preserve"> </w:t>
      </w:r>
      <w:r w:rsidR="00A84F7C" w:rsidRPr="00EA66F6">
        <w:t>above the specific thresholds</w:t>
      </w:r>
      <w:r w:rsidR="00B106FF" w:rsidRPr="00EA66F6">
        <w:t>,</w:t>
      </w:r>
      <w:r w:rsidR="00A84F7C" w:rsidRPr="00EA66F6">
        <w:t xml:space="preserve"> </w:t>
      </w:r>
      <w:r w:rsidR="00B106FF" w:rsidRPr="00EA66F6">
        <w:t xml:space="preserve">with one of the agencies (other than the Department of Defense) </w:t>
      </w:r>
      <w:r w:rsidR="00FA1A63" w:rsidRPr="00EA66F6">
        <w:t xml:space="preserve">covered by the </w:t>
      </w:r>
      <w:r w:rsidR="00A84F7C" w:rsidRPr="00EA66F6">
        <w:rPr>
          <w:color w:val="000000"/>
        </w:rPr>
        <w:t xml:space="preserve">Federal Activities Inventory Reform (FAIR) Act of 1998 </w:t>
      </w:r>
      <w:r w:rsidR="00B106FF" w:rsidRPr="00EA66F6">
        <w:t>(Public Law 105-270),</w:t>
      </w:r>
      <w:r w:rsidR="00FA1A63" w:rsidRPr="00EA66F6">
        <w:t xml:space="preserve"> </w:t>
      </w:r>
      <w:r w:rsidRPr="00EA66F6">
        <w:t>is required to report</w:t>
      </w:r>
      <w:r w:rsidR="00A84F7C" w:rsidRPr="00EA66F6">
        <w:t xml:space="preserve"> this information</w:t>
      </w:r>
      <w:r w:rsidRPr="00EA66F6">
        <w:t>.</w:t>
      </w:r>
    </w:p>
    <w:p w:rsidR="00177AC9" w:rsidRPr="00EA66F6" w:rsidRDefault="00177AC9" w:rsidP="005375C4">
      <w:pPr>
        <w:pStyle w:val="p4"/>
        <w:ind w:left="990" w:hanging="990"/>
      </w:pPr>
      <w:r w:rsidRPr="00EA66F6">
        <w:tab/>
      </w:r>
      <w:r w:rsidR="00F45AC3" w:rsidRPr="00EA66F6">
        <w:t xml:space="preserve">2.  </w:t>
      </w:r>
      <w:r w:rsidRPr="00EA66F6">
        <w:t xml:space="preserve">The report can be made directly into a website that </w:t>
      </w:r>
      <w:r w:rsidR="00FA1A63" w:rsidRPr="00EA66F6">
        <w:t>w</w:t>
      </w:r>
      <w:r w:rsidRPr="00EA66F6">
        <w:t>i</w:t>
      </w:r>
      <w:r w:rsidR="00FA1A63" w:rsidRPr="00EA66F6">
        <w:t>ll be</w:t>
      </w:r>
      <w:r w:rsidRPr="00EA66F6">
        <w:t xml:space="preserve"> provided in the </w:t>
      </w:r>
      <w:r w:rsidR="005375C4" w:rsidRPr="00EA66F6">
        <w:t xml:space="preserve">    </w:t>
      </w:r>
      <w:r w:rsidRPr="00EA66F6">
        <w:t>contract.</w:t>
      </w:r>
    </w:p>
    <w:p w:rsidR="00177AC9" w:rsidRPr="00EA66F6" w:rsidRDefault="00177AC9">
      <w:pPr>
        <w:pStyle w:val="p4"/>
      </w:pPr>
      <w:r w:rsidRPr="00EA66F6">
        <w:tab/>
      </w:r>
      <w:r w:rsidR="00F45AC3" w:rsidRPr="00EA66F6">
        <w:t xml:space="preserve">3.  </w:t>
      </w:r>
      <w:r w:rsidR="005C59A6" w:rsidRPr="00EA66F6">
        <w:t>The</w:t>
      </w:r>
      <w:r w:rsidRPr="00EA66F6">
        <w:t xml:space="preserve"> report is required </w:t>
      </w:r>
      <w:r w:rsidR="00567EA3" w:rsidRPr="00EA66F6">
        <w:t xml:space="preserve">to be submitted </w:t>
      </w:r>
      <w:r w:rsidRPr="00EA66F6">
        <w:t>only once a year.</w:t>
      </w:r>
    </w:p>
    <w:p w:rsidR="006C5BC0" w:rsidRPr="00EA66F6" w:rsidRDefault="00177AC9" w:rsidP="00177AC9">
      <w:pPr>
        <w:pStyle w:val="p4"/>
      </w:pPr>
      <w:r w:rsidRPr="00EA66F6">
        <w:tab/>
      </w:r>
      <w:r w:rsidR="00F45AC3" w:rsidRPr="00EA66F6">
        <w:t xml:space="preserve">4.  </w:t>
      </w:r>
      <w:r w:rsidR="005C59A6" w:rsidRPr="00EA66F6">
        <w:t>Although</w:t>
      </w:r>
      <w:r w:rsidRPr="00EA66F6">
        <w:t xml:space="preserve"> the law requires additional data regarding the services performed for </w:t>
      </w:r>
      <w:r w:rsidR="006106E6" w:rsidRPr="00EA66F6">
        <w:t xml:space="preserve">FAIR </w:t>
      </w:r>
      <w:r w:rsidRPr="00EA66F6">
        <w:t xml:space="preserve">Act agencies, every effort has </w:t>
      </w:r>
      <w:r w:rsidR="002032CD" w:rsidRPr="00EA66F6">
        <w:t xml:space="preserve">been made to obtain the required data from </w:t>
      </w:r>
      <w:r w:rsidR="00567EA3" w:rsidRPr="00EA66F6">
        <w:t xml:space="preserve">existing </w:t>
      </w:r>
      <w:r w:rsidR="002032CD" w:rsidRPr="00EA66F6">
        <w:t xml:space="preserve">sources </w:t>
      </w:r>
      <w:r w:rsidR="00567EA3" w:rsidRPr="00EA66F6">
        <w:t xml:space="preserve">that collect </w:t>
      </w:r>
      <w:r w:rsidR="008615AF" w:rsidRPr="00EA66F6">
        <w:t>information on</w:t>
      </w:r>
      <w:r w:rsidR="00567EA3" w:rsidRPr="00EA66F6">
        <w:t xml:space="preserve"> contractors and from sources </w:t>
      </w:r>
      <w:r w:rsidR="002032CD" w:rsidRPr="00EA66F6">
        <w:t xml:space="preserve">other than contractors.  </w:t>
      </w:r>
      <w:r w:rsidR="00583E6A" w:rsidRPr="00EA66F6">
        <w:t xml:space="preserve">  </w:t>
      </w:r>
    </w:p>
    <w:p w:rsidR="006C5BC0" w:rsidRPr="00EA66F6" w:rsidRDefault="006C5BC0" w:rsidP="0024334A">
      <w:pPr>
        <w:pStyle w:val="p4"/>
      </w:pPr>
      <w:r w:rsidRPr="00EA66F6">
        <w:rPr>
          <w:b/>
        </w:rPr>
        <w:t>6.</w:t>
      </w:r>
      <w:r w:rsidR="006E0D96" w:rsidRPr="00EA66F6">
        <w:t xml:space="preserve"> </w:t>
      </w:r>
      <w:r w:rsidR="007E1865" w:rsidRPr="00EA66F6">
        <w:tab/>
      </w:r>
      <w:r w:rsidR="000E154E" w:rsidRPr="00EA66F6">
        <w:rPr>
          <w:b/>
        </w:rPr>
        <w:t>Describe consequences to Federal program or policy activities if the collection is not conducted or is conducted less frequently</w:t>
      </w:r>
      <w:r w:rsidR="000E154E" w:rsidRPr="00EA66F6">
        <w:t xml:space="preserve">. </w:t>
      </w:r>
      <w:r w:rsidR="007E1865" w:rsidRPr="00EA66F6">
        <w:t xml:space="preserve"> </w:t>
      </w:r>
      <w:r w:rsidRPr="00EA66F6">
        <w:t xml:space="preserve">If the information is not obtained from the applicable </w:t>
      </w:r>
      <w:r w:rsidR="002032CD" w:rsidRPr="00EA66F6">
        <w:t>contract</w:t>
      </w:r>
      <w:r w:rsidRPr="00EA66F6">
        <w:t>ors</w:t>
      </w:r>
      <w:r w:rsidR="002032CD" w:rsidRPr="00EA66F6">
        <w:t>, then agencies will be unable to comply with the annual services inventory reporting requirements and analysis that are mandated by law (</w:t>
      </w:r>
      <w:r w:rsidR="006106E6" w:rsidRPr="00EA66F6">
        <w:t>S</w:t>
      </w:r>
      <w:r w:rsidR="002032CD" w:rsidRPr="00EA66F6">
        <w:t xml:space="preserve">ection 743 of </w:t>
      </w:r>
      <w:r w:rsidR="00BE110D" w:rsidRPr="00EA66F6">
        <w:t xml:space="preserve">Division C of </w:t>
      </w:r>
      <w:r w:rsidR="002032CD" w:rsidRPr="00EA66F6">
        <w:t>Pub.</w:t>
      </w:r>
      <w:r w:rsidR="00BE110D" w:rsidRPr="00EA66F6">
        <w:t xml:space="preserve"> </w:t>
      </w:r>
      <w:r w:rsidR="002032CD" w:rsidRPr="00EA66F6">
        <w:t xml:space="preserve">L. 111-117).  </w:t>
      </w:r>
    </w:p>
    <w:p w:rsidR="006C5BC0" w:rsidRPr="00EA66F6" w:rsidRDefault="006C5BC0" w:rsidP="0024334A">
      <w:pPr>
        <w:pStyle w:val="p4"/>
      </w:pPr>
      <w:r w:rsidRPr="00EA66F6">
        <w:rPr>
          <w:b/>
        </w:rPr>
        <w:t>7.</w:t>
      </w:r>
      <w:r w:rsidRPr="00EA66F6">
        <w:tab/>
      </w:r>
      <w:r w:rsidR="000E154E" w:rsidRPr="00EA66F6">
        <w:rPr>
          <w:b/>
        </w:rPr>
        <w:t>Special circumstances for collection</w:t>
      </w:r>
      <w:r w:rsidR="000E154E" w:rsidRPr="00EA66F6">
        <w:t xml:space="preserve">.  </w:t>
      </w:r>
      <w:r w:rsidRPr="00EA66F6">
        <w:t>There are no special circumstances that require the collection to be conducted in any manner listed in 5 CFR</w:t>
      </w:r>
      <w:r w:rsidR="00D676B1" w:rsidRPr="00EA66F6">
        <w:t xml:space="preserve"> </w:t>
      </w:r>
      <w:r w:rsidR="00CD4DF2" w:rsidRPr="00EA66F6">
        <w:t>1320.5(d</w:t>
      </w:r>
      <w:proofErr w:type="gramStart"/>
      <w:r w:rsidR="00CD4DF2" w:rsidRPr="00EA66F6">
        <w:t>)</w:t>
      </w:r>
      <w:r w:rsidRPr="00EA66F6">
        <w:t>(</w:t>
      </w:r>
      <w:proofErr w:type="gramEnd"/>
      <w:r w:rsidRPr="00EA66F6">
        <w:t>2).</w:t>
      </w:r>
    </w:p>
    <w:p w:rsidR="00EC558E" w:rsidRPr="00E806D6" w:rsidRDefault="006C5BC0" w:rsidP="00E806D6">
      <w:pPr>
        <w:pStyle w:val="p4"/>
        <w:rPr>
          <w:sz w:val="24"/>
          <w:szCs w:val="24"/>
        </w:rPr>
      </w:pPr>
      <w:r w:rsidRPr="00EA66F6">
        <w:rPr>
          <w:b/>
        </w:rPr>
        <w:t>8.</w:t>
      </w:r>
      <w:r w:rsidRPr="00EA66F6">
        <w:tab/>
      </w:r>
      <w:r w:rsidR="000E154E" w:rsidRPr="00EA66F6">
        <w:rPr>
          <w:b/>
        </w:rPr>
        <w:t>Efforts to consult with persons outside the agency</w:t>
      </w:r>
      <w:r w:rsidR="007E1865" w:rsidRPr="00EA66F6">
        <w:t>.</w:t>
      </w:r>
      <w:r w:rsidR="00E806D6">
        <w:t xml:space="preserve">  </w:t>
      </w:r>
      <w:r w:rsidR="00E806D6" w:rsidRPr="00E806D6">
        <w:rPr>
          <w:bCs/>
          <w:sz w:val="24"/>
          <w:szCs w:val="24"/>
        </w:rPr>
        <w:t xml:space="preserve">An initial notice soliciting public comments on the information collection was published in the </w:t>
      </w:r>
      <w:r w:rsidR="00E806D6" w:rsidRPr="00E806D6">
        <w:rPr>
          <w:bCs/>
          <w:sz w:val="24"/>
          <w:szCs w:val="24"/>
          <w:u w:val="single"/>
        </w:rPr>
        <w:t>Federal</w:t>
      </w:r>
      <w:r w:rsidR="00E806D6" w:rsidRPr="00E806D6">
        <w:rPr>
          <w:bCs/>
          <w:sz w:val="24"/>
          <w:szCs w:val="24"/>
        </w:rPr>
        <w:t xml:space="preserve"> </w:t>
      </w:r>
      <w:r w:rsidR="00E806D6" w:rsidRPr="00E806D6">
        <w:rPr>
          <w:bCs/>
          <w:sz w:val="24"/>
          <w:szCs w:val="24"/>
          <w:u w:val="single"/>
        </w:rPr>
        <w:t>Register</w:t>
      </w:r>
      <w:r w:rsidR="00E806D6" w:rsidRPr="00E806D6">
        <w:rPr>
          <w:bCs/>
          <w:sz w:val="24"/>
          <w:szCs w:val="24"/>
        </w:rPr>
        <w:t xml:space="preserve"> at 76 FR 22070, on April 20, 2011, as part of a proposed</w:t>
      </w:r>
      <w:r w:rsidR="00E806D6">
        <w:rPr>
          <w:bCs/>
          <w:sz w:val="24"/>
          <w:szCs w:val="24"/>
        </w:rPr>
        <w:t xml:space="preserve"> rule under FAR Case 2010-0010. </w:t>
      </w:r>
      <w:r w:rsidR="00E806D6" w:rsidRPr="00E806D6">
        <w:rPr>
          <w:bCs/>
          <w:sz w:val="24"/>
          <w:szCs w:val="24"/>
        </w:rPr>
        <w:t xml:space="preserve"> </w:t>
      </w:r>
      <w:r w:rsidR="00EC558E" w:rsidRPr="00EC558E">
        <w:rPr>
          <w:color w:val="000000"/>
        </w:rPr>
        <w:t xml:space="preserve">One respondent considered </w:t>
      </w:r>
      <w:r w:rsidR="00EC558E" w:rsidRPr="00EC558E">
        <w:t xml:space="preserve">the methodology used to calculate the hours needed to prepare responses and </w:t>
      </w:r>
      <w:r w:rsidR="00EC558E" w:rsidRPr="00EC558E">
        <w:rPr>
          <w:color w:val="000000"/>
        </w:rPr>
        <w:t>the</w:t>
      </w:r>
      <w:r w:rsidR="00EC558E" w:rsidRPr="00EC558E">
        <w:t xml:space="preserve"> reporting requirement estimates in the Paperwork Reduction Act (PRA) submissi</w:t>
      </w:r>
      <w:r w:rsidR="00EC558E">
        <w:t>on to be grossly underestimated.</w:t>
      </w:r>
    </w:p>
    <w:p w:rsidR="00EC558E" w:rsidRPr="00EC558E" w:rsidRDefault="00EC558E" w:rsidP="00EC558E">
      <w:pPr>
        <w:spacing w:line="240" w:lineRule="auto"/>
      </w:pPr>
      <w:r w:rsidRPr="00EC558E">
        <w:t xml:space="preserve">The Councils have reviewed the comment and believe the estimated time to report per contract is reasonable at one hour to calculate the data and one hour to enter the data at </w:t>
      </w:r>
      <w:r>
        <w:t>www.sam.gov</w:t>
      </w:r>
      <w:r w:rsidRPr="00EC558E">
        <w:t xml:space="preserve">.  </w:t>
      </w:r>
      <w:r w:rsidRPr="00EC558E">
        <w:rPr>
          <w:color w:val="333333"/>
        </w:rPr>
        <w:t xml:space="preserve">The estimated burden is prepared taking into consideration the necessary criteria in OMB guidance for estimating the paperwork burden put on the entity submitting the information.  For example, consideration is given to an entity reviewing instructions; using technology to collect, process, and disclose information; adjusting existing practices to comply with requirements; searching data sources; completing and reviewing the response; and transmitting or disclosing information.  </w:t>
      </w:r>
      <w:r w:rsidRPr="00EC558E">
        <w:rPr>
          <w:color w:val="363636"/>
        </w:rPr>
        <w:t xml:space="preserve">The estimated burden hours for a collection are based on an average between the hours that a simple disclosure by a very small business might require and the much higher numbers that might be required for a very complex disclosure by a major corporation.  Also, the estimated burden hours should only include projected hours for those actions which a </w:t>
      </w:r>
      <w:r w:rsidRPr="00EC558E">
        <w:rPr>
          <w:color w:val="363636"/>
        </w:rPr>
        <w:lastRenderedPageBreak/>
        <w:t>company would not undertake in the normal course of business.</w:t>
      </w:r>
      <w:r w:rsidRPr="00EC558E">
        <w:rPr>
          <w:color w:val="222222"/>
        </w:rPr>
        <w:t xml:space="preserve">  Careful </w:t>
      </w:r>
      <w:r w:rsidRPr="00EC558E">
        <w:rPr>
          <w:color w:val="222222"/>
          <w:shd w:val="clear" w:color="auto" w:fill="FFFFFF"/>
        </w:rPr>
        <w:t>consideration went into assessing the</w:t>
      </w:r>
      <w:r w:rsidRPr="00EC558E">
        <w:rPr>
          <w:rStyle w:val="apple-converted-space"/>
          <w:color w:val="222222"/>
          <w:shd w:val="clear" w:color="auto" w:fill="FFFFFF"/>
        </w:rPr>
        <w:t xml:space="preserve"> estimated </w:t>
      </w:r>
      <w:r w:rsidRPr="00EC558E">
        <w:rPr>
          <w:rStyle w:val="il"/>
          <w:color w:val="222222"/>
        </w:rPr>
        <w:t>burden</w:t>
      </w:r>
      <w:r w:rsidRPr="00EC558E">
        <w:rPr>
          <w:rStyle w:val="apple-converted-space"/>
          <w:color w:val="222222"/>
        </w:rPr>
        <w:t> </w:t>
      </w:r>
      <w:r w:rsidRPr="00EC558E">
        <w:rPr>
          <w:color w:val="222222"/>
        </w:rPr>
        <w:t>hours</w:t>
      </w:r>
      <w:r w:rsidRPr="00EC558E">
        <w:rPr>
          <w:color w:val="222222"/>
          <w:shd w:val="clear" w:color="auto" w:fill="FFFFFF"/>
        </w:rPr>
        <w:t xml:space="preserve"> for this collection, and although, the respondent indicated the burden is underestimated, the estimated burden </w:t>
      </w:r>
      <w:r w:rsidRPr="00EC558E">
        <w:t xml:space="preserve">remains unchanged.  </w:t>
      </w:r>
      <w:r w:rsidRPr="00EC558E">
        <w:rPr>
          <w:color w:val="222222"/>
          <w:shd w:val="clear" w:color="auto" w:fill="FFFFFF"/>
        </w:rPr>
        <w:t>At any point, members of the public may submit comments for further consideration, and are encouraged to provide data to support their request for an adjustment.</w:t>
      </w:r>
    </w:p>
    <w:p w:rsidR="006C5BC0" w:rsidRPr="00EA66F6" w:rsidRDefault="007E1865" w:rsidP="00EC558E">
      <w:pPr>
        <w:pStyle w:val="p4"/>
        <w:spacing w:line="240" w:lineRule="auto"/>
      </w:pPr>
      <w:r w:rsidRPr="00EA66F6">
        <w:t xml:space="preserve">  </w:t>
      </w:r>
      <w:r w:rsidR="006C5BC0" w:rsidRPr="00EA66F6">
        <w:rPr>
          <w:b/>
        </w:rPr>
        <w:t>9.</w:t>
      </w:r>
      <w:r w:rsidR="006C5BC0" w:rsidRPr="00EA66F6">
        <w:tab/>
      </w:r>
      <w:r w:rsidR="000E154E" w:rsidRPr="00EA66F6">
        <w:rPr>
          <w:b/>
        </w:rPr>
        <w:t xml:space="preserve">Explanation of any decision to provide any payment or gift to respondents, other than </w:t>
      </w:r>
      <w:r w:rsidR="00C82721" w:rsidRPr="00EA66F6">
        <w:rPr>
          <w:b/>
        </w:rPr>
        <w:t>remuneration</w:t>
      </w:r>
      <w:r w:rsidR="000E154E" w:rsidRPr="00EA66F6">
        <w:rPr>
          <w:b/>
        </w:rPr>
        <w:t xml:space="preserve"> of contractors or guarantees</w:t>
      </w:r>
      <w:r w:rsidR="000E154E" w:rsidRPr="00EA66F6">
        <w:t xml:space="preserve">.  </w:t>
      </w:r>
      <w:r w:rsidR="006C5BC0" w:rsidRPr="00EA66F6">
        <w:t>No payment or gift will be provided to respondents, other than remuneration of contractors under their contracts.</w:t>
      </w:r>
    </w:p>
    <w:p w:rsidR="006C5BC0" w:rsidRPr="00EA66F6" w:rsidRDefault="006C5BC0">
      <w:pPr>
        <w:pStyle w:val="p4"/>
      </w:pPr>
      <w:r w:rsidRPr="00EA66F6">
        <w:rPr>
          <w:b/>
        </w:rPr>
        <w:t>10.</w:t>
      </w:r>
      <w:r w:rsidRPr="00EA66F6">
        <w:tab/>
      </w:r>
      <w:r w:rsidR="000E154E" w:rsidRPr="00EA66F6">
        <w:rPr>
          <w:b/>
        </w:rPr>
        <w:t>Describe assurance of confidentiality provided to respondents</w:t>
      </w:r>
      <w:r w:rsidR="000E154E" w:rsidRPr="00EA66F6">
        <w:t xml:space="preserve">. </w:t>
      </w:r>
      <w:r w:rsidRPr="00EA66F6">
        <w:t>The information collected will be</w:t>
      </w:r>
      <w:r w:rsidR="006106E6" w:rsidRPr="00EA66F6">
        <w:t xml:space="preserve"> publicly available, as required by Section 743 of Division C of Pub. L. 111-117</w:t>
      </w:r>
      <w:r w:rsidR="00DA4E88" w:rsidRPr="00EA66F6">
        <w:t>.</w:t>
      </w:r>
    </w:p>
    <w:p w:rsidR="00985306" w:rsidRPr="00EA66F6" w:rsidRDefault="006C5BC0">
      <w:pPr>
        <w:pStyle w:val="p4"/>
      </w:pPr>
      <w:r w:rsidRPr="00EA66F6">
        <w:rPr>
          <w:b/>
        </w:rPr>
        <w:t>11.</w:t>
      </w:r>
      <w:r w:rsidRPr="00EA66F6">
        <w:rPr>
          <w:b/>
          <w:i/>
        </w:rPr>
        <w:tab/>
      </w:r>
      <w:r w:rsidR="000E154E" w:rsidRPr="00EA66F6">
        <w:rPr>
          <w:b/>
        </w:rPr>
        <w:t>Additional justification for questions of a sensitive nature</w:t>
      </w:r>
      <w:r w:rsidR="000E154E" w:rsidRPr="00EA66F6">
        <w:t xml:space="preserve">.  </w:t>
      </w:r>
      <w:r w:rsidR="00436ED4" w:rsidRPr="00EA66F6">
        <w:t xml:space="preserve">This proposed rule is requesting information about the labor hours and the total amount invoiced.  </w:t>
      </w:r>
      <w:r w:rsidR="000E154E" w:rsidRPr="00EA66F6">
        <w:t xml:space="preserve">The </w:t>
      </w:r>
      <w:r w:rsidR="00436ED4" w:rsidRPr="00EA66F6">
        <w:t xml:space="preserve">information collected is not considered sensitive, but </w:t>
      </w:r>
      <w:r w:rsidR="00C82721" w:rsidRPr="00EA66F6">
        <w:t>the statute</w:t>
      </w:r>
      <w:r w:rsidR="00436ED4" w:rsidRPr="00EA66F6">
        <w:t xml:space="preserve"> does require it to be made publicly available.  </w:t>
      </w:r>
    </w:p>
    <w:p w:rsidR="007601E8" w:rsidRPr="00EA66F6" w:rsidRDefault="006C5BC0" w:rsidP="00C22ABC">
      <w:pPr>
        <w:pStyle w:val="p4"/>
        <w:spacing w:after="0" w:line="240" w:lineRule="auto"/>
      </w:pPr>
      <w:r w:rsidRPr="00EA66F6">
        <w:rPr>
          <w:b/>
        </w:rPr>
        <w:t>12.</w:t>
      </w:r>
      <w:r w:rsidRPr="00EA66F6">
        <w:tab/>
      </w:r>
      <w:r w:rsidR="000E154E" w:rsidRPr="00EA66F6">
        <w:rPr>
          <w:b/>
        </w:rPr>
        <w:t>Estimated total annual public hour burden</w:t>
      </w:r>
      <w:r w:rsidR="000E154E" w:rsidRPr="00EA66F6">
        <w:t xml:space="preserve">.  </w:t>
      </w:r>
      <w:r w:rsidRPr="00EA66F6">
        <w:t xml:space="preserve">Estimate of public burden. </w:t>
      </w:r>
    </w:p>
    <w:p w:rsidR="007601E8" w:rsidRPr="00EA66F6" w:rsidRDefault="007601E8" w:rsidP="007E1865">
      <w:pPr>
        <w:ind w:firstLine="720"/>
      </w:pPr>
      <w:r w:rsidRPr="00EA66F6">
        <w:t>Th</w:t>
      </w:r>
      <w:r w:rsidR="00FA1A63" w:rsidRPr="00EA66F6">
        <w:t>e clause</w:t>
      </w:r>
      <w:r w:rsidR="00596479" w:rsidRPr="00EA66F6">
        <w:t>s</w:t>
      </w:r>
      <w:r w:rsidRPr="00EA66F6">
        <w:t xml:space="preserve"> </w:t>
      </w:r>
      <w:r w:rsidR="00FA1A63" w:rsidRPr="00EA66F6">
        <w:t>are</w:t>
      </w:r>
      <w:r w:rsidRPr="00EA66F6">
        <w:t xml:space="preserve"> prescribed at </w:t>
      </w:r>
      <w:r w:rsidR="00BE110D" w:rsidRPr="00EA66F6">
        <w:t xml:space="preserve">FAR </w:t>
      </w:r>
      <w:r w:rsidR="00FA1A63" w:rsidRPr="00EA66F6">
        <w:t>4</w:t>
      </w:r>
      <w:r w:rsidR="00BE110D" w:rsidRPr="00EA66F6">
        <w:t>.</w:t>
      </w:r>
      <w:r w:rsidR="00FA1A63" w:rsidRPr="00EA66F6">
        <w:t>1</w:t>
      </w:r>
      <w:r w:rsidR="00596479" w:rsidRPr="00EA66F6">
        <w:t>7</w:t>
      </w:r>
      <w:r w:rsidR="00FA1A63" w:rsidRPr="00EA66F6">
        <w:t>05, Contract clause</w:t>
      </w:r>
      <w:r w:rsidR="00596479" w:rsidRPr="00EA66F6">
        <w:t>s</w:t>
      </w:r>
      <w:r w:rsidR="00FA1A63" w:rsidRPr="00EA66F6">
        <w:t>, f</w:t>
      </w:r>
      <w:r w:rsidRPr="00EA66F6">
        <w:t xml:space="preserve">or use in </w:t>
      </w:r>
      <w:r w:rsidR="00BE110D" w:rsidRPr="00EA66F6">
        <w:t>contract</w:t>
      </w:r>
      <w:r w:rsidRPr="00EA66F6">
        <w:t xml:space="preserve">s </w:t>
      </w:r>
      <w:r w:rsidR="00FA1A63" w:rsidRPr="00EA66F6">
        <w:t xml:space="preserve">that are predominantly </w:t>
      </w:r>
      <w:r w:rsidR="00BE110D" w:rsidRPr="00EA66F6">
        <w:t>for services</w:t>
      </w:r>
      <w:r w:rsidR="00DA4E88" w:rsidRPr="00EA66F6">
        <w:t xml:space="preserve"> </w:t>
      </w:r>
      <w:r w:rsidR="00BE110D" w:rsidRPr="00EA66F6">
        <w:t>awarded on or after</w:t>
      </w:r>
      <w:r w:rsidR="006106E6" w:rsidRPr="00EA66F6">
        <w:t xml:space="preserve"> the effective date</w:t>
      </w:r>
      <w:r w:rsidR="00BE110D" w:rsidRPr="00EA66F6">
        <w:t xml:space="preserve">.  The clause </w:t>
      </w:r>
      <w:r w:rsidR="00FA1A63" w:rsidRPr="00EA66F6">
        <w:t xml:space="preserve">and </w:t>
      </w:r>
      <w:r w:rsidR="00DA4E88" w:rsidRPr="00EA66F6">
        <w:t>its alternate</w:t>
      </w:r>
      <w:r w:rsidR="00FA1A63" w:rsidRPr="00EA66F6">
        <w:t xml:space="preserve"> </w:t>
      </w:r>
      <w:r w:rsidR="00BE110D" w:rsidRPr="00EA66F6">
        <w:t>require submission of information that will enable the agency to prepare an annual inventory of services performed on behalf of the agency</w:t>
      </w:r>
      <w:r w:rsidR="00FA1A63" w:rsidRPr="00EA66F6">
        <w:t xml:space="preserve"> and collect information on the costs associated with the reporting burden</w:t>
      </w:r>
      <w:r w:rsidR="00BE110D" w:rsidRPr="00EA66F6">
        <w:t xml:space="preserve">.  </w:t>
      </w:r>
      <w:r w:rsidRPr="00EA66F6">
        <w:t xml:space="preserve">  </w:t>
      </w:r>
    </w:p>
    <w:p w:rsidR="00A7287A" w:rsidRPr="00EA66F6" w:rsidRDefault="002937DB" w:rsidP="00180235">
      <w:r w:rsidRPr="00EA66F6">
        <w:tab/>
        <w:t xml:space="preserve">Because this is a new information collection </w:t>
      </w:r>
      <w:r w:rsidR="00D84280" w:rsidRPr="00EA66F6">
        <w:t>requirement, historical data is</w:t>
      </w:r>
      <w:r w:rsidRPr="00EA66F6">
        <w:t xml:space="preserve"> not available.  Further, the ceiling amount for </w:t>
      </w:r>
      <w:r w:rsidR="00003073" w:rsidRPr="00EA66F6">
        <w:t xml:space="preserve">certain </w:t>
      </w:r>
      <w:r w:rsidRPr="00EA66F6">
        <w:t xml:space="preserve">service contracts to include </w:t>
      </w:r>
      <w:r w:rsidR="00D84280" w:rsidRPr="00EA66F6">
        <w:t xml:space="preserve">in </w:t>
      </w:r>
      <w:r w:rsidRPr="00EA66F6">
        <w:t>the reporting requirement</w:t>
      </w:r>
      <w:r w:rsidR="00670599" w:rsidRPr="00EA66F6">
        <w:t xml:space="preserve"> for fixed price contracts</w:t>
      </w:r>
      <w:r w:rsidRPr="00EA66F6">
        <w:t xml:space="preserve"> will be phased in </w:t>
      </w:r>
      <w:r w:rsidR="00D45C7B" w:rsidRPr="00EA66F6">
        <w:t xml:space="preserve">over </w:t>
      </w:r>
      <w:r w:rsidR="00670599" w:rsidRPr="00EA66F6">
        <w:t xml:space="preserve">four </w:t>
      </w:r>
      <w:r w:rsidR="00D45C7B" w:rsidRPr="00EA66F6">
        <w:t xml:space="preserve">years (see paragraph 2. above).  Therefore, </w:t>
      </w:r>
      <w:r w:rsidR="00DA4E88" w:rsidRPr="00EA66F6">
        <w:t>data from Fiscal Year</w:t>
      </w:r>
      <w:r w:rsidR="00A7287A" w:rsidRPr="00EA66F6">
        <w:t xml:space="preserve"> (FY)</w:t>
      </w:r>
      <w:r w:rsidR="00DA4E88" w:rsidRPr="00EA66F6">
        <w:t xml:space="preserve"> 2009</w:t>
      </w:r>
      <w:r w:rsidR="00D84280" w:rsidRPr="00EA66F6">
        <w:t xml:space="preserve"> was used</w:t>
      </w:r>
      <w:r w:rsidR="00DA4E88" w:rsidRPr="00EA66F6">
        <w:t>, the mos</w:t>
      </w:r>
      <w:r w:rsidR="00D84280" w:rsidRPr="00EA66F6">
        <w:t>t recent year for which data is</w:t>
      </w:r>
      <w:r w:rsidR="00DA4E88" w:rsidRPr="00EA66F6">
        <w:t xml:space="preserve"> available, </w:t>
      </w:r>
      <w:r w:rsidRPr="00EA66F6">
        <w:t>a</w:t>
      </w:r>
      <w:r w:rsidR="00E91EE8" w:rsidRPr="00EA66F6">
        <w:t>s a</w:t>
      </w:r>
      <w:r w:rsidRPr="00EA66F6">
        <w:t xml:space="preserve"> baseline </w:t>
      </w:r>
      <w:r w:rsidR="00D45C7B" w:rsidRPr="00EA66F6">
        <w:t xml:space="preserve">for </w:t>
      </w:r>
      <w:r w:rsidRPr="00EA66F6">
        <w:t xml:space="preserve">the number of </w:t>
      </w:r>
      <w:r w:rsidR="00DA4E88" w:rsidRPr="00EA66F6">
        <w:t xml:space="preserve">affected </w:t>
      </w:r>
      <w:r w:rsidRPr="00EA66F6">
        <w:t xml:space="preserve">service contracts, </w:t>
      </w:r>
      <w:r w:rsidR="00670599" w:rsidRPr="00EA66F6">
        <w:t xml:space="preserve">excluding </w:t>
      </w:r>
      <w:proofErr w:type="spellStart"/>
      <w:proofErr w:type="gramStart"/>
      <w:r w:rsidRPr="00EA66F6">
        <w:t>DoD</w:t>
      </w:r>
      <w:proofErr w:type="spellEnd"/>
      <w:proofErr w:type="gramEnd"/>
      <w:r w:rsidRPr="00EA66F6">
        <w:t xml:space="preserve"> service contract awards</w:t>
      </w:r>
      <w:r w:rsidR="00D84280" w:rsidRPr="00EA66F6">
        <w:t>.</w:t>
      </w:r>
      <w:r w:rsidRPr="00EA66F6">
        <w:t xml:space="preserve"> </w:t>
      </w:r>
    </w:p>
    <w:p w:rsidR="00A7287A" w:rsidRPr="00EA66F6" w:rsidRDefault="00A7287A" w:rsidP="00A7287A">
      <w:pPr>
        <w:ind w:firstLine="720"/>
      </w:pPr>
      <w:r w:rsidRPr="00EA66F6">
        <w:t xml:space="preserve">The Federal Procurement Data System (FPDS) was the source for the data used in this justification.  If </w:t>
      </w:r>
      <w:r w:rsidR="00670599" w:rsidRPr="00EA66F6">
        <w:t xml:space="preserve">the first year’s reporting thresholds had been implemented in </w:t>
      </w:r>
      <w:r w:rsidRPr="00EA66F6">
        <w:t xml:space="preserve">FY 2009, </w:t>
      </w:r>
      <w:r w:rsidR="00670599" w:rsidRPr="00EA66F6">
        <w:t xml:space="preserve">the requirement </w:t>
      </w:r>
      <w:r w:rsidRPr="00EA66F6">
        <w:t>would have covered 17,120 fixed-price service contracts over $5 million and 6,725 cost-reimbursement, time-and-materials, and labor-hour service contracts above the simplified acquisition threshold.  Therefore, the total number of contracts on which reports would have been submitted is 23,845.</w:t>
      </w:r>
    </w:p>
    <w:p w:rsidR="007601E8" w:rsidRPr="00EA66F6" w:rsidRDefault="00E91EE8" w:rsidP="00A7287A">
      <w:pPr>
        <w:ind w:firstLine="720"/>
      </w:pPr>
      <w:r w:rsidRPr="00EA66F6">
        <w:lastRenderedPageBreak/>
        <w:t xml:space="preserve">Only one report is required for each contract annually, and we estimate that it will take approximately </w:t>
      </w:r>
      <w:r w:rsidR="00DA61DD" w:rsidRPr="00EA66F6">
        <w:t>2</w:t>
      </w:r>
      <w:r w:rsidRPr="00EA66F6">
        <w:t xml:space="preserve"> hours to prepare and submit the report.  </w:t>
      </w:r>
    </w:p>
    <w:p w:rsidR="005375C4" w:rsidRPr="00EA66F6" w:rsidRDefault="00DA61DD" w:rsidP="005375C4">
      <w:pPr>
        <w:spacing w:after="0" w:line="240" w:lineRule="auto"/>
      </w:pPr>
      <w:r w:rsidRPr="00EA66F6">
        <w:tab/>
        <w:t>Respondents</w:t>
      </w:r>
      <w:r w:rsidRPr="00EA66F6">
        <w:tab/>
      </w:r>
      <w:r w:rsidRPr="00EA66F6">
        <w:tab/>
      </w:r>
      <w:r w:rsidRPr="00EA66F6">
        <w:tab/>
      </w:r>
      <w:r w:rsidRPr="00EA66F6">
        <w:tab/>
        <w:t xml:space="preserve">    </w:t>
      </w:r>
      <w:r w:rsidR="00556C29" w:rsidRPr="00EA66F6">
        <w:t xml:space="preserve"> 2</w:t>
      </w:r>
      <w:r w:rsidR="00A7287A" w:rsidRPr="00EA66F6">
        <w:t>3</w:t>
      </w:r>
      <w:r w:rsidR="00556C29" w:rsidRPr="00EA66F6">
        <w:t>,</w:t>
      </w:r>
      <w:r w:rsidR="00A7287A" w:rsidRPr="00EA66F6">
        <w:t>8</w:t>
      </w:r>
      <w:r w:rsidR="00556C29" w:rsidRPr="00EA66F6">
        <w:t>4</w:t>
      </w:r>
      <w:r w:rsidR="00A7287A" w:rsidRPr="00EA66F6">
        <w:t>5</w:t>
      </w:r>
      <w:r w:rsidR="007601E8" w:rsidRPr="00EA66F6">
        <w:t xml:space="preserve">  </w:t>
      </w:r>
      <w:r w:rsidR="007601E8" w:rsidRPr="00EA66F6">
        <w:tab/>
      </w:r>
    </w:p>
    <w:p w:rsidR="005375C4" w:rsidRPr="00EA66F6" w:rsidRDefault="005375C4" w:rsidP="005375C4">
      <w:pPr>
        <w:spacing w:after="0" w:line="240" w:lineRule="auto"/>
      </w:pPr>
      <w:r w:rsidRPr="00EA66F6">
        <w:t xml:space="preserve">           </w:t>
      </w:r>
      <w:r w:rsidR="007601E8" w:rsidRPr="00EA66F6">
        <w:t xml:space="preserve">Responses/respondent     </w:t>
      </w:r>
      <w:r w:rsidR="007601E8" w:rsidRPr="00EA66F6">
        <w:tab/>
        <w:t xml:space="preserve">    </w:t>
      </w:r>
      <w:r w:rsidRPr="00EA66F6">
        <w:t xml:space="preserve">              </w:t>
      </w:r>
      <w:r w:rsidR="007601E8" w:rsidRPr="00EA66F6">
        <w:t xml:space="preserve">  </w:t>
      </w:r>
      <w:r w:rsidR="007601E8" w:rsidRPr="00EA66F6">
        <w:rPr>
          <w:u w:val="single"/>
        </w:rPr>
        <w:t>x</w:t>
      </w:r>
      <w:r w:rsidR="007C44AB" w:rsidRPr="00EA66F6">
        <w:rPr>
          <w:u w:val="single"/>
        </w:rPr>
        <w:t xml:space="preserve"> </w:t>
      </w:r>
      <w:r w:rsidR="00E91EE8" w:rsidRPr="00EA66F6">
        <w:rPr>
          <w:u w:val="single"/>
        </w:rPr>
        <w:t xml:space="preserve">  1</w:t>
      </w:r>
      <w:r w:rsidRPr="00EA66F6">
        <w:tab/>
      </w:r>
    </w:p>
    <w:p w:rsidR="009456E3" w:rsidRPr="00EA66F6" w:rsidRDefault="005375C4" w:rsidP="005375C4">
      <w:pPr>
        <w:spacing w:after="0" w:line="240" w:lineRule="auto"/>
      </w:pPr>
      <w:r w:rsidRPr="00EA66F6">
        <w:t xml:space="preserve">           </w:t>
      </w:r>
      <w:r w:rsidR="007601E8" w:rsidRPr="00EA66F6">
        <w:t>Res</w:t>
      </w:r>
      <w:r w:rsidRPr="00EA66F6">
        <w:t>ponses</w:t>
      </w:r>
      <w:r w:rsidRPr="00EA66F6">
        <w:tab/>
      </w:r>
      <w:r w:rsidRPr="00EA66F6">
        <w:tab/>
      </w:r>
      <w:r w:rsidRPr="00EA66F6">
        <w:tab/>
        <w:t xml:space="preserve">                </w:t>
      </w:r>
      <w:r w:rsidR="00556C29" w:rsidRPr="00EA66F6">
        <w:t>2</w:t>
      </w:r>
      <w:r w:rsidR="00A7287A" w:rsidRPr="00EA66F6">
        <w:t>3</w:t>
      </w:r>
      <w:r w:rsidR="00DA61DD" w:rsidRPr="00EA66F6">
        <w:t>,</w:t>
      </w:r>
      <w:r w:rsidR="00A7287A" w:rsidRPr="00EA66F6">
        <w:t>8</w:t>
      </w:r>
      <w:r w:rsidR="00556C29" w:rsidRPr="00EA66F6">
        <w:t>4</w:t>
      </w:r>
      <w:r w:rsidR="00A7287A" w:rsidRPr="00EA66F6">
        <w:t>5</w:t>
      </w:r>
    </w:p>
    <w:p w:rsidR="007601E8" w:rsidRPr="00EA66F6" w:rsidRDefault="007601E8" w:rsidP="005375C4">
      <w:pPr>
        <w:spacing w:after="0" w:line="240" w:lineRule="auto"/>
        <w:ind w:firstLine="720"/>
      </w:pPr>
      <w:r w:rsidRPr="00EA66F6">
        <w:t>Hours per response</w:t>
      </w:r>
      <w:r w:rsidRPr="00EA66F6">
        <w:tab/>
      </w:r>
      <w:r w:rsidRPr="00EA66F6">
        <w:tab/>
        <w:t xml:space="preserve">     </w:t>
      </w:r>
      <w:r w:rsidRPr="00EA66F6">
        <w:tab/>
      </w:r>
      <w:r w:rsidR="005375C4" w:rsidRPr="00EA66F6">
        <w:t xml:space="preserve">        </w:t>
      </w:r>
      <w:r w:rsidRPr="00EA66F6">
        <w:t xml:space="preserve"> </w:t>
      </w:r>
      <w:r w:rsidRPr="00EA66F6">
        <w:rPr>
          <w:u w:val="single"/>
        </w:rPr>
        <w:t xml:space="preserve">x </w:t>
      </w:r>
      <w:r w:rsidR="007C44AB" w:rsidRPr="00EA66F6">
        <w:rPr>
          <w:u w:val="single"/>
        </w:rPr>
        <w:t xml:space="preserve">  </w:t>
      </w:r>
      <w:r w:rsidR="00DA61DD" w:rsidRPr="00EA66F6">
        <w:rPr>
          <w:u w:val="single"/>
        </w:rPr>
        <w:t>2</w:t>
      </w:r>
    </w:p>
    <w:p w:rsidR="0024334A" w:rsidRPr="00EA66F6" w:rsidRDefault="005375C4" w:rsidP="005375C4">
      <w:pPr>
        <w:spacing w:after="0" w:line="240" w:lineRule="auto"/>
      </w:pPr>
      <w:r w:rsidRPr="00EA66F6">
        <w:t xml:space="preserve">           </w:t>
      </w:r>
      <w:r w:rsidR="007601E8" w:rsidRPr="00EA66F6">
        <w:t>Total hours</w:t>
      </w:r>
      <w:r w:rsidR="007601E8" w:rsidRPr="00EA66F6">
        <w:tab/>
      </w:r>
      <w:r w:rsidR="007601E8" w:rsidRPr="00EA66F6">
        <w:tab/>
      </w:r>
      <w:r w:rsidR="007601E8" w:rsidRPr="00EA66F6">
        <w:tab/>
      </w:r>
      <w:r w:rsidR="007601E8" w:rsidRPr="00EA66F6">
        <w:tab/>
      </w:r>
      <w:r w:rsidR="00DA61DD" w:rsidRPr="00EA66F6">
        <w:t xml:space="preserve">    </w:t>
      </w:r>
      <w:r w:rsidR="00556C29" w:rsidRPr="00EA66F6">
        <w:t xml:space="preserve"> </w:t>
      </w:r>
      <w:r w:rsidR="00A7287A" w:rsidRPr="00EA66F6">
        <w:t>47</w:t>
      </w:r>
      <w:r w:rsidR="00DA61DD" w:rsidRPr="00EA66F6">
        <w:t>,</w:t>
      </w:r>
      <w:r w:rsidR="00A7287A" w:rsidRPr="00EA66F6">
        <w:t>690</w:t>
      </w:r>
    </w:p>
    <w:p w:rsidR="007601E8" w:rsidRPr="00EA66F6" w:rsidRDefault="007601E8" w:rsidP="005375C4">
      <w:pPr>
        <w:spacing w:after="0" w:line="240" w:lineRule="auto"/>
      </w:pPr>
      <w:r w:rsidRPr="00EA66F6">
        <w:t xml:space="preserve">     </w:t>
      </w:r>
      <w:r w:rsidR="005375C4" w:rsidRPr="00EA66F6">
        <w:t xml:space="preserve">      </w:t>
      </w:r>
      <w:r w:rsidRPr="00EA66F6">
        <w:t>Cost per hour</w:t>
      </w:r>
      <w:r w:rsidRPr="00EA66F6">
        <w:tab/>
      </w:r>
      <w:r w:rsidRPr="00EA66F6">
        <w:tab/>
      </w:r>
      <w:r w:rsidRPr="00EA66F6">
        <w:tab/>
        <w:t xml:space="preserve">    </w:t>
      </w:r>
      <w:r w:rsidRPr="00EA66F6">
        <w:tab/>
        <w:t xml:space="preserve">     </w:t>
      </w:r>
      <w:r w:rsidR="005375C4" w:rsidRPr="00EA66F6">
        <w:t xml:space="preserve"> </w:t>
      </w:r>
      <w:r w:rsidRPr="00EA66F6">
        <w:t xml:space="preserve"> </w:t>
      </w:r>
      <w:r w:rsidRPr="00EA66F6">
        <w:rPr>
          <w:u w:val="single"/>
        </w:rPr>
        <w:t>x $3</w:t>
      </w:r>
      <w:r w:rsidR="007C44AB" w:rsidRPr="00EA66F6">
        <w:rPr>
          <w:u w:val="single"/>
        </w:rPr>
        <w:t>0</w:t>
      </w:r>
      <w:r w:rsidR="00A7287A" w:rsidRPr="00EA66F6">
        <w:rPr>
          <w:u w:val="single"/>
        </w:rPr>
        <w:t>*</w:t>
      </w:r>
      <w:r w:rsidRPr="00EA66F6">
        <w:t xml:space="preserve">        </w:t>
      </w:r>
    </w:p>
    <w:p w:rsidR="006C5BC0" w:rsidRPr="00EA66F6" w:rsidRDefault="005375C4" w:rsidP="005375C4">
      <w:pPr>
        <w:spacing w:after="0" w:line="240" w:lineRule="auto"/>
      </w:pPr>
      <w:r w:rsidRPr="00EA66F6">
        <w:t xml:space="preserve">           </w:t>
      </w:r>
      <w:r w:rsidR="007601E8" w:rsidRPr="00EA66F6">
        <w:t>T</w:t>
      </w:r>
      <w:r w:rsidR="00DA61DD" w:rsidRPr="00EA66F6">
        <w:t xml:space="preserve">otal annual cost to public </w:t>
      </w:r>
      <w:r w:rsidR="00556C29" w:rsidRPr="00EA66F6">
        <w:t xml:space="preserve"> </w:t>
      </w:r>
      <w:r w:rsidRPr="00EA66F6">
        <w:t xml:space="preserve">         </w:t>
      </w:r>
      <w:r w:rsidR="00DA61DD" w:rsidRPr="00EA66F6">
        <w:t>$1,</w:t>
      </w:r>
      <w:r w:rsidR="00A7287A" w:rsidRPr="00EA66F6">
        <w:t>430</w:t>
      </w:r>
      <w:r w:rsidR="00DA61DD" w:rsidRPr="00EA66F6">
        <w:t>,</w:t>
      </w:r>
      <w:r w:rsidR="00A7287A" w:rsidRPr="00EA66F6">
        <w:t>7</w:t>
      </w:r>
      <w:r w:rsidR="00DA61DD" w:rsidRPr="00EA66F6">
        <w:t>00</w:t>
      </w:r>
    </w:p>
    <w:p w:rsidR="005375C4" w:rsidRPr="00EA66F6" w:rsidRDefault="005375C4" w:rsidP="005375C4">
      <w:pPr>
        <w:spacing w:after="0" w:line="240" w:lineRule="auto"/>
      </w:pPr>
    </w:p>
    <w:p w:rsidR="00180235" w:rsidRPr="00EA66F6" w:rsidRDefault="00F45AC3" w:rsidP="0024334A">
      <w:pPr>
        <w:pStyle w:val="p8"/>
        <w:rPr>
          <w:i/>
          <w:iCs/>
        </w:rPr>
      </w:pPr>
      <w:r w:rsidRPr="00EA66F6">
        <w:tab/>
      </w:r>
      <w:r w:rsidRPr="00EA66F6">
        <w:tab/>
      </w:r>
      <w:r w:rsidR="007601E8" w:rsidRPr="00EA66F6">
        <w:t>*</w:t>
      </w:r>
      <w:r w:rsidR="00EE2282" w:rsidRPr="00EA66F6">
        <w:t>Cost per hour is</w:t>
      </w:r>
      <w:r w:rsidR="006C5BC0" w:rsidRPr="00EA66F6">
        <w:t xml:space="preserve"> based on </w:t>
      </w:r>
      <w:r w:rsidR="0024334A" w:rsidRPr="00EA66F6">
        <w:t xml:space="preserve">OPM 2010 salary tables for </w:t>
      </w:r>
      <w:r w:rsidR="00EE2282" w:rsidRPr="00EA66F6">
        <w:t xml:space="preserve">the equivalent of </w:t>
      </w:r>
      <w:r w:rsidR="006C5BC0" w:rsidRPr="00EA66F6">
        <w:t>a</w:t>
      </w:r>
      <w:r w:rsidR="005D3F31" w:rsidRPr="00EA66F6">
        <w:t xml:space="preserve"> </w:t>
      </w:r>
      <w:r w:rsidR="00D676B1" w:rsidRPr="00EA66F6">
        <w:t>G</w:t>
      </w:r>
      <w:r w:rsidR="005D3F31" w:rsidRPr="00EA66F6">
        <w:t>S-</w:t>
      </w:r>
      <w:r w:rsidR="001556D1" w:rsidRPr="00EA66F6">
        <w:t>9</w:t>
      </w:r>
      <w:r w:rsidR="005D3F31" w:rsidRPr="00EA66F6">
        <w:t xml:space="preserve"> step 5 </w:t>
      </w:r>
      <w:r w:rsidR="0029017A" w:rsidRPr="00EA66F6">
        <w:t xml:space="preserve">of $22.57, </w:t>
      </w:r>
      <w:r w:rsidR="001556D1" w:rsidRPr="00EA66F6">
        <w:t xml:space="preserve">plus overhead of 33 percent, rounded to the nearest dollar, or $30 </w:t>
      </w:r>
      <w:r w:rsidR="00E84269" w:rsidRPr="00EA66F6">
        <w:t>an</w:t>
      </w:r>
      <w:r w:rsidR="001556D1" w:rsidRPr="00EA66F6">
        <w:t xml:space="preserve"> hour</w:t>
      </w:r>
      <w:r w:rsidR="006C5BC0" w:rsidRPr="00EA66F6">
        <w:t>.</w:t>
      </w:r>
      <w:r w:rsidR="00D676B1" w:rsidRPr="00EA66F6">
        <w:t xml:space="preserve">  </w:t>
      </w:r>
    </w:p>
    <w:p w:rsidR="0035409D" w:rsidRPr="00EA66F6" w:rsidRDefault="006C5BC0" w:rsidP="0035409D">
      <w:pPr>
        <w:pStyle w:val="p4"/>
      </w:pPr>
      <w:r w:rsidRPr="00EA66F6">
        <w:rPr>
          <w:b/>
        </w:rPr>
        <w:t>13.</w:t>
      </w:r>
      <w:r w:rsidRPr="00EA66F6">
        <w:tab/>
      </w:r>
      <w:r w:rsidR="00436ED4" w:rsidRPr="00EA66F6">
        <w:rPr>
          <w:b/>
        </w:rPr>
        <w:t>Estimated total annual public cost burden</w:t>
      </w:r>
      <w:r w:rsidR="00F45AC3" w:rsidRPr="00EA66F6">
        <w:t xml:space="preserve">.  </w:t>
      </w:r>
      <w:proofErr w:type="gramStart"/>
      <w:r w:rsidRPr="00EA66F6">
        <w:t>None.</w:t>
      </w:r>
      <w:proofErr w:type="gramEnd"/>
    </w:p>
    <w:p w:rsidR="00BE110D" w:rsidRPr="00EA66F6" w:rsidRDefault="006C5BC0" w:rsidP="00F45AC3">
      <w:pPr>
        <w:pStyle w:val="p4"/>
      </w:pPr>
      <w:r w:rsidRPr="00EA66F6">
        <w:rPr>
          <w:b/>
          <w:bCs/>
        </w:rPr>
        <w:t>14.</w:t>
      </w:r>
      <w:r w:rsidRPr="00EA66F6">
        <w:rPr>
          <w:b/>
          <w:bCs/>
          <w:i/>
        </w:rPr>
        <w:tab/>
      </w:r>
      <w:r w:rsidRPr="00EA66F6">
        <w:rPr>
          <w:b/>
          <w:bCs/>
        </w:rPr>
        <w:t xml:space="preserve">Estimated </w:t>
      </w:r>
      <w:r w:rsidRPr="00EA66F6">
        <w:rPr>
          <w:b/>
        </w:rPr>
        <w:t>cost to the Government</w:t>
      </w:r>
      <w:r w:rsidRPr="00EA66F6">
        <w:t>.</w:t>
      </w:r>
      <w:r w:rsidR="00F45AC3" w:rsidRPr="00EA66F6">
        <w:t xml:space="preserve">  </w:t>
      </w:r>
      <w:r w:rsidR="00BE110D" w:rsidRPr="00EA66F6">
        <w:t xml:space="preserve">Reporting by service contractors occurs once a year.  The data </w:t>
      </w:r>
      <w:r w:rsidR="0024334A" w:rsidRPr="00EA66F6">
        <w:t>are</w:t>
      </w:r>
      <w:r w:rsidR="00BE110D" w:rsidRPr="00EA66F6">
        <w:t xml:space="preserve"> reported directly into a website without going through the Government agency holding the service contract.  The agency contracting officer</w:t>
      </w:r>
      <w:r w:rsidR="00670599" w:rsidRPr="00EA66F6">
        <w:t xml:space="preserve"> must</w:t>
      </w:r>
      <w:r w:rsidR="00BE110D" w:rsidRPr="00EA66F6">
        <w:t xml:space="preserve"> (a) ensure that the clause is included in the contract as appropriate and (b) verify that the contractor has submitted the report in a timely manner.  These </w:t>
      </w:r>
      <w:r w:rsidR="00003073" w:rsidRPr="00EA66F6">
        <w:t>requirements</w:t>
      </w:r>
      <w:r w:rsidR="005B4BBE" w:rsidRPr="00EA66F6">
        <w:t xml:space="preserve"> are estimated to add 2 hours each year to verify contactor compliance</w:t>
      </w:r>
      <w:r w:rsidR="00F45AC3" w:rsidRPr="00EA66F6">
        <w:t xml:space="preserve">.  </w:t>
      </w:r>
      <w:r w:rsidR="00670599" w:rsidRPr="00EA66F6">
        <w:t xml:space="preserve">Ensuring </w:t>
      </w:r>
      <w:r w:rsidR="005B4BBE" w:rsidRPr="00EA66F6">
        <w:t xml:space="preserve">the clause is included </w:t>
      </w:r>
      <w:r w:rsidR="00670599" w:rsidRPr="00EA66F6">
        <w:t xml:space="preserve">in the covered contracts is a current </w:t>
      </w:r>
      <w:r w:rsidR="00FB09F3" w:rsidRPr="00EA66F6">
        <w:t>contracting officer</w:t>
      </w:r>
      <w:r w:rsidR="00003073" w:rsidRPr="00EA66F6">
        <w:t xml:space="preserve"> </w:t>
      </w:r>
      <w:r w:rsidR="00691B54" w:rsidRPr="00EA66F6">
        <w:t xml:space="preserve">responsibility </w:t>
      </w:r>
      <w:r w:rsidR="00FB09F3" w:rsidRPr="00EA66F6">
        <w:t>t</w:t>
      </w:r>
      <w:r w:rsidR="00BE110D" w:rsidRPr="00EA66F6">
        <w:t xml:space="preserve">o properly structure contracts and administer contract performance.  </w:t>
      </w:r>
    </w:p>
    <w:p w:rsidR="006C5BC0" w:rsidRPr="00EA66F6" w:rsidRDefault="00BE110D" w:rsidP="0024334A">
      <w:pPr>
        <w:tabs>
          <w:tab w:val="left" w:pos="1080"/>
          <w:tab w:val="left" w:pos="1440"/>
          <w:tab w:val="left" w:pos="2160"/>
          <w:tab w:val="left" w:pos="2880"/>
        </w:tabs>
      </w:pPr>
      <w:r w:rsidRPr="00EA66F6">
        <w:tab/>
        <w:t xml:space="preserve">The Government will </w:t>
      </w:r>
      <w:r w:rsidR="00FE5CE7" w:rsidRPr="00EA66F6">
        <w:t xml:space="preserve">review the data submitted by contractors and use </w:t>
      </w:r>
      <w:r w:rsidR="00B5533D" w:rsidRPr="00EA66F6">
        <w:t xml:space="preserve">that </w:t>
      </w:r>
      <w:r w:rsidR="00FE5CE7" w:rsidRPr="00EA66F6">
        <w:t xml:space="preserve">data to </w:t>
      </w:r>
      <w:r w:rsidR="008C02D7" w:rsidRPr="00EA66F6">
        <w:t xml:space="preserve">supplement </w:t>
      </w:r>
      <w:r w:rsidR="00FE5CE7" w:rsidRPr="00EA66F6">
        <w:t xml:space="preserve">the agency’s annual inventory of service contractors.  </w:t>
      </w:r>
      <w:r w:rsidR="00691B54" w:rsidRPr="00EA66F6">
        <w:t>T</w:t>
      </w:r>
      <w:r w:rsidR="00FE5CE7" w:rsidRPr="00EA66F6">
        <w:t xml:space="preserve">he costs associated with the </w:t>
      </w:r>
      <w:r w:rsidR="005B4BBE" w:rsidRPr="00EA66F6">
        <w:t xml:space="preserve">agency </w:t>
      </w:r>
      <w:r w:rsidR="00FE5CE7" w:rsidRPr="00EA66F6">
        <w:t xml:space="preserve">annual inventory </w:t>
      </w:r>
      <w:r w:rsidR="008C02D7" w:rsidRPr="00EA66F6">
        <w:t xml:space="preserve">reporting requirement </w:t>
      </w:r>
      <w:r w:rsidR="00FE5CE7" w:rsidRPr="00EA66F6">
        <w:t>are</w:t>
      </w:r>
      <w:r w:rsidR="00691B54" w:rsidRPr="00EA66F6">
        <w:t xml:space="preserve"> the result of the overall statutory requirement and</w:t>
      </w:r>
      <w:r w:rsidR="00FE5CE7" w:rsidRPr="00EA66F6">
        <w:t xml:space="preserve"> not </w:t>
      </w:r>
      <w:r w:rsidR="00691B54" w:rsidRPr="00EA66F6">
        <w:t xml:space="preserve">specifically </w:t>
      </w:r>
      <w:r w:rsidR="00FE5CE7" w:rsidRPr="00EA66F6">
        <w:t>incurred as a result of th</w:t>
      </w:r>
      <w:r w:rsidR="005B4BBE" w:rsidRPr="00EA66F6">
        <w:t>e contractor</w:t>
      </w:r>
      <w:r w:rsidR="00FE5CE7" w:rsidRPr="00EA66F6">
        <w:t xml:space="preserve"> information collection.  Therefore, we </w:t>
      </w:r>
      <w:r w:rsidR="00141A9E" w:rsidRPr="00EA66F6">
        <w:t>estimate th</w:t>
      </w:r>
      <w:r w:rsidR="005B4BBE" w:rsidRPr="00EA66F6">
        <w:t xml:space="preserve">at </w:t>
      </w:r>
      <w:r w:rsidR="00A17108" w:rsidRPr="00EA66F6">
        <w:t>40</w:t>
      </w:r>
      <w:r w:rsidR="005B4BBE" w:rsidRPr="00EA66F6">
        <w:t xml:space="preserve"> hours </w:t>
      </w:r>
      <w:r w:rsidR="008C02D7" w:rsidRPr="00EA66F6">
        <w:t xml:space="preserve">of labor </w:t>
      </w:r>
      <w:r w:rsidR="005B4BBE" w:rsidRPr="00EA66F6">
        <w:t>will be required per agency per year for the annual service contract reporting</w:t>
      </w:r>
      <w:r w:rsidR="00B31320" w:rsidRPr="00EA66F6">
        <w:t xml:space="preserve"> added to the 2 hours each year to verify contractor compliance.  </w:t>
      </w:r>
      <w:r w:rsidR="00CD3808" w:rsidRPr="00EA66F6">
        <w:t>The</w:t>
      </w:r>
      <w:r w:rsidR="00691B54" w:rsidRPr="00EA66F6">
        <w:t xml:space="preserve"> system development requirements associated with this rule are being incorporated into a current system development and integration process, and the costs to incorporate data collection for this rule are minimal and embedded in the overarching system integration cost.</w:t>
      </w:r>
      <w:r w:rsidR="00AB6372" w:rsidRPr="00EA66F6">
        <w:t xml:space="preserve">  </w:t>
      </w:r>
      <w:r w:rsidR="005B4BBE" w:rsidRPr="00EA66F6">
        <w:t xml:space="preserve">The </w:t>
      </w:r>
      <w:r w:rsidR="00141A9E" w:rsidRPr="00EA66F6">
        <w:t xml:space="preserve">annual cost to the Government to </w:t>
      </w:r>
      <w:r w:rsidR="00FE5CE7" w:rsidRPr="00EA66F6">
        <w:t>comply with</w:t>
      </w:r>
      <w:r w:rsidR="00141A9E" w:rsidRPr="00EA66F6">
        <w:t xml:space="preserve"> this infor</w:t>
      </w:r>
      <w:r w:rsidR="00A900FB" w:rsidRPr="00EA66F6">
        <w:t>mation collection requirement will</w:t>
      </w:r>
      <w:r w:rsidR="00141A9E" w:rsidRPr="00EA66F6">
        <w:t xml:space="preserve"> be </w:t>
      </w:r>
      <w:r w:rsidR="00FE5CE7" w:rsidRPr="00EA66F6">
        <w:t>$</w:t>
      </w:r>
      <w:r w:rsidR="00B31320" w:rsidRPr="00EA66F6">
        <w:t>1400</w:t>
      </w:r>
      <w:r w:rsidR="00A17108" w:rsidRPr="00EA66F6">
        <w:t xml:space="preserve"> for annual report labor hours</w:t>
      </w:r>
      <w:r w:rsidR="00CD3808" w:rsidRPr="00EA66F6">
        <w:t>.</w:t>
      </w:r>
    </w:p>
    <w:p w:rsidR="006C5BC0" w:rsidRPr="00EA66F6" w:rsidRDefault="006C5BC0">
      <w:pPr>
        <w:pStyle w:val="p4"/>
      </w:pPr>
      <w:r w:rsidRPr="00EA66F6">
        <w:rPr>
          <w:b/>
        </w:rPr>
        <w:lastRenderedPageBreak/>
        <w:t>15.</w:t>
      </w:r>
      <w:r w:rsidRPr="00EA66F6">
        <w:tab/>
      </w:r>
      <w:r w:rsidR="00436ED4" w:rsidRPr="00EA66F6">
        <w:rPr>
          <w:b/>
        </w:rPr>
        <w:t>Explain reasons for program changes or adjustment reported in Item 13 or 14</w:t>
      </w:r>
      <w:r w:rsidR="00436ED4" w:rsidRPr="00EA66F6">
        <w:t xml:space="preserve">.  </w:t>
      </w:r>
      <w:r w:rsidR="00805B0C" w:rsidRPr="00EA66F6">
        <w:t>The</w:t>
      </w:r>
      <w:r w:rsidR="002D54D6" w:rsidRPr="00EA66F6">
        <w:t xml:space="preserve">re </w:t>
      </w:r>
      <w:r w:rsidR="00E215DD" w:rsidRPr="00EA66F6">
        <w:t xml:space="preserve">are </w:t>
      </w:r>
      <w:r w:rsidR="002D54D6" w:rsidRPr="00EA66F6">
        <w:t>no program changes in this submission.  This is a new information collection requirement</w:t>
      </w:r>
      <w:r w:rsidR="00436ED4" w:rsidRPr="00EA66F6">
        <w:t xml:space="preserve"> that pertains to individual contracts</w:t>
      </w:r>
      <w:r w:rsidR="002D54D6" w:rsidRPr="00EA66F6">
        <w:t>.</w:t>
      </w:r>
      <w:r w:rsidR="00141A9E" w:rsidRPr="00EA66F6">
        <w:t xml:space="preserve">  </w:t>
      </w:r>
    </w:p>
    <w:p w:rsidR="006C5BC0" w:rsidRPr="00EA66F6" w:rsidRDefault="006C5BC0">
      <w:pPr>
        <w:pStyle w:val="p4"/>
      </w:pPr>
      <w:r w:rsidRPr="00EA66F6">
        <w:rPr>
          <w:b/>
        </w:rPr>
        <w:t>16.</w:t>
      </w:r>
      <w:r w:rsidRPr="00EA66F6">
        <w:tab/>
      </w:r>
      <w:r w:rsidR="00436ED4" w:rsidRPr="00EA66F6">
        <w:rPr>
          <w:b/>
        </w:rPr>
        <w:t>Outline plans for published results of information</w:t>
      </w:r>
      <w:r w:rsidR="00436ED4" w:rsidRPr="00EA66F6">
        <w:t xml:space="preserve">.  The statute requires the information to be made publicly available on agency website and OMB’s website.  </w:t>
      </w:r>
      <w:r w:rsidRPr="00EA66F6">
        <w:t xml:space="preserve">Results of this information collection </w:t>
      </w:r>
      <w:r w:rsidR="00436ED4" w:rsidRPr="00EA66F6">
        <w:t xml:space="preserve">may also </w:t>
      </w:r>
      <w:r w:rsidR="00985306" w:rsidRPr="00EA66F6">
        <w:t>be tabulated</w:t>
      </w:r>
      <w:r w:rsidR="00436ED4" w:rsidRPr="00EA66F6">
        <w:t xml:space="preserve">, </w:t>
      </w:r>
      <w:r w:rsidR="00BF4271" w:rsidRPr="00EA66F6">
        <w:t xml:space="preserve">summarized </w:t>
      </w:r>
      <w:r w:rsidR="00985306" w:rsidRPr="00EA66F6">
        <w:t>and published</w:t>
      </w:r>
      <w:r w:rsidR="00436ED4" w:rsidRPr="00EA66F6">
        <w:t xml:space="preserve"> in agency annual reports to OMB</w:t>
      </w:r>
      <w:r w:rsidRPr="00EA66F6">
        <w:t>.</w:t>
      </w:r>
    </w:p>
    <w:p w:rsidR="006C5BC0" w:rsidRPr="00EA66F6" w:rsidRDefault="006C5BC0">
      <w:pPr>
        <w:pStyle w:val="p4"/>
      </w:pPr>
      <w:r w:rsidRPr="00EA66F6">
        <w:rPr>
          <w:b/>
        </w:rPr>
        <w:t>17.</w:t>
      </w:r>
      <w:r w:rsidRPr="00EA66F6">
        <w:tab/>
      </w:r>
      <w:r w:rsidR="006530E2" w:rsidRPr="00EA66F6">
        <w:rPr>
          <w:b/>
        </w:rPr>
        <w:t>Approval not to display expiration date.</w:t>
      </w:r>
      <w:r w:rsidR="00436ED4" w:rsidRPr="00EA66F6">
        <w:t xml:space="preserve">  Not applicable because this information is not being collected on a form.  </w:t>
      </w:r>
    </w:p>
    <w:p w:rsidR="006C5BC0" w:rsidRPr="00EA66F6" w:rsidRDefault="006C5BC0" w:rsidP="00BF4271">
      <w:pPr>
        <w:pStyle w:val="p10"/>
      </w:pPr>
      <w:r w:rsidRPr="00EA66F6">
        <w:rPr>
          <w:b/>
        </w:rPr>
        <w:t>18.</w:t>
      </w:r>
      <w:r w:rsidRPr="00EA66F6">
        <w:tab/>
      </w:r>
      <w:r w:rsidR="006530E2" w:rsidRPr="00EA66F6">
        <w:rPr>
          <w:b/>
        </w:rPr>
        <w:t>Explanation of exception to certification statement.</w:t>
      </w:r>
      <w:r w:rsidR="006C45BA" w:rsidRPr="00EA66F6">
        <w:t xml:space="preserve">  Not applicable.  </w:t>
      </w:r>
    </w:p>
    <w:p w:rsidR="006C5BC0" w:rsidRPr="00EA66F6" w:rsidRDefault="006C5BC0" w:rsidP="005375C4">
      <w:pPr>
        <w:pStyle w:val="p11"/>
        <w:tabs>
          <w:tab w:val="clear" w:pos="623"/>
          <w:tab w:val="left" w:pos="0"/>
        </w:tabs>
        <w:spacing w:after="0" w:line="240" w:lineRule="auto"/>
        <w:ind w:left="0" w:firstLine="0"/>
        <w:rPr>
          <w:b/>
          <w:bCs/>
        </w:rPr>
      </w:pPr>
      <w:r w:rsidRPr="00EA66F6">
        <w:rPr>
          <w:b/>
          <w:bCs/>
        </w:rPr>
        <w:t>B.</w:t>
      </w:r>
      <w:r w:rsidRPr="00EA66F6">
        <w:rPr>
          <w:b/>
          <w:bCs/>
        </w:rPr>
        <w:tab/>
        <w:t>Collections of In</w:t>
      </w:r>
      <w:r w:rsidR="00073CC2" w:rsidRPr="00EA66F6">
        <w:rPr>
          <w:b/>
          <w:bCs/>
        </w:rPr>
        <w:t xml:space="preserve">formation Employing Statistical </w:t>
      </w:r>
      <w:r w:rsidRPr="00EA66F6">
        <w:rPr>
          <w:b/>
          <w:bCs/>
        </w:rPr>
        <w:t>Methods</w:t>
      </w:r>
    </w:p>
    <w:p w:rsidR="006C5BC0" w:rsidRPr="005375C4" w:rsidRDefault="006C5BC0" w:rsidP="00532D32">
      <w:pPr>
        <w:pStyle w:val="p12"/>
        <w:ind w:left="674"/>
      </w:pPr>
      <w:r w:rsidRPr="00EA66F6">
        <w:t>Statistical methods will not be employed.</w:t>
      </w:r>
    </w:p>
    <w:p w:rsidR="006C5BC0" w:rsidRPr="005375C4" w:rsidRDefault="0035409D" w:rsidP="00FF7143">
      <w:pPr>
        <w:pStyle w:val="c13"/>
        <w:tabs>
          <w:tab w:val="left" w:pos="674"/>
        </w:tabs>
        <w:jc w:val="left"/>
        <w:rPr>
          <w:b/>
          <w:bCs/>
        </w:rPr>
      </w:pPr>
      <w:r w:rsidRPr="005375C4">
        <w:rPr>
          <w:b/>
          <w:bCs/>
        </w:rPr>
        <w:t xml:space="preserve"> </w:t>
      </w:r>
    </w:p>
    <w:sectPr w:rsidR="006C5BC0" w:rsidRPr="005375C4" w:rsidSect="00196D6D">
      <w:footerReference w:type="even" r:id="rId8"/>
      <w:footerReference w:type="default" r:id="rId9"/>
      <w:type w:val="continuous"/>
      <w:pgSz w:w="12240" w:h="15840"/>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DB8" w:rsidRDefault="00E73DB8">
      <w:r>
        <w:separator/>
      </w:r>
    </w:p>
  </w:endnote>
  <w:endnote w:type="continuationSeparator" w:id="0">
    <w:p w:rsidR="00E73DB8" w:rsidRDefault="00E7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A3" w:rsidRDefault="00A10A29" w:rsidP="00196D6D">
    <w:pPr>
      <w:pStyle w:val="Footer"/>
      <w:framePr w:wrap="around" w:vAnchor="text" w:hAnchor="margin" w:xAlign="center" w:y="1"/>
      <w:rPr>
        <w:rStyle w:val="PageNumber"/>
      </w:rPr>
    </w:pPr>
    <w:r>
      <w:rPr>
        <w:rStyle w:val="PageNumber"/>
      </w:rPr>
      <w:fldChar w:fldCharType="begin"/>
    </w:r>
    <w:r w:rsidR="00567EA3">
      <w:rPr>
        <w:rStyle w:val="PageNumber"/>
      </w:rPr>
      <w:instrText xml:space="preserve">PAGE  </w:instrText>
    </w:r>
    <w:r>
      <w:rPr>
        <w:rStyle w:val="PageNumber"/>
      </w:rPr>
      <w:fldChar w:fldCharType="end"/>
    </w:r>
  </w:p>
  <w:p w:rsidR="00567EA3" w:rsidRDefault="00567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A3" w:rsidRDefault="00A10A29" w:rsidP="00196D6D">
    <w:pPr>
      <w:pStyle w:val="Footer"/>
      <w:framePr w:wrap="around" w:vAnchor="text" w:hAnchor="margin" w:xAlign="center" w:y="1"/>
      <w:rPr>
        <w:rStyle w:val="PageNumber"/>
      </w:rPr>
    </w:pPr>
    <w:r>
      <w:rPr>
        <w:rStyle w:val="PageNumber"/>
      </w:rPr>
      <w:fldChar w:fldCharType="begin"/>
    </w:r>
    <w:r w:rsidR="00567EA3">
      <w:rPr>
        <w:rStyle w:val="PageNumber"/>
      </w:rPr>
      <w:instrText xml:space="preserve">PAGE  </w:instrText>
    </w:r>
    <w:r>
      <w:rPr>
        <w:rStyle w:val="PageNumber"/>
      </w:rPr>
      <w:fldChar w:fldCharType="separate"/>
    </w:r>
    <w:r w:rsidR="00E806D6">
      <w:rPr>
        <w:rStyle w:val="PageNumber"/>
        <w:noProof/>
      </w:rPr>
      <w:t>4</w:t>
    </w:r>
    <w:r>
      <w:rPr>
        <w:rStyle w:val="PageNumber"/>
      </w:rPr>
      <w:fldChar w:fldCharType="end"/>
    </w:r>
  </w:p>
  <w:p w:rsidR="00567EA3" w:rsidRDefault="00567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DB8" w:rsidRDefault="00E73DB8">
      <w:r>
        <w:separator/>
      </w:r>
    </w:p>
  </w:footnote>
  <w:footnote w:type="continuationSeparator" w:id="0">
    <w:p w:rsidR="00E73DB8" w:rsidRDefault="00E73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7EC"/>
    <w:multiLevelType w:val="hybridMultilevel"/>
    <w:tmpl w:val="E7CC022A"/>
    <w:lvl w:ilvl="0" w:tplc="C02023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622C98"/>
    <w:multiLevelType w:val="hybridMultilevel"/>
    <w:tmpl w:val="958EFE26"/>
    <w:lvl w:ilvl="0" w:tplc="CDF26B0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C9905FB"/>
    <w:multiLevelType w:val="hybridMultilevel"/>
    <w:tmpl w:val="D9FC34FA"/>
    <w:lvl w:ilvl="0" w:tplc="DD22F8D6">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BE4899"/>
    <w:multiLevelType w:val="hybridMultilevel"/>
    <w:tmpl w:val="30F8E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B01F1"/>
    <w:multiLevelType w:val="hybridMultilevel"/>
    <w:tmpl w:val="49B66392"/>
    <w:lvl w:ilvl="0" w:tplc="3B12819C">
      <w:start w:val="1"/>
      <w:numFmt w:val="decimal"/>
      <w:lvlText w:val="(%1)"/>
      <w:lvlJc w:val="left"/>
      <w:pPr>
        <w:ind w:left="1230" w:hanging="360"/>
      </w:pPr>
      <w:rPr>
        <w:rFonts w:ascii="Courier New" w:eastAsia="Times New Roman" w:hAnsi="Courier New" w:cs="Courier New"/>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nsid w:val="11F10B1F"/>
    <w:multiLevelType w:val="hybridMultilevel"/>
    <w:tmpl w:val="958EFE26"/>
    <w:lvl w:ilvl="0" w:tplc="CDF26B0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nsid w:val="148F6AE2"/>
    <w:multiLevelType w:val="hybridMultilevel"/>
    <w:tmpl w:val="8C10C06E"/>
    <w:lvl w:ilvl="0" w:tplc="4BB60B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8C4AB0"/>
    <w:multiLevelType w:val="hybridMultilevel"/>
    <w:tmpl w:val="03C284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49651D"/>
    <w:multiLevelType w:val="hybridMultilevel"/>
    <w:tmpl w:val="FD763B2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EDA2BBF"/>
    <w:multiLevelType w:val="hybridMultilevel"/>
    <w:tmpl w:val="8EBEB3E4"/>
    <w:lvl w:ilvl="0" w:tplc="D92CE86A">
      <w:start w:val="1"/>
      <w:numFmt w:val="decimal"/>
      <w:lvlText w:val="(%1)"/>
      <w:lvlJc w:val="left"/>
      <w:pPr>
        <w:tabs>
          <w:tab w:val="num" w:pos="870"/>
        </w:tabs>
        <w:ind w:left="870" w:hanging="360"/>
      </w:pPr>
      <w:rPr>
        <w:rFonts w:ascii="Courier New" w:eastAsia="Times New Roman" w:hAnsi="Courier New" w:cs="Courier New"/>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0">
    <w:nsid w:val="39761A09"/>
    <w:multiLevelType w:val="hybridMultilevel"/>
    <w:tmpl w:val="7BC6E796"/>
    <w:lvl w:ilvl="0" w:tplc="69B6EC1C">
      <w:start w:val="2"/>
      <w:numFmt w:val="lowerLetter"/>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1">
    <w:nsid w:val="3B2B216F"/>
    <w:multiLevelType w:val="hybridMultilevel"/>
    <w:tmpl w:val="639AA962"/>
    <w:lvl w:ilvl="0" w:tplc="5198C7E6">
      <w:start w:val="4"/>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nsid w:val="44D72C1C"/>
    <w:multiLevelType w:val="hybridMultilevel"/>
    <w:tmpl w:val="D5CC6988"/>
    <w:lvl w:ilvl="0" w:tplc="FAAE8E34">
      <w:start w:val="1"/>
      <w:numFmt w:val="lowerLetter"/>
      <w:lvlText w:val="%1."/>
      <w:lvlJc w:val="left"/>
      <w:pPr>
        <w:ind w:left="1260" w:hanging="585"/>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3">
    <w:nsid w:val="4B1A6B30"/>
    <w:multiLevelType w:val="hybridMultilevel"/>
    <w:tmpl w:val="B73E5EA4"/>
    <w:lvl w:ilvl="0" w:tplc="55CCF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11BCA"/>
    <w:multiLevelType w:val="hybridMultilevel"/>
    <w:tmpl w:val="3192071E"/>
    <w:lvl w:ilvl="0" w:tplc="1D20BBDA">
      <w:start w:val="3"/>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nsid w:val="526D69BD"/>
    <w:multiLevelType w:val="hybridMultilevel"/>
    <w:tmpl w:val="00A8AEEC"/>
    <w:lvl w:ilvl="0" w:tplc="B3F092B0">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5C574D4F"/>
    <w:multiLevelType w:val="hybridMultilevel"/>
    <w:tmpl w:val="3010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DA501E"/>
    <w:multiLevelType w:val="hybridMultilevel"/>
    <w:tmpl w:val="C93A6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9500D3"/>
    <w:multiLevelType w:val="hybridMultilevel"/>
    <w:tmpl w:val="B7D26AF8"/>
    <w:lvl w:ilvl="0" w:tplc="354CF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6928E4"/>
    <w:multiLevelType w:val="hybridMultilevel"/>
    <w:tmpl w:val="04D6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C1561E"/>
    <w:multiLevelType w:val="hybridMultilevel"/>
    <w:tmpl w:val="DF86C40E"/>
    <w:lvl w:ilvl="0" w:tplc="B14C2416">
      <w:start w:val="1"/>
      <w:numFmt w:val="lowerRoman"/>
      <w:lvlText w:val="(%1)"/>
      <w:lvlJc w:val="left"/>
      <w:pPr>
        <w:ind w:left="2025" w:hanging="13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9"/>
  </w:num>
  <w:num w:numId="4">
    <w:abstractNumId w:val="4"/>
  </w:num>
  <w:num w:numId="5">
    <w:abstractNumId w:val="15"/>
  </w:num>
  <w:num w:numId="6">
    <w:abstractNumId w:val="0"/>
  </w:num>
  <w:num w:numId="7">
    <w:abstractNumId w:val="19"/>
  </w:num>
  <w:num w:numId="8">
    <w:abstractNumId w:val="8"/>
  </w:num>
  <w:num w:numId="9">
    <w:abstractNumId w:val="18"/>
  </w:num>
  <w:num w:numId="10">
    <w:abstractNumId w:val="10"/>
  </w:num>
  <w:num w:numId="11">
    <w:abstractNumId w:val="17"/>
  </w:num>
  <w:num w:numId="12">
    <w:abstractNumId w:val="2"/>
  </w:num>
  <w:num w:numId="13">
    <w:abstractNumId w:val="5"/>
  </w:num>
  <w:num w:numId="14">
    <w:abstractNumId w:val="12"/>
  </w:num>
  <w:num w:numId="15">
    <w:abstractNumId w:val="14"/>
  </w:num>
  <w:num w:numId="16">
    <w:abstractNumId w:val="11"/>
  </w:num>
  <w:num w:numId="17">
    <w:abstractNumId w:val="1"/>
  </w:num>
  <w:num w:numId="18">
    <w:abstractNumId w:val="13"/>
  </w:num>
  <w:num w:numId="19">
    <w:abstractNumId w:val="7"/>
  </w:num>
  <w:num w:numId="20">
    <w:abstractNumId w:val="16"/>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6C5BC0"/>
    <w:rsid w:val="00003073"/>
    <w:rsid w:val="00017326"/>
    <w:rsid w:val="000221BF"/>
    <w:rsid w:val="000225C4"/>
    <w:rsid w:val="00023407"/>
    <w:rsid w:val="00073CC2"/>
    <w:rsid w:val="00085912"/>
    <w:rsid w:val="000932A2"/>
    <w:rsid w:val="0009556B"/>
    <w:rsid w:val="000A23EB"/>
    <w:rsid w:val="000A62A7"/>
    <w:rsid w:val="000A7ABD"/>
    <w:rsid w:val="000C45E0"/>
    <w:rsid w:val="000E154E"/>
    <w:rsid w:val="000E3366"/>
    <w:rsid w:val="000E6E40"/>
    <w:rsid w:val="000F1067"/>
    <w:rsid w:val="000F251F"/>
    <w:rsid w:val="000F4AFD"/>
    <w:rsid w:val="00130457"/>
    <w:rsid w:val="00141A9E"/>
    <w:rsid w:val="001556D1"/>
    <w:rsid w:val="00177AC9"/>
    <w:rsid w:val="00180235"/>
    <w:rsid w:val="00196D6D"/>
    <w:rsid w:val="001A50EA"/>
    <w:rsid w:val="001B008F"/>
    <w:rsid w:val="001C5283"/>
    <w:rsid w:val="001D4D14"/>
    <w:rsid w:val="002026CD"/>
    <w:rsid w:val="002030AA"/>
    <w:rsid w:val="002032CD"/>
    <w:rsid w:val="0020451E"/>
    <w:rsid w:val="002260F2"/>
    <w:rsid w:val="0024334A"/>
    <w:rsid w:val="0024375B"/>
    <w:rsid w:val="002477BA"/>
    <w:rsid w:val="0027050E"/>
    <w:rsid w:val="0029017A"/>
    <w:rsid w:val="002904A1"/>
    <w:rsid w:val="002937DB"/>
    <w:rsid w:val="00294947"/>
    <w:rsid w:val="0029611D"/>
    <w:rsid w:val="002B7252"/>
    <w:rsid w:val="002C48F8"/>
    <w:rsid w:val="002D54D6"/>
    <w:rsid w:val="00324738"/>
    <w:rsid w:val="003255A1"/>
    <w:rsid w:val="003319F2"/>
    <w:rsid w:val="00337581"/>
    <w:rsid w:val="003441E4"/>
    <w:rsid w:val="003509D2"/>
    <w:rsid w:val="0035409D"/>
    <w:rsid w:val="003A421F"/>
    <w:rsid w:val="003C769E"/>
    <w:rsid w:val="003F704D"/>
    <w:rsid w:val="0040450D"/>
    <w:rsid w:val="004078AC"/>
    <w:rsid w:val="00431857"/>
    <w:rsid w:val="00436ED4"/>
    <w:rsid w:val="00475899"/>
    <w:rsid w:val="004848A9"/>
    <w:rsid w:val="004954E0"/>
    <w:rsid w:val="004D5B93"/>
    <w:rsid w:val="004E475D"/>
    <w:rsid w:val="004E78E6"/>
    <w:rsid w:val="00500B71"/>
    <w:rsid w:val="00532D32"/>
    <w:rsid w:val="0053575C"/>
    <w:rsid w:val="005375C4"/>
    <w:rsid w:val="005411A3"/>
    <w:rsid w:val="00542DE8"/>
    <w:rsid w:val="00546200"/>
    <w:rsid w:val="00546424"/>
    <w:rsid w:val="00547F01"/>
    <w:rsid w:val="00556781"/>
    <w:rsid w:val="00556C29"/>
    <w:rsid w:val="00567EA3"/>
    <w:rsid w:val="00583E6A"/>
    <w:rsid w:val="00596479"/>
    <w:rsid w:val="00596E04"/>
    <w:rsid w:val="005B4BBE"/>
    <w:rsid w:val="005B72A3"/>
    <w:rsid w:val="005C59A6"/>
    <w:rsid w:val="005D3F31"/>
    <w:rsid w:val="00601692"/>
    <w:rsid w:val="006106E6"/>
    <w:rsid w:val="006530E2"/>
    <w:rsid w:val="00656DEF"/>
    <w:rsid w:val="00665EAA"/>
    <w:rsid w:val="00670599"/>
    <w:rsid w:val="0067084A"/>
    <w:rsid w:val="00672736"/>
    <w:rsid w:val="00691B54"/>
    <w:rsid w:val="00696325"/>
    <w:rsid w:val="006C45BA"/>
    <w:rsid w:val="006C5BC0"/>
    <w:rsid w:val="006C6A4B"/>
    <w:rsid w:val="006E0D96"/>
    <w:rsid w:val="006E4BF0"/>
    <w:rsid w:val="006E7AA6"/>
    <w:rsid w:val="00700E5F"/>
    <w:rsid w:val="0070319B"/>
    <w:rsid w:val="00716842"/>
    <w:rsid w:val="007311E3"/>
    <w:rsid w:val="0075266E"/>
    <w:rsid w:val="007601E8"/>
    <w:rsid w:val="00775ABF"/>
    <w:rsid w:val="00782465"/>
    <w:rsid w:val="007824D3"/>
    <w:rsid w:val="00795DBC"/>
    <w:rsid w:val="007A79D4"/>
    <w:rsid w:val="007C23AB"/>
    <w:rsid w:val="007C44AB"/>
    <w:rsid w:val="007D5445"/>
    <w:rsid w:val="007E1865"/>
    <w:rsid w:val="007E6FF6"/>
    <w:rsid w:val="007F1FC8"/>
    <w:rsid w:val="00800EF3"/>
    <w:rsid w:val="00805B0C"/>
    <w:rsid w:val="00806C6F"/>
    <w:rsid w:val="0082698C"/>
    <w:rsid w:val="008331CB"/>
    <w:rsid w:val="008615AF"/>
    <w:rsid w:val="00870DA7"/>
    <w:rsid w:val="008834AD"/>
    <w:rsid w:val="00896715"/>
    <w:rsid w:val="008B3E2D"/>
    <w:rsid w:val="008C02D7"/>
    <w:rsid w:val="008F5E0D"/>
    <w:rsid w:val="009006FA"/>
    <w:rsid w:val="00913FF9"/>
    <w:rsid w:val="00915C3F"/>
    <w:rsid w:val="0092506B"/>
    <w:rsid w:val="00942B20"/>
    <w:rsid w:val="009456E3"/>
    <w:rsid w:val="0097419C"/>
    <w:rsid w:val="00980DE6"/>
    <w:rsid w:val="00985306"/>
    <w:rsid w:val="009A1D5E"/>
    <w:rsid w:val="009B5EED"/>
    <w:rsid w:val="009B62AD"/>
    <w:rsid w:val="009D00D0"/>
    <w:rsid w:val="009E19E0"/>
    <w:rsid w:val="009F2D20"/>
    <w:rsid w:val="00A02D95"/>
    <w:rsid w:val="00A05C31"/>
    <w:rsid w:val="00A10A29"/>
    <w:rsid w:val="00A12630"/>
    <w:rsid w:val="00A14C13"/>
    <w:rsid w:val="00A17108"/>
    <w:rsid w:val="00A2666A"/>
    <w:rsid w:val="00A27226"/>
    <w:rsid w:val="00A30ACD"/>
    <w:rsid w:val="00A44548"/>
    <w:rsid w:val="00A504E8"/>
    <w:rsid w:val="00A55D6A"/>
    <w:rsid w:val="00A61098"/>
    <w:rsid w:val="00A704D4"/>
    <w:rsid w:val="00A7287A"/>
    <w:rsid w:val="00A84F7C"/>
    <w:rsid w:val="00A900FB"/>
    <w:rsid w:val="00AB6372"/>
    <w:rsid w:val="00AE67B6"/>
    <w:rsid w:val="00AF188D"/>
    <w:rsid w:val="00AF2ADB"/>
    <w:rsid w:val="00B05ABC"/>
    <w:rsid w:val="00B06792"/>
    <w:rsid w:val="00B106FF"/>
    <w:rsid w:val="00B31320"/>
    <w:rsid w:val="00B3236D"/>
    <w:rsid w:val="00B43F7B"/>
    <w:rsid w:val="00B5533D"/>
    <w:rsid w:val="00BA01C1"/>
    <w:rsid w:val="00BA231D"/>
    <w:rsid w:val="00BB556B"/>
    <w:rsid w:val="00BE110D"/>
    <w:rsid w:val="00BE7620"/>
    <w:rsid w:val="00BE7EC8"/>
    <w:rsid w:val="00BF0BB1"/>
    <w:rsid w:val="00BF4271"/>
    <w:rsid w:val="00BF7DAA"/>
    <w:rsid w:val="00C17147"/>
    <w:rsid w:val="00C2013B"/>
    <w:rsid w:val="00C22ABC"/>
    <w:rsid w:val="00C7078E"/>
    <w:rsid w:val="00C82721"/>
    <w:rsid w:val="00C84D06"/>
    <w:rsid w:val="00CB6B78"/>
    <w:rsid w:val="00CC65B5"/>
    <w:rsid w:val="00CD3808"/>
    <w:rsid w:val="00CD3823"/>
    <w:rsid w:val="00CD4DF2"/>
    <w:rsid w:val="00CE028C"/>
    <w:rsid w:val="00CE439B"/>
    <w:rsid w:val="00CF35F6"/>
    <w:rsid w:val="00D03CF8"/>
    <w:rsid w:val="00D219B7"/>
    <w:rsid w:val="00D45C7B"/>
    <w:rsid w:val="00D52F44"/>
    <w:rsid w:val="00D676B1"/>
    <w:rsid w:val="00D82A89"/>
    <w:rsid w:val="00D84280"/>
    <w:rsid w:val="00D947F3"/>
    <w:rsid w:val="00DA1023"/>
    <w:rsid w:val="00DA4448"/>
    <w:rsid w:val="00DA4E88"/>
    <w:rsid w:val="00DA61DD"/>
    <w:rsid w:val="00DC50DF"/>
    <w:rsid w:val="00DD7943"/>
    <w:rsid w:val="00DF144F"/>
    <w:rsid w:val="00E00418"/>
    <w:rsid w:val="00E10FD8"/>
    <w:rsid w:val="00E215DD"/>
    <w:rsid w:val="00E33234"/>
    <w:rsid w:val="00E73DB8"/>
    <w:rsid w:val="00E806D6"/>
    <w:rsid w:val="00E84269"/>
    <w:rsid w:val="00E863CE"/>
    <w:rsid w:val="00E91EE8"/>
    <w:rsid w:val="00E970B7"/>
    <w:rsid w:val="00EA66F6"/>
    <w:rsid w:val="00EB2C19"/>
    <w:rsid w:val="00EC15F4"/>
    <w:rsid w:val="00EC558E"/>
    <w:rsid w:val="00EE2282"/>
    <w:rsid w:val="00EF013F"/>
    <w:rsid w:val="00EF05D6"/>
    <w:rsid w:val="00EF2EB6"/>
    <w:rsid w:val="00EF44AB"/>
    <w:rsid w:val="00F05DBB"/>
    <w:rsid w:val="00F1064E"/>
    <w:rsid w:val="00F26CFD"/>
    <w:rsid w:val="00F32BC9"/>
    <w:rsid w:val="00F335DB"/>
    <w:rsid w:val="00F36BA5"/>
    <w:rsid w:val="00F45AC3"/>
    <w:rsid w:val="00F739A0"/>
    <w:rsid w:val="00F90175"/>
    <w:rsid w:val="00F962F5"/>
    <w:rsid w:val="00FA1A63"/>
    <w:rsid w:val="00FA5EC8"/>
    <w:rsid w:val="00FB09F3"/>
    <w:rsid w:val="00FD3106"/>
    <w:rsid w:val="00FD7BFC"/>
    <w:rsid w:val="00FE5CE7"/>
    <w:rsid w:val="00FF7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ABD"/>
    <w:pPr>
      <w:spacing w:after="200" w:line="276"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FD7BFC"/>
  </w:style>
  <w:style w:type="paragraph" w:customStyle="1" w:styleId="c2">
    <w:name w:val="c2"/>
    <w:basedOn w:val="Normal"/>
    <w:rsid w:val="00FD7BFC"/>
    <w:pPr>
      <w:jc w:val="center"/>
    </w:pPr>
  </w:style>
  <w:style w:type="paragraph" w:customStyle="1" w:styleId="p3">
    <w:name w:val="p3"/>
    <w:basedOn w:val="Normal"/>
    <w:rsid w:val="00FD7BFC"/>
    <w:pPr>
      <w:tabs>
        <w:tab w:val="left" w:pos="583"/>
      </w:tabs>
      <w:ind w:left="857" w:hanging="583"/>
    </w:pPr>
  </w:style>
  <w:style w:type="paragraph" w:customStyle="1" w:styleId="p4">
    <w:name w:val="p4"/>
    <w:basedOn w:val="Normal"/>
    <w:rsid w:val="00FD7BFC"/>
    <w:pPr>
      <w:tabs>
        <w:tab w:val="left" w:pos="674"/>
      </w:tabs>
    </w:pPr>
  </w:style>
  <w:style w:type="paragraph" w:customStyle="1" w:styleId="p5">
    <w:name w:val="p5"/>
    <w:basedOn w:val="Normal"/>
    <w:rsid w:val="00FD7BFC"/>
    <w:pPr>
      <w:tabs>
        <w:tab w:val="left" w:pos="765"/>
        <w:tab w:val="left" w:pos="1491"/>
      </w:tabs>
      <w:ind w:left="1491" w:hanging="726"/>
    </w:pPr>
  </w:style>
  <w:style w:type="paragraph" w:customStyle="1" w:styleId="c6">
    <w:name w:val="c6"/>
    <w:basedOn w:val="Normal"/>
    <w:rsid w:val="00FD7BFC"/>
    <w:pPr>
      <w:jc w:val="center"/>
    </w:pPr>
  </w:style>
  <w:style w:type="paragraph" w:customStyle="1" w:styleId="t7">
    <w:name w:val="t7"/>
    <w:basedOn w:val="Normal"/>
    <w:rsid w:val="00FD7BFC"/>
  </w:style>
  <w:style w:type="paragraph" w:customStyle="1" w:styleId="p8">
    <w:name w:val="p8"/>
    <w:basedOn w:val="Normal"/>
    <w:rsid w:val="00FD7BFC"/>
    <w:pPr>
      <w:tabs>
        <w:tab w:val="left" w:pos="204"/>
      </w:tabs>
    </w:pPr>
  </w:style>
  <w:style w:type="paragraph" w:customStyle="1" w:styleId="t9">
    <w:name w:val="t9"/>
    <w:basedOn w:val="Normal"/>
    <w:rsid w:val="00FD7BFC"/>
  </w:style>
  <w:style w:type="paragraph" w:customStyle="1" w:styleId="p10">
    <w:name w:val="p10"/>
    <w:basedOn w:val="Normal"/>
    <w:rsid w:val="00FD7BFC"/>
    <w:pPr>
      <w:tabs>
        <w:tab w:val="left" w:pos="765"/>
      </w:tabs>
    </w:pPr>
  </w:style>
  <w:style w:type="paragraph" w:customStyle="1" w:styleId="p11">
    <w:name w:val="p11"/>
    <w:basedOn w:val="Normal"/>
    <w:rsid w:val="00FD7BFC"/>
    <w:pPr>
      <w:tabs>
        <w:tab w:val="left" w:pos="623"/>
      </w:tabs>
      <w:ind w:left="817" w:hanging="623"/>
    </w:pPr>
  </w:style>
  <w:style w:type="paragraph" w:customStyle="1" w:styleId="p12">
    <w:name w:val="p12"/>
    <w:basedOn w:val="Normal"/>
    <w:rsid w:val="00FD7BFC"/>
    <w:pPr>
      <w:tabs>
        <w:tab w:val="left" w:pos="674"/>
      </w:tabs>
      <w:ind w:left="766"/>
    </w:pPr>
  </w:style>
  <w:style w:type="paragraph" w:customStyle="1" w:styleId="c13">
    <w:name w:val="c13"/>
    <w:basedOn w:val="Normal"/>
    <w:rsid w:val="00FD7BFC"/>
    <w:pPr>
      <w:jc w:val="center"/>
    </w:pPr>
  </w:style>
  <w:style w:type="paragraph" w:styleId="BalloonText">
    <w:name w:val="Balloon Text"/>
    <w:basedOn w:val="Normal"/>
    <w:semiHidden/>
    <w:rsid w:val="00532D32"/>
    <w:rPr>
      <w:rFonts w:ascii="Tahoma" w:hAnsi="Tahoma" w:cs="Tahoma"/>
      <w:sz w:val="16"/>
      <w:szCs w:val="16"/>
    </w:rPr>
  </w:style>
  <w:style w:type="paragraph" w:styleId="Footer">
    <w:name w:val="footer"/>
    <w:basedOn w:val="Normal"/>
    <w:rsid w:val="00196D6D"/>
    <w:pPr>
      <w:tabs>
        <w:tab w:val="center" w:pos="4320"/>
        <w:tab w:val="right" w:pos="8640"/>
      </w:tabs>
    </w:pPr>
  </w:style>
  <w:style w:type="character" w:styleId="PageNumber">
    <w:name w:val="page number"/>
    <w:basedOn w:val="DefaultParagraphFont"/>
    <w:rsid w:val="00196D6D"/>
  </w:style>
  <w:style w:type="character" w:styleId="Hyperlink">
    <w:name w:val="Hyperlink"/>
    <w:basedOn w:val="DefaultParagraphFont"/>
    <w:rsid w:val="00BA231D"/>
    <w:rPr>
      <w:color w:val="0000FF"/>
      <w:u w:val="single"/>
    </w:rPr>
  </w:style>
  <w:style w:type="paragraph" w:customStyle="1" w:styleId="DFARS">
    <w:name w:val="DFARS"/>
    <w:basedOn w:val="Normal"/>
    <w:rsid w:val="00A14C13"/>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styleId="FollowedHyperlink">
    <w:name w:val="FollowedHyperlink"/>
    <w:basedOn w:val="DefaultParagraphFont"/>
    <w:rsid w:val="002B7252"/>
    <w:rPr>
      <w:color w:val="606420"/>
      <w:u w:val="single"/>
    </w:rPr>
  </w:style>
  <w:style w:type="paragraph" w:styleId="ListParagraph">
    <w:name w:val="List Paragraph"/>
    <w:basedOn w:val="Normal"/>
    <w:uiPriority w:val="34"/>
    <w:qFormat/>
    <w:rsid w:val="00601692"/>
    <w:pPr>
      <w:ind w:left="720"/>
      <w:contextualSpacing/>
    </w:pPr>
  </w:style>
  <w:style w:type="paragraph" w:styleId="NormalWeb">
    <w:name w:val="Normal (Web)"/>
    <w:basedOn w:val="Normal"/>
    <w:uiPriority w:val="99"/>
    <w:rsid w:val="001C5283"/>
    <w:pPr>
      <w:spacing w:before="100" w:beforeAutospacing="1" w:after="100" w:afterAutospacing="1"/>
    </w:pPr>
    <w:rPr>
      <w:rFonts w:ascii="Arial Unicode MS" w:eastAsia="Arial Unicode MS" w:hAnsi="Arial Unicode MS" w:cs="Arial Unicode MS"/>
    </w:rPr>
  </w:style>
  <w:style w:type="paragraph" w:customStyle="1" w:styleId="pcellbody">
    <w:name w:val="pcellbody"/>
    <w:basedOn w:val="Normal"/>
    <w:rsid w:val="007E6FF6"/>
    <w:pPr>
      <w:spacing w:line="288" w:lineRule="auto"/>
    </w:pPr>
    <w:rPr>
      <w:rFonts w:ascii="Arial" w:hAnsi="Arial" w:cs="Arial"/>
      <w:color w:val="000000"/>
      <w:sz w:val="15"/>
      <w:szCs w:val="15"/>
    </w:rPr>
  </w:style>
  <w:style w:type="paragraph" w:customStyle="1" w:styleId="pcellbodyctr">
    <w:name w:val="pcellbodyctr"/>
    <w:basedOn w:val="Normal"/>
    <w:rsid w:val="007E6FF6"/>
    <w:pPr>
      <w:spacing w:line="288" w:lineRule="auto"/>
      <w:jc w:val="center"/>
    </w:pPr>
    <w:rPr>
      <w:rFonts w:ascii="Arial" w:hAnsi="Arial" w:cs="Arial"/>
      <w:color w:val="000000"/>
      <w:sz w:val="15"/>
      <w:szCs w:val="15"/>
    </w:rPr>
  </w:style>
  <w:style w:type="character" w:styleId="CommentReference">
    <w:name w:val="annotation reference"/>
    <w:basedOn w:val="DefaultParagraphFont"/>
    <w:rsid w:val="00003073"/>
    <w:rPr>
      <w:sz w:val="16"/>
      <w:szCs w:val="16"/>
    </w:rPr>
  </w:style>
  <w:style w:type="paragraph" w:styleId="CommentText">
    <w:name w:val="annotation text"/>
    <w:basedOn w:val="Normal"/>
    <w:link w:val="CommentTextChar"/>
    <w:rsid w:val="00003073"/>
    <w:rPr>
      <w:sz w:val="20"/>
      <w:szCs w:val="20"/>
    </w:rPr>
  </w:style>
  <w:style w:type="character" w:customStyle="1" w:styleId="CommentTextChar">
    <w:name w:val="Comment Text Char"/>
    <w:basedOn w:val="DefaultParagraphFont"/>
    <w:link w:val="CommentText"/>
    <w:rsid w:val="00003073"/>
  </w:style>
  <w:style w:type="paragraph" w:styleId="CommentSubject">
    <w:name w:val="annotation subject"/>
    <w:basedOn w:val="CommentText"/>
    <w:next w:val="CommentText"/>
    <w:link w:val="CommentSubjectChar"/>
    <w:rsid w:val="00003073"/>
    <w:rPr>
      <w:b/>
      <w:bCs/>
    </w:rPr>
  </w:style>
  <w:style w:type="character" w:customStyle="1" w:styleId="CommentSubjectChar">
    <w:name w:val="Comment Subject Char"/>
    <w:basedOn w:val="CommentTextChar"/>
    <w:link w:val="CommentSubject"/>
    <w:rsid w:val="00003073"/>
    <w:rPr>
      <w:b/>
      <w:bCs/>
    </w:rPr>
  </w:style>
  <w:style w:type="character" w:customStyle="1" w:styleId="apple-converted-space">
    <w:name w:val="apple-converted-space"/>
    <w:basedOn w:val="DefaultParagraphFont"/>
    <w:rsid w:val="00EC558E"/>
  </w:style>
  <w:style w:type="character" w:customStyle="1" w:styleId="il">
    <w:name w:val="il"/>
    <w:basedOn w:val="DefaultParagraphFont"/>
    <w:rsid w:val="00EC558E"/>
  </w:style>
</w:styles>
</file>

<file path=word/webSettings.xml><?xml version="1.0" encoding="utf-8"?>
<w:webSettings xmlns:r="http://schemas.openxmlformats.org/officeDocument/2006/relationships" xmlns:w="http://schemas.openxmlformats.org/wordprocessingml/2006/main">
  <w:divs>
    <w:div w:id="85303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62E4E-68AF-41AE-AE0F-94AA3220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1927</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13155</CharactersWithSpaces>
  <SharedDoc>false</SharedDoc>
  <HLinks>
    <vt:vector size="42" baseType="variant">
      <vt:variant>
        <vt:i4>1441874</vt:i4>
      </vt:variant>
      <vt:variant>
        <vt:i4>18</vt:i4>
      </vt:variant>
      <vt:variant>
        <vt:i4>0</vt:i4>
      </vt:variant>
      <vt:variant>
        <vt:i4>5</vt:i4>
      </vt:variant>
      <vt:variant>
        <vt:lpwstr>https://www.acquisition.gov/far/</vt:lpwstr>
      </vt:variant>
      <vt:variant>
        <vt:lpwstr/>
      </vt:variant>
      <vt:variant>
        <vt:i4>101</vt:i4>
      </vt:variant>
      <vt:variant>
        <vt:i4>15</vt:i4>
      </vt:variant>
      <vt:variant>
        <vt:i4>0</vt:i4>
      </vt:variant>
      <vt:variant>
        <vt:i4>5</vt:i4>
      </vt:variant>
      <vt:variant>
        <vt:lpwstr>https://www.acquisition.gov/far/current/html/Subpart 4_9.html</vt:lpwstr>
      </vt:variant>
      <vt:variant>
        <vt:lpwstr>wp1091058</vt:lpwstr>
      </vt:variant>
      <vt:variant>
        <vt:i4>524396</vt:i4>
      </vt:variant>
      <vt:variant>
        <vt:i4>12</vt:i4>
      </vt:variant>
      <vt:variant>
        <vt:i4>0</vt:i4>
      </vt:variant>
      <vt:variant>
        <vt:i4>5</vt:i4>
      </vt:variant>
      <vt:variant>
        <vt:lpwstr>https://www.acquisition.gov/far/current/html/Subpart 4_7.html</vt:lpwstr>
      </vt:variant>
      <vt:variant>
        <vt:lpwstr>wp1082800</vt:lpwstr>
      </vt:variant>
      <vt:variant>
        <vt:i4>852068</vt:i4>
      </vt:variant>
      <vt:variant>
        <vt:i4>9</vt:i4>
      </vt:variant>
      <vt:variant>
        <vt:i4>0</vt:i4>
      </vt:variant>
      <vt:variant>
        <vt:i4>5</vt:i4>
      </vt:variant>
      <vt:variant>
        <vt:lpwstr>https://www.acquisition.gov/far/current/html/Subpart 4_6.html</vt:lpwstr>
      </vt:variant>
      <vt:variant>
        <vt:lpwstr>wp1090166</vt:lpwstr>
      </vt:variant>
      <vt:variant>
        <vt:i4>852071</vt:i4>
      </vt:variant>
      <vt:variant>
        <vt:i4>6</vt:i4>
      </vt:variant>
      <vt:variant>
        <vt:i4>0</vt:i4>
      </vt:variant>
      <vt:variant>
        <vt:i4>5</vt:i4>
      </vt:variant>
      <vt:variant>
        <vt:lpwstr>https://www.acquisition.gov/far/current/html/Subpart 4_6.html</vt:lpwstr>
      </vt:variant>
      <vt:variant>
        <vt:lpwstr>wp1090260</vt:lpwstr>
      </vt:variant>
      <vt:variant>
        <vt:i4>917605</vt:i4>
      </vt:variant>
      <vt:variant>
        <vt:i4>3</vt:i4>
      </vt:variant>
      <vt:variant>
        <vt:i4>0</vt:i4>
      </vt:variant>
      <vt:variant>
        <vt:i4>5</vt:i4>
      </vt:variant>
      <vt:variant>
        <vt:lpwstr>https://www.acquisition.gov/far/current/html/Subpart 4_5.html</vt:lpwstr>
      </vt:variant>
      <vt:variant>
        <vt:lpwstr>wp1082141</vt:lpwstr>
      </vt:variant>
      <vt:variant>
        <vt:i4>196711</vt:i4>
      </vt:variant>
      <vt:variant>
        <vt:i4>0</vt:i4>
      </vt:variant>
      <vt:variant>
        <vt:i4>0</vt:i4>
      </vt:variant>
      <vt:variant>
        <vt:i4>5</vt:i4>
      </vt:variant>
      <vt:variant>
        <vt:lpwstr>https://www.acquisition.gov/far/current/html/Subpart 4_1.html</vt:lpwstr>
      </vt:variant>
      <vt:variant>
        <vt:lpwstr>wp1087381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CherriaPDay</cp:lastModifiedBy>
  <cp:revision>3</cp:revision>
  <cp:lastPrinted>2013-03-08T17:06:00Z</cp:lastPrinted>
  <dcterms:created xsi:type="dcterms:W3CDTF">2013-03-08T17:07:00Z</dcterms:created>
  <dcterms:modified xsi:type="dcterms:W3CDTF">2013-03-19T16:19:00Z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