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14" w:rsidRPr="00561A57" w:rsidRDefault="004F198A" w:rsidP="00C75C14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</w:rPr>
      </w:pPr>
      <w:r w:rsidRPr="00561A57">
        <w:rPr>
          <w:rFonts w:eastAsia="Times New Roman" w:cstheme="minorHAnsi"/>
          <w:b/>
          <w:sz w:val="24"/>
          <w:szCs w:val="20"/>
        </w:rPr>
        <w:t xml:space="preserve">Appendix </w:t>
      </w:r>
      <w:r w:rsidR="0087663D" w:rsidRPr="00561A57">
        <w:rPr>
          <w:rFonts w:eastAsia="Times New Roman" w:cstheme="minorHAnsi"/>
          <w:b/>
          <w:sz w:val="24"/>
          <w:szCs w:val="20"/>
        </w:rPr>
        <w:t>SS</w:t>
      </w:r>
    </w:p>
    <w:p w:rsidR="00C75C14" w:rsidRPr="00C75C14" w:rsidRDefault="00C75C14" w:rsidP="00C75C1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0"/>
        </w:rPr>
      </w:pPr>
      <w:r w:rsidRPr="00561A57">
        <w:rPr>
          <w:rFonts w:eastAsia="Times New Roman" w:cstheme="minorHAnsi"/>
          <w:b/>
          <w:sz w:val="24"/>
          <w:szCs w:val="20"/>
        </w:rPr>
        <w:t>Methodological Research on Incentives</w:t>
      </w:r>
    </w:p>
    <w:p w:rsidR="00C75C14" w:rsidRPr="00C75C14" w:rsidRDefault="00C75C14" w:rsidP="00C75C14">
      <w:pPr>
        <w:spacing w:after="0" w:line="480" w:lineRule="auto"/>
        <w:rPr>
          <w:rFonts w:ascii="Garamond" w:eastAsia="Times New Roman" w:hAnsi="Garamond" w:cs="Times New Roman"/>
          <w:sz w:val="24"/>
          <w:szCs w:val="20"/>
        </w:rPr>
      </w:pPr>
    </w:p>
    <w:p w:rsidR="00C75C14" w:rsidRPr="00C75C14" w:rsidRDefault="00C75C14" w:rsidP="00C75C14">
      <w:pPr>
        <w:spacing w:after="0" w:line="480" w:lineRule="auto"/>
        <w:rPr>
          <w:rFonts w:ascii="Garamond" w:eastAsia="Times New Roman" w:hAnsi="Garamond" w:cs="Times New Roman"/>
          <w:b/>
          <w:i/>
          <w:sz w:val="24"/>
          <w:szCs w:val="20"/>
        </w:rPr>
      </w:pPr>
      <w:r w:rsidRPr="00C75C14">
        <w:rPr>
          <w:rFonts w:ascii="Garamond" w:eastAsia="Times New Roman" w:hAnsi="Garamond" w:cs="Times New Roman"/>
          <w:b/>
          <w:sz w:val="24"/>
          <w:szCs w:val="20"/>
        </w:rPr>
        <w:tab/>
      </w:r>
      <w:r w:rsidRPr="00C75C14">
        <w:rPr>
          <w:rFonts w:ascii="Garamond" w:eastAsia="Times New Roman" w:hAnsi="Garamond" w:cs="Times New Roman"/>
          <w:b/>
          <w:i/>
          <w:sz w:val="24"/>
          <w:szCs w:val="20"/>
        </w:rPr>
        <w:t>Providing incentives</w:t>
      </w:r>
    </w:p>
    <w:p w:rsidR="00C75C14" w:rsidRPr="00C75C14" w:rsidRDefault="00C75C14" w:rsidP="00C75C14">
      <w:pPr>
        <w:spacing w:after="0" w:line="480" w:lineRule="auto"/>
        <w:ind w:firstLine="720"/>
        <w:rPr>
          <w:rFonts w:ascii="Garamond" w:eastAsia="Times New Roman" w:hAnsi="Garamond" w:cs="Times New Roman"/>
          <w:sz w:val="24"/>
          <w:szCs w:val="20"/>
          <w:vertAlign w:val="superscript"/>
        </w:rPr>
      </w:pPr>
      <w:r w:rsidRPr="00C75C14">
        <w:rPr>
          <w:rFonts w:ascii="Garamond" w:eastAsia="Times New Roman" w:hAnsi="Garamond" w:cs="Times New Roman"/>
          <w:sz w:val="24"/>
          <w:szCs w:val="20"/>
        </w:rPr>
        <w:t>Achieving high recruitment and retention rates is critical to data quality. Providing an extrinsic incentive can improve these rate</w:t>
      </w:r>
      <w:bookmarkStart w:id="0" w:name="_GoBack"/>
      <w:bookmarkEnd w:id="0"/>
      <w:r w:rsidRPr="00C75C14">
        <w:rPr>
          <w:rFonts w:ascii="Garamond" w:eastAsia="Times New Roman" w:hAnsi="Garamond" w:cs="Times New Roman"/>
          <w:sz w:val="24"/>
          <w:szCs w:val="20"/>
        </w:rPr>
        <w:t xml:space="preserve">s, especially in populations defined as being in </w:t>
      </w:r>
      <w:proofErr w:type="gramStart"/>
      <w:r w:rsidRPr="00C75C14">
        <w:rPr>
          <w:rFonts w:ascii="Garamond" w:eastAsia="Times New Roman" w:hAnsi="Garamond" w:cs="Times New Roman"/>
          <w:sz w:val="24"/>
          <w:szCs w:val="20"/>
        </w:rPr>
        <w:t>poverty;</w:t>
      </w:r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footnoteReference w:id="1"/>
      </w:r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t>,</w:t>
      </w:r>
      <w:proofErr w:type="gramEnd"/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footnoteReference w:id="2"/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 and a monetary incentive even more so.</w:t>
      </w:r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footnoteReference w:id="3"/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 In addition, improved cooperation rates reduce the need for call backs which decrease survey costs</w:t>
      </w:r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footnoteReference w:id="4"/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 and disproportionately encourage those less interested in the research to participate, thus reducing non-response bias.</w:t>
      </w:r>
      <w:r w:rsidRPr="00C75C14">
        <w:rPr>
          <w:rFonts w:ascii="Garamond" w:eastAsia="Times New Roman" w:hAnsi="Garamond" w:cs="Times New Roman"/>
          <w:sz w:val="24"/>
          <w:szCs w:val="20"/>
          <w:vertAlign w:val="superscript"/>
        </w:rPr>
        <w:footnoteReference w:id="5"/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 </w:t>
      </w:r>
      <w:r w:rsidRPr="00C75C14">
        <w:rPr>
          <w:rFonts w:ascii="Garamond" w:eastAsia="Times New Roman" w:hAnsi="Garamond" w:cs="CJPCAL+TimesNewRoman"/>
          <w:color w:val="000000"/>
          <w:sz w:val="24"/>
          <w:szCs w:val="24"/>
        </w:rPr>
        <w:t>Finally, the research suggests that individuals receiving an incentive are more co-operative in providing contact information that will allow tracking their whereabouts for successive rounds of a survey.</w:t>
      </w:r>
      <w:r w:rsidRPr="00C75C14">
        <w:rPr>
          <w:rFonts w:ascii="Garamond" w:eastAsia="Times New Roman" w:hAnsi="Garamond" w:cs="Times New Roman"/>
          <w:sz w:val="24"/>
          <w:szCs w:val="24"/>
          <w:vertAlign w:val="superscript"/>
        </w:rPr>
        <w:footnoteReference w:id="6"/>
      </w:r>
      <w:r w:rsidRPr="00C75C14">
        <w:rPr>
          <w:rFonts w:ascii="Garamond" w:eastAsia="Times New Roman" w:hAnsi="Garamond" w:cs="CJPCAL+TimesNewRoman"/>
          <w:color w:val="000000"/>
          <w:sz w:val="24"/>
          <w:szCs w:val="24"/>
        </w:rPr>
        <w:t xml:space="preserve"> Based on this research, </w:t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WIC participants in the ITFPS-2 will receive a monetary incentive after completing enrollment and for each data collection event in the study: $50 for enrollment and $20 for the 11 follow-up interviews (prenatal, 1-month, 3-month., 5-month, 7-month, 11-month, 13-month, 15-month, 18-month, and 24 month).  </w:t>
      </w:r>
      <w:r w:rsidR="00207051">
        <w:rPr>
          <w:rFonts w:ascii="Garamond" w:eastAsia="Times New Roman" w:hAnsi="Garamond" w:cs="Times New Roman"/>
          <w:sz w:val="24"/>
          <w:szCs w:val="20"/>
        </w:rPr>
        <w:t xml:space="preserve">In addition, we will compensate them $10 per interview for using their cellphone to </w:t>
      </w:r>
      <w:r w:rsidR="00AD788C">
        <w:rPr>
          <w:rFonts w:ascii="Garamond" w:eastAsia="Times New Roman" w:hAnsi="Garamond" w:cs="Times New Roman"/>
          <w:sz w:val="24"/>
          <w:szCs w:val="20"/>
        </w:rPr>
        <w:t xml:space="preserve">complete </w:t>
      </w:r>
      <w:r w:rsidR="00207051">
        <w:rPr>
          <w:rFonts w:ascii="Garamond" w:eastAsia="Times New Roman" w:hAnsi="Garamond" w:cs="Times New Roman"/>
          <w:sz w:val="24"/>
          <w:szCs w:val="20"/>
        </w:rPr>
        <w:t>an interview, and an additional $20 if they are selected to complete a 2</w:t>
      </w:r>
      <w:r w:rsidR="00207051" w:rsidRPr="00207051">
        <w:rPr>
          <w:rFonts w:ascii="Garamond" w:eastAsia="Times New Roman" w:hAnsi="Garamond" w:cs="Times New Roman"/>
          <w:sz w:val="24"/>
          <w:szCs w:val="20"/>
          <w:vertAlign w:val="superscript"/>
        </w:rPr>
        <w:t>nd</w:t>
      </w:r>
      <w:r w:rsidR="00207051">
        <w:rPr>
          <w:rFonts w:ascii="Garamond" w:eastAsia="Times New Roman" w:hAnsi="Garamond" w:cs="Times New Roman"/>
          <w:sz w:val="24"/>
          <w:szCs w:val="20"/>
        </w:rPr>
        <w:t xml:space="preserve"> 24-hour dietary recall AMPM interview. </w:t>
      </w:r>
      <w:r w:rsidR="00AD788C">
        <w:rPr>
          <w:rFonts w:ascii="Garamond" w:eastAsia="Times New Roman" w:hAnsi="Garamond" w:cs="Times New Roman"/>
          <w:sz w:val="24"/>
          <w:szCs w:val="20"/>
        </w:rPr>
        <w:t xml:space="preserve">Finally, participants who drop out of WIC will be paid $20 to have research staff measure their child’s length and weight.  </w:t>
      </w:r>
      <w:r w:rsidR="00207051">
        <w:rPr>
          <w:rFonts w:ascii="Garamond" w:eastAsia="Times New Roman" w:hAnsi="Garamond" w:cs="Times New Roman"/>
          <w:sz w:val="24"/>
          <w:szCs w:val="20"/>
        </w:rPr>
        <w:t>Compensation could be a total of $400 over the 2 years they are in the study.</w:t>
      </w:r>
    </w:p>
    <w:p w:rsidR="00C75C14" w:rsidRPr="00C75C14" w:rsidRDefault="00C75C14" w:rsidP="00C75C14">
      <w:pPr>
        <w:spacing w:after="0" w:line="480" w:lineRule="auto"/>
        <w:rPr>
          <w:rFonts w:ascii="Garamond" w:eastAsia="Times New Roman" w:hAnsi="Garamond" w:cs="Times New Roman"/>
          <w:sz w:val="24"/>
          <w:szCs w:val="20"/>
        </w:rPr>
      </w:pPr>
      <w:r w:rsidRPr="00C75C14">
        <w:rPr>
          <w:rFonts w:ascii="Garamond" w:eastAsia="Times New Roman" w:hAnsi="Garamond" w:cs="Times New Roman"/>
          <w:sz w:val="24"/>
          <w:szCs w:val="20"/>
        </w:rPr>
        <w:lastRenderedPageBreak/>
        <w:t xml:space="preserve">No incentive payments are planned for </w:t>
      </w:r>
      <w:r w:rsidR="007F2DD3">
        <w:rPr>
          <w:rFonts w:ascii="Garamond" w:eastAsia="Times New Roman" w:hAnsi="Garamond" w:cs="Times New Roman"/>
          <w:sz w:val="24"/>
          <w:szCs w:val="20"/>
        </w:rPr>
        <w:t xml:space="preserve">State and Local </w:t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WIC </w:t>
      </w:r>
      <w:r w:rsidR="007F2DD3">
        <w:rPr>
          <w:rFonts w:ascii="Garamond" w:eastAsia="Times New Roman" w:hAnsi="Garamond" w:cs="Times New Roman"/>
          <w:sz w:val="24"/>
          <w:szCs w:val="20"/>
        </w:rPr>
        <w:t xml:space="preserve">administrators or WIC site staff </w:t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for their involvement in the ITFPS-2. Participating </w:t>
      </w:r>
      <w:r w:rsidR="007F2DD3">
        <w:rPr>
          <w:rFonts w:ascii="Garamond" w:eastAsia="Times New Roman" w:hAnsi="Garamond" w:cs="Times New Roman"/>
          <w:sz w:val="24"/>
          <w:szCs w:val="20"/>
        </w:rPr>
        <w:t>S</w:t>
      </w:r>
      <w:r w:rsidRPr="00C75C14">
        <w:rPr>
          <w:rFonts w:ascii="Garamond" w:eastAsia="Times New Roman" w:hAnsi="Garamond" w:cs="Times New Roman"/>
          <w:sz w:val="24"/>
          <w:szCs w:val="20"/>
        </w:rPr>
        <w:t xml:space="preserve">tate and </w:t>
      </w:r>
      <w:r w:rsidR="007F2DD3">
        <w:rPr>
          <w:rFonts w:ascii="Garamond" w:eastAsia="Times New Roman" w:hAnsi="Garamond" w:cs="Times New Roman"/>
          <w:sz w:val="24"/>
          <w:szCs w:val="20"/>
        </w:rPr>
        <w:t>L</w:t>
      </w:r>
      <w:r w:rsidRPr="00C75C14">
        <w:rPr>
          <w:rFonts w:ascii="Garamond" w:eastAsia="Times New Roman" w:hAnsi="Garamond" w:cs="Times New Roman"/>
          <w:sz w:val="24"/>
          <w:szCs w:val="20"/>
        </w:rPr>
        <w:t>ocal agencies will sign an agreement with Westat that describes the responsibilities and benefits they will receive for participation.</w:t>
      </w:r>
      <w:r w:rsidR="007F2DD3">
        <w:rPr>
          <w:rFonts w:ascii="Garamond" w:eastAsia="Times New Roman" w:hAnsi="Garamond" w:cs="Times New Roman"/>
          <w:sz w:val="24"/>
          <w:szCs w:val="20"/>
        </w:rPr>
        <w:t xml:space="preserve"> Further, no incentive payments are planned f</w:t>
      </w:r>
      <w:r w:rsidR="00F645C1">
        <w:rPr>
          <w:rFonts w:ascii="Garamond" w:eastAsia="Times New Roman" w:hAnsi="Garamond" w:cs="Times New Roman"/>
          <w:sz w:val="24"/>
          <w:szCs w:val="20"/>
        </w:rPr>
        <w:t>or data managers in hospitals and</w:t>
      </w:r>
      <w:r w:rsidR="007F2DD3">
        <w:rPr>
          <w:rFonts w:ascii="Garamond" w:eastAsia="Times New Roman" w:hAnsi="Garamond" w:cs="Times New Roman"/>
          <w:sz w:val="24"/>
          <w:szCs w:val="20"/>
        </w:rPr>
        <w:t xml:space="preserve"> health care provider clinics since providing health data is part of their job responsibilities. </w:t>
      </w:r>
    </w:p>
    <w:p w:rsidR="00677C48" w:rsidRDefault="00677C48" w:rsidP="00C75C14">
      <w:pPr>
        <w:autoSpaceDE w:val="0"/>
        <w:autoSpaceDN w:val="0"/>
        <w:adjustRightInd w:val="0"/>
        <w:spacing w:before="120" w:after="0" w:line="480" w:lineRule="auto"/>
        <w:ind w:left="720" w:firstLine="720"/>
        <w:rPr>
          <w:rFonts w:ascii="Garamond" w:eastAsia="Times New Roman" w:hAnsi="Garamond" w:cstheme="minorHAnsi"/>
          <w:b/>
          <w:i/>
          <w:sz w:val="24"/>
          <w:szCs w:val="20"/>
        </w:rPr>
      </w:pPr>
    </w:p>
    <w:sectPr w:rsidR="00677C48" w:rsidSect="00FB1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9E" w:rsidRDefault="0064499E" w:rsidP="00C75C14">
      <w:pPr>
        <w:spacing w:after="0" w:line="240" w:lineRule="auto"/>
      </w:pPr>
      <w:r>
        <w:separator/>
      </w:r>
    </w:p>
  </w:endnote>
  <w:endnote w:type="continuationSeparator" w:id="0">
    <w:p w:rsidR="0064499E" w:rsidRDefault="0064499E" w:rsidP="00C7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JPCA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29" w:rsidRDefault="00D800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210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051" w:rsidRDefault="00207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051" w:rsidRDefault="002070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29" w:rsidRDefault="00D80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9E" w:rsidRDefault="0064499E" w:rsidP="00C75C14">
      <w:pPr>
        <w:spacing w:after="0" w:line="240" w:lineRule="auto"/>
      </w:pPr>
      <w:r>
        <w:separator/>
      </w:r>
    </w:p>
  </w:footnote>
  <w:footnote w:type="continuationSeparator" w:id="0">
    <w:p w:rsidR="0064499E" w:rsidRDefault="0064499E" w:rsidP="00C75C14">
      <w:pPr>
        <w:spacing w:after="0" w:line="240" w:lineRule="auto"/>
      </w:pPr>
      <w:r>
        <w:continuationSeparator/>
      </w:r>
    </w:p>
  </w:footnote>
  <w:footnote w:id="1">
    <w:p w:rsidR="00C75C14" w:rsidRPr="00A1048E" w:rsidRDefault="00C75C14" w:rsidP="00C75C14">
      <w:pPr>
        <w:pStyle w:val="FootnoteText"/>
        <w:rPr>
          <w:szCs w:val="16"/>
        </w:rPr>
      </w:pPr>
      <w:r w:rsidRPr="00A1048E">
        <w:rPr>
          <w:szCs w:val="16"/>
          <w:vertAlign w:val="superscript"/>
        </w:rPr>
        <w:footnoteRef/>
      </w:r>
      <w:r w:rsidRPr="00A1048E">
        <w:rPr>
          <w:szCs w:val="16"/>
        </w:rPr>
        <w:t xml:space="preserve">Singer E. (2002). The use of incentives to reduce non response in households surveys in: Groves R, </w:t>
      </w:r>
      <w:proofErr w:type="spellStart"/>
      <w:r w:rsidRPr="00A1048E">
        <w:rPr>
          <w:szCs w:val="16"/>
        </w:rPr>
        <w:t>Dillman</w:t>
      </w:r>
      <w:proofErr w:type="spellEnd"/>
      <w:r w:rsidRPr="00A1048E">
        <w:rPr>
          <w:szCs w:val="16"/>
        </w:rPr>
        <w:t xml:space="preserve"> D, </w:t>
      </w:r>
      <w:proofErr w:type="spellStart"/>
      <w:r w:rsidRPr="00A1048E">
        <w:rPr>
          <w:szCs w:val="16"/>
        </w:rPr>
        <w:t>Eltinge</w:t>
      </w:r>
      <w:proofErr w:type="spellEnd"/>
      <w:r w:rsidRPr="00A1048E">
        <w:rPr>
          <w:szCs w:val="16"/>
        </w:rPr>
        <w:t xml:space="preserve"> J, Little R (</w:t>
      </w:r>
      <w:proofErr w:type="spellStart"/>
      <w:proofErr w:type="gramStart"/>
      <w:r w:rsidRPr="00A1048E">
        <w:rPr>
          <w:szCs w:val="16"/>
        </w:rPr>
        <w:t>eds</w:t>
      </w:r>
      <w:proofErr w:type="spellEnd"/>
      <w:proofErr w:type="gramEnd"/>
      <w:r w:rsidRPr="00A1048E">
        <w:rPr>
          <w:szCs w:val="16"/>
        </w:rPr>
        <w:t xml:space="preserve">) Survey Non Response. New York: Wiley, </w:t>
      </w:r>
      <w:proofErr w:type="spellStart"/>
      <w:r w:rsidRPr="00A1048E">
        <w:rPr>
          <w:szCs w:val="16"/>
        </w:rPr>
        <w:t>pp</w:t>
      </w:r>
      <w:proofErr w:type="spellEnd"/>
      <w:r w:rsidRPr="00A1048E">
        <w:rPr>
          <w:szCs w:val="16"/>
        </w:rPr>
        <w:t xml:space="preserve"> 163-177.</w:t>
      </w:r>
    </w:p>
  </w:footnote>
  <w:footnote w:id="2">
    <w:p w:rsidR="00C75C14" w:rsidRPr="00A1048E" w:rsidRDefault="00C75C14" w:rsidP="00C75C14">
      <w:pPr>
        <w:pStyle w:val="FootnoteText"/>
        <w:rPr>
          <w:szCs w:val="16"/>
        </w:rPr>
      </w:pPr>
      <w:r w:rsidRPr="00A1048E">
        <w:rPr>
          <w:szCs w:val="16"/>
          <w:vertAlign w:val="superscript"/>
        </w:rPr>
        <w:footnoteRef/>
      </w:r>
      <w:r w:rsidRPr="00A1048E">
        <w:rPr>
          <w:szCs w:val="16"/>
        </w:rPr>
        <w:t xml:space="preserve">James T. (1996). </w:t>
      </w:r>
      <w:proofErr w:type="gramStart"/>
      <w:r w:rsidRPr="00A1048E">
        <w:rPr>
          <w:szCs w:val="16"/>
        </w:rPr>
        <w:t>Results of wave 1 incentive experiment in the 1996 survey of income and program participation.</w:t>
      </w:r>
      <w:proofErr w:type="gramEnd"/>
      <w:r w:rsidRPr="00A1048E">
        <w:rPr>
          <w:szCs w:val="16"/>
        </w:rPr>
        <w:t xml:space="preserve"> Proceedings of the Survey Research Section, American Statistical Association, 834-839</w:t>
      </w:r>
      <w:r>
        <w:rPr>
          <w:szCs w:val="16"/>
        </w:rPr>
        <w:t>.</w:t>
      </w:r>
    </w:p>
  </w:footnote>
  <w:footnote w:id="3">
    <w:p w:rsidR="00C75C14" w:rsidRPr="00A1048E" w:rsidRDefault="00C75C14" w:rsidP="00C75C14">
      <w:pPr>
        <w:pStyle w:val="FootnoteText"/>
        <w:rPr>
          <w:szCs w:val="16"/>
        </w:rPr>
      </w:pPr>
      <w:r w:rsidRPr="00A1048E">
        <w:rPr>
          <w:szCs w:val="16"/>
          <w:vertAlign w:val="superscript"/>
        </w:rPr>
        <w:footnoteRef/>
      </w:r>
      <w:r w:rsidRPr="00A1048E">
        <w:rPr>
          <w:szCs w:val="16"/>
        </w:rPr>
        <w:t xml:space="preserve">Groves R, Fowler F, </w:t>
      </w:r>
      <w:proofErr w:type="spellStart"/>
      <w:r w:rsidRPr="00A1048E">
        <w:rPr>
          <w:szCs w:val="16"/>
        </w:rPr>
        <w:t>Couper</w:t>
      </w:r>
      <w:proofErr w:type="spellEnd"/>
      <w:r w:rsidRPr="00A1048E">
        <w:rPr>
          <w:szCs w:val="16"/>
        </w:rPr>
        <w:t xml:space="preserve"> M, </w:t>
      </w:r>
      <w:proofErr w:type="spellStart"/>
      <w:r w:rsidRPr="00A1048E">
        <w:rPr>
          <w:szCs w:val="16"/>
        </w:rPr>
        <w:t>Lepkowski</w:t>
      </w:r>
      <w:proofErr w:type="spellEnd"/>
      <w:r w:rsidRPr="00A1048E">
        <w:rPr>
          <w:szCs w:val="16"/>
        </w:rPr>
        <w:t xml:space="preserve"> J, Singer E. (2009) in: </w:t>
      </w:r>
      <w:r w:rsidRPr="00270BF2">
        <w:rPr>
          <w:i/>
          <w:szCs w:val="16"/>
        </w:rPr>
        <w:t>Survey methodology</w:t>
      </w:r>
      <w:r w:rsidRPr="00A1048E">
        <w:rPr>
          <w:szCs w:val="16"/>
        </w:rPr>
        <w:t xml:space="preserve">. John Wiley &amp; Sons, </w:t>
      </w:r>
      <w:proofErr w:type="spellStart"/>
      <w:r w:rsidRPr="00A1048E">
        <w:rPr>
          <w:szCs w:val="16"/>
        </w:rPr>
        <w:t>pp</w:t>
      </w:r>
      <w:proofErr w:type="spellEnd"/>
      <w:r w:rsidRPr="00A1048E">
        <w:rPr>
          <w:szCs w:val="16"/>
        </w:rPr>
        <w:t xml:space="preserve"> 205-206.</w:t>
      </w:r>
    </w:p>
  </w:footnote>
  <w:footnote w:id="4">
    <w:p w:rsidR="00C75C14" w:rsidRPr="00A1048E" w:rsidRDefault="00C75C14" w:rsidP="00C75C14">
      <w:pPr>
        <w:pStyle w:val="FootnoteText"/>
        <w:rPr>
          <w:szCs w:val="16"/>
        </w:rPr>
      </w:pPr>
      <w:r w:rsidRPr="00A1048E">
        <w:rPr>
          <w:szCs w:val="16"/>
          <w:vertAlign w:val="superscript"/>
        </w:rPr>
        <w:footnoteRef/>
      </w:r>
      <w:proofErr w:type="gramStart"/>
      <w:r w:rsidRPr="00A1048E">
        <w:rPr>
          <w:szCs w:val="16"/>
        </w:rPr>
        <w:t>Berlin</w:t>
      </w:r>
      <w:r>
        <w:rPr>
          <w:szCs w:val="16"/>
        </w:rPr>
        <w:t>,</w:t>
      </w:r>
      <w:r w:rsidRPr="00A1048E">
        <w:rPr>
          <w:szCs w:val="16"/>
        </w:rPr>
        <w:t xml:space="preserve"> M</w:t>
      </w:r>
      <w:r>
        <w:rPr>
          <w:szCs w:val="16"/>
        </w:rPr>
        <w:t>.</w:t>
      </w:r>
      <w:r w:rsidRPr="00A1048E">
        <w:rPr>
          <w:szCs w:val="16"/>
        </w:rPr>
        <w:t>, Mohadjer</w:t>
      </w:r>
      <w:r>
        <w:rPr>
          <w:szCs w:val="16"/>
        </w:rPr>
        <w:t>,</w:t>
      </w:r>
      <w:r w:rsidRPr="00A1048E">
        <w:rPr>
          <w:szCs w:val="16"/>
        </w:rPr>
        <w:t xml:space="preserve"> L</w:t>
      </w:r>
      <w:r>
        <w:rPr>
          <w:szCs w:val="16"/>
        </w:rPr>
        <w:t>.</w:t>
      </w:r>
      <w:r w:rsidRPr="00A1048E">
        <w:rPr>
          <w:szCs w:val="16"/>
        </w:rPr>
        <w:t xml:space="preserve">, </w:t>
      </w:r>
      <w:proofErr w:type="spellStart"/>
      <w:r w:rsidRPr="00A1048E">
        <w:rPr>
          <w:szCs w:val="16"/>
        </w:rPr>
        <w:t>Waksberg</w:t>
      </w:r>
      <w:proofErr w:type="spellEnd"/>
      <w:r>
        <w:rPr>
          <w:szCs w:val="16"/>
        </w:rPr>
        <w:t>,</w:t>
      </w:r>
      <w:r w:rsidRPr="00A1048E">
        <w:rPr>
          <w:szCs w:val="16"/>
        </w:rPr>
        <w:t xml:space="preserve"> J</w:t>
      </w:r>
      <w:r>
        <w:rPr>
          <w:szCs w:val="16"/>
        </w:rPr>
        <w:t>.</w:t>
      </w:r>
      <w:r w:rsidRPr="00A1048E">
        <w:rPr>
          <w:szCs w:val="16"/>
        </w:rPr>
        <w:t xml:space="preserve">, </w:t>
      </w:r>
      <w:proofErr w:type="spellStart"/>
      <w:r w:rsidRPr="00A1048E">
        <w:rPr>
          <w:szCs w:val="16"/>
        </w:rPr>
        <w:t>Kolstad</w:t>
      </w:r>
      <w:proofErr w:type="spellEnd"/>
      <w:r>
        <w:rPr>
          <w:szCs w:val="16"/>
        </w:rPr>
        <w:t>,</w:t>
      </w:r>
      <w:r w:rsidRPr="00A1048E">
        <w:rPr>
          <w:szCs w:val="16"/>
        </w:rPr>
        <w:t xml:space="preserve"> A</w:t>
      </w:r>
      <w:r>
        <w:rPr>
          <w:szCs w:val="16"/>
        </w:rPr>
        <w:t>.</w:t>
      </w:r>
      <w:r w:rsidRPr="00A1048E">
        <w:rPr>
          <w:szCs w:val="16"/>
        </w:rPr>
        <w:t>, Kirsch</w:t>
      </w:r>
      <w:r>
        <w:rPr>
          <w:szCs w:val="16"/>
        </w:rPr>
        <w:t>,</w:t>
      </w:r>
      <w:r w:rsidRPr="00A1048E">
        <w:rPr>
          <w:szCs w:val="16"/>
        </w:rPr>
        <w:t xml:space="preserve"> D</w:t>
      </w:r>
      <w:r>
        <w:rPr>
          <w:szCs w:val="16"/>
        </w:rPr>
        <w:t>.</w:t>
      </w:r>
      <w:r w:rsidRPr="00A1048E">
        <w:rPr>
          <w:szCs w:val="16"/>
        </w:rPr>
        <w:t>, Rock</w:t>
      </w:r>
      <w:r>
        <w:rPr>
          <w:szCs w:val="16"/>
        </w:rPr>
        <w:t>,</w:t>
      </w:r>
      <w:r w:rsidRPr="00A1048E">
        <w:rPr>
          <w:szCs w:val="16"/>
        </w:rPr>
        <w:t xml:space="preserve"> D</w:t>
      </w:r>
      <w:r>
        <w:rPr>
          <w:szCs w:val="16"/>
        </w:rPr>
        <w:t>.</w:t>
      </w:r>
      <w:r w:rsidRPr="00A1048E">
        <w:rPr>
          <w:szCs w:val="16"/>
        </w:rPr>
        <w:t>,</w:t>
      </w:r>
      <w:r>
        <w:rPr>
          <w:szCs w:val="16"/>
        </w:rPr>
        <w:t xml:space="preserve"> and</w:t>
      </w:r>
      <w:r w:rsidRPr="00A1048E">
        <w:rPr>
          <w:szCs w:val="16"/>
        </w:rPr>
        <w:t xml:space="preserve"> Yamamoto</w:t>
      </w:r>
      <w:r>
        <w:rPr>
          <w:szCs w:val="16"/>
        </w:rPr>
        <w:t>,</w:t>
      </w:r>
      <w:r w:rsidRPr="00A1048E">
        <w:rPr>
          <w:szCs w:val="16"/>
        </w:rPr>
        <w:t xml:space="preserve"> K. (1993).</w:t>
      </w:r>
      <w:proofErr w:type="gramEnd"/>
      <w:r w:rsidRPr="00A1048E">
        <w:rPr>
          <w:szCs w:val="16"/>
        </w:rPr>
        <w:t xml:space="preserve"> </w:t>
      </w:r>
      <w:proofErr w:type="gramStart"/>
      <w:r w:rsidRPr="00A1048E">
        <w:rPr>
          <w:szCs w:val="16"/>
        </w:rPr>
        <w:t>An experiment in monetary incentives.</w:t>
      </w:r>
      <w:proofErr w:type="gramEnd"/>
      <w:r w:rsidRPr="00A1048E">
        <w:rPr>
          <w:szCs w:val="16"/>
        </w:rPr>
        <w:t xml:space="preserve"> </w:t>
      </w:r>
      <w:proofErr w:type="gramStart"/>
      <w:r w:rsidRPr="00A1048E">
        <w:rPr>
          <w:szCs w:val="16"/>
        </w:rPr>
        <w:t>Proceedings of Survey Research Methods Section of American Statistical Association, 393-8.</w:t>
      </w:r>
      <w:proofErr w:type="gramEnd"/>
    </w:p>
  </w:footnote>
  <w:footnote w:id="5">
    <w:p w:rsidR="00C75C14" w:rsidRPr="00A1048E" w:rsidRDefault="00C75C14" w:rsidP="00C75C14">
      <w:pPr>
        <w:pStyle w:val="FootnoteText"/>
        <w:rPr>
          <w:szCs w:val="16"/>
        </w:rPr>
      </w:pPr>
      <w:r w:rsidRPr="00A1048E">
        <w:rPr>
          <w:szCs w:val="16"/>
          <w:vertAlign w:val="superscript"/>
        </w:rPr>
        <w:footnoteRef/>
      </w:r>
      <w:r w:rsidRPr="00A1048E">
        <w:rPr>
          <w:szCs w:val="16"/>
        </w:rPr>
        <w:t>Groves</w:t>
      </w:r>
      <w:r>
        <w:rPr>
          <w:szCs w:val="16"/>
        </w:rPr>
        <w:t>,</w:t>
      </w:r>
      <w:r w:rsidRPr="00A1048E">
        <w:rPr>
          <w:szCs w:val="16"/>
        </w:rPr>
        <w:t xml:space="preserve"> R</w:t>
      </w:r>
      <w:r>
        <w:rPr>
          <w:szCs w:val="16"/>
        </w:rPr>
        <w:t>.</w:t>
      </w:r>
      <w:r w:rsidRPr="00A1048E">
        <w:rPr>
          <w:szCs w:val="16"/>
        </w:rPr>
        <w:t>, Singer</w:t>
      </w:r>
      <w:r>
        <w:rPr>
          <w:szCs w:val="16"/>
        </w:rPr>
        <w:t>,</w:t>
      </w:r>
      <w:r w:rsidRPr="00A1048E">
        <w:rPr>
          <w:szCs w:val="16"/>
        </w:rPr>
        <w:t xml:space="preserve"> E</w:t>
      </w:r>
      <w:r>
        <w:rPr>
          <w:szCs w:val="16"/>
        </w:rPr>
        <w:t>.</w:t>
      </w:r>
      <w:r w:rsidRPr="00A1048E">
        <w:rPr>
          <w:szCs w:val="16"/>
        </w:rPr>
        <w:t>, Corning</w:t>
      </w:r>
      <w:r>
        <w:rPr>
          <w:szCs w:val="16"/>
        </w:rPr>
        <w:t>,</w:t>
      </w:r>
      <w:r w:rsidRPr="00A1048E">
        <w:rPr>
          <w:szCs w:val="16"/>
        </w:rPr>
        <w:t xml:space="preserve"> A. (2000). Leverage-saliency theory of survey participation: description and an illustration. </w:t>
      </w:r>
      <w:proofErr w:type="gramStart"/>
      <w:r w:rsidRPr="00270BF2">
        <w:rPr>
          <w:szCs w:val="16"/>
        </w:rPr>
        <w:t>Public Opinion Quarterly.</w:t>
      </w:r>
      <w:proofErr w:type="gramEnd"/>
      <w:r w:rsidRPr="00270BF2">
        <w:rPr>
          <w:szCs w:val="16"/>
        </w:rPr>
        <w:t xml:space="preserve"> </w:t>
      </w:r>
      <w:r w:rsidRPr="00A1048E">
        <w:rPr>
          <w:szCs w:val="16"/>
        </w:rPr>
        <w:t>64(3): 299-308.</w:t>
      </w:r>
    </w:p>
  </w:footnote>
  <w:footnote w:id="6">
    <w:p w:rsidR="00C75C14" w:rsidRDefault="00C75C14" w:rsidP="00C75C14">
      <w:pPr>
        <w:pStyle w:val="FootnoteText"/>
      </w:pPr>
      <w:r w:rsidRPr="00A1048E">
        <w:rPr>
          <w:szCs w:val="16"/>
          <w:vertAlign w:val="superscript"/>
        </w:rPr>
        <w:footnoteRef/>
      </w:r>
      <w:proofErr w:type="spellStart"/>
      <w:r w:rsidRPr="00A1048E">
        <w:rPr>
          <w:szCs w:val="16"/>
        </w:rPr>
        <w:t>Shettle</w:t>
      </w:r>
      <w:proofErr w:type="spellEnd"/>
      <w:r w:rsidRPr="00A1048E">
        <w:rPr>
          <w:szCs w:val="16"/>
        </w:rPr>
        <w:t xml:space="preserve"> C, Mooney G. (1999). </w:t>
      </w:r>
      <w:proofErr w:type="gramStart"/>
      <w:r w:rsidRPr="00A1048E">
        <w:rPr>
          <w:szCs w:val="16"/>
        </w:rPr>
        <w:t>Monetary incentives in US Government surveys.</w:t>
      </w:r>
      <w:proofErr w:type="gramEnd"/>
      <w:r w:rsidRPr="00A1048E">
        <w:rPr>
          <w:szCs w:val="16"/>
        </w:rPr>
        <w:t xml:space="preserve"> Journal of Official Statistics, 15(2): 231-250.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29" w:rsidRDefault="00D800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29" w:rsidRPr="00D80029" w:rsidRDefault="00D80029" w:rsidP="00D80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29" w:rsidRDefault="00D80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14"/>
    <w:rsid w:val="00207051"/>
    <w:rsid w:val="004F198A"/>
    <w:rsid w:val="005039C9"/>
    <w:rsid w:val="00561A57"/>
    <w:rsid w:val="0064499E"/>
    <w:rsid w:val="00677C48"/>
    <w:rsid w:val="007F2DD3"/>
    <w:rsid w:val="0087663D"/>
    <w:rsid w:val="00891373"/>
    <w:rsid w:val="008B3C08"/>
    <w:rsid w:val="0094166D"/>
    <w:rsid w:val="00AD788C"/>
    <w:rsid w:val="00B103F0"/>
    <w:rsid w:val="00C75C14"/>
    <w:rsid w:val="00C95A16"/>
    <w:rsid w:val="00D16A3B"/>
    <w:rsid w:val="00D80029"/>
    <w:rsid w:val="00E14E97"/>
    <w:rsid w:val="00E32AA3"/>
    <w:rsid w:val="00F645C1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C14"/>
    <w:rPr>
      <w:sz w:val="20"/>
      <w:szCs w:val="20"/>
    </w:rPr>
  </w:style>
  <w:style w:type="character" w:styleId="Hyperlink">
    <w:name w:val="Hyperlink"/>
    <w:basedOn w:val="DefaultParagraphFont"/>
    <w:uiPriority w:val="99"/>
    <w:rsid w:val="00C75C14"/>
    <w:rPr>
      <w:rFonts w:cs="Times New Roman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75C14"/>
    <w:rPr>
      <w:vertAlign w:val="superscript"/>
    </w:rPr>
  </w:style>
  <w:style w:type="table" w:styleId="TableGrid">
    <w:name w:val="Table Grid"/>
    <w:basedOn w:val="TableNormal"/>
    <w:uiPriority w:val="59"/>
    <w:rsid w:val="00C75C1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51"/>
  </w:style>
  <w:style w:type="paragraph" w:styleId="Footer">
    <w:name w:val="footer"/>
    <w:basedOn w:val="Normal"/>
    <w:link w:val="FooterChar"/>
    <w:uiPriority w:val="99"/>
    <w:unhideWhenUsed/>
    <w:rsid w:val="0020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C14"/>
    <w:rPr>
      <w:sz w:val="20"/>
      <w:szCs w:val="20"/>
    </w:rPr>
  </w:style>
  <w:style w:type="character" w:styleId="Hyperlink">
    <w:name w:val="Hyperlink"/>
    <w:basedOn w:val="DefaultParagraphFont"/>
    <w:uiPriority w:val="99"/>
    <w:rsid w:val="00C75C14"/>
    <w:rPr>
      <w:rFonts w:cs="Times New Roman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75C14"/>
    <w:rPr>
      <w:vertAlign w:val="superscript"/>
    </w:rPr>
  </w:style>
  <w:style w:type="table" w:styleId="TableGrid">
    <w:name w:val="Table Grid"/>
    <w:basedOn w:val="TableNormal"/>
    <w:uiPriority w:val="59"/>
    <w:rsid w:val="00C75C1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51"/>
  </w:style>
  <w:style w:type="paragraph" w:styleId="Footer">
    <w:name w:val="footer"/>
    <w:basedOn w:val="Normal"/>
    <w:link w:val="FooterChar"/>
    <w:uiPriority w:val="99"/>
    <w:unhideWhenUsed/>
    <w:rsid w:val="0020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ACE835C0.dotm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Susie McNutt</cp:lastModifiedBy>
  <cp:revision>5</cp:revision>
  <dcterms:created xsi:type="dcterms:W3CDTF">2012-12-06T19:14:00Z</dcterms:created>
  <dcterms:modified xsi:type="dcterms:W3CDTF">2012-12-07T11:51:00Z</dcterms:modified>
</cp:coreProperties>
</file>