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4D102" w14:textId="77777777" w:rsidR="008D75A7" w:rsidRDefault="008D75A7" w:rsidP="008D75A7">
      <w:pPr>
        <w:spacing w:after="0" w:line="240" w:lineRule="auto"/>
        <w:jc w:val="center"/>
        <w:rPr>
          <w:b/>
          <w:sz w:val="56"/>
          <w:szCs w:val="28"/>
        </w:rPr>
      </w:pPr>
    </w:p>
    <w:p w14:paraId="7F831E20" w14:textId="77777777" w:rsidR="008D75A7" w:rsidRDefault="008D75A7" w:rsidP="008D75A7">
      <w:pPr>
        <w:spacing w:after="0" w:line="240" w:lineRule="auto"/>
        <w:jc w:val="center"/>
        <w:rPr>
          <w:b/>
          <w:sz w:val="56"/>
          <w:szCs w:val="28"/>
        </w:rPr>
      </w:pPr>
    </w:p>
    <w:p w14:paraId="6427C11C" w14:textId="77777777" w:rsidR="008D75A7" w:rsidRPr="00ED687F" w:rsidRDefault="008D75A7" w:rsidP="008D75A7">
      <w:pPr>
        <w:spacing w:after="0" w:line="240" w:lineRule="auto"/>
        <w:jc w:val="center"/>
        <w:rPr>
          <w:b/>
          <w:sz w:val="72"/>
          <w:szCs w:val="28"/>
        </w:rPr>
      </w:pPr>
      <w:proofErr w:type="spellStart"/>
      <w:r w:rsidRPr="00ED687F">
        <w:rPr>
          <w:b/>
          <w:sz w:val="72"/>
          <w:szCs w:val="28"/>
        </w:rPr>
        <w:t>BioSense</w:t>
      </w:r>
      <w:proofErr w:type="spellEnd"/>
    </w:p>
    <w:p w14:paraId="64284961" w14:textId="77777777" w:rsidR="008D75A7" w:rsidRPr="00ED687F" w:rsidRDefault="008D75A7" w:rsidP="008D75A7">
      <w:pPr>
        <w:spacing w:after="0" w:line="240" w:lineRule="auto"/>
        <w:jc w:val="center"/>
        <w:rPr>
          <w:b/>
          <w:sz w:val="40"/>
          <w:szCs w:val="28"/>
        </w:rPr>
      </w:pPr>
    </w:p>
    <w:p w14:paraId="7893F1E4" w14:textId="77777777" w:rsidR="008D75A7" w:rsidRPr="00ED687F" w:rsidRDefault="008D75A7" w:rsidP="008D75A7">
      <w:pPr>
        <w:spacing w:after="0" w:line="240" w:lineRule="auto"/>
        <w:jc w:val="center"/>
        <w:rPr>
          <w:b/>
          <w:sz w:val="40"/>
          <w:szCs w:val="28"/>
        </w:rPr>
      </w:pPr>
      <w:r>
        <w:rPr>
          <w:b/>
          <w:sz w:val="40"/>
          <w:szCs w:val="28"/>
        </w:rPr>
        <w:t xml:space="preserve">Supporting Statement </w:t>
      </w:r>
      <w:r w:rsidRPr="009F763C">
        <w:rPr>
          <w:b/>
          <w:sz w:val="40"/>
        </w:rPr>
        <w:t>Section</w:t>
      </w:r>
      <w:r>
        <w:rPr>
          <w:b/>
          <w:sz w:val="40"/>
          <w:szCs w:val="28"/>
        </w:rPr>
        <w:t xml:space="preserve"> A</w:t>
      </w:r>
    </w:p>
    <w:p w14:paraId="5EB3A7FF" w14:textId="09441101" w:rsidR="008D75A7" w:rsidRDefault="008D75A7" w:rsidP="008D75A7">
      <w:pPr>
        <w:spacing w:after="0" w:line="240" w:lineRule="auto"/>
        <w:jc w:val="center"/>
        <w:rPr>
          <w:b/>
          <w:sz w:val="40"/>
          <w:szCs w:val="28"/>
        </w:rPr>
      </w:pPr>
      <w:r w:rsidRPr="00ED687F">
        <w:rPr>
          <w:b/>
          <w:sz w:val="40"/>
          <w:szCs w:val="28"/>
        </w:rPr>
        <w:t xml:space="preserve">OMB Control Number 0920-0824 </w:t>
      </w:r>
    </w:p>
    <w:p w14:paraId="2D40B855" w14:textId="0D00B84C" w:rsidR="008D75A7" w:rsidRPr="00ED687F" w:rsidRDefault="008D75A7" w:rsidP="008D75A7">
      <w:pPr>
        <w:spacing w:after="0" w:line="240" w:lineRule="auto"/>
        <w:jc w:val="center"/>
        <w:rPr>
          <w:b/>
          <w:sz w:val="40"/>
          <w:szCs w:val="28"/>
        </w:rPr>
      </w:pPr>
    </w:p>
    <w:p w14:paraId="26EC4E6D" w14:textId="77777777" w:rsidR="008D75A7" w:rsidRPr="00ED687F" w:rsidRDefault="008D75A7" w:rsidP="008D75A7">
      <w:pPr>
        <w:spacing w:after="0" w:line="240" w:lineRule="auto"/>
        <w:jc w:val="center"/>
        <w:rPr>
          <w:b/>
          <w:sz w:val="16"/>
          <w:szCs w:val="16"/>
        </w:rPr>
      </w:pPr>
    </w:p>
    <w:p w14:paraId="52897241" w14:textId="5E3FB5F5" w:rsidR="008D75A7" w:rsidRDefault="0000457D" w:rsidP="008D75A7">
      <w:pPr>
        <w:spacing w:after="0" w:line="240" w:lineRule="auto"/>
        <w:jc w:val="center"/>
        <w:rPr>
          <w:b/>
          <w:sz w:val="36"/>
          <w:szCs w:val="28"/>
        </w:rPr>
      </w:pPr>
      <w:r>
        <w:rPr>
          <w:b/>
          <w:sz w:val="36"/>
          <w:szCs w:val="28"/>
        </w:rPr>
        <w:t>August</w:t>
      </w:r>
      <w:bookmarkStart w:id="0" w:name="_GoBack"/>
      <w:bookmarkEnd w:id="0"/>
      <w:r>
        <w:rPr>
          <w:b/>
          <w:sz w:val="36"/>
          <w:szCs w:val="28"/>
        </w:rPr>
        <w:t xml:space="preserve"> 15</w:t>
      </w:r>
      <w:r w:rsidR="0078568D">
        <w:rPr>
          <w:b/>
          <w:sz w:val="36"/>
          <w:szCs w:val="28"/>
        </w:rPr>
        <w:t>, 2012</w:t>
      </w:r>
    </w:p>
    <w:p w14:paraId="7DF10C77" w14:textId="77777777" w:rsidR="008D75A7" w:rsidRPr="00ED687F" w:rsidRDefault="008D75A7" w:rsidP="008D75A7">
      <w:pPr>
        <w:spacing w:after="0" w:line="240" w:lineRule="auto"/>
        <w:jc w:val="center"/>
        <w:rPr>
          <w:b/>
          <w:sz w:val="28"/>
          <w:szCs w:val="28"/>
        </w:rPr>
      </w:pPr>
      <w:r w:rsidRPr="00ED687F">
        <w:rPr>
          <w:b/>
          <w:sz w:val="28"/>
          <w:szCs w:val="28"/>
        </w:rPr>
        <w:t>Program Contact/Project Officer</w:t>
      </w:r>
    </w:p>
    <w:p w14:paraId="23781DCE" w14:textId="77777777" w:rsidR="008D75A7" w:rsidRPr="00ED687F" w:rsidRDefault="008D75A7" w:rsidP="008D75A7">
      <w:pPr>
        <w:spacing w:after="0" w:line="240" w:lineRule="auto"/>
        <w:jc w:val="center"/>
        <w:rPr>
          <w:b/>
          <w:sz w:val="16"/>
          <w:szCs w:val="16"/>
        </w:rPr>
      </w:pPr>
    </w:p>
    <w:p w14:paraId="521C22F4" w14:textId="77777777" w:rsidR="008D75A7" w:rsidRPr="00ED687F" w:rsidRDefault="008D75A7" w:rsidP="008D75A7">
      <w:pPr>
        <w:spacing w:after="0" w:line="240" w:lineRule="auto"/>
        <w:jc w:val="center"/>
        <w:rPr>
          <w:b/>
          <w:sz w:val="28"/>
          <w:szCs w:val="28"/>
        </w:rPr>
      </w:pPr>
      <w:r w:rsidRPr="00ED687F">
        <w:rPr>
          <w:b/>
          <w:sz w:val="28"/>
          <w:szCs w:val="28"/>
        </w:rPr>
        <w:t xml:space="preserve">Kathleen Gallagher, </w:t>
      </w:r>
    </w:p>
    <w:p w14:paraId="1C75D08C" w14:textId="77777777" w:rsidR="008D75A7" w:rsidRDefault="008D75A7" w:rsidP="008D75A7">
      <w:pPr>
        <w:spacing w:after="0" w:line="240" w:lineRule="auto"/>
        <w:jc w:val="center"/>
        <w:rPr>
          <w:b/>
          <w:sz w:val="36"/>
          <w:szCs w:val="28"/>
        </w:rPr>
      </w:pPr>
    </w:p>
    <w:p w14:paraId="6ECE3F88" w14:textId="77777777" w:rsidR="008D75A7" w:rsidRDefault="008D75A7" w:rsidP="008D75A7">
      <w:pPr>
        <w:jc w:val="center"/>
      </w:pPr>
      <w:r>
        <w:t xml:space="preserve">Director, Division of </w:t>
      </w:r>
      <w:proofErr w:type="spellStart"/>
      <w:r>
        <w:t>Notifiable</w:t>
      </w:r>
      <w:proofErr w:type="spellEnd"/>
      <w:r>
        <w:t xml:space="preserve"> Diseases and Healthcare Information</w:t>
      </w:r>
    </w:p>
    <w:p w14:paraId="796838D7" w14:textId="77777777" w:rsidR="008D75A7" w:rsidRDefault="008D75A7" w:rsidP="008D75A7">
      <w:pPr>
        <w:jc w:val="center"/>
      </w:pPr>
      <w:r>
        <w:t>Public Health Surveillance and Informatics Program Office</w:t>
      </w:r>
    </w:p>
    <w:p w14:paraId="2E599AA6" w14:textId="77777777" w:rsidR="008D75A7" w:rsidRDefault="008D75A7" w:rsidP="008D75A7">
      <w:pPr>
        <w:jc w:val="center"/>
      </w:pPr>
      <w:r>
        <w:t>Office of Surveillance, Epidemiology and Laboratory Services</w:t>
      </w:r>
    </w:p>
    <w:p w14:paraId="3E8EA699" w14:textId="77777777" w:rsidR="008D75A7" w:rsidRDefault="008D75A7" w:rsidP="008D75A7">
      <w:pPr>
        <w:jc w:val="center"/>
      </w:pPr>
      <w:r>
        <w:t>Centers for Disease Control and Prevention</w:t>
      </w:r>
    </w:p>
    <w:p w14:paraId="019A22B0" w14:textId="77777777" w:rsidR="008D75A7" w:rsidRDefault="008D75A7" w:rsidP="008D75A7">
      <w:pPr>
        <w:jc w:val="center"/>
      </w:pPr>
      <w:r>
        <w:t>Phone:  404-498-6631</w:t>
      </w:r>
    </w:p>
    <w:p w14:paraId="11316B05" w14:textId="77777777" w:rsidR="008D75A7" w:rsidRDefault="008D75A7" w:rsidP="008D75A7">
      <w:pPr>
        <w:jc w:val="center"/>
      </w:pPr>
      <w:r>
        <w:t>E-mail:  kxg7@cdc.gov</w:t>
      </w:r>
    </w:p>
    <w:p w14:paraId="2FE35152" w14:textId="77777777" w:rsidR="008D75A7" w:rsidRDefault="008D75A7" w:rsidP="008D75A7">
      <w:pPr>
        <w:spacing w:after="0" w:line="240" w:lineRule="auto"/>
        <w:jc w:val="center"/>
        <w:rPr>
          <w:b/>
          <w:sz w:val="36"/>
          <w:szCs w:val="28"/>
        </w:rPr>
      </w:pPr>
    </w:p>
    <w:p w14:paraId="3EB3861A" w14:textId="77777777" w:rsidR="008D75A7" w:rsidRDefault="008D75A7" w:rsidP="008D75A7">
      <w:pPr>
        <w:spacing w:after="0" w:line="240" w:lineRule="auto"/>
        <w:jc w:val="center"/>
        <w:rPr>
          <w:b/>
          <w:sz w:val="36"/>
          <w:szCs w:val="28"/>
        </w:rPr>
      </w:pPr>
    </w:p>
    <w:p w14:paraId="082C6456" w14:textId="77777777" w:rsidR="008D75A7" w:rsidRDefault="008D75A7" w:rsidP="008D75A7">
      <w:pPr>
        <w:spacing w:after="0" w:line="240" w:lineRule="auto"/>
        <w:jc w:val="center"/>
        <w:rPr>
          <w:b/>
          <w:sz w:val="36"/>
          <w:szCs w:val="28"/>
        </w:rPr>
      </w:pPr>
    </w:p>
    <w:p w14:paraId="2A11DAAF" w14:textId="77777777" w:rsidR="008D75A7" w:rsidRDefault="008D75A7" w:rsidP="008D75A7">
      <w:pPr>
        <w:spacing w:after="0" w:line="240" w:lineRule="auto"/>
        <w:jc w:val="center"/>
        <w:rPr>
          <w:b/>
          <w:sz w:val="36"/>
          <w:szCs w:val="28"/>
        </w:rPr>
      </w:pPr>
    </w:p>
    <w:p w14:paraId="09FF4232" w14:textId="77777777" w:rsidR="008D75A7" w:rsidRDefault="008D75A7" w:rsidP="008D75A7">
      <w:pPr>
        <w:spacing w:after="0" w:line="240" w:lineRule="auto"/>
        <w:jc w:val="center"/>
        <w:rPr>
          <w:b/>
          <w:sz w:val="36"/>
          <w:szCs w:val="28"/>
        </w:rPr>
      </w:pPr>
    </w:p>
    <w:p w14:paraId="209B2ABE" w14:textId="77777777" w:rsidR="008D75A7" w:rsidRDefault="008D75A7" w:rsidP="008D75A7">
      <w:pPr>
        <w:rPr>
          <w:b/>
          <w:sz w:val="36"/>
          <w:szCs w:val="28"/>
        </w:rPr>
      </w:pPr>
      <w:r>
        <w:rPr>
          <w:b/>
          <w:sz w:val="36"/>
          <w:szCs w:val="28"/>
        </w:rPr>
        <w:br/>
      </w:r>
    </w:p>
    <w:p w14:paraId="7BC385CC" w14:textId="77777777" w:rsidR="008D75A7" w:rsidRDefault="008D75A7" w:rsidP="008D75A7">
      <w:pPr>
        <w:rPr>
          <w:b/>
          <w:sz w:val="36"/>
          <w:szCs w:val="28"/>
        </w:rPr>
      </w:pPr>
      <w:r>
        <w:rPr>
          <w:b/>
          <w:sz w:val="36"/>
          <w:szCs w:val="28"/>
        </w:rPr>
        <w:br w:type="page"/>
      </w:r>
    </w:p>
    <w:p w14:paraId="16F0EDF4" w14:textId="6FAAFF1E" w:rsidR="008D75A7" w:rsidRPr="00185245" w:rsidRDefault="008D75A7" w:rsidP="008D75A7">
      <w:pPr>
        <w:jc w:val="center"/>
        <w:rPr>
          <w:b/>
          <w:sz w:val="24"/>
        </w:rPr>
      </w:pPr>
      <w:proofErr w:type="spellStart"/>
      <w:r w:rsidRPr="00185245">
        <w:rPr>
          <w:b/>
          <w:color w:val="000000"/>
          <w:sz w:val="24"/>
        </w:rPr>
        <w:lastRenderedPageBreak/>
        <w:t>BioSense</w:t>
      </w:r>
      <w:proofErr w:type="spellEnd"/>
      <w:r w:rsidRPr="00185245">
        <w:rPr>
          <w:b/>
          <w:color w:val="000000"/>
          <w:sz w:val="24"/>
        </w:rPr>
        <w:t xml:space="preserve"> - Request for Revision</w:t>
      </w:r>
    </w:p>
    <w:p w14:paraId="33E57372" w14:textId="77777777" w:rsidR="008D75A7" w:rsidRDefault="008D75A7" w:rsidP="008D75A7">
      <w:pPr>
        <w:jc w:val="center"/>
        <w:rPr>
          <w:b/>
          <w:sz w:val="24"/>
        </w:rPr>
      </w:pPr>
      <w:r w:rsidRPr="00185245">
        <w:rPr>
          <w:b/>
          <w:sz w:val="24"/>
        </w:rPr>
        <w:t>Table of Contents</w:t>
      </w:r>
    </w:p>
    <w:p w14:paraId="048AB309" w14:textId="77777777" w:rsidR="008D75A7" w:rsidRPr="00185245" w:rsidRDefault="008D75A7" w:rsidP="008D75A7">
      <w:pPr>
        <w:jc w:val="center"/>
        <w:rPr>
          <w:b/>
          <w:sz w:val="24"/>
        </w:rPr>
      </w:pPr>
    </w:p>
    <w:p w14:paraId="580312D8" w14:textId="77777777" w:rsidR="008D75A7" w:rsidRDefault="008D75A7" w:rsidP="008D75A7">
      <w:pPr>
        <w:spacing w:after="0"/>
        <w:rPr>
          <w:b/>
        </w:rPr>
      </w:pPr>
      <w:r>
        <w:rPr>
          <w:b/>
        </w:rPr>
        <w:t>Section</w:t>
      </w:r>
      <w:r>
        <w:rPr>
          <w:b/>
        </w:rPr>
        <w:tab/>
      </w:r>
    </w:p>
    <w:p w14:paraId="08F6D99D" w14:textId="77777777" w:rsidR="008D75A7" w:rsidRDefault="008D75A7" w:rsidP="008D75A7">
      <w:pPr>
        <w:spacing w:after="0"/>
        <w:rPr>
          <w:b/>
        </w:rPr>
      </w:pPr>
      <w:r>
        <w:rPr>
          <w:b/>
        </w:rPr>
        <w:t>A.</w:t>
      </w:r>
      <w:r>
        <w:rPr>
          <w:b/>
        </w:rPr>
        <w:tab/>
        <w:t>Justification</w:t>
      </w:r>
    </w:p>
    <w:p w14:paraId="01071A28" w14:textId="77777777" w:rsidR="008D75A7" w:rsidRDefault="008D75A7" w:rsidP="008D75A7">
      <w:pPr>
        <w:numPr>
          <w:ilvl w:val="0"/>
          <w:numId w:val="32"/>
        </w:numPr>
        <w:spacing w:after="0" w:line="240" w:lineRule="auto"/>
        <w:ind w:hanging="720"/>
      </w:pPr>
      <w:r>
        <w:t xml:space="preserve">Circumstances Making the Collection of Information Necessary </w:t>
      </w:r>
    </w:p>
    <w:p w14:paraId="088313E7" w14:textId="77777777" w:rsidR="008D75A7" w:rsidRDefault="008D75A7" w:rsidP="008D75A7">
      <w:pPr>
        <w:numPr>
          <w:ilvl w:val="0"/>
          <w:numId w:val="32"/>
        </w:numPr>
        <w:spacing w:after="0" w:line="240" w:lineRule="auto"/>
        <w:ind w:hanging="720"/>
      </w:pPr>
      <w:r>
        <w:t xml:space="preserve">Purpose and Use of Information Collection </w:t>
      </w:r>
    </w:p>
    <w:p w14:paraId="279F2E35" w14:textId="77777777" w:rsidR="008D75A7" w:rsidRDefault="008D75A7" w:rsidP="008D75A7">
      <w:pPr>
        <w:numPr>
          <w:ilvl w:val="0"/>
          <w:numId w:val="32"/>
        </w:numPr>
        <w:spacing w:after="0" w:line="240" w:lineRule="auto"/>
        <w:ind w:hanging="720"/>
      </w:pPr>
      <w:r>
        <w:t>Use of Improved Information Technology and Burden Reduction</w:t>
      </w:r>
    </w:p>
    <w:p w14:paraId="20BC6975" w14:textId="77777777" w:rsidR="008D75A7" w:rsidRDefault="008D75A7" w:rsidP="008D75A7">
      <w:pPr>
        <w:numPr>
          <w:ilvl w:val="0"/>
          <w:numId w:val="32"/>
        </w:numPr>
        <w:spacing w:after="0" w:line="240" w:lineRule="auto"/>
        <w:ind w:hanging="720"/>
      </w:pPr>
      <w:r>
        <w:t xml:space="preserve">Efforts to Identify Duplication and Use of Similar Information </w:t>
      </w:r>
    </w:p>
    <w:p w14:paraId="77266031" w14:textId="77777777" w:rsidR="008D75A7" w:rsidRDefault="008D75A7" w:rsidP="008D75A7">
      <w:pPr>
        <w:numPr>
          <w:ilvl w:val="0"/>
          <w:numId w:val="32"/>
        </w:numPr>
        <w:spacing w:after="0" w:line="240" w:lineRule="auto"/>
        <w:ind w:hanging="720"/>
      </w:pPr>
      <w:r>
        <w:t>Impact on Small Businesses or Other Small Entities</w:t>
      </w:r>
    </w:p>
    <w:p w14:paraId="16452037" w14:textId="77777777" w:rsidR="008D75A7" w:rsidRDefault="008D75A7" w:rsidP="008D75A7">
      <w:pPr>
        <w:numPr>
          <w:ilvl w:val="0"/>
          <w:numId w:val="32"/>
        </w:numPr>
        <w:spacing w:after="0" w:line="240" w:lineRule="auto"/>
        <w:ind w:hanging="720"/>
      </w:pPr>
      <w:r>
        <w:t xml:space="preserve">Consequences of Collecting the Information Less frequently </w:t>
      </w:r>
    </w:p>
    <w:p w14:paraId="74F1A921" w14:textId="77777777" w:rsidR="008D75A7" w:rsidRDefault="008D75A7" w:rsidP="008D75A7">
      <w:pPr>
        <w:numPr>
          <w:ilvl w:val="0"/>
          <w:numId w:val="32"/>
        </w:numPr>
        <w:spacing w:after="0" w:line="240" w:lineRule="auto"/>
        <w:ind w:hanging="720"/>
      </w:pPr>
      <w:r>
        <w:t xml:space="preserve">Special Circumstances Relating to the Guidelines of 5 CFR 1320.5 </w:t>
      </w:r>
    </w:p>
    <w:p w14:paraId="75F25E4E" w14:textId="77777777" w:rsidR="008D75A7" w:rsidRDefault="008D75A7" w:rsidP="008D75A7">
      <w:pPr>
        <w:numPr>
          <w:ilvl w:val="0"/>
          <w:numId w:val="32"/>
        </w:numPr>
        <w:spacing w:after="0" w:line="240" w:lineRule="auto"/>
        <w:ind w:hanging="720"/>
      </w:pPr>
      <w:r>
        <w:t xml:space="preserve">Comments in Response to the Federal Register Notice and Efforts to Consult Outside the Agency </w:t>
      </w:r>
    </w:p>
    <w:p w14:paraId="6E18D82F" w14:textId="77777777" w:rsidR="008D75A7" w:rsidRDefault="008D75A7" w:rsidP="008D75A7">
      <w:pPr>
        <w:numPr>
          <w:ilvl w:val="0"/>
          <w:numId w:val="32"/>
        </w:numPr>
        <w:spacing w:after="0" w:line="240" w:lineRule="auto"/>
        <w:ind w:hanging="720"/>
      </w:pPr>
      <w:r>
        <w:t xml:space="preserve">Explanation of Any Payment or Gift to Respondents </w:t>
      </w:r>
    </w:p>
    <w:p w14:paraId="4A2A7B09" w14:textId="77777777" w:rsidR="008D75A7" w:rsidRDefault="008D75A7" w:rsidP="008D75A7">
      <w:pPr>
        <w:numPr>
          <w:ilvl w:val="0"/>
          <w:numId w:val="32"/>
        </w:numPr>
        <w:spacing w:after="0" w:line="240" w:lineRule="auto"/>
        <w:ind w:hanging="720"/>
      </w:pPr>
      <w:r>
        <w:t>Assurance of Confidentiality Provided to Respondents</w:t>
      </w:r>
    </w:p>
    <w:p w14:paraId="5ABEDAC4" w14:textId="77777777" w:rsidR="008D75A7" w:rsidRDefault="008D75A7" w:rsidP="008D75A7">
      <w:pPr>
        <w:numPr>
          <w:ilvl w:val="0"/>
          <w:numId w:val="32"/>
        </w:numPr>
        <w:spacing w:after="0" w:line="240" w:lineRule="auto"/>
        <w:ind w:left="360"/>
      </w:pPr>
      <w:r>
        <w:t xml:space="preserve">       Justification for Sensitive Questions </w:t>
      </w:r>
    </w:p>
    <w:p w14:paraId="66DB6A84" w14:textId="77777777" w:rsidR="008D75A7" w:rsidRDefault="008D75A7" w:rsidP="008D75A7">
      <w:pPr>
        <w:numPr>
          <w:ilvl w:val="0"/>
          <w:numId w:val="32"/>
        </w:numPr>
        <w:spacing w:after="0" w:line="240" w:lineRule="auto"/>
        <w:ind w:left="360"/>
      </w:pPr>
      <w:r>
        <w:t xml:space="preserve">       Estimates of Annualized Burden Hours and Costs </w:t>
      </w:r>
    </w:p>
    <w:p w14:paraId="0A923794" w14:textId="77777777" w:rsidR="008D75A7" w:rsidRDefault="008D75A7" w:rsidP="008D75A7">
      <w:pPr>
        <w:numPr>
          <w:ilvl w:val="0"/>
          <w:numId w:val="32"/>
        </w:numPr>
        <w:spacing w:after="0" w:line="240" w:lineRule="auto"/>
        <w:ind w:hanging="720"/>
      </w:pPr>
      <w:r>
        <w:t xml:space="preserve">Estimates of Other Total Annual Cost Burden to Respondents or Record Keepers </w:t>
      </w:r>
    </w:p>
    <w:p w14:paraId="266AD247" w14:textId="77777777" w:rsidR="008D75A7" w:rsidRDefault="008D75A7" w:rsidP="008D75A7">
      <w:pPr>
        <w:numPr>
          <w:ilvl w:val="0"/>
          <w:numId w:val="32"/>
        </w:numPr>
        <w:spacing w:after="0" w:line="240" w:lineRule="auto"/>
        <w:ind w:left="360"/>
      </w:pPr>
      <w:r>
        <w:t xml:space="preserve">       Annualized Cost to the Government </w:t>
      </w:r>
    </w:p>
    <w:p w14:paraId="6B11B965" w14:textId="77777777" w:rsidR="008D75A7" w:rsidRDefault="008D75A7" w:rsidP="008D75A7">
      <w:pPr>
        <w:numPr>
          <w:ilvl w:val="0"/>
          <w:numId w:val="32"/>
        </w:numPr>
        <w:spacing w:after="0" w:line="240" w:lineRule="auto"/>
        <w:ind w:left="360"/>
      </w:pPr>
      <w:r>
        <w:t xml:space="preserve">       Explanation for Program Changes or Adjustments </w:t>
      </w:r>
    </w:p>
    <w:p w14:paraId="22023C19" w14:textId="77777777" w:rsidR="008D75A7" w:rsidRPr="00196CB7" w:rsidRDefault="008D75A7" w:rsidP="008D75A7">
      <w:pPr>
        <w:numPr>
          <w:ilvl w:val="0"/>
          <w:numId w:val="32"/>
        </w:numPr>
        <w:spacing w:after="0" w:line="240" w:lineRule="auto"/>
        <w:ind w:hanging="720"/>
      </w:pPr>
      <w:r w:rsidRPr="00196CB7">
        <w:t xml:space="preserve">Plans for Tabulation and Publication and Project Time Schedule </w:t>
      </w:r>
    </w:p>
    <w:p w14:paraId="4AC84DD8" w14:textId="77777777" w:rsidR="008D75A7" w:rsidRPr="00196CB7" w:rsidRDefault="008D75A7" w:rsidP="008D75A7">
      <w:pPr>
        <w:numPr>
          <w:ilvl w:val="0"/>
          <w:numId w:val="32"/>
        </w:numPr>
        <w:spacing w:after="0" w:line="240" w:lineRule="auto"/>
        <w:ind w:hanging="720"/>
      </w:pPr>
      <w:r w:rsidRPr="00196CB7">
        <w:t>Reason(s) Display of OMB Expiration Date is Inappropriate</w:t>
      </w:r>
    </w:p>
    <w:p w14:paraId="015F2B3E" w14:textId="77777777" w:rsidR="008D75A7" w:rsidRPr="00196CB7" w:rsidRDefault="008D75A7" w:rsidP="008D75A7">
      <w:pPr>
        <w:numPr>
          <w:ilvl w:val="0"/>
          <w:numId w:val="32"/>
        </w:numPr>
        <w:spacing w:after="0" w:line="240" w:lineRule="auto"/>
        <w:ind w:hanging="720"/>
        <w:rPr>
          <w:bCs/>
        </w:rPr>
      </w:pPr>
      <w:r w:rsidRPr="00196CB7">
        <w:t xml:space="preserve">Exceptions to Certification for Paperwork Reduction Act Submissions </w:t>
      </w:r>
    </w:p>
    <w:p w14:paraId="3B0A9FD9" w14:textId="77777777" w:rsidR="008D75A7" w:rsidRPr="00196CB7" w:rsidRDefault="008D75A7" w:rsidP="008D75A7">
      <w:pPr>
        <w:spacing w:after="0"/>
        <w:ind w:left="360" w:hanging="360"/>
        <w:rPr>
          <w:bCs/>
        </w:rPr>
      </w:pPr>
    </w:p>
    <w:p w14:paraId="21A315C3" w14:textId="77777777" w:rsidR="008D75A7" w:rsidRPr="00196CB7" w:rsidRDefault="008D75A7" w:rsidP="008D75A7">
      <w:pPr>
        <w:spacing w:after="0"/>
        <w:rPr>
          <w:b/>
        </w:rPr>
      </w:pPr>
      <w:r w:rsidRPr="00196CB7">
        <w:rPr>
          <w:b/>
        </w:rPr>
        <w:t>Exhibits</w:t>
      </w:r>
    </w:p>
    <w:p w14:paraId="08869530" w14:textId="77777777" w:rsidR="008D75A7" w:rsidRDefault="008D75A7" w:rsidP="008D75A7">
      <w:r>
        <w:t>Exhibit 12-</w:t>
      </w:r>
      <w:proofErr w:type="gramStart"/>
      <w:r>
        <w:t>A</w:t>
      </w:r>
      <w:proofErr w:type="gramEnd"/>
      <w:r>
        <w:tab/>
        <w:t>Estimates of Annualized Burden Hours</w:t>
      </w:r>
    </w:p>
    <w:p w14:paraId="2E160085" w14:textId="77777777" w:rsidR="008D75A7" w:rsidRDefault="008D75A7" w:rsidP="008D75A7">
      <w:r>
        <w:t>Exhibit 12-B</w:t>
      </w:r>
      <w:r>
        <w:tab/>
        <w:t>Estimates of Annualized Burden Costs</w:t>
      </w:r>
    </w:p>
    <w:p w14:paraId="1D1EBCFE" w14:textId="77777777" w:rsidR="008D75A7" w:rsidRDefault="008D75A7" w:rsidP="008D75A7">
      <w:pPr>
        <w:spacing w:after="0"/>
      </w:pPr>
      <w:r>
        <w:t>Exhibit 14-</w:t>
      </w:r>
      <w:proofErr w:type="gramStart"/>
      <w:r>
        <w:t>A</w:t>
      </w:r>
      <w:proofErr w:type="gramEnd"/>
      <w:r>
        <w:tab/>
        <w:t xml:space="preserve">Estimated Annualized Cost to the Government </w:t>
      </w:r>
    </w:p>
    <w:p w14:paraId="6BB868C0" w14:textId="77777777" w:rsidR="00382456" w:rsidRDefault="00382456" w:rsidP="008D75A7">
      <w:pPr>
        <w:spacing w:after="0"/>
      </w:pPr>
    </w:p>
    <w:p w14:paraId="1C9785DD" w14:textId="463A355C" w:rsidR="00382456" w:rsidRDefault="00382456" w:rsidP="008D75A7">
      <w:pPr>
        <w:spacing w:after="0"/>
        <w:rPr>
          <w:b/>
        </w:rPr>
      </w:pPr>
      <w:r w:rsidRPr="00382456">
        <w:rPr>
          <w:b/>
        </w:rPr>
        <w:t xml:space="preserve">Attachments </w:t>
      </w:r>
    </w:p>
    <w:p w14:paraId="421DD341" w14:textId="44A4776F" w:rsidR="00382456" w:rsidRDefault="00382456" w:rsidP="00382456">
      <w:pPr>
        <w:pStyle w:val="ListParagraph"/>
        <w:numPr>
          <w:ilvl w:val="0"/>
          <w:numId w:val="34"/>
        </w:numPr>
        <w:spacing w:after="0"/>
      </w:pPr>
      <w:r>
        <w:t xml:space="preserve">Legislation:  </w:t>
      </w:r>
      <w:r w:rsidRPr="00382456">
        <w:t>Public Health Service Act and Pandemic and All-Hazards Preparedness Act</w:t>
      </w:r>
    </w:p>
    <w:p w14:paraId="69116FB3" w14:textId="5CF70A34" w:rsidR="00382456" w:rsidRDefault="00382456" w:rsidP="00382456">
      <w:pPr>
        <w:pStyle w:val="ListParagraph"/>
        <w:numPr>
          <w:ilvl w:val="0"/>
          <w:numId w:val="34"/>
        </w:numPr>
        <w:spacing w:after="0"/>
      </w:pPr>
      <w:r>
        <w:t>60-day Federal Register Notice (FRN)</w:t>
      </w:r>
    </w:p>
    <w:p w14:paraId="0C4F677A" w14:textId="1FF1EE9F" w:rsidR="00382456" w:rsidRDefault="00403202" w:rsidP="00382456">
      <w:pPr>
        <w:pStyle w:val="ListParagraph"/>
        <w:numPr>
          <w:ilvl w:val="0"/>
          <w:numId w:val="34"/>
        </w:numPr>
        <w:spacing w:after="0"/>
      </w:pPr>
      <w:proofErr w:type="spellStart"/>
      <w:r>
        <w:t>BioSense</w:t>
      </w:r>
      <w:proofErr w:type="spellEnd"/>
      <w:r>
        <w:t xml:space="preserve"> 2.0 Registration Screen Shot</w:t>
      </w:r>
    </w:p>
    <w:p w14:paraId="1F5BFA3E" w14:textId="269BE402" w:rsidR="00403202" w:rsidRDefault="00403202" w:rsidP="00382456">
      <w:pPr>
        <w:pStyle w:val="ListParagraph"/>
        <w:numPr>
          <w:ilvl w:val="0"/>
          <w:numId w:val="34"/>
        </w:numPr>
        <w:spacing w:after="0"/>
      </w:pPr>
      <w:proofErr w:type="spellStart"/>
      <w:r>
        <w:t>BioSense</w:t>
      </w:r>
      <w:proofErr w:type="spellEnd"/>
      <w:r>
        <w:t xml:space="preserve"> 2.0 Security Letter</w:t>
      </w:r>
    </w:p>
    <w:p w14:paraId="4586DF24" w14:textId="324FF1BD" w:rsidR="00403202" w:rsidRDefault="00403202" w:rsidP="00382456">
      <w:pPr>
        <w:pStyle w:val="ListParagraph"/>
        <w:numPr>
          <w:ilvl w:val="0"/>
          <w:numId w:val="34"/>
        </w:numPr>
        <w:spacing w:after="0"/>
      </w:pPr>
      <w:proofErr w:type="spellStart"/>
      <w:r>
        <w:t>BioSense</w:t>
      </w:r>
      <w:proofErr w:type="spellEnd"/>
      <w:r>
        <w:t xml:space="preserve"> 2.0 Data Sharing Screen Shot</w:t>
      </w:r>
    </w:p>
    <w:p w14:paraId="622B4DAE" w14:textId="4814A0C7" w:rsidR="00403202" w:rsidRDefault="00403202" w:rsidP="00382456">
      <w:pPr>
        <w:pStyle w:val="ListParagraph"/>
        <w:numPr>
          <w:ilvl w:val="0"/>
          <w:numId w:val="34"/>
        </w:numPr>
        <w:spacing w:after="0"/>
      </w:pPr>
      <w:proofErr w:type="spellStart"/>
      <w:r>
        <w:t>BioSense</w:t>
      </w:r>
      <w:proofErr w:type="spellEnd"/>
      <w:r>
        <w:t xml:space="preserve"> 2.0 Variables </w:t>
      </w:r>
    </w:p>
    <w:p w14:paraId="6CD1CF8F" w14:textId="5F9360C4" w:rsidR="00403202" w:rsidRDefault="006800B9" w:rsidP="00382456">
      <w:pPr>
        <w:pStyle w:val="ListParagraph"/>
        <w:numPr>
          <w:ilvl w:val="0"/>
          <w:numId w:val="34"/>
        </w:numPr>
        <w:spacing w:after="0"/>
      </w:pPr>
      <w:proofErr w:type="spellStart"/>
      <w:r>
        <w:t>BioSense</w:t>
      </w:r>
      <w:proofErr w:type="spellEnd"/>
      <w:r>
        <w:t xml:space="preserve"> 2.0 </w:t>
      </w:r>
      <w:r w:rsidR="00F82703">
        <w:t>Technical Expert Panel (</w:t>
      </w:r>
      <w:r>
        <w:t>TEP</w:t>
      </w:r>
      <w:r w:rsidR="00F82703">
        <w:t>)</w:t>
      </w:r>
      <w:r>
        <w:t xml:space="preserve"> and Advanced User Panel</w:t>
      </w:r>
      <w:r w:rsidR="00F82703">
        <w:t xml:space="preserve"> (AUP)</w:t>
      </w:r>
      <w:r>
        <w:t xml:space="preserve"> Members Lists</w:t>
      </w:r>
    </w:p>
    <w:p w14:paraId="52E9C127" w14:textId="133539B3" w:rsidR="006800B9" w:rsidRDefault="006800B9" w:rsidP="00382456">
      <w:pPr>
        <w:pStyle w:val="ListParagraph"/>
        <w:numPr>
          <w:ilvl w:val="0"/>
          <w:numId w:val="34"/>
        </w:numPr>
        <w:spacing w:after="0"/>
      </w:pPr>
      <w:proofErr w:type="spellStart"/>
      <w:r>
        <w:t>BioSense</w:t>
      </w:r>
      <w:proofErr w:type="spellEnd"/>
      <w:r>
        <w:t xml:space="preserve"> 2.0 Privacy Impact Assessment (PIA) </w:t>
      </w:r>
    </w:p>
    <w:p w14:paraId="5CAB289F" w14:textId="4C41B46A" w:rsidR="00F82703" w:rsidRDefault="006800B9" w:rsidP="00F82703">
      <w:pPr>
        <w:pStyle w:val="ListParagraph"/>
        <w:numPr>
          <w:ilvl w:val="0"/>
          <w:numId w:val="34"/>
        </w:numPr>
        <w:spacing w:after="0"/>
      </w:pPr>
      <w:proofErr w:type="spellStart"/>
      <w:r>
        <w:t>BioSense</w:t>
      </w:r>
      <w:proofErr w:type="spellEnd"/>
      <w:r>
        <w:t xml:space="preserve"> 2.0 Research Determination</w:t>
      </w:r>
    </w:p>
    <w:p w14:paraId="5D3D767A" w14:textId="77777777" w:rsidR="00382456" w:rsidRDefault="00382456" w:rsidP="008D75A7">
      <w:pPr>
        <w:spacing w:after="0"/>
      </w:pPr>
    </w:p>
    <w:p w14:paraId="1689674A" w14:textId="77777777" w:rsidR="00382456" w:rsidRPr="00382456" w:rsidRDefault="00382456" w:rsidP="008D75A7">
      <w:pPr>
        <w:spacing w:after="0"/>
      </w:pPr>
    </w:p>
    <w:p w14:paraId="3F452B79" w14:textId="77777777" w:rsidR="008D75A7" w:rsidRPr="00196CB7" w:rsidRDefault="008D75A7" w:rsidP="008D75A7">
      <w:pPr>
        <w:spacing w:after="0"/>
      </w:pPr>
    </w:p>
    <w:p w14:paraId="0DAAAB41" w14:textId="77777777" w:rsidR="008D75A7" w:rsidRDefault="008D75A7" w:rsidP="008D75A7">
      <w:pPr>
        <w:spacing w:after="0"/>
        <w:jc w:val="center"/>
        <w:rPr>
          <w:b/>
          <w:sz w:val="36"/>
          <w:szCs w:val="28"/>
        </w:rPr>
      </w:pPr>
      <w:proofErr w:type="spellStart"/>
      <w:r>
        <w:rPr>
          <w:b/>
          <w:sz w:val="36"/>
          <w:szCs w:val="28"/>
        </w:rPr>
        <w:lastRenderedPageBreak/>
        <w:t>BioSense</w:t>
      </w:r>
      <w:proofErr w:type="spellEnd"/>
      <w:r>
        <w:rPr>
          <w:b/>
          <w:sz w:val="36"/>
          <w:szCs w:val="28"/>
        </w:rPr>
        <w:t xml:space="preserve"> </w:t>
      </w:r>
      <w:r w:rsidRPr="000A2E41">
        <w:rPr>
          <w:b/>
          <w:sz w:val="36"/>
          <w:szCs w:val="28"/>
        </w:rPr>
        <w:t>Supporting Statement</w:t>
      </w:r>
    </w:p>
    <w:p w14:paraId="67789CF9" w14:textId="77777777" w:rsidR="008D75A7" w:rsidRDefault="008D75A7" w:rsidP="008D75A7">
      <w:pPr>
        <w:spacing w:after="0"/>
        <w:rPr>
          <w:b/>
          <w:sz w:val="36"/>
          <w:szCs w:val="28"/>
        </w:rPr>
      </w:pPr>
    </w:p>
    <w:p w14:paraId="192AFDC9" w14:textId="77777777" w:rsidR="008D75A7" w:rsidRDefault="008D75A7" w:rsidP="008D75A7">
      <w:pPr>
        <w:spacing w:after="0"/>
        <w:rPr>
          <w:szCs w:val="28"/>
        </w:rPr>
      </w:pPr>
      <w:r w:rsidRPr="000A2E41">
        <w:rPr>
          <w:b/>
          <w:sz w:val="24"/>
          <w:szCs w:val="28"/>
        </w:rPr>
        <w:t>Section A</w:t>
      </w:r>
      <w:r w:rsidRPr="000A2E41">
        <w:rPr>
          <w:sz w:val="20"/>
          <w:szCs w:val="28"/>
        </w:rPr>
        <w:t xml:space="preserve"> </w:t>
      </w:r>
      <w:r w:rsidRPr="000A2E41">
        <w:rPr>
          <w:szCs w:val="28"/>
        </w:rPr>
        <w:t xml:space="preserve">– justification for information collection, </w:t>
      </w:r>
      <w:proofErr w:type="spellStart"/>
      <w:r w:rsidRPr="000A2E41">
        <w:rPr>
          <w:szCs w:val="28"/>
        </w:rPr>
        <w:t>identifiability</w:t>
      </w:r>
      <w:proofErr w:type="spellEnd"/>
      <w:r w:rsidRPr="000A2E41">
        <w:rPr>
          <w:szCs w:val="28"/>
        </w:rPr>
        <w:t xml:space="preserve"> of respondents </w:t>
      </w:r>
    </w:p>
    <w:p w14:paraId="2156CF21" w14:textId="77777777" w:rsidR="008D75A7" w:rsidRPr="000A2E41" w:rsidRDefault="008D75A7" w:rsidP="008D75A7">
      <w:pPr>
        <w:rPr>
          <w:szCs w:val="28"/>
        </w:rPr>
      </w:pPr>
    </w:p>
    <w:p w14:paraId="1A54E6EE" w14:textId="77777777" w:rsidR="008D75A7" w:rsidRDefault="008D75A7" w:rsidP="008D75A7">
      <w:pPr>
        <w:tabs>
          <w:tab w:val="left" w:pos="3240"/>
          <w:tab w:val="left" w:pos="3420"/>
        </w:tabs>
        <w:rPr>
          <w:b/>
          <w:szCs w:val="28"/>
        </w:rPr>
      </w:pPr>
      <w:proofErr w:type="gramStart"/>
      <w:r>
        <w:rPr>
          <w:b/>
          <w:szCs w:val="28"/>
        </w:rPr>
        <w:t xml:space="preserve">1  </w:t>
      </w:r>
      <w:r w:rsidRPr="00BC705D">
        <w:rPr>
          <w:b/>
          <w:szCs w:val="28"/>
        </w:rPr>
        <w:t>Circumstances</w:t>
      </w:r>
      <w:proofErr w:type="gramEnd"/>
      <w:r w:rsidRPr="00BC705D">
        <w:rPr>
          <w:b/>
          <w:szCs w:val="28"/>
        </w:rPr>
        <w:t xml:space="preserve"> making collection of information necessary</w:t>
      </w:r>
    </w:p>
    <w:p w14:paraId="462BE5F1" w14:textId="629F6259" w:rsidR="008D75A7" w:rsidRDefault="008D75A7" w:rsidP="008D75A7">
      <w:pPr>
        <w:spacing w:after="0" w:line="240" w:lineRule="auto"/>
        <w:rPr>
          <w:rFonts w:cstheme="minorHAnsi"/>
        </w:rPr>
      </w:pPr>
      <w:r w:rsidRPr="001361A4">
        <w:rPr>
          <w:rFonts w:cstheme="minorHAnsi"/>
        </w:rPr>
        <w:t xml:space="preserve">CDC requests a </w:t>
      </w:r>
      <w:r>
        <w:rPr>
          <w:rFonts w:cstheme="minorHAnsi"/>
        </w:rPr>
        <w:t>three</w:t>
      </w:r>
      <w:r w:rsidRPr="001361A4">
        <w:rPr>
          <w:rFonts w:cstheme="minorHAnsi"/>
        </w:rPr>
        <w:t xml:space="preserve"> year approval for a </w:t>
      </w:r>
      <w:r>
        <w:rPr>
          <w:rFonts w:cstheme="minorHAnsi"/>
        </w:rPr>
        <w:t>R</w:t>
      </w:r>
      <w:r w:rsidRPr="001361A4">
        <w:rPr>
          <w:rFonts w:cstheme="minorHAnsi"/>
        </w:rPr>
        <w:t xml:space="preserve">evision for the </w:t>
      </w:r>
      <w:proofErr w:type="spellStart"/>
      <w:r w:rsidRPr="001361A4">
        <w:rPr>
          <w:rFonts w:cstheme="minorHAnsi"/>
        </w:rPr>
        <w:t>BioSense</w:t>
      </w:r>
      <w:proofErr w:type="spellEnd"/>
      <w:r w:rsidRPr="001361A4">
        <w:rPr>
          <w:rFonts w:cstheme="minorHAnsi"/>
        </w:rPr>
        <w:t xml:space="preserve"> program </w:t>
      </w:r>
      <w:r w:rsidRPr="00757FDF">
        <w:rPr>
          <w:rFonts w:cstheme="minorHAnsi"/>
        </w:rPr>
        <w:t>OMB Control No</w:t>
      </w:r>
      <w:r w:rsidRPr="00757FDF">
        <w:rPr>
          <w:rFonts w:cstheme="minorHAnsi"/>
          <w:b/>
        </w:rPr>
        <w:t>.</w:t>
      </w:r>
      <w:r w:rsidRPr="00757FDF">
        <w:rPr>
          <w:rFonts w:cstheme="minorHAnsi"/>
        </w:rPr>
        <w:t xml:space="preserve"> 0920-0824, Expiration Date 10/31/2012.</w:t>
      </w:r>
    </w:p>
    <w:p w14:paraId="1D213235" w14:textId="77777777" w:rsidR="008D75A7" w:rsidRPr="003E1377" w:rsidRDefault="008D75A7" w:rsidP="008D75A7">
      <w:pPr>
        <w:spacing w:after="0" w:line="240" w:lineRule="auto"/>
        <w:rPr>
          <w:rFonts w:cstheme="minorHAnsi"/>
        </w:rPr>
      </w:pPr>
    </w:p>
    <w:p w14:paraId="1D8FE510" w14:textId="77777777" w:rsidR="008D75A7" w:rsidRDefault="008D75A7" w:rsidP="008D75A7">
      <w:pPr>
        <w:rPr>
          <w:szCs w:val="28"/>
        </w:rPr>
      </w:pPr>
      <w:r w:rsidRPr="00F01FB8">
        <w:rPr>
          <w:szCs w:val="28"/>
        </w:rPr>
        <w:t xml:space="preserve">Congress passed the Public Health Security and Bioterrorism Preparedness and Response Act of 2002, which requires specific </w:t>
      </w:r>
      <w:r>
        <w:rPr>
          <w:szCs w:val="28"/>
        </w:rPr>
        <w:t xml:space="preserve">information collection </w:t>
      </w:r>
      <w:r w:rsidRPr="00F01FB8">
        <w:rPr>
          <w:szCs w:val="28"/>
        </w:rPr>
        <w:t>activities related to bioterrorism preparedness and response.  This congressional mandate</w:t>
      </w:r>
      <w:r>
        <w:rPr>
          <w:szCs w:val="28"/>
        </w:rPr>
        <w:t xml:space="preserve"> outlines the need for protecting</w:t>
      </w:r>
      <w:r w:rsidRPr="00F01FB8">
        <w:rPr>
          <w:szCs w:val="28"/>
        </w:rPr>
        <w:t xml:space="preserve"> the overall public’s health through electronic surveillance.  The Department of Health and Human Services outlined strategies aimed at achieving this goal via the Public Health IT Initiative thereby creating the </w:t>
      </w:r>
      <w:proofErr w:type="spellStart"/>
      <w:r w:rsidRPr="00F01FB8">
        <w:rPr>
          <w:szCs w:val="28"/>
        </w:rPr>
        <w:t>BioSense</w:t>
      </w:r>
      <w:proofErr w:type="spellEnd"/>
      <w:r w:rsidRPr="00F01FB8">
        <w:rPr>
          <w:szCs w:val="28"/>
        </w:rPr>
        <w:t xml:space="preserve"> program.  The Public Health Service Act (42 U.S.C. 241, 247b and 247d-4) and the Pandemic and All-Hazards Preparedness Act (PAHPA), Public Law No. 109-417 authorizing this activity are included as </w:t>
      </w:r>
      <w:r w:rsidRPr="00F01FB8">
        <w:rPr>
          <w:b/>
          <w:szCs w:val="28"/>
        </w:rPr>
        <w:t>Attachment 1</w:t>
      </w:r>
      <w:r w:rsidRPr="00F01FB8">
        <w:rPr>
          <w:szCs w:val="28"/>
        </w:rPr>
        <w:t>.</w:t>
      </w:r>
    </w:p>
    <w:p w14:paraId="34534711" w14:textId="122E5A8D" w:rsidR="008D75A7" w:rsidRPr="003E1377" w:rsidRDefault="008D75A7" w:rsidP="008D75A7">
      <w:pPr>
        <w:rPr>
          <w:bCs/>
          <w:szCs w:val="28"/>
        </w:rPr>
      </w:pPr>
      <w:proofErr w:type="spellStart"/>
      <w:r w:rsidRPr="000A465E">
        <w:rPr>
          <w:szCs w:val="28"/>
        </w:rPr>
        <w:t>BioSense</w:t>
      </w:r>
      <w:proofErr w:type="spellEnd"/>
      <w:r w:rsidRPr="000A465E">
        <w:rPr>
          <w:szCs w:val="28"/>
        </w:rPr>
        <w:t xml:space="preserve"> is a national</w:t>
      </w:r>
      <w:r w:rsidR="00133E23">
        <w:rPr>
          <w:szCs w:val="28"/>
        </w:rPr>
        <w:t>-level</w:t>
      </w:r>
      <w:r w:rsidRPr="000A465E">
        <w:rPr>
          <w:szCs w:val="28"/>
        </w:rPr>
        <w:t xml:space="preserve">, </w:t>
      </w:r>
      <w:r w:rsidR="00133E23">
        <w:rPr>
          <w:szCs w:val="28"/>
        </w:rPr>
        <w:t xml:space="preserve">electronic, </w:t>
      </w:r>
      <w:r w:rsidRPr="000A465E">
        <w:rPr>
          <w:szCs w:val="28"/>
        </w:rPr>
        <w:t>human health surveillance system designed to improve the nation’s capabilities for disease detection, monitoring, an</w:t>
      </w:r>
      <w:r>
        <w:rPr>
          <w:szCs w:val="28"/>
        </w:rPr>
        <w:t xml:space="preserve">d health situation awareness through timely access to existing healthcare encounter information for just-in-time public health decision-making. The </w:t>
      </w:r>
      <w:proofErr w:type="spellStart"/>
      <w:r>
        <w:rPr>
          <w:szCs w:val="28"/>
        </w:rPr>
        <w:t>BioSense</w:t>
      </w:r>
      <w:proofErr w:type="spellEnd"/>
      <w:r>
        <w:rPr>
          <w:szCs w:val="28"/>
        </w:rPr>
        <w:t xml:space="preserve"> Program is in the process of transitioning from the original </w:t>
      </w:r>
      <w:proofErr w:type="spellStart"/>
      <w:r>
        <w:rPr>
          <w:szCs w:val="28"/>
        </w:rPr>
        <w:t>BioSense</w:t>
      </w:r>
      <w:proofErr w:type="spellEnd"/>
      <w:r>
        <w:rPr>
          <w:szCs w:val="28"/>
        </w:rPr>
        <w:t xml:space="preserve"> 1.0 to the new </w:t>
      </w:r>
      <w:proofErr w:type="spellStart"/>
      <w:r w:rsidRPr="007E59FE">
        <w:rPr>
          <w:szCs w:val="28"/>
        </w:rPr>
        <w:t>BioSense</w:t>
      </w:r>
      <w:proofErr w:type="spellEnd"/>
      <w:r w:rsidRPr="007E59FE">
        <w:rPr>
          <w:szCs w:val="28"/>
        </w:rPr>
        <w:t xml:space="preserve"> 2.0</w:t>
      </w:r>
      <w:r>
        <w:rPr>
          <w:szCs w:val="28"/>
        </w:rPr>
        <w:t xml:space="preserve"> that</w:t>
      </w:r>
      <w:r w:rsidRPr="007E59FE">
        <w:rPr>
          <w:szCs w:val="28"/>
        </w:rPr>
        <w:t xml:space="preserve"> has new governance, a new organizational structure, and a new process for data submission and management. </w:t>
      </w:r>
      <w:r w:rsidRPr="003E1377">
        <w:rPr>
          <w:bCs/>
          <w:szCs w:val="28"/>
        </w:rPr>
        <w:t xml:space="preserve">Initially intended to serve as a tool for </w:t>
      </w:r>
      <w:r w:rsidRPr="003E1377">
        <w:rPr>
          <w:bCs/>
          <w:szCs w:val="28"/>
          <w:lang w:val="en"/>
        </w:rPr>
        <w:t xml:space="preserve">early detection and rapid assessment of potential bioterrorism-related illness, the </w:t>
      </w:r>
      <w:proofErr w:type="spellStart"/>
      <w:r w:rsidRPr="003E1377">
        <w:rPr>
          <w:bCs/>
          <w:szCs w:val="28"/>
          <w:lang w:val="en"/>
        </w:rPr>
        <w:t>BioSense</w:t>
      </w:r>
      <w:proofErr w:type="spellEnd"/>
      <w:r w:rsidRPr="003E1377">
        <w:rPr>
          <w:bCs/>
          <w:szCs w:val="28"/>
          <w:lang w:val="en"/>
        </w:rPr>
        <w:t xml:space="preserve"> Program has since expanded its role to </w:t>
      </w:r>
      <w:r w:rsidRPr="003E1377">
        <w:rPr>
          <w:bCs/>
          <w:szCs w:val="28"/>
        </w:rPr>
        <w:t>detecting changes over time in predefined syndromes and sub-syndromes of public health importance (ex., injury, chronic disease, and influenza) and providing timely, all-hazard, national public health situational awareness throughout the course of public health emergencies (ex., 2009 H1N1).</w:t>
      </w:r>
    </w:p>
    <w:p w14:paraId="79DA301D" w14:textId="28B91028" w:rsidR="008D75A7" w:rsidRPr="00537431" w:rsidRDefault="008D75A7" w:rsidP="008D75A7">
      <w:pPr>
        <w:rPr>
          <w:szCs w:val="28"/>
        </w:rPr>
      </w:pPr>
      <w:r w:rsidRPr="000A2E41">
        <w:rPr>
          <w:szCs w:val="28"/>
        </w:rPr>
        <w:t xml:space="preserve">This </w:t>
      </w:r>
      <w:r>
        <w:rPr>
          <w:szCs w:val="28"/>
        </w:rPr>
        <w:t xml:space="preserve">is a request for a Revision (approval is requested for three years) </w:t>
      </w:r>
      <w:r w:rsidRPr="000A2E41">
        <w:rPr>
          <w:szCs w:val="28"/>
        </w:rPr>
        <w:t xml:space="preserve">of: </w:t>
      </w:r>
    </w:p>
    <w:p w14:paraId="4274B9AD" w14:textId="41678D66" w:rsidR="008D75A7" w:rsidRPr="00537431" w:rsidRDefault="008D75A7" w:rsidP="008D75A7">
      <w:pPr>
        <w:rPr>
          <w:szCs w:val="28"/>
        </w:rPr>
      </w:pPr>
      <w:r w:rsidRPr="003E1377">
        <w:rPr>
          <w:szCs w:val="28"/>
        </w:rPr>
        <w:t xml:space="preserve">The </w:t>
      </w:r>
      <w:proofErr w:type="spellStart"/>
      <w:r w:rsidRPr="003E1377">
        <w:rPr>
          <w:szCs w:val="28"/>
        </w:rPr>
        <w:t>BioSense</w:t>
      </w:r>
      <w:proofErr w:type="spellEnd"/>
      <w:r w:rsidRPr="003E1377">
        <w:rPr>
          <w:szCs w:val="28"/>
        </w:rPr>
        <w:t xml:space="preserve"> program has 3 different types of information collection: </w:t>
      </w:r>
      <w:r w:rsidRPr="000A2E41">
        <w:rPr>
          <w:szCs w:val="28"/>
        </w:rPr>
        <w:t xml:space="preserve">(1) </w:t>
      </w:r>
      <w:r>
        <w:rPr>
          <w:szCs w:val="28"/>
        </w:rPr>
        <w:t>information needed f</w:t>
      </w:r>
      <w:r w:rsidR="00724FF2">
        <w:rPr>
          <w:szCs w:val="28"/>
        </w:rPr>
        <w:t xml:space="preserve">or recruitment of </w:t>
      </w:r>
      <w:r w:rsidRPr="000A2E41">
        <w:rPr>
          <w:szCs w:val="28"/>
        </w:rPr>
        <w:t xml:space="preserve">participating jurisdictions to </w:t>
      </w:r>
      <w:proofErr w:type="spellStart"/>
      <w:r w:rsidRPr="000A2E41">
        <w:rPr>
          <w:szCs w:val="28"/>
        </w:rPr>
        <w:t>BioSense</w:t>
      </w:r>
      <w:proofErr w:type="spellEnd"/>
      <w:r w:rsidRPr="000A2E41">
        <w:rPr>
          <w:szCs w:val="28"/>
        </w:rPr>
        <w:t xml:space="preserve"> 2.0 </w:t>
      </w:r>
      <w:r w:rsidR="009B6FE5">
        <w:rPr>
          <w:szCs w:val="28"/>
        </w:rPr>
        <w:t xml:space="preserve">each </w:t>
      </w:r>
      <w:r w:rsidRPr="000A2E41">
        <w:rPr>
          <w:szCs w:val="28"/>
        </w:rPr>
        <w:t xml:space="preserve">year; (2) the one-time collection of information to provide access to the </w:t>
      </w:r>
      <w:proofErr w:type="spellStart"/>
      <w:r w:rsidRPr="000A2E41">
        <w:rPr>
          <w:szCs w:val="28"/>
        </w:rPr>
        <w:t>BioSense</w:t>
      </w:r>
      <w:proofErr w:type="spellEnd"/>
      <w:r w:rsidRPr="000A2E41">
        <w:rPr>
          <w:szCs w:val="28"/>
        </w:rPr>
        <w:t xml:space="preserve"> 2.0 Application to all appropriate users in participating jurisdictions and organizations, and (3) collecting already existing healthcare encounter data.</w:t>
      </w:r>
    </w:p>
    <w:p w14:paraId="13040654" w14:textId="77777777" w:rsidR="008D75A7" w:rsidRDefault="008D75A7" w:rsidP="008D75A7">
      <w:pPr>
        <w:rPr>
          <w:szCs w:val="28"/>
        </w:rPr>
      </w:pPr>
      <w:r w:rsidRPr="0082581B">
        <w:rPr>
          <w:szCs w:val="28"/>
          <w:u w:val="single"/>
        </w:rPr>
        <w:t>Recruitment</w:t>
      </w:r>
      <w:r>
        <w:rPr>
          <w:szCs w:val="28"/>
        </w:rPr>
        <w:t xml:space="preserve"> </w:t>
      </w:r>
    </w:p>
    <w:p w14:paraId="1824D68A" w14:textId="5EADA42C" w:rsidR="008D75A7" w:rsidRDefault="008D75A7" w:rsidP="008D75A7">
      <w:pPr>
        <w:rPr>
          <w:szCs w:val="28"/>
        </w:rPr>
      </w:pPr>
      <w:r w:rsidRPr="000A2E41">
        <w:rPr>
          <w:szCs w:val="28"/>
        </w:rPr>
        <w:t xml:space="preserve">In </w:t>
      </w:r>
      <w:proofErr w:type="spellStart"/>
      <w:r w:rsidRPr="000A2E41">
        <w:rPr>
          <w:szCs w:val="28"/>
        </w:rPr>
        <w:t>BioSense</w:t>
      </w:r>
      <w:proofErr w:type="spellEnd"/>
      <w:r w:rsidRPr="000A2E41">
        <w:rPr>
          <w:szCs w:val="28"/>
        </w:rPr>
        <w:t xml:space="preserve"> 1.0, jurisdictions were approached and asked to complete an extensive survey assessing their capabilities to participate.  </w:t>
      </w:r>
      <w:proofErr w:type="spellStart"/>
      <w:r w:rsidRPr="000A2E41">
        <w:rPr>
          <w:szCs w:val="28"/>
        </w:rPr>
        <w:t>BioSense</w:t>
      </w:r>
      <w:proofErr w:type="spellEnd"/>
      <w:r w:rsidRPr="000A2E41">
        <w:rPr>
          <w:szCs w:val="28"/>
        </w:rPr>
        <w:t xml:space="preserve"> 2.0 has taken a user centered approach, so the state, local, and territorial and health departments respond to communication outreach materials and can solicit information themselves on how to join.  The </w:t>
      </w:r>
      <w:proofErr w:type="spellStart"/>
      <w:r w:rsidRPr="000A2E41">
        <w:rPr>
          <w:szCs w:val="28"/>
        </w:rPr>
        <w:t>BioSense</w:t>
      </w:r>
      <w:proofErr w:type="spellEnd"/>
      <w:r w:rsidRPr="000A2E41">
        <w:rPr>
          <w:szCs w:val="28"/>
        </w:rPr>
        <w:t xml:space="preserve"> technical team works to accommodate their specifications for data submission, if they do choose to join; this is a one-time event</w:t>
      </w:r>
      <w:r w:rsidR="005927E9">
        <w:rPr>
          <w:szCs w:val="28"/>
        </w:rPr>
        <w:t xml:space="preserve"> in the form of an unstructured conversation</w:t>
      </w:r>
      <w:r w:rsidRPr="000A2E41">
        <w:rPr>
          <w:szCs w:val="28"/>
        </w:rPr>
        <w:t xml:space="preserve">. </w:t>
      </w:r>
      <w:r w:rsidR="005927E9">
        <w:rPr>
          <w:color w:val="000000"/>
        </w:rPr>
        <w:t xml:space="preserve">Because additional information technologies were added to the application (multiple easy-to-use ways to institute data transfer), the previously used extensive spreadsheet for gathering information is no longer necessary. </w:t>
      </w:r>
      <w:r w:rsidRPr="000A2E41">
        <w:rPr>
          <w:szCs w:val="28"/>
        </w:rPr>
        <w:t>Outreach efforts to public health jurisdictions will be ongoing throughout the requested three-year authorization period.</w:t>
      </w:r>
    </w:p>
    <w:p w14:paraId="584722D4" w14:textId="77777777" w:rsidR="008D75A7" w:rsidRDefault="008D75A7" w:rsidP="008D75A7">
      <w:pPr>
        <w:rPr>
          <w:szCs w:val="28"/>
          <w:u w:val="single"/>
        </w:rPr>
      </w:pPr>
      <w:r w:rsidRPr="0082581B">
        <w:rPr>
          <w:szCs w:val="28"/>
          <w:u w:val="single"/>
        </w:rPr>
        <w:lastRenderedPageBreak/>
        <w:t>Web Application Access</w:t>
      </w:r>
    </w:p>
    <w:p w14:paraId="3C100FC9" w14:textId="3BF5B896" w:rsidR="008D75A7" w:rsidRPr="000A2E41" w:rsidRDefault="008D75A7" w:rsidP="008D75A7">
      <w:pPr>
        <w:rPr>
          <w:szCs w:val="28"/>
        </w:rPr>
      </w:pPr>
      <w:r w:rsidRPr="000A2E41">
        <w:rPr>
          <w:szCs w:val="28"/>
        </w:rPr>
        <w:t xml:space="preserve">In </w:t>
      </w:r>
      <w:proofErr w:type="spellStart"/>
      <w:r w:rsidRPr="000A2E41">
        <w:rPr>
          <w:szCs w:val="28"/>
        </w:rPr>
        <w:t>BioSense</w:t>
      </w:r>
      <w:proofErr w:type="spellEnd"/>
      <w:r w:rsidRPr="000A2E41">
        <w:rPr>
          <w:szCs w:val="28"/>
        </w:rPr>
        <w:t xml:space="preserve"> 1.0, there was annual collection of data on the CDC Secure Data Network in order to register prospective users and their interests in using the data.  </w:t>
      </w:r>
      <w:r w:rsidR="00D34F06">
        <w:rPr>
          <w:szCs w:val="28"/>
        </w:rPr>
        <w:t>Because of the move to the cloud environment i</w:t>
      </w:r>
      <w:r w:rsidRPr="000A2E41">
        <w:rPr>
          <w:szCs w:val="28"/>
        </w:rPr>
        <w:t xml:space="preserve">n </w:t>
      </w:r>
      <w:proofErr w:type="spellStart"/>
      <w:r w:rsidRPr="000A2E41">
        <w:rPr>
          <w:szCs w:val="28"/>
        </w:rPr>
        <w:t>BioSense</w:t>
      </w:r>
      <w:proofErr w:type="spellEnd"/>
      <w:r w:rsidRPr="000A2E41">
        <w:rPr>
          <w:szCs w:val="28"/>
        </w:rPr>
        <w:t xml:space="preserve"> 2.0, there is a</w:t>
      </w:r>
      <w:r w:rsidR="00D34F06">
        <w:rPr>
          <w:szCs w:val="28"/>
        </w:rPr>
        <w:t xml:space="preserve"> new</w:t>
      </w:r>
      <w:r w:rsidRPr="000A2E41">
        <w:rPr>
          <w:szCs w:val="28"/>
        </w:rPr>
        <w:t xml:space="preserve"> registration form on the application (</w:t>
      </w:r>
      <w:hyperlink r:id="rId13" w:history="1">
        <w:r w:rsidRPr="000A2E41">
          <w:rPr>
            <w:rStyle w:val="Hyperlink"/>
            <w:szCs w:val="28"/>
            <w:u w:val="none"/>
          </w:rPr>
          <w:t>http://biosen.se</w:t>
        </w:r>
      </w:hyperlink>
      <w:r w:rsidRPr="000A2E41">
        <w:rPr>
          <w:rStyle w:val="Hyperlink"/>
          <w:color w:val="auto"/>
          <w:szCs w:val="28"/>
          <w:u w:val="none"/>
        </w:rPr>
        <w:t xml:space="preserve">, see </w:t>
      </w:r>
      <w:r w:rsidRPr="000A2E41">
        <w:rPr>
          <w:rStyle w:val="Hyperlink"/>
          <w:b/>
          <w:color w:val="auto"/>
          <w:szCs w:val="28"/>
          <w:u w:val="none"/>
        </w:rPr>
        <w:t>Attachment 3</w:t>
      </w:r>
      <w:r w:rsidRPr="000A2E41">
        <w:rPr>
          <w:szCs w:val="28"/>
        </w:rPr>
        <w:t xml:space="preserve">), which users must complete one time only.  They are then approved by the public health jurisdiction administrator as is applicable. </w:t>
      </w:r>
      <w:r w:rsidR="00D34F06">
        <w:rPr>
          <w:szCs w:val="28"/>
        </w:rPr>
        <w:t>As a result</w:t>
      </w:r>
      <w:r w:rsidRPr="000A2E41">
        <w:rPr>
          <w:szCs w:val="28"/>
        </w:rPr>
        <w:t>, once applicants are approved users, they do not have any further burden of renewing their account.</w:t>
      </w:r>
      <w:r w:rsidR="00D34F06" w:rsidRPr="00D34F06">
        <w:rPr>
          <w:color w:val="000000"/>
        </w:rPr>
        <w:t xml:space="preserve"> </w:t>
      </w:r>
      <w:r w:rsidR="00D34F06">
        <w:rPr>
          <w:color w:val="000000"/>
        </w:rPr>
        <w:t>U</w:t>
      </w:r>
      <w:r w:rsidRPr="000A2E41">
        <w:rPr>
          <w:szCs w:val="28"/>
        </w:rPr>
        <w:t xml:space="preserve">sers may access the </w:t>
      </w:r>
      <w:proofErr w:type="spellStart"/>
      <w:r w:rsidRPr="000A2E41">
        <w:rPr>
          <w:szCs w:val="28"/>
        </w:rPr>
        <w:t>BioSense</w:t>
      </w:r>
      <w:proofErr w:type="spellEnd"/>
      <w:r w:rsidRPr="000A2E41">
        <w:rPr>
          <w:szCs w:val="28"/>
        </w:rPr>
        <w:t xml:space="preserve"> 2.0 application that provides analysis tools and a dashboard that allows customizable queries that produce time series charts to enable the user to identify increased numbers or rates of patient visits that might indicate an outbreak, maps to visualize geographic distribution, and charts to assist in monitoring long-term trends in disease activity and increase understanding of disease patterns in an area.</w:t>
      </w:r>
    </w:p>
    <w:p w14:paraId="4F3A53A8" w14:textId="77777777" w:rsidR="008D75A7" w:rsidRDefault="008D75A7" w:rsidP="008D75A7">
      <w:pPr>
        <w:rPr>
          <w:szCs w:val="28"/>
          <w:u w:val="single"/>
        </w:rPr>
      </w:pPr>
      <w:r w:rsidRPr="001C15AA">
        <w:rPr>
          <w:szCs w:val="28"/>
          <w:u w:val="single"/>
        </w:rPr>
        <w:t>Data Collection</w:t>
      </w:r>
    </w:p>
    <w:p w14:paraId="0BA8325F" w14:textId="77777777" w:rsidR="008D75A7" w:rsidRDefault="008D75A7" w:rsidP="008D75A7">
      <w:pPr>
        <w:rPr>
          <w:szCs w:val="28"/>
        </w:rPr>
      </w:pPr>
      <w:r w:rsidRPr="0082581B">
        <w:rPr>
          <w:szCs w:val="28"/>
        </w:rPr>
        <w:t>In order to meet the congressional mandat</w:t>
      </w:r>
      <w:r>
        <w:rPr>
          <w:szCs w:val="28"/>
        </w:rPr>
        <w:t xml:space="preserve">e outlined above, the </w:t>
      </w:r>
      <w:proofErr w:type="spellStart"/>
      <w:r>
        <w:rPr>
          <w:szCs w:val="28"/>
        </w:rPr>
        <w:t>BioSense</w:t>
      </w:r>
      <w:proofErr w:type="spellEnd"/>
      <w:r>
        <w:rPr>
          <w:szCs w:val="28"/>
        </w:rPr>
        <w:t xml:space="preserve"> P</w:t>
      </w:r>
      <w:r w:rsidRPr="0082581B">
        <w:rPr>
          <w:szCs w:val="28"/>
        </w:rPr>
        <w:t xml:space="preserve">rogram must have access to electronic health information.  </w:t>
      </w:r>
      <w:r w:rsidRPr="00BE59B3">
        <w:rPr>
          <w:szCs w:val="28"/>
        </w:rPr>
        <w:t>Un</w:t>
      </w:r>
      <w:r>
        <w:rPr>
          <w:szCs w:val="28"/>
        </w:rPr>
        <w:t xml:space="preserve">der </w:t>
      </w:r>
      <w:proofErr w:type="spellStart"/>
      <w:r>
        <w:rPr>
          <w:szCs w:val="28"/>
        </w:rPr>
        <w:t>BioSense</w:t>
      </w:r>
      <w:proofErr w:type="spellEnd"/>
      <w:r>
        <w:rPr>
          <w:szCs w:val="28"/>
        </w:rPr>
        <w:t xml:space="preserve"> 1.0, participating</w:t>
      </w:r>
      <w:r w:rsidRPr="00BE59B3">
        <w:rPr>
          <w:szCs w:val="28"/>
        </w:rPr>
        <w:t xml:space="preserve"> organizations submitted </w:t>
      </w:r>
      <w:r>
        <w:rPr>
          <w:szCs w:val="28"/>
        </w:rPr>
        <w:t xml:space="preserve">already existing healthcare encounter </w:t>
      </w:r>
      <w:r w:rsidRPr="00BE59B3">
        <w:rPr>
          <w:szCs w:val="28"/>
        </w:rPr>
        <w:t xml:space="preserve">data to </w:t>
      </w:r>
      <w:proofErr w:type="gramStart"/>
      <w:r w:rsidRPr="00BE59B3">
        <w:rPr>
          <w:szCs w:val="28"/>
        </w:rPr>
        <w:t>CDC</w:t>
      </w:r>
      <w:r>
        <w:rPr>
          <w:szCs w:val="28"/>
        </w:rPr>
        <w:t>,</w:t>
      </w:r>
      <w:proofErr w:type="gramEnd"/>
      <w:r w:rsidRPr="00BE59B3">
        <w:rPr>
          <w:szCs w:val="28"/>
        </w:rPr>
        <w:t xml:space="preserve"> and the data were processed and stored at CDC in the CDC owned and operated Information Technology Services Office’s Mid-Tier Data Center on secure servers. In </w:t>
      </w:r>
      <w:proofErr w:type="spellStart"/>
      <w:r>
        <w:rPr>
          <w:szCs w:val="28"/>
        </w:rPr>
        <w:t>BioSense</w:t>
      </w:r>
      <w:proofErr w:type="spellEnd"/>
      <w:r>
        <w:rPr>
          <w:szCs w:val="28"/>
        </w:rPr>
        <w:t xml:space="preserve"> 1.0, data from Veterans Administration (VA), Department of Defense (</w:t>
      </w:r>
      <w:proofErr w:type="spellStart"/>
      <w:proofErr w:type="gramStart"/>
      <w:r>
        <w:rPr>
          <w:szCs w:val="28"/>
        </w:rPr>
        <w:t>DoD</w:t>
      </w:r>
      <w:proofErr w:type="spellEnd"/>
      <w:proofErr w:type="gramEnd"/>
      <w:r>
        <w:rPr>
          <w:szCs w:val="28"/>
        </w:rPr>
        <w:t>)</w:t>
      </w:r>
      <w:r w:rsidRPr="00BE59B3">
        <w:rPr>
          <w:szCs w:val="28"/>
        </w:rPr>
        <w:t xml:space="preserve">, </w:t>
      </w:r>
      <w:r>
        <w:rPr>
          <w:szCs w:val="28"/>
        </w:rPr>
        <w:t xml:space="preserve">a </w:t>
      </w:r>
      <w:r w:rsidRPr="00C17075">
        <w:rPr>
          <w:szCs w:val="28"/>
        </w:rPr>
        <w:t>healt</w:t>
      </w:r>
      <w:r>
        <w:rPr>
          <w:szCs w:val="28"/>
        </w:rPr>
        <w:t>h information exchange company</w:t>
      </w:r>
      <w:r w:rsidRPr="00BE59B3">
        <w:rPr>
          <w:szCs w:val="28"/>
        </w:rPr>
        <w:t>, and national</w:t>
      </w:r>
      <w:r>
        <w:rPr>
          <w:szCs w:val="28"/>
        </w:rPr>
        <w:t xml:space="preserve"> clinical</w:t>
      </w:r>
      <w:r w:rsidRPr="00BE59B3">
        <w:rPr>
          <w:szCs w:val="28"/>
        </w:rPr>
        <w:t xml:space="preserve"> laboratories were received directly into the Mid-Tier servers. Data from participating non-federal hospitals were received in the following two ways: </w:t>
      </w:r>
      <w:r>
        <w:rPr>
          <w:szCs w:val="28"/>
        </w:rPr>
        <w:t xml:space="preserve"> </w:t>
      </w:r>
      <w:r w:rsidRPr="00BE59B3">
        <w:rPr>
          <w:szCs w:val="28"/>
        </w:rPr>
        <w:t xml:space="preserve">1) state, </w:t>
      </w:r>
      <w:proofErr w:type="gramStart"/>
      <w:r w:rsidRPr="00BE59B3">
        <w:rPr>
          <w:szCs w:val="28"/>
        </w:rPr>
        <w:t>local,</w:t>
      </w:r>
      <w:proofErr w:type="gramEnd"/>
      <w:r w:rsidRPr="00BE59B3">
        <w:rPr>
          <w:szCs w:val="28"/>
        </w:rPr>
        <w:t xml:space="preserve"> and territorial health departments submitted to the Mid-Tier servers the data that they had received from participating non-federal hospitals and 2) non-federal hospitals submitted data directly to the Mid-Tier servers. </w:t>
      </w:r>
    </w:p>
    <w:p w14:paraId="4EA10DEC" w14:textId="77777777" w:rsidR="008D75A7" w:rsidRDefault="008D75A7" w:rsidP="008D75A7">
      <w:pPr>
        <w:rPr>
          <w:szCs w:val="28"/>
        </w:rPr>
      </w:pPr>
      <w:r>
        <w:rPr>
          <w:szCs w:val="28"/>
        </w:rPr>
        <w:t xml:space="preserve">Under </w:t>
      </w:r>
      <w:proofErr w:type="spellStart"/>
      <w:r>
        <w:rPr>
          <w:szCs w:val="28"/>
        </w:rPr>
        <w:t>BioSense</w:t>
      </w:r>
      <w:proofErr w:type="spellEnd"/>
      <w:r>
        <w:rPr>
          <w:szCs w:val="28"/>
        </w:rPr>
        <w:t xml:space="preserve"> 2.0, the difference lies primarily in where the data will be stored and how it will be shared. A</w:t>
      </w:r>
      <w:r w:rsidRPr="00AA0762">
        <w:rPr>
          <w:szCs w:val="28"/>
        </w:rPr>
        <w:t>ll data submitted by its users will reside not at CDC but in a cloud-enabled, web-based platform that</w:t>
      </w:r>
      <w:r w:rsidRPr="007C2062">
        <w:rPr>
          <w:rFonts w:ascii="Calibri" w:hAnsi="Calibri" w:cs="Calibri"/>
          <w:color w:val="1F497D"/>
        </w:rPr>
        <w:t xml:space="preserve"> </w:t>
      </w:r>
      <w:r w:rsidRPr="007C2062">
        <w:rPr>
          <w:szCs w:val="28"/>
        </w:rPr>
        <w:t xml:space="preserve">has </w:t>
      </w:r>
      <w:r>
        <w:rPr>
          <w:szCs w:val="28"/>
        </w:rPr>
        <w:t>A</w:t>
      </w:r>
      <w:r w:rsidRPr="007C2062">
        <w:rPr>
          <w:szCs w:val="28"/>
        </w:rPr>
        <w:t>uthorization to Operate from CDC</w:t>
      </w:r>
      <w:r>
        <w:rPr>
          <w:szCs w:val="28"/>
        </w:rPr>
        <w:t>, because it has</w:t>
      </w:r>
      <w:r w:rsidRPr="007C2062">
        <w:rPr>
          <w:szCs w:val="28"/>
        </w:rPr>
        <w:t xml:space="preserve"> been through the CDC’s Certification &amp; Accredi</w:t>
      </w:r>
      <w:r>
        <w:rPr>
          <w:szCs w:val="28"/>
        </w:rPr>
        <w:t>tation process, which</w:t>
      </w:r>
      <w:r w:rsidRPr="007C2062">
        <w:rPr>
          <w:szCs w:val="28"/>
        </w:rPr>
        <w:t xml:space="preserve"> meets Federal Information Security Manage</w:t>
      </w:r>
      <w:r>
        <w:rPr>
          <w:szCs w:val="28"/>
        </w:rPr>
        <w:t xml:space="preserve">ment Act (FISMA) requirements and </w:t>
      </w:r>
      <w:r w:rsidRPr="007C2062">
        <w:rPr>
          <w:szCs w:val="28"/>
        </w:rPr>
        <w:t>incorporates the use of NIST Special Publications (computer security guidance</w:t>
      </w:r>
      <w:r>
        <w:rPr>
          <w:szCs w:val="28"/>
        </w:rPr>
        <w:t xml:space="preserve"> at </w:t>
      </w:r>
      <w:hyperlink r:id="rId14" w:history="1">
        <w:r w:rsidRPr="007C2062">
          <w:rPr>
            <w:rStyle w:val="Hyperlink"/>
            <w:szCs w:val="28"/>
          </w:rPr>
          <w:t>http://csrc.nist.gov/publications/PubsSPs.html</w:t>
        </w:r>
      </w:hyperlink>
      <w:r w:rsidRPr="007C2062">
        <w:rPr>
          <w:szCs w:val="28"/>
        </w:rPr>
        <w:t>)</w:t>
      </w:r>
      <w:r>
        <w:rPr>
          <w:szCs w:val="28"/>
        </w:rPr>
        <w:t xml:space="preserve"> (</w:t>
      </w:r>
      <w:r w:rsidRPr="004B3311">
        <w:rPr>
          <w:b/>
          <w:szCs w:val="28"/>
        </w:rPr>
        <w:t>Attachment 4</w:t>
      </w:r>
      <w:r>
        <w:rPr>
          <w:szCs w:val="28"/>
        </w:rPr>
        <w:t xml:space="preserve">). The </w:t>
      </w:r>
      <w:proofErr w:type="spellStart"/>
      <w:r w:rsidRPr="002865A4">
        <w:rPr>
          <w:szCs w:val="28"/>
        </w:rPr>
        <w:t>BioSense</w:t>
      </w:r>
      <w:proofErr w:type="spellEnd"/>
      <w:r w:rsidRPr="002865A4">
        <w:rPr>
          <w:szCs w:val="28"/>
        </w:rPr>
        <w:t xml:space="preserve"> 2.0</w:t>
      </w:r>
      <w:r>
        <w:rPr>
          <w:szCs w:val="28"/>
        </w:rPr>
        <w:t xml:space="preserve"> application</w:t>
      </w:r>
      <w:r w:rsidRPr="002865A4">
        <w:rPr>
          <w:szCs w:val="28"/>
        </w:rPr>
        <w:t xml:space="preserve"> sits in the secure, private Government Cloud</w:t>
      </w:r>
      <w:r>
        <w:rPr>
          <w:szCs w:val="28"/>
        </w:rPr>
        <w:t xml:space="preserve"> (</w:t>
      </w:r>
      <w:hyperlink r:id="rId15" w:history="1">
        <w:r>
          <w:rPr>
            <w:rStyle w:val="Hyperlink"/>
          </w:rPr>
          <w:t>http://www.howto.gov/tech-solutions/cloud-computing</w:t>
        </w:r>
      </w:hyperlink>
      <w:r>
        <w:t>)</w:t>
      </w:r>
      <w:r w:rsidRPr="002865A4">
        <w:rPr>
          <w:szCs w:val="28"/>
        </w:rPr>
        <w:t xml:space="preserve">.  </w:t>
      </w:r>
      <w:r>
        <w:rPr>
          <w:szCs w:val="28"/>
        </w:rPr>
        <w:t>This</w:t>
      </w:r>
      <w:r w:rsidRPr="002865A4">
        <w:rPr>
          <w:szCs w:val="28"/>
        </w:rPr>
        <w:t xml:space="preserve"> cloud is simply used as a different storage and proce</w:t>
      </w:r>
      <w:r>
        <w:rPr>
          <w:szCs w:val="28"/>
        </w:rPr>
        <w:t>ssing mechanism, as opposed</w:t>
      </w:r>
      <w:r w:rsidRPr="002865A4">
        <w:rPr>
          <w:szCs w:val="28"/>
        </w:rPr>
        <w:t xml:space="preserve"> to the on-site servers traditionally used by the </w:t>
      </w:r>
      <w:proofErr w:type="spellStart"/>
      <w:r w:rsidRPr="002865A4">
        <w:rPr>
          <w:szCs w:val="28"/>
        </w:rPr>
        <w:t>BioSense</w:t>
      </w:r>
      <w:proofErr w:type="spellEnd"/>
      <w:r w:rsidRPr="002865A4">
        <w:rPr>
          <w:szCs w:val="28"/>
        </w:rPr>
        <w:t xml:space="preserve"> Program.  This means that the data</w:t>
      </w:r>
      <w:r>
        <w:rPr>
          <w:szCs w:val="28"/>
        </w:rPr>
        <w:t xml:space="preserve"> will reside</w:t>
      </w:r>
      <w:r w:rsidRPr="002865A4">
        <w:rPr>
          <w:szCs w:val="28"/>
        </w:rPr>
        <w:t xml:space="preserve"> in 7 different cloud servers, and has a 99.</w:t>
      </w:r>
      <w:r>
        <w:rPr>
          <w:szCs w:val="28"/>
        </w:rPr>
        <w:t xml:space="preserve">99% success rate (i.e., </w:t>
      </w:r>
      <w:r w:rsidRPr="002865A4">
        <w:rPr>
          <w:szCs w:val="28"/>
        </w:rPr>
        <w:t>there is almost no chance of a data drop, because if one server has a problem, the other replicates and supports within 15 seconds</w:t>
      </w:r>
      <w:r>
        <w:rPr>
          <w:szCs w:val="28"/>
        </w:rPr>
        <w:t>)</w:t>
      </w:r>
      <w:r w:rsidRPr="002865A4">
        <w:rPr>
          <w:szCs w:val="28"/>
        </w:rPr>
        <w:t xml:space="preserve">.  </w:t>
      </w:r>
    </w:p>
    <w:p w14:paraId="13A00568" w14:textId="77777777" w:rsidR="008D75A7" w:rsidRDefault="008D75A7" w:rsidP="008D75A7">
      <w:pPr>
        <w:rPr>
          <w:szCs w:val="28"/>
        </w:rPr>
      </w:pPr>
      <w:r>
        <w:rPr>
          <w:szCs w:val="28"/>
        </w:rPr>
        <w:t xml:space="preserve">The </w:t>
      </w:r>
      <w:r w:rsidRPr="00AA0762">
        <w:rPr>
          <w:szCs w:val="28"/>
        </w:rPr>
        <w:t>Association of State and Territorial He</w:t>
      </w:r>
      <w:r>
        <w:rPr>
          <w:szCs w:val="28"/>
        </w:rPr>
        <w:t xml:space="preserve">alth Officials (ASTHO) </w:t>
      </w:r>
      <w:r w:rsidRPr="00AA0762">
        <w:rPr>
          <w:szCs w:val="28"/>
        </w:rPr>
        <w:t xml:space="preserve">funded through a cooperative agreement with CDC </w:t>
      </w:r>
      <w:r>
        <w:rPr>
          <w:szCs w:val="28"/>
        </w:rPr>
        <w:t xml:space="preserve">will contract with a vendor to </w:t>
      </w:r>
      <w:r w:rsidRPr="00AA0762">
        <w:rPr>
          <w:szCs w:val="28"/>
        </w:rPr>
        <w:t xml:space="preserve">offer </w:t>
      </w:r>
      <w:proofErr w:type="spellStart"/>
      <w:r w:rsidRPr="00AA0762">
        <w:rPr>
          <w:szCs w:val="28"/>
        </w:rPr>
        <w:t>BioSense</w:t>
      </w:r>
      <w:proofErr w:type="spellEnd"/>
      <w:r w:rsidRPr="00AA0762">
        <w:rPr>
          <w:szCs w:val="28"/>
        </w:rPr>
        <w:t xml:space="preserve"> 2.0 on a vol</w:t>
      </w:r>
      <w:r>
        <w:rPr>
          <w:szCs w:val="28"/>
        </w:rPr>
        <w:t>untary basis to public health jurisdictions</w:t>
      </w:r>
      <w:r w:rsidRPr="00AA0762">
        <w:rPr>
          <w:szCs w:val="28"/>
        </w:rPr>
        <w:t xml:space="preserve"> for their use. The platform will provide users with an exclusive secure space and tools for posting, receiving, controlling, </w:t>
      </w:r>
      <w:r>
        <w:rPr>
          <w:szCs w:val="28"/>
        </w:rPr>
        <w:t xml:space="preserve">and analyzing </w:t>
      </w:r>
      <w:r w:rsidRPr="00AA0762">
        <w:rPr>
          <w:szCs w:val="28"/>
        </w:rPr>
        <w:t>their public hea</w:t>
      </w:r>
      <w:r>
        <w:rPr>
          <w:szCs w:val="28"/>
        </w:rPr>
        <w:t>lth surveillance information</w:t>
      </w:r>
      <w:r w:rsidRPr="00AA0762">
        <w:rPr>
          <w:szCs w:val="28"/>
        </w:rPr>
        <w:t xml:space="preserve">. </w:t>
      </w:r>
      <w:r>
        <w:rPr>
          <w:szCs w:val="28"/>
        </w:rPr>
        <w:t>A</w:t>
      </w:r>
      <w:r w:rsidRPr="004638CB">
        <w:rPr>
          <w:szCs w:val="28"/>
        </w:rPr>
        <w:t xml:space="preserve"> </w:t>
      </w:r>
      <w:r>
        <w:rPr>
          <w:szCs w:val="28"/>
        </w:rPr>
        <w:t>public health jurisdiction</w:t>
      </w:r>
      <w:r w:rsidRPr="004638CB">
        <w:rPr>
          <w:szCs w:val="28"/>
        </w:rPr>
        <w:t xml:space="preserve"> may submit to its exclusive</w:t>
      </w:r>
      <w:r>
        <w:rPr>
          <w:szCs w:val="28"/>
        </w:rPr>
        <w:t>,</w:t>
      </w:r>
      <w:r w:rsidRPr="004638CB">
        <w:rPr>
          <w:szCs w:val="28"/>
        </w:rPr>
        <w:t xml:space="preserve"> secure space in the cloud data it receives from reporting non-federal hospitals (emergency departments, outpatient clinics, and inpatient facilities) within its jurisdiction. Or, it may have the non-federal hospitals in its jurisdiction submit data directly to its secure </w:t>
      </w:r>
      <w:r>
        <w:rPr>
          <w:szCs w:val="28"/>
        </w:rPr>
        <w:t>space. However, whether a state, local, or territorial</w:t>
      </w:r>
      <w:r w:rsidRPr="004638CB">
        <w:rPr>
          <w:szCs w:val="28"/>
        </w:rPr>
        <w:t xml:space="preserve"> </w:t>
      </w:r>
      <w:r>
        <w:rPr>
          <w:szCs w:val="28"/>
        </w:rPr>
        <w:t xml:space="preserve">public </w:t>
      </w:r>
      <w:r w:rsidRPr="004638CB">
        <w:rPr>
          <w:szCs w:val="28"/>
        </w:rPr>
        <w:t>health</w:t>
      </w:r>
      <w:r>
        <w:rPr>
          <w:szCs w:val="28"/>
        </w:rPr>
        <w:t xml:space="preserve"> department</w:t>
      </w:r>
      <w:r w:rsidRPr="004638CB">
        <w:rPr>
          <w:szCs w:val="28"/>
        </w:rPr>
        <w:t xml:space="preserve"> arranges to receive data from non-federal hospitals</w:t>
      </w:r>
      <w:r>
        <w:rPr>
          <w:szCs w:val="28"/>
        </w:rPr>
        <w:t xml:space="preserve"> within its jurisdiction or has</w:t>
      </w:r>
      <w:r w:rsidRPr="004638CB">
        <w:rPr>
          <w:szCs w:val="28"/>
        </w:rPr>
        <w:t xml:space="preserve"> those </w:t>
      </w:r>
      <w:r w:rsidRPr="004638CB">
        <w:rPr>
          <w:szCs w:val="28"/>
        </w:rPr>
        <w:lastRenderedPageBreak/>
        <w:t xml:space="preserve">hospitals submit data directly to the health department’s space in the </w:t>
      </w:r>
      <w:proofErr w:type="spellStart"/>
      <w:r w:rsidRPr="004638CB">
        <w:rPr>
          <w:szCs w:val="28"/>
        </w:rPr>
        <w:t>BioSense</w:t>
      </w:r>
      <w:proofErr w:type="spellEnd"/>
      <w:r w:rsidRPr="004638CB">
        <w:rPr>
          <w:szCs w:val="28"/>
        </w:rPr>
        <w:t xml:space="preserve"> 2.0 cloud, the health department is responsible for creating its own data use agreements with the hospitals that are sending the data.</w:t>
      </w:r>
      <w:r>
        <w:rPr>
          <w:szCs w:val="28"/>
        </w:rPr>
        <w:t xml:space="preserve"> </w:t>
      </w:r>
      <w:r w:rsidRPr="00AA0762">
        <w:rPr>
          <w:szCs w:val="28"/>
        </w:rPr>
        <w:t>The public health department will</w:t>
      </w:r>
      <w:r>
        <w:rPr>
          <w:szCs w:val="28"/>
        </w:rPr>
        <w:t xml:space="preserve"> retain ownership of any data it contributes to its</w:t>
      </w:r>
      <w:r w:rsidRPr="00AA0762">
        <w:rPr>
          <w:szCs w:val="28"/>
        </w:rPr>
        <w:t xml:space="preserve"> exclusive</w:t>
      </w:r>
      <w:r>
        <w:rPr>
          <w:szCs w:val="28"/>
        </w:rPr>
        <w:t xml:space="preserve"> secure space, and is not required to share its</w:t>
      </w:r>
      <w:r w:rsidRPr="00701A62">
        <w:rPr>
          <w:szCs w:val="28"/>
        </w:rPr>
        <w:t xml:space="preserve"> data with any other </w:t>
      </w:r>
      <w:proofErr w:type="spellStart"/>
      <w:r w:rsidRPr="00701A62">
        <w:rPr>
          <w:szCs w:val="28"/>
        </w:rPr>
        <w:t>BioSense</w:t>
      </w:r>
      <w:proofErr w:type="spellEnd"/>
      <w:r w:rsidRPr="00701A62">
        <w:rPr>
          <w:szCs w:val="28"/>
        </w:rPr>
        <w:t xml:space="preserve"> 2.0 users.</w:t>
      </w:r>
    </w:p>
    <w:p w14:paraId="7CFC251E" w14:textId="77777777" w:rsidR="008D75A7" w:rsidRDefault="008D75A7" w:rsidP="008D75A7">
      <w:pPr>
        <w:rPr>
          <w:szCs w:val="28"/>
        </w:rPr>
      </w:pPr>
      <w:r w:rsidRPr="00F71A76">
        <w:rPr>
          <w:szCs w:val="28"/>
        </w:rPr>
        <w:t xml:space="preserve">The </w:t>
      </w:r>
      <w:proofErr w:type="spellStart"/>
      <w:r w:rsidRPr="00F71A76">
        <w:rPr>
          <w:szCs w:val="28"/>
        </w:rPr>
        <w:t>BioSense</w:t>
      </w:r>
      <w:proofErr w:type="spellEnd"/>
      <w:r w:rsidRPr="00F71A76">
        <w:rPr>
          <w:szCs w:val="28"/>
        </w:rPr>
        <w:t xml:space="preserve"> 2.0 cloud will also provide the CDC’s </w:t>
      </w:r>
      <w:proofErr w:type="spellStart"/>
      <w:r w:rsidRPr="00F71A76">
        <w:rPr>
          <w:szCs w:val="28"/>
        </w:rPr>
        <w:t>BioSense</w:t>
      </w:r>
      <w:proofErr w:type="spellEnd"/>
      <w:r w:rsidRPr="00F71A76">
        <w:rPr>
          <w:szCs w:val="28"/>
        </w:rPr>
        <w:t xml:space="preserve"> Program its own exclusive</w:t>
      </w:r>
      <w:r>
        <w:rPr>
          <w:szCs w:val="28"/>
        </w:rPr>
        <w:t>,</w:t>
      </w:r>
      <w:r w:rsidRPr="00F71A76">
        <w:rPr>
          <w:szCs w:val="28"/>
        </w:rPr>
        <w:t xml:space="preserve"> secure space to receive, store, and analyze data. CDC has data use agreements with </w:t>
      </w:r>
      <w:proofErr w:type="spellStart"/>
      <w:proofErr w:type="gramStart"/>
      <w:r w:rsidRPr="00F71A76">
        <w:rPr>
          <w:szCs w:val="28"/>
        </w:rPr>
        <w:t>DoD</w:t>
      </w:r>
      <w:proofErr w:type="spellEnd"/>
      <w:proofErr w:type="gramEnd"/>
      <w:r w:rsidRPr="00F71A76">
        <w:rPr>
          <w:szCs w:val="28"/>
        </w:rPr>
        <w:t xml:space="preserve"> and the VA to use the clinical encounter data from </w:t>
      </w:r>
      <w:proofErr w:type="spellStart"/>
      <w:r w:rsidRPr="00F71A76">
        <w:rPr>
          <w:szCs w:val="28"/>
        </w:rPr>
        <w:t>DoD</w:t>
      </w:r>
      <w:proofErr w:type="spellEnd"/>
      <w:r w:rsidRPr="00F71A76">
        <w:rPr>
          <w:szCs w:val="28"/>
        </w:rPr>
        <w:t xml:space="preserve"> and VA outpatient hospitals and clinics for anomaly analysis to provide na</w:t>
      </w:r>
      <w:r>
        <w:rPr>
          <w:szCs w:val="28"/>
        </w:rPr>
        <w:t>tional public health situation</w:t>
      </w:r>
      <w:r w:rsidRPr="00F71A76">
        <w:rPr>
          <w:szCs w:val="28"/>
        </w:rPr>
        <w:t xml:space="preserve"> awareness. CDC also has data use agreements with two national-level private sector </w:t>
      </w:r>
      <w:r>
        <w:rPr>
          <w:szCs w:val="28"/>
        </w:rPr>
        <w:t>clinical laboratories that</w:t>
      </w:r>
      <w:r w:rsidRPr="00F71A76">
        <w:rPr>
          <w:szCs w:val="28"/>
        </w:rPr>
        <w:t xml:space="preserve"> voluntarily provide laboratory data from their existing data bases for the pur</w:t>
      </w:r>
      <w:r>
        <w:rPr>
          <w:szCs w:val="28"/>
        </w:rPr>
        <w:t xml:space="preserve">pose of </w:t>
      </w:r>
      <w:r w:rsidRPr="00F71A76">
        <w:rPr>
          <w:szCs w:val="28"/>
        </w:rPr>
        <w:t>surveillance. Finally, CDC currently has a contract with a private sector health information exchange company for data services to extract and process data from their existing pharmacy</w:t>
      </w:r>
      <w:r>
        <w:rPr>
          <w:szCs w:val="28"/>
        </w:rPr>
        <w:t xml:space="preserve"> claims</w:t>
      </w:r>
      <w:r w:rsidRPr="00F71A76">
        <w:rPr>
          <w:szCs w:val="28"/>
        </w:rPr>
        <w:t xml:space="preserve"> data base for the purp</w:t>
      </w:r>
      <w:r>
        <w:rPr>
          <w:szCs w:val="28"/>
        </w:rPr>
        <w:t xml:space="preserve">ose of surveillance. The data being received is the same as that received under </w:t>
      </w:r>
      <w:proofErr w:type="spellStart"/>
      <w:r>
        <w:rPr>
          <w:szCs w:val="28"/>
        </w:rPr>
        <w:t>BioSense</w:t>
      </w:r>
      <w:proofErr w:type="spellEnd"/>
      <w:r>
        <w:rPr>
          <w:szCs w:val="28"/>
        </w:rPr>
        <w:t xml:space="preserve"> 1.0; the only difference is the location where the data is stored. </w:t>
      </w:r>
    </w:p>
    <w:p w14:paraId="7028F4E5" w14:textId="77777777" w:rsidR="008D75A7" w:rsidRDefault="008D75A7" w:rsidP="008D75A7">
      <w:pPr>
        <w:rPr>
          <w:szCs w:val="28"/>
        </w:rPr>
      </w:pPr>
      <w:r w:rsidRPr="00701A62">
        <w:rPr>
          <w:szCs w:val="28"/>
        </w:rPr>
        <w:t xml:space="preserve">In addition to providing a secure, exclusive space for use by CDC and secure, exclusive spaces for use by each participating state, local, and territorial </w:t>
      </w:r>
      <w:r>
        <w:rPr>
          <w:szCs w:val="28"/>
        </w:rPr>
        <w:t>public health jurisdiction</w:t>
      </w:r>
      <w:r w:rsidRPr="00701A62">
        <w:rPr>
          <w:szCs w:val="28"/>
        </w:rPr>
        <w:t xml:space="preserve">, </w:t>
      </w:r>
      <w:proofErr w:type="spellStart"/>
      <w:r w:rsidRPr="00701A62">
        <w:rPr>
          <w:szCs w:val="28"/>
        </w:rPr>
        <w:t>BioSense</w:t>
      </w:r>
      <w:proofErr w:type="spellEnd"/>
      <w:r w:rsidRPr="00701A62">
        <w:rPr>
          <w:szCs w:val="28"/>
        </w:rPr>
        <w:t xml:space="preserve"> 2.0 provides a second se</w:t>
      </w:r>
      <w:r>
        <w:rPr>
          <w:szCs w:val="28"/>
        </w:rPr>
        <w:t>cure space in the cloud for</w:t>
      </w:r>
      <w:r w:rsidRPr="00701A62">
        <w:rPr>
          <w:szCs w:val="28"/>
        </w:rPr>
        <w:t xml:space="preserve"> </w:t>
      </w:r>
      <w:r>
        <w:rPr>
          <w:szCs w:val="28"/>
        </w:rPr>
        <w:t>public health jurisdictions</w:t>
      </w:r>
      <w:r w:rsidRPr="00701A62">
        <w:rPr>
          <w:szCs w:val="28"/>
        </w:rPr>
        <w:t xml:space="preserve"> to share whatever aggrega</w:t>
      </w:r>
      <w:r>
        <w:rPr>
          <w:szCs w:val="28"/>
        </w:rPr>
        <w:t>ted data they</w:t>
      </w:r>
      <w:r w:rsidRPr="00701A62">
        <w:rPr>
          <w:szCs w:val="28"/>
        </w:rPr>
        <w:t xml:space="preserve"> chooses with other participating </w:t>
      </w:r>
      <w:r>
        <w:rPr>
          <w:szCs w:val="28"/>
        </w:rPr>
        <w:t>public health jurisdictions</w:t>
      </w:r>
      <w:r w:rsidRPr="00701A62">
        <w:rPr>
          <w:szCs w:val="28"/>
        </w:rPr>
        <w:t xml:space="preserve"> and CDC.  Whenever possible, the </w:t>
      </w:r>
      <w:proofErr w:type="spellStart"/>
      <w:r w:rsidRPr="00701A62">
        <w:rPr>
          <w:szCs w:val="28"/>
        </w:rPr>
        <w:t>BioSense</w:t>
      </w:r>
      <w:proofErr w:type="spellEnd"/>
      <w:r w:rsidRPr="00701A62">
        <w:rPr>
          <w:szCs w:val="28"/>
        </w:rPr>
        <w:t xml:space="preserve"> Program plans to share aggregate level pharmacy and laboratory data with public health departments. </w:t>
      </w:r>
      <w:proofErr w:type="spellStart"/>
      <w:r w:rsidRPr="00701A62">
        <w:rPr>
          <w:szCs w:val="28"/>
        </w:rPr>
        <w:t>BioSense</w:t>
      </w:r>
      <w:proofErr w:type="spellEnd"/>
      <w:r w:rsidRPr="00701A62">
        <w:rPr>
          <w:szCs w:val="28"/>
        </w:rPr>
        <w:t xml:space="preserve"> 2.0 is designed to promote the contribution of public health data by all users and the appropriate sharing of aggregated data in the shared space</w:t>
      </w:r>
      <w:r>
        <w:rPr>
          <w:szCs w:val="28"/>
        </w:rPr>
        <w:t>, because a greater number of</w:t>
      </w:r>
      <w:r w:rsidRPr="00C21BCA">
        <w:rPr>
          <w:szCs w:val="28"/>
        </w:rPr>
        <w:t xml:space="preserve"> data sources increases </w:t>
      </w:r>
      <w:r>
        <w:rPr>
          <w:szCs w:val="28"/>
        </w:rPr>
        <w:t xml:space="preserve">situational awareness </w:t>
      </w:r>
      <w:r w:rsidRPr="00C21BCA">
        <w:rPr>
          <w:szCs w:val="28"/>
        </w:rPr>
        <w:t>and coverage of ge</w:t>
      </w:r>
      <w:r>
        <w:rPr>
          <w:szCs w:val="28"/>
        </w:rPr>
        <w:t>ographic areas.  Public health jurisdiction</w:t>
      </w:r>
      <w:r w:rsidRPr="00701A62">
        <w:rPr>
          <w:szCs w:val="28"/>
        </w:rPr>
        <w:t>s will be responsible for de-identifying and/or encrypting all protected health information and identifiable health information prior to releasing thes</w:t>
      </w:r>
      <w:r>
        <w:rPr>
          <w:szCs w:val="28"/>
        </w:rPr>
        <w:t xml:space="preserve">e data into this shared space. </w:t>
      </w:r>
      <w:r w:rsidRPr="00701A62">
        <w:rPr>
          <w:szCs w:val="28"/>
        </w:rPr>
        <w:t>As part of access to the shared space,</w:t>
      </w:r>
      <w:r>
        <w:rPr>
          <w:szCs w:val="28"/>
        </w:rPr>
        <w:t xml:space="preserve"> public health jurisdictions</w:t>
      </w:r>
      <w:r w:rsidRPr="00701A62">
        <w:rPr>
          <w:szCs w:val="28"/>
        </w:rPr>
        <w:t xml:space="preserve"> will be required in their Information Sharing and Data Use Agreements with ASTHO to grant CDC access to, at minimum, aggregate level data (city or county or state)</w:t>
      </w:r>
      <w:r>
        <w:rPr>
          <w:szCs w:val="28"/>
        </w:rPr>
        <w:t xml:space="preserve"> that contain the </w:t>
      </w:r>
      <w:r w:rsidRPr="000F3565">
        <w:rPr>
          <w:szCs w:val="28"/>
        </w:rPr>
        <w:t>ISDS recommended minimum dataset variables</w:t>
      </w:r>
      <w:r>
        <w:rPr>
          <w:szCs w:val="28"/>
        </w:rPr>
        <w:t xml:space="preserve"> from their jurisdiction that have</w:t>
      </w:r>
      <w:r w:rsidRPr="00701A62">
        <w:rPr>
          <w:szCs w:val="28"/>
        </w:rPr>
        <w:t xml:space="preserve"> been placed in the shared space, and they agree that CDC may review data contributed to the shared space for public health practice and surveillance purposes. To participate in the shar</w:t>
      </w:r>
      <w:r>
        <w:rPr>
          <w:szCs w:val="28"/>
        </w:rPr>
        <w:t>ed space, public health jurisdictions</w:t>
      </w:r>
      <w:r w:rsidRPr="00701A62">
        <w:rPr>
          <w:szCs w:val="28"/>
        </w:rPr>
        <w:t xml:space="preserve"> must </w:t>
      </w:r>
      <w:r>
        <w:rPr>
          <w:szCs w:val="28"/>
        </w:rPr>
        <w:t>simply select from drop-down lists</w:t>
      </w:r>
      <w:r w:rsidRPr="00701A62">
        <w:rPr>
          <w:szCs w:val="28"/>
        </w:rPr>
        <w:t xml:space="preserve"> to choose their sharing permissions on the </w:t>
      </w:r>
      <w:proofErr w:type="spellStart"/>
      <w:r w:rsidRPr="00701A62">
        <w:rPr>
          <w:szCs w:val="28"/>
        </w:rPr>
        <w:t>Bi</w:t>
      </w:r>
      <w:r>
        <w:rPr>
          <w:szCs w:val="28"/>
        </w:rPr>
        <w:t>oSense</w:t>
      </w:r>
      <w:proofErr w:type="spellEnd"/>
      <w:r>
        <w:rPr>
          <w:szCs w:val="28"/>
        </w:rPr>
        <w:t xml:space="preserve"> 2.0 application (</w:t>
      </w:r>
      <w:r w:rsidRPr="00486A60">
        <w:rPr>
          <w:b/>
          <w:szCs w:val="28"/>
        </w:rPr>
        <w:t>Attachment 5</w:t>
      </w:r>
      <w:r>
        <w:rPr>
          <w:szCs w:val="28"/>
        </w:rPr>
        <w:t xml:space="preserve">), and they </w:t>
      </w:r>
      <w:r w:rsidRPr="00F03B02">
        <w:rPr>
          <w:szCs w:val="28"/>
        </w:rPr>
        <w:t>will have the right at any time to revise the level of sharing permissions regarding the data in their secure space.</w:t>
      </w:r>
    </w:p>
    <w:p w14:paraId="6E47DEEA" w14:textId="77777777" w:rsidR="008D75A7" w:rsidRDefault="008D75A7" w:rsidP="008D75A7">
      <w:pPr>
        <w:tabs>
          <w:tab w:val="left" w:pos="0"/>
          <w:tab w:val="left" w:pos="2430"/>
          <w:tab w:val="left" w:pos="3240"/>
        </w:tabs>
        <w:spacing w:after="0"/>
        <w:rPr>
          <w:b/>
          <w:szCs w:val="28"/>
        </w:rPr>
      </w:pPr>
      <w:proofErr w:type="gramStart"/>
      <w:r>
        <w:rPr>
          <w:b/>
          <w:szCs w:val="28"/>
        </w:rPr>
        <w:t xml:space="preserve">1.1  </w:t>
      </w:r>
      <w:r w:rsidRPr="00537431">
        <w:rPr>
          <w:b/>
          <w:szCs w:val="28"/>
        </w:rPr>
        <w:t>Privacy</w:t>
      </w:r>
      <w:proofErr w:type="gramEnd"/>
      <w:r w:rsidRPr="00537431">
        <w:rPr>
          <w:b/>
          <w:szCs w:val="28"/>
        </w:rPr>
        <w:t xml:space="preserve"> Impact Assessment</w:t>
      </w:r>
    </w:p>
    <w:p w14:paraId="563F9C3C" w14:textId="77777777" w:rsidR="008D75A7" w:rsidRDefault="008D75A7" w:rsidP="008D75A7">
      <w:pPr>
        <w:tabs>
          <w:tab w:val="left" w:pos="0"/>
          <w:tab w:val="left" w:pos="2430"/>
          <w:tab w:val="left" w:pos="3240"/>
        </w:tabs>
        <w:spacing w:after="0"/>
        <w:rPr>
          <w:b/>
          <w:szCs w:val="28"/>
        </w:rPr>
      </w:pPr>
    </w:p>
    <w:p w14:paraId="615992EB" w14:textId="77777777" w:rsidR="008D75A7" w:rsidRPr="00757FDF" w:rsidRDefault="008D75A7" w:rsidP="008D75A7">
      <w:pPr>
        <w:tabs>
          <w:tab w:val="left" w:pos="3240"/>
        </w:tabs>
        <w:spacing w:after="0" w:line="240" w:lineRule="auto"/>
        <w:rPr>
          <w:szCs w:val="28"/>
        </w:rPr>
      </w:pPr>
      <w:proofErr w:type="spellStart"/>
      <w:r>
        <w:rPr>
          <w:szCs w:val="28"/>
        </w:rPr>
        <w:t>BioSense</w:t>
      </w:r>
      <w:proofErr w:type="spellEnd"/>
      <w:r>
        <w:rPr>
          <w:szCs w:val="28"/>
        </w:rPr>
        <w:t xml:space="preserve"> has three types of information collection systems for the 3 different types of data described above:  recruitment, web access, and data collection.</w:t>
      </w:r>
    </w:p>
    <w:p w14:paraId="44663B81" w14:textId="77777777" w:rsidR="008D75A7" w:rsidRPr="00537431" w:rsidRDefault="008D75A7" w:rsidP="008D75A7">
      <w:pPr>
        <w:tabs>
          <w:tab w:val="left" w:pos="0"/>
          <w:tab w:val="left" w:pos="2430"/>
          <w:tab w:val="left" w:pos="3240"/>
        </w:tabs>
        <w:spacing w:after="0"/>
        <w:rPr>
          <w:b/>
          <w:szCs w:val="28"/>
        </w:rPr>
      </w:pPr>
    </w:p>
    <w:p w14:paraId="2105A08D" w14:textId="77777777" w:rsidR="008D75A7" w:rsidRPr="00BC705D" w:rsidRDefault="008D75A7" w:rsidP="008D75A7">
      <w:pPr>
        <w:tabs>
          <w:tab w:val="left" w:pos="3240"/>
        </w:tabs>
        <w:spacing w:after="0"/>
        <w:rPr>
          <w:szCs w:val="28"/>
          <w:u w:val="single"/>
        </w:rPr>
      </w:pPr>
      <w:r w:rsidRPr="00BC705D">
        <w:rPr>
          <w:szCs w:val="28"/>
          <w:u w:val="single"/>
        </w:rPr>
        <w:t>Recruitment</w:t>
      </w:r>
    </w:p>
    <w:p w14:paraId="6FED0F25" w14:textId="77777777" w:rsidR="008D75A7" w:rsidRDefault="008D75A7" w:rsidP="008D75A7">
      <w:pPr>
        <w:tabs>
          <w:tab w:val="left" w:pos="3240"/>
        </w:tabs>
        <w:rPr>
          <w:szCs w:val="28"/>
        </w:rPr>
      </w:pPr>
      <w:r w:rsidRPr="000A2E41">
        <w:rPr>
          <w:szCs w:val="28"/>
        </w:rPr>
        <w:t xml:space="preserve">In </w:t>
      </w:r>
      <w:proofErr w:type="spellStart"/>
      <w:r w:rsidRPr="000A2E41">
        <w:rPr>
          <w:szCs w:val="28"/>
        </w:rPr>
        <w:t>BioSense</w:t>
      </w:r>
      <w:proofErr w:type="spellEnd"/>
      <w:r w:rsidRPr="000A2E41">
        <w:rPr>
          <w:szCs w:val="28"/>
        </w:rPr>
        <w:t xml:space="preserve"> 2.0, CDC collaborates with the associations ASTHO, NACCHO, CSTE, and ISDS to reach out to the public health community.  The efforts focus on outreach and information, and no survey or questionnaire is performed.  State, local, and territorial public health jurisdictions approach the CDC via a general email account (</w:t>
      </w:r>
      <w:hyperlink r:id="rId16" w:history="1">
        <w:r w:rsidRPr="000A2E41">
          <w:rPr>
            <w:rStyle w:val="Hyperlink"/>
            <w:szCs w:val="28"/>
            <w:u w:val="none"/>
          </w:rPr>
          <w:t>info@biosen.se</w:t>
        </w:r>
      </w:hyperlink>
      <w:r w:rsidRPr="000A2E41">
        <w:rPr>
          <w:szCs w:val="28"/>
        </w:rPr>
        <w:t xml:space="preserve">) and request the Information Sharing and Data Use Agreement to join </w:t>
      </w:r>
      <w:proofErr w:type="spellStart"/>
      <w:r w:rsidRPr="000A2E41">
        <w:rPr>
          <w:szCs w:val="28"/>
        </w:rPr>
        <w:t>BioSense</w:t>
      </w:r>
      <w:proofErr w:type="spellEnd"/>
      <w:r w:rsidRPr="000A2E41">
        <w:rPr>
          <w:szCs w:val="28"/>
        </w:rPr>
        <w:t xml:space="preserve"> 2.0.  Once the agreement is signed, the </w:t>
      </w:r>
      <w:proofErr w:type="spellStart"/>
      <w:r w:rsidRPr="000A2E41">
        <w:rPr>
          <w:szCs w:val="28"/>
        </w:rPr>
        <w:t>BioSense</w:t>
      </w:r>
      <w:proofErr w:type="spellEnd"/>
      <w:r w:rsidRPr="000A2E41">
        <w:rPr>
          <w:szCs w:val="28"/>
        </w:rPr>
        <w:t xml:space="preserve"> technical team begins work to onboard their data sources to the system. Though during this process the first and last names, email addresses, organizational affiliations, and telephone </w:t>
      </w:r>
      <w:r w:rsidRPr="000A2E41">
        <w:rPr>
          <w:szCs w:val="28"/>
        </w:rPr>
        <w:lastRenderedPageBreak/>
        <w:t xml:space="preserve">numbers of individuals responding on behalf of the public health jurisdictions are collected, the information is for contact purposes only, i.e., to facilitate communication. The information is gathered through the CDC email account mentioned above, and further communication with them is conducted via email, phone, or in person meeting, in order to accommodate their needs to join </w:t>
      </w:r>
      <w:proofErr w:type="spellStart"/>
      <w:r w:rsidRPr="000A2E41">
        <w:rPr>
          <w:szCs w:val="28"/>
        </w:rPr>
        <w:t>BioSense</w:t>
      </w:r>
      <w:proofErr w:type="spellEnd"/>
      <w:r w:rsidRPr="000A2E41">
        <w:rPr>
          <w:szCs w:val="28"/>
        </w:rPr>
        <w:t xml:space="preserve"> 2.0. This information will be maintained for as long as the jurisdiction maintains an Information Sharing and Data Use Agreement with ASTHO. No other information in identifiable form is collected for this activity.</w:t>
      </w:r>
    </w:p>
    <w:p w14:paraId="746AFB0B" w14:textId="77777777" w:rsidR="008D75A7" w:rsidRDefault="008D75A7" w:rsidP="008D75A7">
      <w:pPr>
        <w:tabs>
          <w:tab w:val="left" w:pos="3240"/>
        </w:tabs>
        <w:rPr>
          <w:szCs w:val="28"/>
          <w:u w:val="single"/>
        </w:rPr>
      </w:pPr>
      <w:r w:rsidRPr="00BC705D">
        <w:rPr>
          <w:szCs w:val="28"/>
          <w:u w:val="single"/>
        </w:rPr>
        <w:t>Web Application Access</w:t>
      </w:r>
    </w:p>
    <w:p w14:paraId="472DD7E5" w14:textId="653E0D80" w:rsidR="008D75A7" w:rsidRPr="00486A60" w:rsidRDefault="008D75A7" w:rsidP="008D75A7">
      <w:pPr>
        <w:tabs>
          <w:tab w:val="left" w:pos="3240"/>
        </w:tabs>
        <w:rPr>
          <w:szCs w:val="28"/>
        </w:rPr>
      </w:pPr>
      <w:r w:rsidRPr="000A2E41">
        <w:rPr>
          <w:szCs w:val="28"/>
        </w:rPr>
        <w:t xml:space="preserve">Access to the </w:t>
      </w:r>
      <w:proofErr w:type="spellStart"/>
      <w:r w:rsidRPr="000A2E41">
        <w:rPr>
          <w:szCs w:val="28"/>
        </w:rPr>
        <w:t>BioSense</w:t>
      </w:r>
      <w:proofErr w:type="spellEnd"/>
      <w:r w:rsidRPr="000A2E41">
        <w:rPr>
          <w:szCs w:val="28"/>
        </w:rPr>
        <w:t xml:space="preserve"> 2.0 web environment is obtained through the one-time completion of a registration form on the site that is maintained by the vendor contracted by ASTHO (</w:t>
      </w:r>
      <w:hyperlink r:id="rId17" w:history="1">
        <w:r w:rsidRPr="000A2E41">
          <w:rPr>
            <w:rStyle w:val="Hyperlink"/>
            <w:szCs w:val="28"/>
            <w:u w:val="none"/>
          </w:rPr>
          <w:t>http://biosen.se</w:t>
        </w:r>
      </w:hyperlink>
      <w:r w:rsidRPr="000A2E41">
        <w:rPr>
          <w:szCs w:val="28"/>
        </w:rPr>
        <w:t xml:space="preserve">).  Information collected on this form contains first and last names, email addresses, organizational affiliations, </w:t>
      </w:r>
      <w:r w:rsidR="00CA3B85">
        <w:rPr>
          <w:szCs w:val="28"/>
        </w:rPr>
        <w:t xml:space="preserve">security questions </w:t>
      </w:r>
      <w:r w:rsidRPr="000A2E41">
        <w:rPr>
          <w:szCs w:val="28"/>
        </w:rPr>
        <w:t>and passwords. This information is used only for the purpose of facilitating user approval and the setting of user data access privileges by the system.</w:t>
      </w:r>
      <w:r w:rsidRPr="000A2E41">
        <w:rPr>
          <w:b/>
          <w:szCs w:val="28"/>
        </w:rPr>
        <w:t xml:space="preserve"> </w:t>
      </w:r>
      <w:r w:rsidRPr="000A2E41">
        <w:rPr>
          <w:szCs w:val="28"/>
        </w:rPr>
        <w:t>This information will be maintained for as long as the user chooses to keep an account. No other information in identifiable form</w:t>
      </w:r>
      <w:r>
        <w:rPr>
          <w:szCs w:val="28"/>
        </w:rPr>
        <w:t xml:space="preserve"> is collected for this activity</w:t>
      </w:r>
      <w:r w:rsidRPr="000A2E41">
        <w:rPr>
          <w:b/>
          <w:szCs w:val="28"/>
        </w:rPr>
        <w:t xml:space="preserve"> </w:t>
      </w:r>
      <w:r w:rsidRPr="00486A60">
        <w:rPr>
          <w:szCs w:val="28"/>
        </w:rPr>
        <w:t>(</w:t>
      </w:r>
      <w:r w:rsidRPr="000A2E41">
        <w:rPr>
          <w:b/>
          <w:szCs w:val="28"/>
        </w:rPr>
        <w:t>Attachment 3</w:t>
      </w:r>
      <w:r w:rsidRPr="00486A60">
        <w:rPr>
          <w:szCs w:val="28"/>
        </w:rPr>
        <w:t>).</w:t>
      </w:r>
    </w:p>
    <w:p w14:paraId="44C0529E" w14:textId="77777777" w:rsidR="008D75A7" w:rsidRDefault="008D75A7" w:rsidP="008D75A7">
      <w:pPr>
        <w:tabs>
          <w:tab w:val="left" w:pos="3240"/>
        </w:tabs>
        <w:rPr>
          <w:szCs w:val="28"/>
          <w:u w:val="single"/>
        </w:rPr>
      </w:pPr>
      <w:r w:rsidRPr="00BC705D">
        <w:rPr>
          <w:szCs w:val="28"/>
          <w:u w:val="single"/>
        </w:rPr>
        <w:t>Data Collection</w:t>
      </w:r>
    </w:p>
    <w:p w14:paraId="212E5CDB" w14:textId="5CB73219" w:rsidR="008D75A7" w:rsidRDefault="008D75A7" w:rsidP="008D75A7">
      <w:pPr>
        <w:rPr>
          <w:szCs w:val="28"/>
        </w:rPr>
      </w:pPr>
      <w:proofErr w:type="spellStart"/>
      <w:r w:rsidRPr="00A97B73">
        <w:rPr>
          <w:szCs w:val="28"/>
        </w:rPr>
        <w:t>BioSense</w:t>
      </w:r>
      <w:proofErr w:type="spellEnd"/>
      <w:r w:rsidRPr="00A97B73">
        <w:rPr>
          <w:szCs w:val="28"/>
        </w:rPr>
        <w:t xml:space="preserve"> 2.0 is designed to promote the contribution of public health data by all users and the appropriate sharing of aggregated data in the shared s</w:t>
      </w:r>
      <w:r>
        <w:rPr>
          <w:szCs w:val="28"/>
        </w:rPr>
        <w:t>pace.  Public health jurisdictions</w:t>
      </w:r>
      <w:r w:rsidRPr="00A97B73">
        <w:rPr>
          <w:szCs w:val="28"/>
        </w:rPr>
        <w:t xml:space="preserve"> will be responsible for de-identifying and/or encrypting all protected health information and identifiable health information prior to releasing these data in</w:t>
      </w:r>
      <w:r>
        <w:rPr>
          <w:szCs w:val="28"/>
        </w:rPr>
        <w:t>to the shared space</w:t>
      </w:r>
      <w:r w:rsidRPr="00A97B73">
        <w:rPr>
          <w:szCs w:val="28"/>
        </w:rPr>
        <w:t xml:space="preserve">. As part of access to the shared </w:t>
      </w:r>
      <w:r>
        <w:rPr>
          <w:szCs w:val="28"/>
        </w:rPr>
        <w:t>space, public health jurisdictions</w:t>
      </w:r>
      <w:r w:rsidRPr="00A97B73">
        <w:rPr>
          <w:szCs w:val="28"/>
        </w:rPr>
        <w:t xml:space="preserve"> will be required in their Information Sharing an</w:t>
      </w:r>
      <w:r>
        <w:rPr>
          <w:szCs w:val="28"/>
        </w:rPr>
        <w:t xml:space="preserve">d Data Use Agreements with </w:t>
      </w:r>
      <w:r w:rsidRPr="00701A62">
        <w:rPr>
          <w:szCs w:val="28"/>
        </w:rPr>
        <w:t>ASTHO to grant CDC access to, at minimum, aggregate level data (city or county or state)</w:t>
      </w:r>
      <w:r>
        <w:rPr>
          <w:szCs w:val="28"/>
        </w:rPr>
        <w:t xml:space="preserve"> that contain the </w:t>
      </w:r>
      <w:r w:rsidRPr="000F3565">
        <w:rPr>
          <w:szCs w:val="28"/>
        </w:rPr>
        <w:t>ISDS recommended minimum dataset variables</w:t>
      </w:r>
      <w:r>
        <w:rPr>
          <w:szCs w:val="28"/>
        </w:rPr>
        <w:t xml:space="preserve"> from their jurisdiction that have</w:t>
      </w:r>
      <w:r w:rsidRPr="00701A62">
        <w:rPr>
          <w:szCs w:val="28"/>
        </w:rPr>
        <w:t xml:space="preserve"> been placed in the shared space, and they agree that CDC may review data contributed to the shared space for public health practice and surveillance purposes. To participate in the shar</w:t>
      </w:r>
      <w:r>
        <w:rPr>
          <w:szCs w:val="28"/>
        </w:rPr>
        <w:t>ed space, public health jurisdictions</w:t>
      </w:r>
      <w:r w:rsidRPr="00701A62">
        <w:rPr>
          <w:szCs w:val="28"/>
        </w:rPr>
        <w:t xml:space="preserve"> must </w:t>
      </w:r>
      <w:r>
        <w:rPr>
          <w:szCs w:val="28"/>
        </w:rPr>
        <w:t>simply select from drop-down lists</w:t>
      </w:r>
      <w:r w:rsidRPr="00701A62">
        <w:rPr>
          <w:szCs w:val="28"/>
        </w:rPr>
        <w:t xml:space="preserve"> to choose their sharing permissions on the </w:t>
      </w:r>
      <w:proofErr w:type="spellStart"/>
      <w:r w:rsidRPr="00701A62">
        <w:rPr>
          <w:szCs w:val="28"/>
        </w:rPr>
        <w:t>Bi</w:t>
      </w:r>
      <w:r>
        <w:rPr>
          <w:szCs w:val="28"/>
        </w:rPr>
        <w:t>oSense</w:t>
      </w:r>
      <w:proofErr w:type="spellEnd"/>
      <w:r>
        <w:rPr>
          <w:szCs w:val="28"/>
        </w:rPr>
        <w:t xml:space="preserve"> 2.0 application, and they </w:t>
      </w:r>
      <w:r w:rsidRPr="00F03B02">
        <w:rPr>
          <w:szCs w:val="28"/>
        </w:rPr>
        <w:t>will have the right at any time to revise the level of sharing permissions regarding the data in their secure space.</w:t>
      </w:r>
      <w:r>
        <w:rPr>
          <w:szCs w:val="28"/>
        </w:rPr>
        <w:t xml:space="preserve"> </w:t>
      </w:r>
    </w:p>
    <w:p w14:paraId="0AACEECA" w14:textId="303C3A3F" w:rsidR="008D75A7" w:rsidRDefault="008D75A7" w:rsidP="008D75A7">
      <w:pPr>
        <w:spacing w:after="0"/>
        <w:rPr>
          <w:szCs w:val="28"/>
        </w:rPr>
      </w:pPr>
      <w:r>
        <w:rPr>
          <w:szCs w:val="28"/>
        </w:rPr>
        <w:t xml:space="preserve">Additionally, data from VA, </w:t>
      </w:r>
      <w:proofErr w:type="spellStart"/>
      <w:proofErr w:type="gramStart"/>
      <w:r>
        <w:rPr>
          <w:szCs w:val="28"/>
        </w:rPr>
        <w:t>DoD</w:t>
      </w:r>
      <w:proofErr w:type="spellEnd"/>
      <w:proofErr w:type="gramEnd"/>
      <w:r w:rsidRPr="001F4388">
        <w:rPr>
          <w:szCs w:val="28"/>
        </w:rPr>
        <w:t>,</w:t>
      </w:r>
      <w:r w:rsidRPr="001F4388">
        <w:t xml:space="preserve"> </w:t>
      </w:r>
      <w:r>
        <w:t xml:space="preserve">a </w:t>
      </w:r>
      <w:r w:rsidRPr="001F4388">
        <w:rPr>
          <w:szCs w:val="28"/>
        </w:rPr>
        <w:t>private sector health information exchange company</w:t>
      </w:r>
      <w:r>
        <w:rPr>
          <w:szCs w:val="28"/>
        </w:rPr>
        <w:t xml:space="preserve"> with pharmacy claims data</w:t>
      </w:r>
      <w:r w:rsidRPr="001F4388">
        <w:rPr>
          <w:szCs w:val="28"/>
        </w:rPr>
        <w:t xml:space="preserve">, and </w:t>
      </w:r>
      <w:r>
        <w:rPr>
          <w:szCs w:val="28"/>
        </w:rPr>
        <w:t xml:space="preserve">two </w:t>
      </w:r>
      <w:r w:rsidRPr="001F4388">
        <w:rPr>
          <w:szCs w:val="28"/>
        </w:rPr>
        <w:t>nat</w:t>
      </w:r>
      <w:r>
        <w:rPr>
          <w:szCs w:val="28"/>
        </w:rPr>
        <w:t>ional clinical laboratories will be</w:t>
      </w:r>
      <w:r w:rsidRPr="001F4388">
        <w:rPr>
          <w:szCs w:val="28"/>
        </w:rPr>
        <w:t xml:space="preserve"> received directly into</w:t>
      </w:r>
      <w:r>
        <w:t xml:space="preserve"> the </w:t>
      </w:r>
      <w:proofErr w:type="spellStart"/>
      <w:r>
        <w:t>BioSense</w:t>
      </w:r>
      <w:proofErr w:type="spellEnd"/>
      <w:r>
        <w:t xml:space="preserve"> Program’s exclusive, secure space</w:t>
      </w:r>
      <w:r w:rsidRPr="001F4388">
        <w:rPr>
          <w:szCs w:val="28"/>
        </w:rPr>
        <w:t>.</w:t>
      </w:r>
      <w:r>
        <w:rPr>
          <w:szCs w:val="28"/>
        </w:rPr>
        <w:t xml:space="preserve"> These activities are covered by Data Use Agreements with</w:t>
      </w:r>
      <w:r w:rsidRPr="008C2221">
        <w:t xml:space="preserve"> </w:t>
      </w:r>
      <w:proofErr w:type="spellStart"/>
      <w:proofErr w:type="gramStart"/>
      <w:r w:rsidRPr="008C2221">
        <w:rPr>
          <w:szCs w:val="28"/>
        </w:rPr>
        <w:t>DoD</w:t>
      </w:r>
      <w:proofErr w:type="spellEnd"/>
      <w:proofErr w:type="gramEnd"/>
      <w:r w:rsidRPr="008C2221">
        <w:rPr>
          <w:szCs w:val="28"/>
        </w:rPr>
        <w:t>, VA,</w:t>
      </w:r>
      <w:r>
        <w:rPr>
          <w:szCs w:val="28"/>
        </w:rPr>
        <w:t xml:space="preserve"> and the </w:t>
      </w:r>
      <w:r w:rsidRPr="008C2221">
        <w:rPr>
          <w:szCs w:val="28"/>
        </w:rPr>
        <w:t>two national clinical laboratories</w:t>
      </w:r>
      <w:r>
        <w:rPr>
          <w:szCs w:val="28"/>
        </w:rPr>
        <w:t xml:space="preserve"> and a contract for</w:t>
      </w:r>
      <w:r w:rsidRPr="008C2221">
        <w:t xml:space="preserve"> </w:t>
      </w:r>
      <w:r w:rsidRPr="008C2221">
        <w:rPr>
          <w:szCs w:val="28"/>
        </w:rPr>
        <w:t>data services to extract and process data</w:t>
      </w:r>
      <w:r>
        <w:rPr>
          <w:szCs w:val="28"/>
        </w:rPr>
        <w:t xml:space="preserve"> with the </w:t>
      </w:r>
      <w:r w:rsidRPr="008C2221">
        <w:rPr>
          <w:szCs w:val="28"/>
        </w:rPr>
        <w:t>private sector health information exchange co</w:t>
      </w:r>
      <w:r>
        <w:rPr>
          <w:szCs w:val="28"/>
        </w:rPr>
        <w:t>mpany.</w:t>
      </w:r>
      <w:r w:rsidRPr="008C2221">
        <w:rPr>
          <w:szCs w:val="28"/>
        </w:rPr>
        <w:t xml:space="preserve"> </w:t>
      </w:r>
      <w:r>
        <w:rPr>
          <w:szCs w:val="28"/>
        </w:rPr>
        <w:t xml:space="preserve">Data from the shared space and data from the </w:t>
      </w:r>
      <w:proofErr w:type="spellStart"/>
      <w:r>
        <w:rPr>
          <w:szCs w:val="28"/>
        </w:rPr>
        <w:t>BioSense</w:t>
      </w:r>
      <w:proofErr w:type="spellEnd"/>
      <w:r>
        <w:rPr>
          <w:szCs w:val="28"/>
        </w:rPr>
        <w:t xml:space="preserve"> Program’s secure space will be maintained by CDC for 2</w:t>
      </w:r>
      <w:r w:rsidRPr="00021040">
        <w:rPr>
          <w:szCs w:val="28"/>
        </w:rPr>
        <w:t xml:space="preserve"> y</w:t>
      </w:r>
      <w:r>
        <w:rPr>
          <w:szCs w:val="28"/>
        </w:rPr>
        <w:t>ears then archived permanently. For the list of variables from each type of data source s</w:t>
      </w:r>
      <w:r w:rsidRPr="00375459">
        <w:rPr>
          <w:szCs w:val="28"/>
        </w:rPr>
        <w:t xml:space="preserve">ee </w:t>
      </w:r>
      <w:r w:rsidRPr="00375459">
        <w:rPr>
          <w:b/>
          <w:szCs w:val="28"/>
        </w:rPr>
        <w:t xml:space="preserve">Attachment </w:t>
      </w:r>
      <w:r>
        <w:rPr>
          <w:b/>
          <w:szCs w:val="28"/>
        </w:rPr>
        <w:t>6</w:t>
      </w:r>
      <w:r>
        <w:rPr>
          <w:szCs w:val="28"/>
        </w:rPr>
        <w:t xml:space="preserve">. The public health jurisdictions, VA, </w:t>
      </w:r>
      <w:proofErr w:type="spellStart"/>
      <w:proofErr w:type="gramStart"/>
      <w:r>
        <w:rPr>
          <w:szCs w:val="28"/>
        </w:rPr>
        <w:t>DoD</w:t>
      </w:r>
      <w:proofErr w:type="spellEnd"/>
      <w:proofErr w:type="gramEnd"/>
      <w:r>
        <w:rPr>
          <w:szCs w:val="28"/>
        </w:rPr>
        <w:t xml:space="preserve">, the national clinical laboratories, and </w:t>
      </w:r>
      <w:r w:rsidRPr="004822FE">
        <w:rPr>
          <w:szCs w:val="28"/>
        </w:rPr>
        <w:t>the private sector health information exchange company</w:t>
      </w:r>
      <w:r>
        <w:rPr>
          <w:szCs w:val="28"/>
        </w:rPr>
        <w:t xml:space="preserve"> are not providing CDC with individually identifiable information about their organization, they are providing</w:t>
      </w:r>
      <w:r w:rsidRPr="004822FE">
        <w:rPr>
          <w:szCs w:val="28"/>
        </w:rPr>
        <w:t xml:space="preserve"> healthcare encounter data from people seen in their jurisdiction</w:t>
      </w:r>
      <w:r>
        <w:rPr>
          <w:szCs w:val="28"/>
        </w:rPr>
        <w:t xml:space="preserve"> or by their organization.</w:t>
      </w:r>
      <w:r w:rsidRPr="004822FE">
        <w:rPr>
          <w:szCs w:val="28"/>
        </w:rPr>
        <w:t xml:space="preserve"> </w:t>
      </w:r>
      <w:r>
        <w:rPr>
          <w:szCs w:val="28"/>
        </w:rPr>
        <w:t xml:space="preserve">Some of these data do contain combinations of variables that can be considered individually identifiable information, such as, </w:t>
      </w:r>
      <w:r w:rsidRPr="001911CC">
        <w:rPr>
          <w:szCs w:val="28"/>
        </w:rPr>
        <w:t>Date of birth (month/year), date of death (month/day/year), sex, ethnic group, race, state, zip code, date of visit, and name of facility visited.</w:t>
      </w:r>
      <w:r>
        <w:rPr>
          <w:szCs w:val="28"/>
        </w:rPr>
        <w:t xml:space="preserve"> However, there are security measures and policies in place that protect the data and prohibit anyone attempting to identify individuals using </w:t>
      </w:r>
      <w:proofErr w:type="spellStart"/>
      <w:r>
        <w:rPr>
          <w:szCs w:val="28"/>
        </w:rPr>
        <w:t>BioSense</w:t>
      </w:r>
      <w:proofErr w:type="spellEnd"/>
      <w:r>
        <w:rPr>
          <w:szCs w:val="28"/>
        </w:rPr>
        <w:t xml:space="preserve"> data (</w:t>
      </w:r>
      <w:r w:rsidRPr="00486A60">
        <w:rPr>
          <w:b/>
          <w:szCs w:val="28"/>
        </w:rPr>
        <w:t>Attachment 4</w:t>
      </w:r>
      <w:r>
        <w:rPr>
          <w:szCs w:val="28"/>
        </w:rPr>
        <w:t>).</w:t>
      </w:r>
    </w:p>
    <w:p w14:paraId="27517BD3" w14:textId="77777777" w:rsidR="008D75A7" w:rsidRDefault="008D75A7" w:rsidP="008D75A7">
      <w:pPr>
        <w:spacing w:after="0"/>
        <w:rPr>
          <w:szCs w:val="28"/>
        </w:rPr>
      </w:pPr>
    </w:p>
    <w:p w14:paraId="5B5692B1" w14:textId="77777777" w:rsidR="008D75A7" w:rsidRDefault="008D75A7" w:rsidP="008D75A7">
      <w:pPr>
        <w:tabs>
          <w:tab w:val="left" w:pos="3240"/>
        </w:tabs>
        <w:spacing w:after="0"/>
        <w:rPr>
          <w:b/>
          <w:szCs w:val="28"/>
        </w:rPr>
      </w:pPr>
      <w:proofErr w:type="gramStart"/>
      <w:r>
        <w:rPr>
          <w:b/>
          <w:szCs w:val="28"/>
        </w:rPr>
        <w:lastRenderedPageBreak/>
        <w:t xml:space="preserve">2  </w:t>
      </w:r>
      <w:r w:rsidRPr="00537431">
        <w:rPr>
          <w:b/>
          <w:szCs w:val="28"/>
        </w:rPr>
        <w:t>Purpose</w:t>
      </w:r>
      <w:proofErr w:type="gramEnd"/>
      <w:r w:rsidRPr="00537431">
        <w:rPr>
          <w:b/>
          <w:szCs w:val="28"/>
        </w:rPr>
        <w:t xml:space="preserve"> and Use of Information Collection</w:t>
      </w:r>
    </w:p>
    <w:p w14:paraId="234678FA" w14:textId="77777777" w:rsidR="008D75A7" w:rsidRPr="00537431" w:rsidRDefault="008D75A7" w:rsidP="008D75A7">
      <w:pPr>
        <w:tabs>
          <w:tab w:val="left" w:pos="3240"/>
        </w:tabs>
        <w:spacing w:after="0"/>
        <w:rPr>
          <w:b/>
          <w:szCs w:val="28"/>
        </w:rPr>
      </w:pPr>
    </w:p>
    <w:p w14:paraId="619BDF24" w14:textId="77777777" w:rsidR="008D75A7" w:rsidRPr="001C15AA" w:rsidRDefault="008D75A7" w:rsidP="008D75A7">
      <w:pPr>
        <w:rPr>
          <w:szCs w:val="28"/>
          <w:u w:val="single"/>
        </w:rPr>
      </w:pPr>
      <w:r w:rsidRPr="001C15AA">
        <w:rPr>
          <w:szCs w:val="28"/>
          <w:u w:val="single"/>
        </w:rPr>
        <w:t>Recruitment</w:t>
      </w:r>
    </w:p>
    <w:p w14:paraId="33CC5D7E" w14:textId="3BE840A6" w:rsidR="008D75A7" w:rsidRDefault="008D75A7" w:rsidP="008D75A7">
      <w:pPr>
        <w:tabs>
          <w:tab w:val="left" w:pos="3240"/>
        </w:tabs>
        <w:rPr>
          <w:szCs w:val="28"/>
        </w:rPr>
      </w:pPr>
      <w:r w:rsidRPr="000A2E41">
        <w:rPr>
          <w:szCs w:val="28"/>
        </w:rPr>
        <w:t xml:space="preserve">In </w:t>
      </w:r>
      <w:proofErr w:type="spellStart"/>
      <w:r w:rsidRPr="000A2E41">
        <w:rPr>
          <w:szCs w:val="28"/>
        </w:rPr>
        <w:t>BioSense</w:t>
      </w:r>
      <w:proofErr w:type="spellEnd"/>
      <w:r w:rsidRPr="000A2E41">
        <w:rPr>
          <w:szCs w:val="28"/>
        </w:rPr>
        <w:t xml:space="preserve"> 2.0, CDC collaborates with the associations ASTHO, NACCHO, CSTE, and ISDS to reach out to the public health community.  The efforts focus on outreach and information, and no survey or questionnaire is performed.  State, local, and territorial public health jurisdictions approach the CDC via a general email account (</w:t>
      </w:r>
      <w:hyperlink r:id="rId18" w:history="1">
        <w:r w:rsidRPr="000A2E41">
          <w:rPr>
            <w:rStyle w:val="Hyperlink"/>
            <w:szCs w:val="28"/>
            <w:u w:val="none"/>
          </w:rPr>
          <w:t>info@biosen.se</w:t>
        </w:r>
      </w:hyperlink>
      <w:r w:rsidRPr="000A2E41">
        <w:rPr>
          <w:szCs w:val="28"/>
        </w:rPr>
        <w:t xml:space="preserve">) and request the Information Sharing and Data Use Agreement to join </w:t>
      </w:r>
      <w:proofErr w:type="spellStart"/>
      <w:r w:rsidRPr="000A2E41">
        <w:rPr>
          <w:szCs w:val="28"/>
        </w:rPr>
        <w:t>BioSense</w:t>
      </w:r>
      <w:proofErr w:type="spellEnd"/>
      <w:r w:rsidRPr="000A2E41">
        <w:rPr>
          <w:szCs w:val="28"/>
        </w:rPr>
        <w:t xml:space="preserve"> 2.0. Though during this process the names, email addresses, organizational affiliations, and telephone numbers of individuals responding on behalf of the public health jurisdictions are collected, the information is for contact purposes only, i.e., to facilitate communication. The information is gathered through the CDC email account mentioned above. Once the agreement is signed, the </w:t>
      </w:r>
      <w:proofErr w:type="spellStart"/>
      <w:r w:rsidRPr="000A2E41">
        <w:rPr>
          <w:szCs w:val="28"/>
        </w:rPr>
        <w:t>BioSense</w:t>
      </w:r>
      <w:proofErr w:type="spellEnd"/>
      <w:r w:rsidRPr="000A2E41">
        <w:rPr>
          <w:szCs w:val="28"/>
        </w:rPr>
        <w:t xml:space="preserve"> technical team begins work to onboard their data sources to the system and further communication with individual representatives is conducted via email, phone, or in person meeting</w:t>
      </w:r>
      <w:r w:rsidR="00CA3B85" w:rsidRPr="00CA3B85">
        <w:rPr>
          <w:szCs w:val="28"/>
        </w:rPr>
        <w:t xml:space="preserve"> </w:t>
      </w:r>
      <w:r w:rsidR="00CA3B85">
        <w:rPr>
          <w:szCs w:val="28"/>
        </w:rPr>
        <w:t>in the form of an unstructured conversation</w:t>
      </w:r>
      <w:r w:rsidRPr="000A2E41">
        <w:rPr>
          <w:szCs w:val="28"/>
        </w:rPr>
        <w:t xml:space="preserve">, in order to accommodate their needs to join </w:t>
      </w:r>
      <w:proofErr w:type="spellStart"/>
      <w:r w:rsidRPr="000A2E41">
        <w:rPr>
          <w:szCs w:val="28"/>
        </w:rPr>
        <w:t>BioSense</w:t>
      </w:r>
      <w:proofErr w:type="spellEnd"/>
      <w:r w:rsidRPr="000A2E41">
        <w:rPr>
          <w:szCs w:val="28"/>
        </w:rPr>
        <w:t xml:space="preserve"> 2.0. Outreach efforts to state and local health departments will be ongoing throughout the requested three year authorization. </w:t>
      </w:r>
      <w:r w:rsidRPr="005E1DB6">
        <w:rPr>
          <w:szCs w:val="28"/>
        </w:rPr>
        <w:t xml:space="preserve">The goal is to have over 50 jurisdictions participating in </w:t>
      </w:r>
      <w:proofErr w:type="spellStart"/>
      <w:r w:rsidRPr="005E1DB6">
        <w:rPr>
          <w:szCs w:val="28"/>
        </w:rPr>
        <w:t>BioSense</w:t>
      </w:r>
      <w:proofErr w:type="spellEnd"/>
      <w:r w:rsidRPr="005E1DB6">
        <w:rPr>
          <w:szCs w:val="28"/>
        </w:rPr>
        <w:t xml:space="preserve"> 2.0 by</w:t>
      </w:r>
      <w:r>
        <w:rPr>
          <w:szCs w:val="28"/>
        </w:rPr>
        <w:t xml:space="preserve"> 2015</w:t>
      </w:r>
      <w:r w:rsidRPr="000A2E41">
        <w:rPr>
          <w:szCs w:val="28"/>
        </w:rPr>
        <w:t xml:space="preserve">.  Without this activity, jurisdictions would not be able to use the </w:t>
      </w:r>
      <w:proofErr w:type="spellStart"/>
      <w:r w:rsidRPr="000A2E41">
        <w:rPr>
          <w:szCs w:val="28"/>
        </w:rPr>
        <w:t>BioSense</w:t>
      </w:r>
      <w:proofErr w:type="spellEnd"/>
      <w:r w:rsidRPr="000A2E41">
        <w:rPr>
          <w:szCs w:val="28"/>
        </w:rPr>
        <w:t xml:space="preserve"> 2.0 application, and CDC’s </w:t>
      </w:r>
      <w:proofErr w:type="spellStart"/>
      <w:r w:rsidRPr="000A2E41">
        <w:rPr>
          <w:szCs w:val="28"/>
        </w:rPr>
        <w:t>BioSense</w:t>
      </w:r>
      <w:proofErr w:type="spellEnd"/>
      <w:r w:rsidRPr="000A2E41">
        <w:rPr>
          <w:szCs w:val="28"/>
        </w:rPr>
        <w:t xml:space="preserve"> Program would not receive the data in needs to perform its necessary activities.</w:t>
      </w:r>
    </w:p>
    <w:p w14:paraId="422B7674" w14:textId="77777777" w:rsidR="008D75A7" w:rsidRPr="00C9605D" w:rsidRDefault="008D75A7" w:rsidP="008D75A7">
      <w:pPr>
        <w:tabs>
          <w:tab w:val="left" w:pos="3240"/>
        </w:tabs>
        <w:rPr>
          <w:szCs w:val="28"/>
          <w:u w:val="single"/>
        </w:rPr>
      </w:pPr>
      <w:r w:rsidRPr="00C9605D">
        <w:rPr>
          <w:szCs w:val="28"/>
          <w:u w:val="single"/>
        </w:rPr>
        <w:t>Web Application Access</w:t>
      </w:r>
    </w:p>
    <w:p w14:paraId="186C0527" w14:textId="77777777" w:rsidR="008D75A7" w:rsidRPr="000A2E41" w:rsidRDefault="008D75A7" w:rsidP="008D75A7">
      <w:pPr>
        <w:rPr>
          <w:szCs w:val="28"/>
        </w:rPr>
      </w:pPr>
      <w:r w:rsidRPr="000A2E41">
        <w:rPr>
          <w:szCs w:val="28"/>
        </w:rPr>
        <w:t xml:space="preserve">Information collected for granting access to the web application will be used only internally and only to inform the granting of access to the web application and setting user permissions. Additionally, this information in aggregate form might be used to establish application use statistics, such as, the number of total users of the application or number of users of the application by state. The </w:t>
      </w:r>
      <w:proofErr w:type="spellStart"/>
      <w:r w:rsidRPr="000A2E41">
        <w:rPr>
          <w:szCs w:val="28"/>
        </w:rPr>
        <w:t>BioSense</w:t>
      </w:r>
      <w:proofErr w:type="spellEnd"/>
      <w:r w:rsidRPr="000A2E41">
        <w:rPr>
          <w:szCs w:val="28"/>
        </w:rPr>
        <w:t xml:space="preserve"> Application may be viewed by federal, state, and local public health personnel; by officials of the VA and </w:t>
      </w:r>
      <w:proofErr w:type="spellStart"/>
      <w:proofErr w:type="gramStart"/>
      <w:r w:rsidRPr="000A2E41">
        <w:rPr>
          <w:szCs w:val="28"/>
        </w:rPr>
        <w:t>DoD</w:t>
      </w:r>
      <w:proofErr w:type="spellEnd"/>
      <w:proofErr w:type="gramEnd"/>
      <w:r w:rsidRPr="000A2E41">
        <w:rPr>
          <w:szCs w:val="28"/>
        </w:rPr>
        <w:t xml:space="preserve">; and by personnel at hospitals or hospital systems providing data.  Without access to the </w:t>
      </w:r>
      <w:proofErr w:type="spellStart"/>
      <w:r w:rsidRPr="000A2E41">
        <w:rPr>
          <w:szCs w:val="28"/>
        </w:rPr>
        <w:t>BioSense</w:t>
      </w:r>
      <w:proofErr w:type="spellEnd"/>
      <w:r w:rsidRPr="000A2E41">
        <w:rPr>
          <w:szCs w:val="28"/>
        </w:rPr>
        <w:t xml:space="preserve"> 2.0 application, users would not be able to take advantage of its analysis tools and the dashboard that allows customizable queries that produce time series charts to enable the user to identify increased numbers or rates of patient visits that might indicate an outbreak, maps to visualize geographic distribution, and charts to assist in monitoring long-term trends in disease activity and increase understanding of disease patterns in an area.</w:t>
      </w:r>
    </w:p>
    <w:p w14:paraId="030E67D0" w14:textId="77777777" w:rsidR="008D75A7" w:rsidRDefault="008D75A7" w:rsidP="008D75A7">
      <w:pPr>
        <w:tabs>
          <w:tab w:val="left" w:pos="3240"/>
        </w:tabs>
        <w:rPr>
          <w:szCs w:val="28"/>
          <w:u w:val="single"/>
        </w:rPr>
      </w:pPr>
      <w:r w:rsidRPr="00C9605D">
        <w:rPr>
          <w:szCs w:val="28"/>
          <w:u w:val="single"/>
        </w:rPr>
        <w:t xml:space="preserve">Data Collection </w:t>
      </w:r>
    </w:p>
    <w:p w14:paraId="5AB14458" w14:textId="77777777" w:rsidR="008D75A7" w:rsidRPr="000A2E41" w:rsidRDefault="008D75A7" w:rsidP="008D75A7">
      <w:pPr>
        <w:tabs>
          <w:tab w:val="left" w:pos="3240"/>
        </w:tabs>
        <w:rPr>
          <w:szCs w:val="28"/>
        </w:rPr>
      </w:pPr>
      <w:r w:rsidRPr="000A2E41">
        <w:rPr>
          <w:szCs w:val="28"/>
        </w:rPr>
        <w:t xml:space="preserve">Addition of data sources is ongoing as state and local jurisdictions elect to utilize the </w:t>
      </w:r>
      <w:proofErr w:type="spellStart"/>
      <w:r w:rsidRPr="000A2E41">
        <w:rPr>
          <w:szCs w:val="28"/>
        </w:rPr>
        <w:t>BioSense</w:t>
      </w:r>
      <w:proofErr w:type="spellEnd"/>
      <w:r w:rsidRPr="000A2E41">
        <w:rPr>
          <w:szCs w:val="28"/>
        </w:rPr>
        <w:t xml:space="preserve"> 2.0 environment.  Current information sources include state and local health departments,  the Department of Veterans Affairs (which transmits data from 820 facilities), the Department of Defense (which transmits data from 320 facilities), two national laboratory corporations, and one pharmacy claims system (which transmits data from &gt;30,000 pharmacies).   </w:t>
      </w:r>
    </w:p>
    <w:p w14:paraId="5D97BD22" w14:textId="77777777" w:rsidR="008D75A7" w:rsidRDefault="008D75A7" w:rsidP="008D75A7">
      <w:pPr>
        <w:tabs>
          <w:tab w:val="left" w:pos="3240"/>
        </w:tabs>
        <w:rPr>
          <w:szCs w:val="28"/>
        </w:rPr>
      </w:pPr>
      <w:r>
        <w:rPr>
          <w:szCs w:val="28"/>
        </w:rPr>
        <w:t xml:space="preserve">As with the data collected in </w:t>
      </w:r>
      <w:proofErr w:type="spellStart"/>
      <w:r>
        <w:rPr>
          <w:szCs w:val="28"/>
        </w:rPr>
        <w:t>BioSense</w:t>
      </w:r>
      <w:proofErr w:type="spellEnd"/>
      <w:r>
        <w:rPr>
          <w:szCs w:val="28"/>
        </w:rPr>
        <w:t xml:space="preserve"> 1.0, data collected in the </w:t>
      </w:r>
      <w:proofErr w:type="spellStart"/>
      <w:r>
        <w:rPr>
          <w:szCs w:val="28"/>
        </w:rPr>
        <w:t>BioSense</w:t>
      </w:r>
      <w:proofErr w:type="spellEnd"/>
      <w:r>
        <w:rPr>
          <w:szCs w:val="28"/>
        </w:rPr>
        <w:t xml:space="preserve"> 2.0 shared space will be aggregated into pre-defined syndromes and sub-syndromes. Then </w:t>
      </w:r>
      <w:r w:rsidRPr="00E64C63">
        <w:rPr>
          <w:szCs w:val="28"/>
        </w:rPr>
        <w:t>6-month t</w:t>
      </w:r>
      <w:r>
        <w:rPr>
          <w:szCs w:val="28"/>
        </w:rPr>
        <w:t xml:space="preserve">ime series are created that can be viewed on the web application dashboard by approved users. Additionally, the </w:t>
      </w:r>
      <w:proofErr w:type="spellStart"/>
      <w:r>
        <w:rPr>
          <w:szCs w:val="28"/>
        </w:rPr>
        <w:t>BioSense</w:t>
      </w:r>
      <w:proofErr w:type="spellEnd"/>
      <w:r>
        <w:rPr>
          <w:szCs w:val="28"/>
        </w:rPr>
        <w:t xml:space="preserve"> Team at CDC will process the data through a modified C2 EARS algorithm for analysis on a daily basis. CDC analysts will review 6-month time series from shared space, VA, and </w:t>
      </w:r>
      <w:proofErr w:type="spellStart"/>
      <w:proofErr w:type="gramStart"/>
      <w:r>
        <w:rPr>
          <w:szCs w:val="28"/>
        </w:rPr>
        <w:t>DoD</w:t>
      </w:r>
      <w:proofErr w:type="spellEnd"/>
      <w:proofErr w:type="gramEnd"/>
      <w:r>
        <w:rPr>
          <w:szCs w:val="28"/>
        </w:rPr>
        <w:t xml:space="preserve"> data for the presence of anomalies on a daily basis. Pharmacy and laboratory </w:t>
      </w:r>
      <w:r>
        <w:rPr>
          <w:szCs w:val="28"/>
        </w:rPr>
        <w:lastRenderedPageBreak/>
        <w:t xml:space="preserve">data are currently only used to provide additional data for influenza-related syndromes and sub-syndromes; however, the use of these data will be expanded to other conditions as part of </w:t>
      </w:r>
      <w:proofErr w:type="spellStart"/>
      <w:r>
        <w:rPr>
          <w:szCs w:val="28"/>
        </w:rPr>
        <w:t>BioSense</w:t>
      </w:r>
      <w:proofErr w:type="spellEnd"/>
      <w:r>
        <w:rPr>
          <w:szCs w:val="28"/>
        </w:rPr>
        <w:t xml:space="preserve"> 2.0. All of these uses of the data collected will allow CDC</w:t>
      </w:r>
      <w:r w:rsidRPr="000248C3">
        <w:rPr>
          <w:szCs w:val="28"/>
        </w:rPr>
        <w:t xml:space="preserve"> to</w:t>
      </w:r>
      <w:r>
        <w:rPr>
          <w:szCs w:val="28"/>
        </w:rPr>
        <w:t xml:space="preserve"> continue to meet the congressional mandate by maintaining </w:t>
      </w:r>
      <w:proofErr w:type="spellStart"/>
      <w:r>
        <w:rPr>
          <w:szCs w:val="28"/>
        </w:rPr>
        <w:t>syndromic</w:t>
      </w:r>
      <w:proofErr w:type="spellEnd"/>
      <w:r>
        <w:rPr>
          <w:szCs w:val="28"/>
        </w:rPr>
        <w:t xml:space="preserve"> surveillance activities that provide national public health situation awareness.</w:t>
      </w:r>
    </w:p>
    <w:p w14:paraId="213FB80A" w14:textId="77777777" w:rsidR="008D75A7" w:rsidRDefault="008D75A7" w:rsidP="008D75A7">
      <w:pPr>
        <w:tabs>
          <w:tab w:val="left" w:pos="3240"/>
        </w:tabs>
        <w:rPr>
          <w:szCs w:val="28"/>
        </w:rPr>
      </w:pPr>
      <w:r>
        <w:rPr>
          <w:szCs w:val="28"/>
        </w:rPr>
        <w:t xml:space="preserve">The </w:t>
      </w:r>
      <w:proofErr w:type="spellStart"/>
      <w:r>
        <w:rPr>
          <w:szCs w:val="28"/>
        </w:rPr>
        <w:t>BioSense</w:t>
      </w:r>
      <w:proofErr w:type="spellEnd"/>
      <w:r>
        <w:rPr>
          <w:szCs w:val="28"/>
        </w:rPr>
        <w:t xml:space="preserve"> Program was i</w:t>
      </w:r>
      <w:r w:rsidRPr="00085C14">
        <w:rPr>
          <w:szCs w:val="28"/>
        </w:rPr>
        <w:t>nitially intended to serve as a tool for early detection and rapid assessment of potenti</w:t>
      </w:r>
      <w:r>
        <w:rPr>
          <w:szCs w:val="28"/>
        </w:rPr>
        <w:t>al bioterrorism-related illness; however, to fulfill additional needs, the</w:t>
      </w:r>
      <w:r w:rsidRPr="00085C14">
        <w:rPr>
          <w:szCs w:val="28"/>
        </w:rPr>
        <w:t xml:space="preserve"> Program has since expanded its role to include detecting changes over time in predefined syndromes and sub-syndromes of public health importance, for example, injury, chronic disease, and influenza and providing timely, all-hazard, na</w:t>
      </w:r>
      <w:r>
        <w:rPr>
          <w:szCs w:val="28"/>
        </w:rPr>
        <w:t>tional public health situation</w:t>
      </w:r>
      <w:r w:rsidRPr="00085C14">
        <w:rPr>
          <w:szCs w:val="28"/>
        </w:rPr>
        <w:t xml:space="preserve"> awareness throughout the course of </w:t>
      </w:r>
      <w:r>
        <w:rPr>
          <w:szCs w:val="28"/>
        </w:rPr>
        <w:t xml:space="preserve">high profile events (e.g., North American Leaders Summit) and </w:t>
      </w:r>
      <w:r w:rsidRPr="00085C14">
        <w:rPr>
          <w:szCs w:val="28"/>
        </w:rPr>
        <w:t>public health emergencies (e.g., 2009 H1N1).</w:t>
      </w:r>
      <w:r>
        <w:rPr>
          <w:szCs w:val="28"/>
        </w:rPr>
        <w:t xml:space="preserve"> Without </w:t>
      </w:r>
      <w:proofErr w:type="spellStart"/>
      <w:r>
        <w:rPr>
          <w:szCs w:val="28"/>
        </w:rPr>
        <w:t>BioSense</w:t>
      </w:r>
      <w:proofErr w:type="spellEnd"/>
      <w:r>
        <w:rPr>
          <w:szCs w:val="28"/>
        </w:rPr>
        <w:t xml:space="preserve"> 1.0 and now </w:t>
      </w:r>
      <w:proofErr w:type="spellStart"/>
      <w:r>
        <w:rPr>
          <w:szCs w:val="28"/>
        </w:rPr>
        <w:t>BioSense</w:t>
      </w:r>
      <w:proofErr w:type="spellEnd"/>
      <w:r>
        <w:rPr>
          <w:szCs w:val="28"/>
        </w:rPr>
        <w:t xml:space="preserve"> 2.0, there would be no </w:t>
      </w:r>
      <w:proofErr w:type="spellStart"/>
      <w:r>
        <w:rPr>
          <w:szCs w:val="28"/>
        </w:rPr>
        <w:t>syndromic</w:t>
      </w:r>
      <w:proofErr w:type="spellEnd"/>
      <w:r>
        <w:rPr>
          <w:szCs w:val="28"/>
        </w:rPr>
        <w:t xml:space="preserve"> surveillance system that could combine non-federal hospital, VA, </w:t>
      </w:r>
      <w:proofErr w:type="spellStart"/>
      <w:proofErr w:type="gramStart"/>
      <w:r>
        <w:rPr>
          <w:szCs w:val="28"/>
        </w:rPr>
        <w:t>DoD</w:t>
      </w:r>
      <w:proofErr w:type="spellEnd"/>
      <w:proofErr w:type="gramEnd"/>
      <w:r>
        <w:rPr>
          <w:szCs w:val="28"/>
        </w:rPr>
        <w:t>, pharmacy and laboratory data to provide public health situation</w:t>
      </w:r>
      <w:r w:rsidRPr="00E93D07">
        <w:rPr>
          <w:szCs w:val="28"/>
        </w:rPr>
        <w:t xml:space="preserve"> awareness</w:t>
      </w:r>
      <w:r>
        <w:rPr>
          <w:szCs w:val="28"/>
        </w:rPr>
        <w:t xml:space="preserve"> at the national level. Continuing this data collection under </w:t>
      </w:r>
      <w:proofErr w:type="spellStart"/>
      <w:r>
        <w:rPr>
          <w:szCs w:val="28"/>
        </w:rPr>
        <w:t>BioSense</w:t>
      </w:r>
      <w:proofErr w:type="spellEnd"/>
      <w:r>
        <w:rPr>
          <w:szCs w:val="28"/>
        </w:rPr>
        <w:t xml:space="preserve"> 2.0 will not only allow CDC to maintain and even improve its current level of surveillance, but it will also promote the use of this data at the state, local, and territorial levels. </w:t>
      </w:r>
      <w:proofErr w:type="spellStart"/>
      <w:r>
        <w:rPr>
          <w:szCs w:val="28"/>
        </w:rPr>
        <w:t>BioSense</w:t>
      </w:r>
      <w:proofErr w:type="spellEnd"/>
      <w:r>
        <w:rPr>
          <w:szCs w:val="28"/>
        </w:rPr>
        <w:t xml:space="preserve"> 2.0 will provide public health jurisdictions with an infrastructure</w:t>
      </w:r>
      <w:r w:rsidRPr="00E63205">
        <w:t xml:space="preserve"> </w:t>
      </w:r>
      <w:r w:rsidRPr="00E63205">
        <w:rPr>
          <w:szCs w:val="28"/>
        </w:rPr>
        <w:t>a</w:t>
      </w:r>
      <w:r>
        <w:rPr>
          <w:szCs w:val="28"/>
        </w:rPr>
        <w:t>t</w:t>
      </w:r>
      <w:r w:rsidRPr="00E63205">
        <w:rPr>
          <w:szCs w:val="28"/>
        </w:rPr>
        <w:t xml:space="preserve"> no cost</w:t>
      </w:r>
      <w:r>
        <w:rPr>
          <w:szCs w:val="28"/>
        </w:rPr>
        <w:t xml:space="preserve"> to them for their own </w:t>
      </w:r>
      <w:proofErr w:type="spellStart"/>
      <w:r>
        <w:rPr>
          <w:szCs w:val="28"/>
        </w:rPr>
        <w:t>syndromic</w:t>
      </w:r>
      <w:proofErr w:type="spellEnd"/>
      <w:r>
        <w:rPr>
          <w:szCs w:val="28"/>
        </w:rPr>
        <w:t xml:space="preserve"> surveillance and a mechanism to pursue Meaningful Use of data. The </w:t>
      </w:r>
      <w:proofErr w:type="spellStart"/>
      <w:r>
        <w:rPr>
          <w:szCs w:val="28"/>
        </w:rPr>
        <w:t>BioSense</w:t>
      </w:r>
      <w:proofErr w:type="spellEnd"/>
      <w:r>
        <w:rPr>
          <w:szCs w:val="28"/>
        </w:rPr>
        <w:t xml:space="preserve"> Program continues to receive f</w:t>
      </w:r>
      <w:r w:rsidRPr="00750F3A">
        <w:rPr>
          <w:szCs w:val="28"/>
        </w:rPr>
        <w:t>unding</w:t>
      </w:r>
      <w:r>
        <w:rPr>
          <w:szCs w:val="28"/>
        </w:rPr>
        <w:t xml:space="preserve"> </w:t>
      </w:r>
      <w:r w:rsidRPr="00750F3A">
        <w:rPr>
          <w:szCs w:val="28"/>
        </w:rPr>
        <w:t xml:space="preserve">directly from Congress as the </w:t>
      </w:r>
      <w:proofErr w:type="spellStart"/>
      <w:r w:rsidRPr="00750F3A">
        <w:rPr>
          <w:szCs w:val="28"/>
        </w:rPr>
        <w:t>BioSense</w:t>
      </w:r>
      <w:proofErr w:type="spellEnd"/>
      <w:r w:rsidRPr="00750F3A">
        <w:rPr>
          <w:szCs w:val="28"/>
        </w:rPr>
        <w:t xml:space="preserve"> Line (called the </w:t>
      </w:r>
      <w:proofErr w:type="spellStart"/>
      <w:r w:rsidRPr="00750F3A">
        <w:rPr>
          <w:szCs w:val="28"/>
        </w:rPr>
        <w:t>Biosurveillance</w:t>
      </w:r>
      <w:proofErr w:type="spellEnd"/>
      <w:r w:rsidRPr="00750F3A">
        <w:rPr>
          <w:szCs w:val="28"/>
        </w:rPr>
        <w:t xml:space="preserve"> Line prior to 2011) in the CDC Preparedness and Response Budget Appropriation Activity. </w:t>
      </w:r>
    </w:p>
    <w:p w14:paraId="248426AF" w14:textId="77777777" w:rsidR="008D75A7" w:rsidRPr="00BC705D" w:rsidRDefault="008D75A7" w:rsidP="008D75A7">
      <w:pPr>
        <w:tabs>
          <w:tab w:val="left" w:pos="3240"/>
        </w:tabs>
        <w:rPr>
          <w:b/>
          <w:szCs w:val="28"/>
        </w:rPr>
      </w:pPr>
      <w:proofErr w:type="gramStart"/>
      <w:r>
        <w:rPr>
          <w:b/>
          <w:szCs w:val="28"/>
        </w:rPr>
        <w:t xml:space="preserve">2.1  </w:t>
      </w:r>
      <w:r w:rsidRPr="00BC705D">
        <w:rPr>
          <w:b/>
          <w:szCs w:val="28"/>
        </w:rPr>
        <w:t>Privacy</w:t>
      </w:r>
      <w:proofErr w:type="gramEnd"/>
      <w:r w:rsidRPr="00BC705D">
        <w:rPr>
          <w:b/>
          <w:szCs w:val="28"/>
        </w:rPr>
        <w:t xml:space="preserve"> Impact Assessment</w:t>
      </w:r>
    </w:p>
    <w:p w14:paraId="7CCCD340" w14:textId="77777777" w:rsidR="008D75A7" w:rsidRDefault="008D75A7" w:rsidP="008D75A7">
      <w:pPr>
        <w:rPr>
          <w:szCs w:val="28"/>
          <w:u w:val="single"/>
        </w:rPr>
      </w:pPr>
      <w:r w:rsidRPr="001C15AA">
        <w:rPr>
          <w:szCs w:val="28"/>
          <w:u w:val="single"/>
        </w:rPr>
        <w:t>Recruitment</w:t>
      </w:r>
    </w:p>
    <w:p w14:paraId="58D1299F" w14:textId="77777777" w:rsidR="008D75A7" w:rsidRPr="00254D00" w:rsidRDefault="008D75A7" w:rsidP="008D75A7">
      <w:pPr>
        <w:rPr>
          <w:szCs w:val="28"/>
        </w:rPr>
      </w:pPr>
      <w:r w:rsidRPr="000A2E41">
        <w:rPr>
          <w:szCs w:val="28"/>
        </w:rPr>
        <w:t xml:space="preserve">In </w:t>
      </w:r>
      <w:proofErr w:type="spellStart"/>
      <w:r w:rsidRPr="000A2E41">
        <w:rPr>
          <w:szCs w:val="28"/>
        </w:rPr>
        <w:t>BioSense</w:t>
      </w:r>
      <w:proofErr w:type="spellEnd"/>
      <w:r w:rsidRPr="000A2E41">
        <w:rPr>
          <w:szCs w:val="28"/>
        </w:rPr>
        <w:t xml:space="preserve"> 2.0, CDC collaborates with the associations ASTHO, NACCHO, CSTE, and ISDS to reach out to the public health community.  The efforts focus on outreach and information, and no survey or questionnaire is performed.  State, local, and territorial public health jurisdictions approach the CDC via a general email account (</w:t>
      </w:r>
      <w:hyperlink r:id="rId19" w:history="1">
        <w:r w:rsidRPr="000A2E41">
          <w:rPr>
            <w:rStyle w:val="Hyperlink"/>
            <w:szCs w:val="28"/>
            <w:u w:val="none"/>
          </w:rPr>
          <w:t>info@biosen.se</w:t>
        </w:r>
      </w:hyperlink>
      <w:r w:rsidRPr="000A2E41">
        <w:rPr>
          <w:szCs w:val="28"/>
        </w:rPr>
        <w:t xml:space="preserve">) and request the Information Sharing and Data Use Agreement to join </w:t>
      </w:r>
      <w:proofErr w:type="spellStart"/>
      <w:r w:rsidRPr="000A2E41">
        <w:rPr>
          <w:szCs w:val="28"/>
        </w:rPr>
        <w:t>BioSense</w:t>
      </w:r>
      <w:proofErr w:type="spellEnd"/>
      <w:r w:rsidRPr="000A2E41">
        <w:rPr>
          <w:szCs w:val="28"/>
        </w:rPr>
        <w:t xml:space="preserve"> 2.0. Though during this process the names, email addresses, organizational affiliations, and telephone numbers of individuals responding on behalf of the public health jurisdictions or organizations are collected, the information is for contact purposes only, i.e., to facilitate communication. The proposed information collections will have little or no effect on the respondents’ privacy.  </w:t>
      </w:r>
    </w:p>
    <w:p w14:paraId="6B369DD6" w14:textId="77777777" w:rsidR="008D75A7" w:rsidRDefault="008D75A7" w:rsidP="008D75A7">
      <w:pPr>
        <w:rPr>
          <w:szCs w:val="28"/>
          <w:u w:val="single"/>
        </w:rPr>
      </w:pPr>
      <w:r w:rsidRPr="001C15AA">
        <w:rPr>
          <w:szCs w:val="28"/>
          <w:u w:val="single"/>
        </w:rPr>
        <w:t>Web Application Access</w:t>
      </w:r>
    </w:p>
    <w:p w14:paraId="29521C38" w14:textId="77777777" w:rsidR="008D75A7" w:rsidRPr="000A2E41" w:rsidRDefault="008D75A7" w:rsidP="008D75A7">
      <w:pPr>
        <w:rPr>
          <w:szCs w:val="28"/>
        </w:rPr>
      </w:pPr>
      <w:r w:rsidRPr="000A2E41">
        <w:rPr>
          <w:szCs w:val="28"/>
        </w:rPr>
        <w:t xml:space="preserve">Information collected for granting access to the web application will be used only internally and only to inform the granting of access to the web application and setting user permissions. This information is not shared with other users outside the user’s jurisdiction; within the users jurisdiction, only their name and health department affiliation are shared with the jurisdiction administrators. Thus, the proposed information collections will have little or no effect on the respondents’ privacy.  </w:t>
      </w:r>
    </w:p>
    <w:p w14:paraId="4E116563" w14:textId="77777777" w:rsidR="008D75A7" w:rsidRPr="001C15AA" w:rsidRDefault="008D75A7" w:rsidP="008D75A7">
      <w:pPr>
        <w:rPr>
          <w:szCs w:val="28"/>
          <w:u w:val="single"/>
        </w:rPr>
      </w:pPr>
      <w:r w:rsidRPr="001C15AA">
        <w:rPr>
          <w:szCs w:val="28"/>
          <w:u w:val="single"/>
        </w:rPr>
        <w:t>Data Collection</w:t>
      </w:r>
      <w:r>
        <w:rPr>
          <w:szCs w:val="28"/>
          <w:u w:val="single"/>
        </w:rPr>
        <w:t xml:space="preserve"> </w:t>
      </w:r>
    </w:p>
    <w:p w14:paraId="0C6B6707" w14:textId="42932AAC" w:rsidR="008D75A7" w:rsidRDefault="008D75A7" w:rsidP="008D75A7">
      <w:pPr>
        <w:tabs>
          <w:tab w:val="left" w:pos="3240"/>
        </w:tabs>
        <w:rPr>
          <w:szCs w:val="28"/>
        </w:rPr>
      </w:pPr>
      <w:r>
        <w:rPr>
          <w:szCs w:val="28"/>
        </w:rPr>
        <w:t>Data that is place</w:t>
      </w:r>
      <w:r w:rsidR="000E7AA8">
        <w:rPr>
          <w:szCs w:val="28"/>
        </w:rPr>
        <w:t>d</w:t>
      </w:r>
      <w:r>
        <w:rPr>
          <w:szCs w:val="28"/>
        </w:rPr>
        <w:t xml:space="preserve"> by</w:t>
      </w:r>
      <w:r w:rsidRPr="00191EE7">
        <w:t xml:space="preserve"> </w:t>
      </w:r>
      <w:r w:rsidRPr="00191EE7">
        <w:rPr>
          <w:szCs w:val="28"/>
        </w:rPr>
        <w:t>state, local, and territorial public health jurisdictions</w:t>
      </w:r>
      <w:r>
        <w:rPr>
          <w:szCs w:val="28"/>
        </w:rPr>
        <w:t xml:space="preserve"> on a voluntary basis into the shared space will be shared with other jurisdictions and CDC. This data will be </w:t>
      </w:r>
      <w:r w:rsidRPr="00191EE7">
        <w:rPr>
          <w:szCs w:val="28"/>
        </w:rPr>
        <w:t>aggregated into pre-defined sy</w:t>
      </w:r>
      <w:r>
        <w:rPr>
          <w:szCs w:val="28"/>
        </w:rPr>
        <w:t>ndromes and sub-syndromes and displayed as 6-month time series</w:t>
      </w:r>
      <w:r w:rsidRPr="00191EE7">
        <w:rPr>
          <w:szCs w:val="28"/>
        </w:rPr>
        <w:t xml:space="preserve"> that can be viewed on the web application dashboard </w:t>
      </w:r>
      <w:r w:rsidRPr="00191EE7">
        <w:rPr>
          <w:szCs w:val="28"/>
        </w:rPr>
        <w:lastRenderedPageBreak/>
        <w:t>by approved users. No individually identifiab</w:t>
      </w:r>
      <w:r>
        <w:rPr>
          <w:szCs w:val="28"/>
        </w:rPr>
        <w:t>le information will be displayed on the dashboard. If shared by the public health jurisdiction, CDC will be able to view Patient Lists that could contain</w:t>
      </w:r>
      <w:r w:rsidRPr="00741E0A">
        <w:t xml:space="preserve"> </w:t>
      </w:r>
      <w:r w:rsidRPr="00741E0A">
        <w:rPr>
          <w:szCs w:val="28"/>
        </w:rPr>
        <w:t>combinations of variables that can be considered individually identifiable information</w:t>
      </w:r>
      <w:r>
        <w:rPr>
          <w:szCs w:val="28"/>
        </w:rPr>
        <w:t>, but this type of data is only used internally to investigate the public health importance of an anomaly and is not shared.</w:t>
      </w:r>
    </w:p>
    <w:p w14:paraId="0F5C25C7" w14:textId="77777777" w:rsidR="008D75A7" w:rsidRDefault="008D75A7" w:rsidP="008D75A7">
      <w:pPr>
        <w:tabs>
          <w:tab w:val="left" w:pos="3240"/>
        </w:tabs>
        <w:rPr>
          <w:szCs w:val="28"/>
        </w:rPr>
      </w:pPr>
      <w:r>
        <w:rPr>
          <w:szCs w:val="28"/>
        </w:rPr>
        <w:t xml:space="preserve">VA, </w:t>
      </w:r>
      <w:proofErr w:type="spellStart"/>
      <w:proofErr w:type="gramStart"/>
      <w:r>
        <w:rPr>
          <w:szCs w:val="28"/>
        </w:rPr>
        <w:t>DoD</w:t>
      </w:r>
      <w:proofErr w:type="spellEnd"/>
      <w:proofErr w:type="gramEnd"/>
      <w:r>
        <w:rPr>
          <w:szCs w:val="28"/>
        </w:rPr>
        <w:t>, pharmacy, and laboratory data received by CDC will be used internally to conduct anomaly analysis, and will only be shared in aggregate format</w:t>
      </w:r>
      <w:r w:rsidRPr="00741E0A">
        <w:t xml:space="preserve"> </w:t>
      </w:r>
      <w:r>
        <w:rPr>
          <w:szCs w:val="28"/>
        </w:rPr>
        <w:t>containing n</w:t>
      </w:r>
      <w:r w:rsidRPr="00741E0A">
        <w:rPr>
          <w:szCs w:val="28"/>
        </w:rPr>
        <w:t>o individually identifiable information</w:t>
      </w:r>
      <w:r>
        <w:rPr>
          <w:szCs w:val="28"/>
        </w:rPr>
        <w:t xml:space="preserve"> with CDC EOC and applicable public health jurisdictions when the </w:t>
      </w:r>
      <w:proofErr w:type="spellStart"/>
      <w:r>
        <w:rPr>
          <w:szCs w:val="28"/>
        </w:rPr>
        <w:t>BioSense</w:t>
      </w:r>
      <w:proofErr w:type="spellEnd"/>
      <w:r>
        <w:rPr>
          <w:szCs w:val="28"/>
        </w:rPr>
        <w:t xml:space="preserve"> Program is engaged in conducting surveillance on </w:t>
      </w:r>
      <w:r w:rsidRPr="00741E0A">
        <w:rPr>
          <w:szCs w:val="28"/>
        </w:rPr>
        <w:t>high profile event</w:t>
      </w:r>
      <w:r>
        <w:rPr>
          <w:szCs w:val="28"/>
        </w:rPr>
        <w:t>s or</w:t>
      </w:r>
      <w:r w:rsidRPr="00741E0A">
        <w:rPr>
          <w:szCs w:val="28"/>
        </w:rPr>
        <w:t xml:space="preserve"> public heal</w:t>
      </w:r>
      <w:r>
        <w:rPr>
          <w:szCs w:val="28"/>
        </w:rPr>
        <w:t>th emergencies.</w:t>
      </w:r>
    </w:p>
    <w:p w14:paraId="5D21F98A" w14:textId="77777777" w:rsidR="008D75A7" w:rsidRDefault="008D75A7" w:rsidP="008D75A7">
      <w:pPr>
        <w:tabs>
          <w:tab w:val="left" w:pos="3240"/>
        </w:tabs>
        <w:spacing w:after="0"/>
        <w:rPr>
          <w:szCs w:val="28"/>
        </w:rPr>
      </w:pPr>
      <w:r>
        <w:rPr>
          <w:szCs w:val="28"/>
        </w:rPr>
        <w:t>T</w:t>
      </w:r>
      <w:r w:rsidRPr="00554FA6">
        <w:rPr>
          <w:szCs w:val="28"/>
        </w:rPr>
        <w:t xml:space="preserve">he proposed collection </w:t>
      </w:r>
      <w:r>
        <w:rPr>
          <w:szCs w:val="28"/>
        </w:rPr>
        <w:t>will have no impact</w:t>
      </w:r>
      <w:r w:rsidRPr="00554FA6">
        <w:rPr>
          <w:szCs w:val="28"/>
        </w:rPr>
        <w:t xml:space="preserve"> on </w:t>
      </w:r>
      <w:r>
        <w:rPr>
          <w:szCs w:val="28"/>
        </w:rPr>
        <w:t>the respondent</w:t>
      </w:r>
      <w:r w:rsidRPr="00554FA6">
        <w:rPr>
          <w:szCs w:val="28"/>
        </w:rPr>
        <w:t>s</w:t>
      </w:r>
      <w:r>
        <w:rPr>
          <w:szCs w:val="28"/>
        </w:rPr>
        <w:t>’</w:t>
      </w:r>
      <w:r w:rsidRPr="00554FA6">
        <w:rPr>
          <w:szCs w:val="28"/>
        </w:rPr>
        <w:t xml:space="preserve"> privacy</w:t>
      </w:r>
      <w:r>
        <w:rPr>
          <w:szCs w:val="28"/>
        </w:rPr>
        <w:t xml:space="preserve">. The respondents </w:t>
      </w:r>
      <w:r w:rsidRPr="00554FA6">
        <w:rPr>
          <w:szCs w:val="28"/>
        </w:rPr>
        <w:t>are not providing information ab</w:t>
      </w:r>
      <w:r>
        <w:rPr>
          <w:szCs w:val="28"/>
        </w:rPr>
        <w:t xml:space="preserve">out themselves; they are providing healthcare encounter data from their already existing data bases. </w:t>
      </w:r>
    </w:p>
    <w:p w14:paraId="7B6F1073" w14:textId="77777777" w:rsidR="008D75A7" w:rsidRDefault="008D75A7" w:rsidP="008D75A7">
      <w:pPr>
        <w:tabs>
          <w:tab w:val="left" w:pos="3240"/>
        </w:tabs>
        <w:spacing w:after="0"/>
        <w:rPr>
          <w:szCs w:val="28"/>
        </w:rPr>
      </w:pPr>
    </w:p>
    <w:p w14:paraId="6ED70C80" w14:textId="77777777" w:rsidR="008D75A7" w:rsidRDefault="008D75A7" w:rsidP="008D75A7">
      <w:pPr>
        <w:tabs>
          <w:tab w:val="left" w:pos="3240"/>
        </w:tabs>
        <w:spacing w:after="0"/>
        <w:rPr>
          <w:szCs w:val="28"/>
        </w:rPr>
      </w:pPr>
    </w:p>
    <w:p w14:paraId="4B078CF3" w14:textId="77777777" w:rsidR="008D75A7" w:rsidRDefault="008D75A7" w:rsidP="008D75A7">
      <w:pPr>
        <w:tabs>
          <w:tab w:val="left" w:pos="3240"/>
        </w:tabs>
        <w:spacing w:after="0"/>
        <w:rPr>
          <w:b/>
          <w:szCs w:val="28"/>
        </w:rPr>
      </w:pPr>
      <w:proofErr w:type="gramStart"/>
      <w:r>
        <w:rPr>
          <w:b/>
          <w:szCs w:val="28"/>
        </w:rPr>
        <w:t xml:space="preserve">3  </w:t>
      </w:r>
      <w:r w:rsidRPr="00BC705D">
        <w:rPr>
          <w:b/>
          <w:szCs w:val="28"/>
        </w:rPr>
        <w:t>Use</w:t>
      </w:r>
      <w:proofErr w:type="gramEnd"/>
      <w:r w:rsidRPr="00BC705D">
        <w:rPr>
          <w:b/>
          <w:szCs w:val="28"/>
        </w:rPr>
        <w:t xml:space="preserve"> of Improved Information Technology and Burden Reduction</w:t>
      </w:r>
    </w:p>
    <w:p w14:paraId="7BB72941" w14:textId="77777777" w:rsidR="008D75A7" w:rsidRPr="00BC705D" w:rsidRDefault="008D75A7" w:rsidP="008D75A7">
      <w:pPr>
        <w:tabs>
          <w:tab w:val="left" w:pos="3240"/>
        </w:tabs>
        <w:spacing w:after="0"/>
        <w:rPr>
          <w:b/>
          <w:szCs w:val="28"/>
        </w:rPr>
      </w:pPr>
    </w:p>
    <w:p w14:paraId="3CB6A0CB" w14:textId="77777777" w:rsidR="008D75A7" w:rsidRDefault="008D75A7" w:rsidP="008D75A7">
      <w:pPr>
        <w:tabs>
          <w:tab w:val="left" w:pos="3240"/>
        </w:tabs>
        <w:rPr>
          <w:szCs w:val="28"/>
          <w:u w:val="single"/>
        </w:rPr>
      </w:pPr>
      <w:r w:rsidRPr="00557D1F">
        <w:rPr>
          <w:szCs w:val="28"/>
          <w:u w:val="single"/>
        </w:rPr>
        <w:t>Recruitment</w:t>
      </w:r>
    </w:p>
    <w:p w14:paraId="45436117" w14:textId="77777777" w:rsidR="008D75A7" w:rsidRPr="000A2E41" w:rsidRDefault="008D75A7" w:rsidP="008D75A7">
      <w:pPr>
        <w:tabs>
          <w:tab w:val="left" w:pos="3240"/>
        </w:tabs>
        <w:rPr>
          <w:szCs w:val="28"/>
        </w:rPr>
      </w:pPr>
      <w:r w:rsidRPr="000A2E41">
        <w:rPr>
          <w:szCs w:val="28"/>
        </w:rPr>
        <w:t xml:space="preserve">By moving </w:t>
      </w:r>
      <w:proofErr w:type="spellStart"/>
      <w:r w:rsidRPr="000A2E41">
        <w:rPr>
          <w:szCs w:val="28"/>
        </w:rPr>
        <w:t>BioSense</w:t>
      </w:r>
      <w:proofErr w:type="spellEnd"/>
      <w:r w:rsidRPr="000A2E41">
        <w:rPr>
          <w:szCs w:val="28"/>
        </w:rPr>
        <w:t xml:space="preserve"> 2.0 into a cloud computing environment, we have significantly reduced the technical and monetary burden often placed on state, </w:t>
      </w:r>
      <w:proofErr w:type="gramStart"/>
      <w:r w:rsidRPr="000A2E41">
        <w:rPr>
          <w:szCs w:val="28"/>
        </w:rPr>
        <w:t>local,</w:t>
      </w:r>
      <w:proofErr w:type="gramEnd"/>
      <w:r w:rsidRPr="000A2E41">
        <w:rPr>
          <w:szCs w:val="28"/>
        </w:rPr>
        <w:t xml:space="preserve"> and territorial public health jurisdictions.  Further, the </w:t>
      </w:r>
      <w:proofErr w:type="spellStart"/>
      <w:r w:rsidRPr="000A2E41">
        <w:rPr>
          <w:szCs w:val="28"/>
        </w:rPr>
        <w:t>BioSense</w:t>
      </w:r>
      <w:proofErr w:type="spellEnd"/>
      <w:r w:rsidRPr="000A2E41">
        <w:rPr>
          <w:szCs w:val="28"/>
        </w:rPr>
        <w:t xml:space="preserve"> team provides onboarding services, technical assistance, and multiple ways to transfer data into the </w:t>
      </w:r>
      <w:proofErr w:type="spellStart"/>
      <w:r w:rsidRPr="000A2E41">
        <w:rPr>
          <w:szCs w:val="28"/>
        </w:rPr>
        <w:t>BioSense</w:t>
      </w:r>
      <w:proofErr w:type="spellEnd"/>
      <w:r w:rsidRPr="000A2E41">
        <w:rPr>
          <w:szCs w:val="28"/>
        </w:rPr>
        <w:t xml:space="preserve"> 2.0 cloud environment.  This allows the jurisdictions to use technology they already have in place; thus, they spend minimal time and resources to participate in </w:t>
      </w:r>
      <w:proofErr w:type="spellStart"/>
      <w:r w:rsidRPr="000A2E41">
        <w:rPr>
          <w:szCs w:val="28"/>
        </w:rPr>
        <w:t>BioSense</w:t>
      </w:r>
      <w:proofErr w:type="spellEnd"/>
      <w:r w:rsidRPr="000A2E41">
        <w:rPr>
          <w:szCs w:val="28"/>
        </w:rPr>
        <w:t xml:space="preserve"> 2.0.  </w:t>
      </w:r>
    </w:p>
    <w:p w14:paraId="44F084EC" w14:textId="77777777" w:rsidR="008D75A7" w:rsidRPr="00CC21FC" w:rsidRDefault="008D75A7" w:rsidP="008D75A7">
      <w:pPr>
        <w:tabs>
          <w:tab w:val="left" w:pos="3240"/>
        </w:tabs>
        <w:rPr>
          <w:szCs w:val="28"/>
          <w:u w:val="single"/>
        </w:rPr>
      </w:pPr>
      <w:r w:rsidRPr="00CC21FC">
        <w:rPr>
          <w:szCs w:val="28"/>
          <w:u w:val="single"/>
        </w:rPr>
        <w:t>Web Application Access</w:t>
      </w:r>
    </w:p>
    <w:p w14:paraId="5A283C35" w14:textId="77777777" w:rsidR="008D75A7" w:rsidRPr="000A2E41" w:rsidRDefault="008D75A7" w:rsidP="008D75A7">
      <w:pPr>
        <w:tabs>
          <w:tab w:val="left" w:pos="3240"/>
        </w:tabs>
        <w:rPr>
          <w:szCs w:val="28"/>
        </w:rPr>
      </w:pPr>
      <w:r w:rsidRPr="00CC21FC">
        <w:rPr>
          <w:szCs w:val="28"/>
        </w:rPr>
        <w:t xml:space="preserve">For providing access to the </w:t>
      </w:r>
      <w:proofErr w:type="spellStart"/>
      <w:r w:rsidRPr="00CC21FC">
        <w:rPr>
          <w:szCs w:val="28"/>
        </w:rPr>
        <w:t>BioSense</w:t>
      </w:r>
      <w:proofErr w:type="spellEnd"/>
      <w:r w:rsidRPr="00CC21FC">
        <w:rPr>
          <w:szCs w:val="28"/>
        </w:rPr>
        <w:t xml:space="preserve"> 2.0 application, an automated data collection form (</w:t>
      </w:r>
      <w:r w:rsidRPr="00CC21FC">
        <w:rPr>
          <w:b/>
          <w:szCs w:val="28"/>
        </w:rPr>
        <w:t>Attachment 3</w:t>
      </w:r>
      <w:r w:rsidRPr="00CC21FC">
        <w:rPr>
          <w:szCs w:val="28"/>
        </w:rPr>
        <w:t>) is</w:t>
      </w:r>
      <w:r>
        <w:rPr>
          <w:szCs w:val="28"/>
        </w:rPr>
        <w:t xml:space="preserve"> used.  This use of</w:t>
      </w:r>
      <w:r w:rsidRPr="00CC21FC">
        <w:rPr>
          <w:szCs w:val="28"/>
        </w:rPr>
        <w:t xml:space="preserve"> information technology reduces burden on prospective </w:t>
      </w:r>
      <w:proofErr w:type="spellStart"/>
      <w:r w:rsidRPr="00CC21FC">
        <w:rPr>
          <w:szCs w:val="28"/>
        </w:rPr>
        <w:t>BioSense</w:t>
      </w:r>
      <w:proofErr w:type="spellEnd"/>
      <w:r w:rsidRPr="00CC21FC">
        <w:rPr>
          <w:szCs w:val="28"/>
        </w:rPr>
        <w:t xml:space="preserve"> users and facilitates the most rapid processing of requests.</w:t>
      </w:r>
    </w:p>
    <w:p w14:paraId="549A9B5D" w14:textId="77777777" w:rsidR="008D75A7" w:rsidRDefault="008D75A7" w:rsidP="008D75A7">
      <w:pPr>
        <w:tabs>
          <w:tab w:val="left" w:pos="3240"/>
        </w:tabs>
        <w:rPr>
          <w:szCs w:val="28"/>
          <w:u w:val="single"/>
        </w:rPr>
      </w:pPr>
      <w:r w:rsidRPr="00557D1F">
        <w:rPr>
          <w:szCs w:val="28"/>
          <w:u w:val="single"/>
        </w:rPr>
        <w:t>Data Collection</w:t>
      </w:r>
    </w:p>
    <w:p w14:paraId="4A471E05" w14:textId="3827CEDA" w:rsidR="008D75A7" w:rsidRPr="00CC21FC" w:rsidRDefault="008D75A7" w:rsidP="008D75A7">
      <w:pPr>
        <w:tabs>
          <w:tab w:val="left" w:pos="3240"/>
        </w:tabs>
        <w:spacing w:after="0"/>
        <w:rPr>
          <w:szCs w:val="28"/>
        </w:rPr>
      </w:pPr>
      <w:r>
        <w:rPr>
          <w:szCs w:val="28"/>
        </w:rPr>
        <w:t xml:space="preserve">To reduce burden, 100% of data collection will be conducted electronically. </w:t>
      </w:r>
      <w:r w:rsidRPr="006F5FB5">
        <w:rPr>
          <w:szCs w:val="28"/>
        </w:rPr>
        <w:t xml:space="preserve">To participate in the shared </w:t>
      </w:r>
      <w:r>
        <w:rPr>
          <w:szCs w:val="28"/>
        </w:rPr>
        <w:t xml:space="preserve">space, </w:t>
      </w:r>
      <w:r w:rsidRPr="00DE3CF4">
        <w:rPr>
          <w:szCs w:val="28"/>
        </w:rPr>
        <w:t xml:space="preserve">public health jurisdictions must </w:t>
      </w:r>
      <w:r>
        <w:rPr>
          <w:szCs w:val="28"/>
        </w:rPr>
        <w:t>simply select</w:t>
      </w:r>
      <w:r w:rsidRPr="00DE3CF4">
        <w:rPr>
          <w:szCs w:val="28"/>
        </w:rPr>
        <w:t xml:space="preserve"> from drop-down lists to choose their sharing permissions on the </w:t>
      </w:r>
      <w:proofErr w:type="spellStart"/>
      <w:r w:rsidRPr="00DE3CF4">
        <w:rPr>
          <w:szCs w:val="28"/>
        </w:rPr>
        <w:t>BioSense</w:t>
      </w:r>
      <w:proofErr w:type="spellEnd"/>
      <w:r w:rsidRPr="00DE3CF4">
        <w:rPr>
          <w:szCs w:val="28"/>
        </w:rPr>
        <w:t xml:space="preserve"> 2.0 application</w:t>
      </w:r>
      <w:r>
        <w:rPr>
          <w:szCs w:val="28"/>
        </w:rPr>
        <w:t xml:space="preserve"> </w:t>
      </w:r>
      <w:r w:rsidRPr="00CC21FC">
        <w:rPr>
          <w:szCs w:val="28"/>
        </w:rPr>
        <w:t>(</w:t>
      </w:r>
      <w:r>
        <w:rPr>
          <w:b/>
          <w:szCs w:val="28"/>
        </w:rPr>
        <w:t>Attachment 5</w:t>
      </w:r>
      <w:r w:rsidRPr="00CC21FC">
        <w:rPr>
          <w:szCs w:val="28"/>
        </w:rPr>
        <w:t>)</w:t>
      </w:r>
      <w:r>
        <w:rPr>
          <w:szCs w:val="28"/>
        </w:rPr>
        <w:t xml:space="preserve">. Once a jurisdiction chooses to share, the data they dedicate for sharing is automatically electronically transferred from their </w:t>
      </w:r>
      <w:r w:rsidRPr="00005561">
        <w:rPr>
          <w:szCs w:val="28"/>
        </w:rPr>
        <w:t xml:space="preserve">exclusive, secure space </w:t>
      </w:r>
      <w:r>
        <w:rPr>
          <w:szCs w:val="28"/>
        </w:rPr>
        <w:t xml:space="preserve">to the shared space on a daily basis. Similarly, VA, </w:t>
      </w:r>
      <w:proofErr w:type="spellStart"/>
      <w:proofErr w:type="gramStart"/>
      <w:r>
        <w:rPr>
          <w:szCs w:val="28"/>
        </w:rPr>
        <w:t>DoD</w:t>
      </w:r>
      <w:proofErr w:type="spellEnd"/>
      <w:proofErr w:type="gramEnd"/>
      <w:r>
        <w:rPr>
          <w:szCs w:val="28"/>
        </w:rPr>
        <w:t>, pharmacy, and laboratory data</w:t>
      </w:r>
      <w:r w:rsidR="000E7AA8">
        <w:rPr>
          <w:szCs w:val="28"/>
        </w:rPr>
        <w:t xml:space="preserve"> </w:t>
      </w:r>
      <w:r>
        <w:rPr>
          <w:szCs w:val="28"/>
        </w:rPr>
        <w:t xml:space="preserve">are </w:t>
      </w:r>
      <w:r w:rsidRPr="00723507">
        <w:rPr>
          <w:szCs w:val="28"/>
        </w:rPr>
        <w:t>automatically electronically transferred</w:t>
      </w:r>
      <w:r>
        <w:rPr>
          <w:szCs w:val="28"/>
        </w:rPr>
        <w:t xml:space="preserve"> </w:t>
      </w:r>
      <w:r w:rsidRPr="00723507">
        <w:rPr>
          <w:szCs w:val="28"/>
        </w:rPr>
        <w:t>from</w:t>
      </w:r>
      <w:r>
        <w:rPr>
          <w:szCs w:val="28"/>
        </w:rPr>
        <w:t xml:space="preserve"> their already existing data bases to CDC’s </w:t>
      </w:r>
      <w:r w:rsidRPr="00723507">
        <w:rPr>
          <w:szCs w:val="28"/>
        </w:rPr>
        <w:t>exclusive, secure space</w:t>
      </w:r>
      <w:r w:rsidRPr="00723507">
        <w:t xml:space="preserve"> </w:t>
      </w:r>
      <w:r>
        <w:rPr>
          <w:szCs w:val="28"/>
        </w:rPr>
        <w:t>on at least a daily</w:t>
      </w:r>
      <w:r w:rsidRPr="00723507">
        <w:rPr>
          <w:szCs w:val="28"/>
        </w:rPr>
        <w:t xml:space="preserve"> basis.</w:t>
      </w:r>
      <w:r w:rsidRPr="009F763C">
        <w:rPr>
          <w:szCs w:val="28"/>
        </w:rPr>
        <w:t xml:space="preserve"> </w:t>
      </w:r>
      <w:r>
        <w:rPr>
          <w:szCs w:val="28"/>
        </w:rPr>
        <w:t>This</w:t>
      </w:r>
      <w:r w:rsidRPr="00CC21FC">
        <w:rPr>
          <w:szCs w:val="28"/>
        </w:rPr>
        <w:t xml:space="preserve"> use of improved information technology re</w:t>
      </w:r>
      <w:r>
        <w:rPr>
          <w:szCs w:val="28"/>
        </w:rPr>
        <w:t>duces burden on</w:t>
      </w:r>
      <w:r w:rsidRPr="00CC21FC">
        <w:rPr>
          <w:szCs w:val="28"/>
        </w:rPr>
        <w:t xml:space="preserve"> </w:t>
      </w:r>
      <w:proofErr w:type="spellStart"/>
      <w:r w:rsidRPr="00CC21FC">
        <w:rPr>
          <w:szCs w:val="28"/>
        </w:rPr>
        <w:t>BioSense</w:t>
      </w:r>
      <w:proofErr w:type="spellEnd"/>
      <w:r w:rsidRPr="00CC21FC">
        <w:rPr>
          <w:szCs w:val="28"/>
        </w:rPr>
        <w:t xml:space="preserve"> 2.0 users</w:t>
      </w:r>
      <w:r>
        <w:rPr>
          <w:szCs w:val="28"/>
        </w:rPr>
        <w:t xml:space="preserve"> sharing data with the CDC </w:t>
      </w:r>
      <w:proofErr w:type="spellStart"/>
      <w:r>
        <w:rPr>
          <w:szCs w:val="28"/>
        </w:rPr>
        <w:t>BioSense</w:t>
      </w:r>
      <w:proofErr w:type="spellEnd"/>
      <w:r>
        <w:rPr>
          <w:szCs w:val="28"/>
        </w:rPr>
        <w:t xml:space="preserve"> Program</w:t>
      </w:r>
      <w:r w:rsidRPr="00CC21FC">
        <w:rPr>
          <w:szCs w:val="28"/>
        </w:rPr>
        <w:t>.</w:t>
      </w:r>
    </w:p>
    <w:p w14:paraId="25577A7D" w14:textId="77777777" w:rsidR="008D75A7" w:rsidRDefault="008D75A7" w:rsidP="008D75A7">
      <w:pPr>
        <w:tabs>
          <w:tab w:val="left" w:pos="3240"/>
        </w:tabs>
        <w:spacing w:after="0"/>
        <w:rPr>
          <w:szCs w:val="28"/>
        </w:rPr>
      </w:pPr>
    </w:p>
    <w:p w14:paraId="2802CAA1" w14:textId="77777777" w:rsidR="008D75A7" w:rsidRDefault="008D75A7" w:rsidP="008D75A7">
      <w:pPr>
        <w:tabs>
          <w:tab w:val="left" w:pos="3240"/>
        </w:tabs>
        <w:spacing w:after="0"/>
        <w:rPr>
          <w:szCs w:val="28"/>
        </w:rPr>
      </w:pPr>
    </w:p>
    <w:p w14:paraId="0E244554" w14:textId="77777777" w:rsidR="008D75A7" w:rsidRDefault="008D75A7" w:rsidP="008D75A7">
      <w:pPr>
        <w:tabs>
          <w:tab w:val="left" w:pos="3240"/>
        </w:tabs>
        <w:spacing w:after="0"/>
        <w:rPr>
          <w:szCs w:val="28"/>
        </w:rPr>
      </w:pPr>
    </w:p>
    <w:p w14:paraId="094BB5D4" w14:textId="77777777" w:rsidR="00A42135" w:rsidRDefault="00A42135" w:rsidP="008D75A7">
      <w:pPr>
        <w:tabs>
          <w:tab w:val="left" w:pos="3240"/>
        </w:tabs>
        <w:spacing w:after="0"/>
        <w:rPr>
          <w:szCs w:val="28"/>
        </w:rPr>
      </w:pPr>
    </w:p>
    <w:p w14:paraId="20845BE5" w14:textId="77777777" w:rsidR="008D75A7" w:rsidRDefault="008D75A7" w:rsidP="008D75A7">
      <w:pPr>
        <w:tabs>
          <w:tab w:val="left" w:pos="3240"/>
        </w:tabs>
        <w:spacing w:after="0"/>
        <w:rPr>
          <w:szCs w:val="28"/>
        </w:rPr>
      </w:pPr>
    </w:p>
    <w:p w14:paraId="10C61266" w14:textId="77777777" w:rsidR="008D75A7" w:rsidRDefault="008D75A7" w:rsidP="008D75A7">
      <w:pPr>
        <w:tabs>
          <w:tab w:val="left" w:pos="3240"/>
        </w:tabs>
        <w:spacing w:after="0"/>
        <w:rPr>
          <w:szCs w:val="28"/>
        </w:rPr>
      </w:pPr>
    </w:p>
    <w:p w14:paraId="6EC734FE" w14:textId="77777777" w:rsidR="008D75A7" w:rsidRDefault="008D75A7" w:rsidP="008D75A7">
      <w:pPr>
        <w:tabs>
          <w:tab w:val="left" w:pos="3240"/>
        </w:tabs>
        <w:spacing w:after="0"/>
        <w:rPr>
          <w:b/>
          <w:szCs w:val="28"/>
        </w:rPr>
      </w:pPr>
      <w:proofErr w:type="gramStart"/>
      <w:r>
        <w:rPr>
          <w:b/>
          <w:szCs w:val="28"/>
        </w:rPr>
        <w:lastRenderedPageBreak/>
        <w:t xml:space="preserve">4  </w:t>
      </w:r>
      <w:r w:rsidRPr="00BC705D">
        <w:rPr>
          <w:b/>
          <w:szCs w:val="28"/>
        </w:rPr>
        <w:t>Efforts</w:t>
      </w:r>
      <w:proofErr w:type="gramEnd"/>
      <w:r w:rsidRPr="00BC705D">
        <w:rPr>
          <w:b/>
          <w:szCs w:val="28"/>
        </w:rPr>
        <w:t xml:space="preserve"> to Identify Duplication and Use of Similar Information</w:t>
      </w:r>
    </w:p>
    <w:p w14:paraId="6B48E27E" w14:textId="77777777" w:rsidR="008D75A7" w:rsidRPr="000A2E41" w:rsidRDefault="008D75A7" w:rsidP="008D75A7">
      <w:pPr>
        <w:tabs>
          <w:tab w:val="left" w:pos="3240"/>
        </w:tabs>
        <w:spacing w:after="0"/>
        <w:rPr>
          <w:b/>
          <w:szCs w:val="28"/>
        </w:rPr>
      </w:pPr>
    </w:p>
    <w:p w14:paraId="6625DD1A" w14:textId="77777777" w:rsidR="008D75A7" w:rsidRDefault="008D75A7" w:rsidP="008D75A7">
      <w:pPr>
        <w:tabs>
          <w:tab w:val="left" w:pos="3240"/>
        </w:tabs>
        <w:rPr>
          <w:szCs w:val="28"/>
          <w:u w:val="single"/>
        </w:rPr>
      </w:pPr>
      <w:r w:rsidRPr="00557D1F">
        <w:rPr>
          <w:szCs w:val="28"/>
          <w:u w:val="single"/>
        </w:rPr>
        <w:t>Recruitment</w:t>
      </w:r>
    </w:p>
    <w:p w14:paraId="55A02CD9" w14:textId="77777777" w:rsidR="008D75A7" w:rsidRPr="00196CB7" w:rsidRDefault="008D75A7" w:rsidP="008D75A7">
      <w:pPr>
        <w:tabs>
          <w:tab w:val="left" w:pos="3240"/>
        </w:tabs>
        <w:rPr>
          <w:szCs w:val="28"/>
        </w:rPr>
      </w:pPr>
      <w:proofErr w:type="spellStart"/>
      <w:r w:rsidRPr="000A2E41">
        <w:rPr>
          <w:szCs w:val="28"/>
        </w:rPr>
        <w:t>BioSense</w:t>
      </w:r>
      <w:proofErr w:type="spellEnd"/>
      <w:r w:rsidRPr="000A2E41">
        <w:rPr>
          <w:szCs w:val="28"/>
        </w:rPr>
        <w:t xml:space="preserve"> 2.0 has taken a user centered approach, so the state, local, and territorial and health departments respond to communication outreach materials and can solicit information themselves on how to join.  If they do choose to join The </w:t>
      </w:r>
      <w:proofErr w:type="spellStart"/>
      <w:r w:rsidRPr="000A2E41">
        <w:rPr>
          <w:szCs w:val="28"/>
        </w:rPr>
        <w:t>BioSense</w:t>
      </w:r>
      <w:proofErr w:type="spellEnd"/>
      <w:r w:rsidRPr="000A2E41">
        <w:rPr>
          <w:szCs w:val="28"/>
        </w:rPr>
        <w:t xml:space="preserve"> technical team works to accommodate their specifications for data submission. There is no information other than contact information collected during this process; therefore, information must be collected directly from those applying for use of </w:t>
      </w:r>
      <w:proofErr w:type="spellStart"/>
      <w:r w:rsidRPr="000A2E41">
        <w:rPr>
          <w:szCs w:val="28"/>
        </w:rPr>
        <w:t>BioSense</w:t>
      </w:r>
      <w:proofErr w:type="spellEnd"/>
      <w:r w:rsidRPr="000A2E41">
        <w:rPr>
          <w:szCs w:val="28"/>
        </w:rPr>
        <w:t xml:space="preserve"> 2.0 and would not be available from another source. </w:t>
      </w:r>
    </w:p>
    <w:p w14:paraId="7CE56B14" w14:textId="77777777" w:rsidR="008D75A7" w:rsidRPr="00A569C1" w:rsidRDefault="008D75A7" w:rsidP="008D75A7">
      <w:pPr>
        <w:tabs>
          <w:tab w:val="left" w:pos="3240"/>
        </w:tabs>
        <w:rPr>
          <w:szCs w:val="28"/>
          <w:u w:val="single"/>
        </w:rPr>
      </w:pPr>
      <w:r w:rsidRPr="00A569C1">
        <w:rPr>
          <w:szCs w:val="28"/>
          <w:u w:val="single"/>
        </w:rPr>
        <w:t>Web Application Access</w:t>
      </w:r>
    </w:p>
    <w:p w14:paraId="0849CDD6" w14:textId="77777777" w:rsidR="008D75A7" w:rsidRDefault="008D75A7" w:rsidP="008D75A7">
      <w:pPr>
        <w:tabs>
          <w:tab w:val="left" w:pos="3240"/>
        </w:tabs>
        <w:rPr>
          <w:szCs w:val="28"/>
        </w:rPr>
      </w:pPr>
      <w:r w:rsidRPr="000A2E41">
        <w:rPr>
          <w:szCs w:val="28"/>
        </w:rPr>
        <w:t xml:space="preserve">Regarding provision of access to the </w:t>
      </w:r>
      <w:proofErr w:type="spellStart"/>
      <w:r w:rsidRPr="000A2E41">
        <w:rPr>
          <w:szCs w:val="28"/>
        </w:rPr>
        <w:t>BioSense</w:t>
      </w:r>
      <w:proofErr w:type="spellEnd"/>
      <w:r w:rsidRPr="000A2E41">
        <w:rPr>
          <w:szCs w:val="28"/>
        </w:rPr>
        <w:t xml:space="preserve"> 2.0 application, the information must be collected directly from those applying for access and would not be available from another source.</w:t>
      </w:r>
    </w:p>
    <w:p w14:paraId="126A500E" w14:textId="77777777" w:rsidR="008D75A7" w:rsidRDefault="008D75A7" w:rsidP="008D75A7">
      <w:pPr>
        <w:tabs>
          <w:tab w:val="left" w:pos="3240"/>
        </w:tabs>
        <w:rPr>
          <w:szCs w:val="28"/>
          <w:u w:val="single"/>
        </w:rPr>
      </w:pPr>
      <w:r w:rsidRPr="00A569C1">
        <w:rPr>
          <w:szCs w:val="28"/>
          <w:u w:val="single"/>
        </w:rPr>
        <w:t>Data Collection</w:t>
      </w:r>
    </w:p>
    <w:p w14:paraId="138DDD3D" w14:textId="77777777" w:rsidR="008D75A7" w:rsidRPr="00E63205" w:rsidRDefault="008D75A7" w:rsidP="008D75A7">
      <w:pPr>
        <w:tabs>
          <w:tab w:val="left" w:pos="3240"/>
        </w:tabs>
        <w:spacing w:after="0"/>
        <w:rPr>
          <w:szCs w:val="28"/>
        </w:rPr>
      </w:pPr>
      <w:r>
        <w:rPr>
          <w:szCs w:val="28"/>
        </w:rPr>
        <w:t xml:space="preserve">Though there are public health jurisdiction-level </w:t>
      </w:r>
      <w:proofErr w:type="spellStart"/>
      <w:r>
        <w:rPr>
          <w:szCs w:val="28"/>
        </w:rPr>
        <w:t>syndromic</w:t>
      </w:r>
      <w:proofErr w:type="spellEnd"/>
      <w:r>
        <w:rPr>
          <w:szCs w:val="28"/>
        </w:rPr>
        <w:t xml:space="preserve"> surveillance systems established in some areas of the country (e.g., statewide </w:t>
      </w:r>
      <w:proofErr w:type="spellStart"/>
      <w:r>
        <w:rPr>
          <w:szCs w:val="28"/>
        </w:rPr>
        <w:t>syndromic</w:t>
      </w:r>
      <w:proofErr w:type="spellEnd"/>
      <w:r>
        <w:rPr>
          <w:szCs w:val="28"/>
        </w:rPr>
        <w:t xml:space="preserve"> surveillance systems in North Carolina – NC DETECT, Ohio – </w:t>
      </w:r>
      <w:proofErr w:type="spellStart"/>
      <w:r>
        <w:rPr>
          <w:szCs w:val="28"/>
        </w:rPr>
        <w:t>EpiCenter</w:t>
      </w:r>
      <w:proofErr w:type="spellEnd"/>
      <w:r>
        <w:rPr>
          <w:szCs w:val="28"/>
        </w:rPr>
        <w:t>, and New Hampshire – AHEDD), without</w:t>
      </w:r>
      <w:r w:rsidRPr="00E63205">
        <w:rPr>
          <w:szCs w:val="28"/>
        </w:rPr>
        <w:t xml:space="preserve"> </w:t>
      </w:r>
      <w:proofErr w:type="spellStart"/>
      <w:r w:rsidRPr="00E63205">
        <w:rPr>
          <w:szCs w:val="28"/>
        </w:rPr>
        <w:t>BioSense</w:t>
      </w:r>
      <w:proofErr w:type="spellEnd"/>
      <w:r w:rsidRPr="00E63205">
        <w:rPr>
          <w:szCs w:val="28"/>
        </w:rPr>
        <w:t xml:space="preserve"> 2.0, there would be no </w:t>
      </w:r>
      <w:proofErr w:type="spellStart"/>
      <w:r w:rsidRPr="00E63205">
        <w:rPr>
          <w:szCs w:val="28"/>
        </w:rPr>
        <w:t>syndromic</w:t>
      </w:r>
      <w:proofErr w:type="spellEnd"/>
      <w:r w:rsidRPr="00E63205">
        <w:rPr>
          <w:szCs w:val="28"/>
        </w:rPr>
        <w:t xml:space="preserve"> surveillance system that could combine non-federal hospital, VA, </w:t>
      </w:r>
      <w:proofErr w:type="spellStart"/>
      <w:r w:rsidRPr="00E63205">
        <w:rPr>
          <w:szCs w:val="28"/>
        </w:rPr>
        <w:t>DoD</w:t>
      </w:r>
      <w:proofErr w:type="spellEnd"/>
      <w:r w:rsidRPr="00E63205">
        <w:rPr>
          <w:szCs w:val="28"/>
        </w:rPr>
        <w:t>, pharmacy and laboratory data to provide public health situation awareness at the national level.</w:t>
      </w:r>
      <w:r>
        <w:rPr>
          <w:szCs w:val="28"/>
        </w:rPr>
        <w:t xml:space="preserve"> This was the case when the </w:t>
      </w:r>
      <w:proofErr w:type="spellStart"/>
      <w:r>
        <w:rPr>
          <w:szCs w:val="28"/>
        </w:rPr>
        <w:t>BioSense</w:t>
      </w:r>
      <w:proofErr w:type="spellEnd"/>
      <w:r>
        <w:rPr>
          <w:szCs w:val="28"/>
        </w:rPr>
        <w:t xml:space="preserve"> Program was mandated by Congress in 2002, and it is still the case today.</w:t>
      </w:r>
    </w:p>
    <w:p w14:paraId="446D30D2" w14:textId="77777777" w:rsidR="008D75A7" w:rsidRDefault="008D75A7" w:rsidP="008D75A7">
      <w:pPr>
        <w:tabs>
          <w:tab w:val="left" w:pos="3240"/>
        </w:tabs>
        <w:spacing w:after="0"/>
        <w:rPr>
          <w:szCs w:val="28"/>
        </w:rPr>
      </w:pPr>
    </w:p>
    <w:p w14:paraId="2BF6C2F4" w14:textId="77777777" w:rsidR="008D75A7" w:rsidRPr="00512454" w:rsidRDefault="008D75A7" w:rsidP="008D75A7">
      <w:pPr>
        <w:tabs>
          <w:tab w:val="left" w:pos="3240"/>
        </w:tabs>
        <w:spacing w:after="0"/>
        <w:rPr>
          <w:szCs w:val="28"/>
        </w:rPr>
      </w:pPr>
    </w:p>
    <w:p w14:paraId="34A1DC3D" w14:textId="77777777" w:rsidR="008D75A7" w:rsidRDefault="008D75A7" w:rsidP="008D75A7">
      <w:pPr>
        <w:tabs>
          <w:tab w:val="left" w:pos="3240"/>
        </w:tabs>
        <w:spacing w:after="0"/>
        <w:rPr>
          <w:b/>
          <w:szCs w:val="28"/>
        </w:rPr>
      </w:pPr>
      <w:proofErr w:type="gramStart"/>
      <w:r>
        <w:rPr>
          <w:b/>
          <w:szCs w:val="28"/>
        </w:rPr>
        <w:t xml:space="preserve">5  </w:t>
      </w:r>
      <w:r w:rsidRPr="00BC705D">
        <w:rPr>
          <w:b/>
          <w:szCs w:val="28"/>
        </w:rPr>
        <w:t>Impact</w:t>
      </w:r>
      <w:proofErr w:type="gramEnd"/>
      <w:r w:rsidRPr="00BC705D">
        <w:rPr>
          <w:b/>
          <w:szCs w:val="28"/>
        </w:rPr>
        <w:t xml:space="preserve"> on Small businesses or Other Small Entities</w:t>
      </w:r>
    </w:p>
    <w:p w14:paraId="408AE295" w14:textId="77777777" w:rsidR="008D75A7" w:rsidRPr="00BC705D" w:rsidRDefault="008D75A7" w:rsidP="008D75A7">
      <w:pPr>
        <w:tabs>
          <w:tab w:val="left" w:pos="3240"/>
        </w:tabs>
        <w:spacing w:after="0"/>
        <w:rPr>
          <w:b/>
          <w:szCs w:val="28"/>
        </w:rPr>
      </w:pPr>
    </w:p>
    <w:p w14:paraId="2B23407A" w14:textId="77777777" w:rsidR="008D75A7" w:rsidRDefault="008D75A7" w:rsidP="008D75A7">
      <w:pPr>
        <w:rPr>
          <w:szCs w:val="28"/>
          <w:u w:val="single"/>
        </w:rPr>
      </w:pPr>
      <w:r w:rsidRPr="001C15AA">
        <w:rPr>
          <w:szCs w:val="28"/>
          <w:u w:val="single"/>
        </w:rPr>
        <w:t>Recruitment</w:t>
      </w:r>
    </w:p>
    <w:p w14:paraId="026D53B4" w14:textId="77777777" w:rsidR="008D75A7" w:rsidRPr="00557D1F" w:rsidRDefault="008D75A7" w:rsidP="008D75A7">
      <w:pPr>
        <w:rPr>
          <w:szCs w:val="28"/>
        </w:rPr>
      </w:pPr>
      <w:r w:rsidRPr="00557D1F">
        <w:rPr>
          <w:szCs w:val="28"/>
        </w:rPr>
        <w:t>This collection of information does not involve small businesses or other small entities.</w:t>
      </w:r>
    </w:p>
    <w:p w14:paraId="3730C987" w14:textId="77777777" w:rsidR="008D75A7" w:rsidRDefault="008D75A7" w:rsidP="008D75A7">
      <w:pPr>
        <w:rPr>
          <w:szCs w:val="28"/>
          <w:u w:val="single"/>
        </w:rPr>
      </w:pPr>
      <w:r w:rsidRPr="001C15AA">
        <w:rPr>
          <w:szCs w:val="28"/>
          <w:u w:val="single"/>
        </w:rPr>
        <w:t>Web Application Access</w:t>
      </w:r>
    </w:p>
    <w:p w14:paraId="65B00F2B" w14:textId="77777777" w:rsidR="008D75A7" w:rsidRPr="00557D1F" w:rsidRDefault="008D75A7" w:rsidP="008D75A7">
      <w:pPr>
        <w:rPr>
          <w:szCs w:val="28"/>
        </w:rPr>
      </w:pPr>
      <w:r w:rsidRPr="00D96B37">
        <w:rPr>
          <w:szCs w:val="28"/>
        </w:rPr>
        <w:t>This collection of information does not involve small businesses or other small entities.</w:t>
      </w:r>
    </w:p>
    <w:p w14:paraId="2E42CE45" w14:textId="77777777" w:rsidR="008D75A7" w:rsidRPr="001C15AA" w:rsidRDefault="008D75A7" w:rsidP="008D75A7">
      <w:pPr>
        <w:rPr>
          <w:szCs w:val="28"/>
          <w:u w:val="single"/>
        </w:rPr>
      </w:pPr>
      <w:r w:rsidRPr="001C15AA">
        <w:rPr>
          <w:szCs w:val="28"/>
          <w:u w:val="single"/>
        </w:rPr>
        <w:t>Data Collection</w:t>
      </w:r>
    </w:p>
    <w:p w14:paraId="53F00B40" w14:textId="77777777" w:rsidR="008D75A7" w:rsidRDefault="008D75A7" w:rsidP="008D75A7">
      <w:pPr>
        <w:spacing w:after="0"/>
        <w:rPr>
          <w:color w:val="000000"/>
        </w:rPr>
      </w:pPr>
      <w:r w:rsidRPr="00986691">
        <w:rPr>
          <w:color w:val="000000"/>
        </w:rPr>
        <w:t>This collection of information does not involve small businesses or other small entities.</w:t>
      </w:r>
    </w:p>
    <w:p w14:paraId="3AEC7C74" w14:textId="77777777" w:rsidR="008D75A7" w:rsidRDefault="008D75A7" w:rsidP="008D75A7">
      <w:pPr>
        <w:spacing w:after="0"/>
        <w:rPr>
          <w:color w:val="000000"/>
        </w:rPr>
      </w:pPr>
    </w:p>
    <w:p w14:paraId="1D6F3EB1" w14:textId="77777777" w:rsidR="008D75A7" w:rsidRPr="00986691" w:rsidRDefault="008D75A7" w:rsidP="008D75A7">
      <w:pPr>
        <w:spacing w:after="0"/>
        <w:rPr>
          <w:color w:val="000000"/>
        </w:rPr>
      </w:pPr>
    </w:p>
    <w:p w14:paraId="4FC4C9E4" w14:textId="77777777" w:rsidR="008D75A7" w:rsidRDefault="008D75A7" w:rsidP="008D75A7">
      <w:pPr>
        <w:tabs>
          <w:tab w:val="left" w:pos="3240"/>
        </w:tabs>
        <w:spacing w:after="0"/>
        <w:rPr>
          <w:b/>
          <w:szCs w:val="28"/>
        </w:rPr>
      </w:pPr>
      <w:proofErr w:type="gramStart"/>
      <w:r>
        <w:rPr>
          <w:b/>
          <w:szCs w:val="28"/>
        </w:rPr>
        <w:t xml:space="preserve">6  </w:t>
      </w:r>
      <w:r w:rsidRPr="00BC705D">
        <w:rPr>
          <w:b/>
          <w:szCs w:val="28"/>
        </w:rPr>
        <w:t>Consequences</w:t>
      </w:r>
      <w:proofErr w:type="gramEnd"/>
      <w:r w:rsidRPr="00BC705D">
        <w:rPr>
          <w:b/>
          <w:szCs w:val="28"/>
        </w:rPr>
        <w:t xml:space="preserve"> of Collecting the Information Less Frequently </w:t>
      </w:r>
    </w:p>
    <w:p w14:paraId="4B821581" w14:textId="77777777" w:rsidR="008D75A7" w:rsidRPr="00BC705D" w:rsidRDefault="008D75A7" w:rsidP="008D75A7">
      <w:pPr>
        <w:tabs>
          <w:tab w:val="left" w:pos="3240"/>
        </w:tabs>
        <w:spacing w:after="0"/>
        <w:rPr>
          <w:b/>
          <w:szCs w:val="28"/>
        </w:rPr>
      </w:pPr>
    </w:p>
    <w:p w14:paraId="587FE25C" w14:textId="77777777" w:rsidR="008D75A7" w:rsidRPr="00557D1F" w:rsidRDefault="008D75A7" w:rsidP="008D75A7">
      <w:pPr>
        <w:rPr>
          <w:szCs w:val="28"/>
          <w:u w:val="single"/>
        </w:rPr>
      </w:pPr>
      <w:r w:rsidRPr="001C15AA">
        <w:rPr>
          <w:szCs w:val="28"/>
          <w:u w:val="single"/>
        </w:rPr>
        <w:t>Recruitment</w:t>
      </w:r>
      <w:r>
        <w:rPr>
          <w:szCs w:val="28"/>
          <w:u w:val="single"/>
        </w:rPr>
        <w:t xml:space="preserve"> and Web Application Access</w:t>
      </w:r>
    </w:p>
    <w:p w14:paraId="3D1BBDDC" w14:textId="77777777" w:rsidR="008D75A7" w:rsidRPr="000A2E41" w:rsidRDefault="008D75A7" w:rsidP="008D75A7">
      <w:pPr>
        <w:tabs>
          <w:tab w:val="left" w:pos="3240"/>
        </w:tabs>
        <w:rPr>
          <w:szCs w:val="28"/>
        </w:rPr>
      </w:pPr>
      <w:r w:rsidRPr="000A2E41">
        <w:rPr>
          <w:szCs w:val="28"/>
        </w:rPr>
        <w:t xml:space="preserve">Regarding addition of new data sources, the connection for data transmission from a hospital, jurisdiction </w:t>
      </w:r>
      <w:proofErr w:type="spellStart"/>
      <w:r w:rsidRPr="000A2E41">
        <w:rPr>
          <w:szCs w:val="28"/>
        </w:rPr>
        <w:t>syndromic</w:t>
      </w:r>
      <w:proofErr w:type="spellEnd"/>
      <w:r w:rsidRPr="000A2E41">
        <w:rPr>
          <w:szCs w:val="28"/>
        </w:rPr>
        <w:t xml:space="preserve"> surveillance system, etc. to </w:t>
      </w:r>
      <w:proofErr w:type="spellStart"/>
      <w:r w:rsidRPr="000A2E41">
        <w:rPr>
          <w:szCs w:val="28"/>
        </w:rPr>
        <w:t>BioSense</w:t>
      </w:r>
      <w:proofErr w:type="spellEnd"/>
      <w:r w:rsidRPr="000A2E41">
        <w:rPr>
          <w:szCs w:val="28"/>
        </w:rPr>
        <w:t xml:space="preserve"> 2.0, is a one-time event.  Similarly, registration for </w:t>
      </w:r>
      <w:proofErr w:type="spellStart"/>
      <w:r w:rsidRPr="000A2E41">
        <w:rPr>
          <w:szCs w:val="28"/>
        </w:rPr>
        <w:t>BioSense</w:t>
      </w:r>
      <w:proofErr w:type="spellEnd"/>
      <w:r w:rsidRPr="000A2E41">
        <w:rPr>
          <w:szCs w:val="28"/>
        </w:rPr>
        <w:t xml:space="preserve"> 2.0 </w:t>
      </w:r>
      <w:r w:rsidRPr="000A2E41">
        <w:rPr>
          <w:szCs w:val="28"/>
        </w:rPr>
        <w:lastRenderedPageBreak/>
        <w:t xml:space="preserve">application access requires only a one-time collection of information. There are no recurring burdens on the user for these activities. This is a shift from </w:t>
      </w:r>
      <w:proofErr w:type="spellStart"/>
      <w:r w:rsidRPr="000A2E41">
        <w:rPr>
          <w:szCs w:val="28"/>
        </w:rPr>
        <w:t>BioSense</w:t>
      </w:r>
      <w:proofErr w:type="spellEnd"/>
      <w:r w:rsidRPr="000A2E41">
        <w:rPr>
          <w:szCs w:val="28"/>
        </w:rPr>
        <w:t xml:space="preserve"> 1.0 to 2.0, which reduces the burden on the user.  </w:t>
      </w:r>
    </w:p>
    <w:p w14:paraId="6C4F83FA" w14:textId="77777777" w:rsidR="008D75A7" w:rsidRPr="000A2E41" w:rsidRDefault="008D75A7" w:rsidP="008D75A7">
      <w:pPr>
        <w:tabs>
          <w:tab w:val="left" w:pos="3240"/>
        </w:tabs>
        <w:rPr>
          <w:szCs w:val="28"/>
        </w:rPr>
      </w:pPr>
      <w:r w:rsidRPr="000A2E41">
        <w:rPr>
          <w:szCs w:val="28"/>
        </w:rPr>
        <w:t>There are no legal obstacles to reducing the burden.</w:t>
      </w:r>
    </w:p>
    <w:p w14:paraId="4186EC9B" w14:textId="77777777" w:rsidR="008D75A7" w:rsidRDefault="008D75A7" w:rsidP="008D75A7">
      <w:pPr>
        <w:tabs>
          <w:tab w:val="left" w:pos="3240"/>
        </w:tabs>
        <w:rPr>
          <w:szCs w:val="28"/>
          <w:u w:val="single"/>
        </w:rPr>
      </w:pPr>
      <w:r w:rsidRPr="00557D1F">
        <w:rPr>
          <w:szCs w:val="28"/>
          <w:u w:val="single"/>
        </w:rPr>
        <w:t>Data Collection</w:t>
      </w:r>
    </w:p>
    <w:p w14:paraId="702FC79A" w14:textId="77777777" w:rsidR="008D75A7" w:rsidRPr="009F6D61" w:rsidRDefault="008D75A7" w:rsidP="008D75A7">
      <w:pPr>
        <w:tabs>
          <w:tab w:val="left" w:pos="3240"/>
        </w:tabs>
        <w:spacing w:after="0"/>
        <w:rPr>
          <w:szCs w:val="28"/>
        </w:rPr>
      </w:pPr>
      <w:r>
        <w:rPr>
          <w:szCs w:val="28"/>
        </w:rPr>
        <w:t xml:space="preserve">Public health jurisdictions are encouraged to contribute data to the shared space on a voluntary basis. </w:t>
      </w:r>
      <w:r w:rsidRPr="00964ADC">
        <w:rPr>
          <w:szCs w:val="28"/>
        </w:rPr>
        <w:t xml:space="preserve">To participate in the shared space, </w:t>
      </w:r>
      <w:r w:rsidRPr="005F5036">
        <w:rPr>
          <w:szCs w:val="28"/>
        </w:rPr>
        <w:t xml:space="preserve">public health jurisdictions must </w:t>
      </w:r>
      <w:r>
        <w:rPr>
          <w:szCs w:val="28"/>
        </w:rPr>
        <w:t>simply select</w:t>
      </w:r>
      <w:r w:rsidRPr="005F5036">
        <w:rPr>
          <w:szCs w:val="28"/>
        </w:rPr>
        <w:t xml:space="preserve"> from drop-down lists to choose their sharing permissions on the </w:t>
      </w:r>
      <w:proofErr w:type="spellStart"/>
      <w:r w:rsidRPr="005F5036">
        <w:rPr>
          <w:szCs w:val="28"/>
        </w:rPr>
        <w:t>BioSense</w:t>
      </w:r>
      <w:proofErr w:type="spellEnd"/>
      <w:r w:rsidRPr="005F5036">
        <w:rPr>
          <w:szCs w:val="28"/>
        </w:rPr>
        <w:t xml:space="preserve"> 2.0 application</w:t>
      </w:r>
      <w:r>
        <w:rPr>
          <w:szCs w:val="28"/>
        </w:rPr>
        <w:t xml:space="preserve"> </w:t>
      </w:r>
      <w:r w:rsidRPr="00CC21FC">
        <w:rPr>
          <w:szCs w:val="28"/>
        </w:rPr>
        <w:t>(</w:t>
      </w:r>
      <w:r>
        <w:rPr>
          <w:b/>
          <w:szCs w:val="28"/>
        </w:rPr>
        <w:t>Attachment 5</w:t>
      </w:r>
      <w:r w:rsidRPr="00CC21FC">
        <w:rPr>
          <w:szCs w:val="28"/>
        </w:rPr>
        <w:t>)</w:t>
      </w:r>
      <w:r>
        <w:rPr>
          <w:szCs w:val="28"/>
        </w:rPr>
        <w:t>. They must perform this task one time; thereafter,</w:t>
      </w:r>
      <w:r w:rsidRPr="00964ADC">
        <w:rPr>
          <w:szCs w:val="28"/>
        </w:rPr>
        <w:t xml:space="preserve"> the data they dedicate for sharing is automatically electronically transferred from their exclusive, secure space </w:t>
      </w:r>
      <w:r>
        <w:rPr>
          <w:szCs w:val="28"/>
        </w:rPr>
        <w:t>to the shared space on a daily</w:t>
      </w:r>
      <w:r w:rsidRPr="00964ADC">
        <w:rPr>
          <w:szCs w:val="28"/>
        </w:rPr>
        <w:t xml:space="preserve"> basis.</w:t>
      </w:r>
      <w:r w:rsidRPr="0058378F">
        <w:rPr>
          <w:color w:val="000000"/>
        </w:rPr>
        <w:t xml:space="preserve"> </w:t>
      </w:r>
      <w:r>
        <w:rPr>
          <w:color w:val="000000"/>
        </w:rPr>
        <w:t xml:space="preserve">Regarding </w:t>
      </w:r>
      <w:r w:rsidRPr="0058378F">
        <w:rPr>
          <w:szCs w:val="28"/>
        </w:rPr>
        <w:t xml:space="preserve">VA, </w:t>
      </w:r>
      <w:proofErr w:type="spellStart"/>
      <w:proofErr w:type="gramStart"/>
      <w:r w:rsidRPr="0058378F">
        <w:rPr>
          <w:szCs w:val="28"/>
        </w:rPr>
        <w:t>DoD</w:t>
      </w:r>
      <w:proofErr w:type="spellEnd"/>
      <w:proofErr w:type="gramEnd"/>
      <w:r w:rsidRPr="0058378F">
        <w:rPr>
          <w:szCs w:val="28"/>
        </w:rPr>
        <w:t>, the two national clinical laboratory corporations, and the</w:t>
      </w:r>
      <w:r w:rsidRPr="00CD7F6B">
        <w:rPr>
          <w:szCs w:val="28"/>
        </w:rPr>
        <w:t xml:space="preserve"> private sector heal</w:t>
      </w:r>
      <w:r>
        <w:rPr>
          <w:szCs w:val="28"/>
        </w:rPr>
        <w:t>th information exchange company, they</w:t>
      </w:r>
      <w:r w:rsidRPr="0058378F">
        <w:rPr>
          <w:szCs w:val="28"/>
        </w:rPr>
        <w:t xml:space="preserve"> automatically chose to share with CDC when they were recruited to submit data to the </w:t>
      </w:r>
      <w:proofErr w:type="spellStart"/>
      <w:r w:rsidRPr="0058378F">
        <w:rPr>
          <w:szCs w:val="28"/>
        </w:rPr>
        <w:t>BioSense</w:t>
      </w:r>
      <w:proofErr w:type="spellEnd"/>
      <w:r w:rsidRPr="0058378F">
        <w:rPr>
          <w:szCs w:val="28"/>
        </w:rPr>
        <w:t xml:space="preserve"> 2.0 cloud environment. Thus, data collection for them encompassed</w:t>
      </w:r>
      <w:r>
        <w:rPr>
          <w:szCs w:val="28"/>
        </w:rPr>
        <w:t xml:space="preserve"> a one-time redirection of</w:t>
      </w:r>
      <w:r w:rsidRPr="0058378F">
        <w:rPr>
          <w:szCs w:val="28"/>
        </w:rPr>
        <w:t xml:space="preserve"> their data feed from the Informat</w:t>
      </w:r>
      <w:r>
        <w:rPr>
          <w:szCs w:val="28"/>
        </w:rPr>
        <w:t>ion Technology Services</w:t>
      </w:r>
      <w:r w:rsidRPr="0058378F">
        <w:rPr>
          <w:color w:val="000000"/>
        </w:rPr>
        <w:t xml:space="preserve"> </w:t>
      </w:r>
      <w:r w:rsidRPr="0058378F">
        <w:rPr>
          <w:szCs w:val="28"/>
        </w:rPr>
        <w:t xml:space="preserve">Office’s Mid-Tier Data Center to the </w:t>
      </w:r>
      <w:proofErr w:type="spellStart"/>
      <w:r w:rsidRPr="0058378F">
        <w:rPr>
          <w:szCs w:val="28"/>
        </w:rPr>
        <w:t>BioSense</w:t>
      </w:r>
      <w:proofErr w:type="spellEnd"/>
      <w:r w:rsidRPr="0058378F">
        <w:rPr>
          <w:szCs w:val="28"/>
        </w:rPr>
        <w:t xml:space="preserve"> Program’s secure space in the </w:t>
      </w:r>
      <w:proofErr w:type="spellStart"/>
      <w:r w:rsidRPr="0058378F">
        <w:rPr>
          <w:szCs w:val="28"/>
        </w:rPr>
        <w:t>BioSense</w:t>
      </w:r>
      <w:proofErr w:type="spellEnd"/>
      <w:r w:rsidRPr="0058378F">
        <w:rPr>
          <w:szCs w:val="28"/>
        </w:rPr>
        <w:t xml:space="preserve"> 2.0 application.</w:t>
      </w:r>
      <w:r>
        <w:rPr>
          <w:szCs w:val="28"/>
        </w:rPr>
        <w:t xml:space="preserve"> </w:t>
      </w:r>
      <w:r w:rsidRPr="009F6D61">
        <w:rPr>
          <w:szCs w:val="28"/>
        </w:rPr>
        <w:t xml:space="preserve">As a Congressionally mandated, national, human health surveillance system designed to improve the nation’s capabilities for disease detection, monitoring, and health situational awareness and to provide public health near real-time access to existing information from healthcare encounters for just-in-time public health decision-making, the </w:t>
      </w:r>
      <w:proofErr w:type="spellStart"/>
      <w:r w:rsidRPr="009F6D61">
        <w:rPr>
          <w:szCs w:val="28"/>
        </w:rPr>
        <w:t>BioSen</w:t>
      </w:r>
      <w:r>
        <w:rPr>
          <w:szCs w:val="28"/>
        </w:rPr>
        <w:t>se</w:t>
      </w:r>
      <w:proofErr w:type="spellEnd"/>
      <w:r>
        <w:rPr>
          <w:szCs w:val="28"/>
        </w:rPr>
        <w:t xml:space="preserve"> Program requires</w:t>
      </w:r>
      <w:r w:rsidRPr="009F6D61">
        <w:rPr>
          <w:szCs w:val="28"/>
        </w:rPr>
        <w:t xml:space="preserve"> daily feeds from its data sources.  </w:t>
      </w:r>
      <w:r>
        <w:rPr>
          <w:szCs w:val="28"/>
        </w:rPr>
        <w:t>Jurisdictions</w:t>
      </w:r>
      <w:r w:rsidRPr="00024C8E">
        <w:rPr>
          <w:szCs w:val="28"/>
        </w:rPr>
        <w:t xml:space="preserve"> will, however, have the right at any time to revise the level of sharing permissions regarding the data in their secure space.</w:t>
      </w:r>
      <w:r>
        <w:rPr>
          <w:szCs w:val="28"/>
        </w:rPr>
        <w:t xml:space="preserve"> </w:t>
      </w:r>
    </w:p>
    <w:p w14:paraId="74096238" w14:textId="77777777" w:rsidR="008D75A7" w:rsidRPr="000F3565" w:rsidRDefault="008D75A7" w:rsidP="008D75A7">
      <w:pPr>
        <w:tabs>
          <w:tab w:val="left" w:pos="3240"/>
        </w:tabs>
        <w:spacing w:after="0"/>
        <w:rPr>
          <w:szCs w:val="28"/>
        </w:rPr>
      </w:pPr>
    </w:p>
    <w:p w14:paraId="2709E12D" w14:textId="77777777" w:rsidR="008D75A7" w:rsidRDefault="008D75A7" w:rsidP="008D75A7">
      <w:pPr>
        <w:pStyle w:val="ListParagraph"/>
        <w:tabs>
          <w:tab w:val="left" w:pos="3240"/>
        </w:tabs>
        <w:spacing w:after="0"/>
        <w:ind w:left="2520"/>
        <w:rPr>
          <w:szCs w:val="28"/>
        </w:rPr>
      </w:pPr>
    </w:p>
    <w:p w14:paraId="4110454D" w14:textId="77777777" w:rsidR="008D75A7" w:rsidRDefault="008D75A7" w:rsidP="008D75A7">
      <w:pPr>
        <w:tabs>
          <w:tab w:val="left" w:pos="3240"/>
        </w:tabs>
        <w:spacing w:after="0"/>
        <w:rPr>
          <w:b/>
          <w:szCs w:val="28"/>
        </w:rPr>
      </w:pPr>
      <w:proofErr w:type="gramStart"/>
      <w:r>
        <w:rPr>
          <w:b/>
          <w:szCs w:val="28"/>
        </w:rPr>
        <w:t xml:space="preserve">7  </w:t>
      </w:r>
      <w:r w:rsidRPr="00537431">
        <w:rPr>
          <w:b/>
          <w:szCs w:val="28"/>
        </w:rPr>
        <w:t>Special</w:t>
      </w:r>
      <w:proofErr w:type="gramEnd"/>
      <w:r w:rsidRPr="00537431">
        <w:rPr>
          <w:b/>
          <w:szCs w:val="28"/>
        </w:rPr>
        <w:t xml:space="preserve"> Circumstances Relating to the Guidelines of 5 CFR 1320.5</w:t>
      </w:r>
    </w:p>
    <w:p w14:paraId="283F7F87" w14:textId="77777777" w:rsidR="008D75A7" w:rsidRPr="00537431" w:rsidRDefault="008D75A7" w:rsidP="008D75A7">
      <w:pPr>
        <w:tabs>
          <w:tab w:val="left" w:pos="3240"/>
        </w:tabs>
        <w:spacing w:after="0"/>
        <w:rPr>
          <w:b/>
          <w:szCs w:val="28"/>
        </w:rPr>
      </w:pPr>
    </w:p>
    <w:p w14:paraId="270C2EBE" w14:textId="77777777" w:rsidR="008D75A7" w:rsidRDefault="008D75A7" w:rsidP="008D75A7">
      <w:pPr>
        <w:rPr>
          <w:szCs w:val="28"/>
          <w:u w:val="single"/>
        </w:rPr>
      </w:pPr>
      <w:r w:rsidRPr="001C15AA">
        <w:rPr>
          <w:szCs w:val="28"/>
          <w:u w:val="single"/>
        </w:rPr>
        <w:t>Recruitment</w:t>
      </w:r>
    </w:p>
    <w:p w14:paraId="1969FA8E" w14:textId="77777777" w:rsidR="008D75A7" w:rsidRPr="00A569C1" w:rsidRDefault="008D75A7" w:rsidP="008D75A7">
      <w:pPr>
        <w:rPr>
          <w:szCs w:val="28"/>
        </w:rPr>
      </w:pPr>
      <w:r w:rsidRPr="00557D1F">
        <w:rPr>
          <w:szCs w:val="28"/>
        </w:rPr>
        <w:t>This request fully complies with the regulat</w:t>
      </w:r>
      <w:r>
        <w:rPr>
          <w:szCs w:val="28"/>
        </w:rPr>
        <w:t>ion 5 CFR 1320.5.</w:t>
      </w:r>
    </w:p>
    <w:p w14:paraId="11BDD0A9" w14:textId="77777777" w:rsidR="008D75A7" w:rsidRDefault="008D75A7" w:rsidP="008D75A7">
      <w:pPr>
        <w:rPr>
          <w:szCs w:val="28"/>
          <w:u w:val="single"/>
        </w:rPr>
      </w:pPr>
      <w:r w:rsidRPr="001C15AA">
        <w:rPr>
          <w:szCs w:val="28"/>
          <w:u w:val="single"/>
        </w:rPr>
        <w:t>Web Application Access</w:t>
      </w:r>
    </w:p>
    <w:p w14:paraId="39FAAA47" w14:textId="77777777" w:rsidR="008D75A7" w:rsidRPr="00A569C1" w:rsidRDefault="008D75A7" w:rsidP="008D75A7">
      <w:pPr>
        <w:rPr>
          <w:szCs w:val="28"/>
        </w:rPr>
      </w:pPr>
      <w:r w:rsidRPr="00557D1F">
        <w:rPr>
          <w:szCs w:val="28"/>
        </w:rPr>
        <w:t>This request fully complies with the regulat</w:t>
      </w:r>
      <w:r>
        <w:rPr>
          <w:szCs w:val="28"/>
        </w:rPr>
        <w:t>ion 5 CFR 1320.5.</w:t>
      </w:r>
    </w:p>
    <w:p w14:paraId="60633930" w14:textId="77777777" w:rsidR="008D75A7" w:rsidRDefault="008D75A7" w:rsidP="008D75A7">
      <w:pPr>
        <w:rPr>
          <w:szCs w:val="28"/>
          <w:u w:val="single"/>
        </w:rPr>
      </w:pPr>
      <w:r w:rsidRPr="001C15AA">
        <w:rPr>
          <w:szCs w:val="28"/>
          <w:u w:val="single"/>
        </w:rPr>
        <w:t>Data Collection</w:t>
      </w:r>
    </w:p>
    <w:p w14:paraId="5995C6A5" w14:textId="77777777" w:rsidR="008D75A7" w:rsidRPr="00557D1F" w:rsidRDefault="008D75A7" w:rsidP="008D75A7">
      <w:pPr>
        <w:spacing w:after="0"/>
        <w:rPr>
          <w:szCs w:val="28"/>
        </w:rPr>
      </w:pPr>
      <w:r>
        <w:rPr>
          <w:szCs w:val="28"/>
        </w:rPr>
        <w:t xml:space="preserve">Data is received by the </w:t>
      </w:r>
      <w:proofErr w:type="spellStart"/>
      <w:r>
        <w:rPr>
          <w:szCs w:val="28"/>
        </w:rPr>
        <w:t>BioSense</w:t>
      </w:r>
      <w:proofErr w:type="spellEnd"/>
      <w:r>
        <w:rPr>
          <w:szCs w:val="28"/>
        </w:rPr>
        <w:t xml:space="preserve"> Program from </w:t>
      </w:r>
      <w:r w:rsidRPr="00F33EE6">
        <w:rPr>
          <w:szCs w:val="28"/>
        </w:rPr>
        <w:t>public he</w:t>
      </w:r>
      <w:r>
        <w:rPr>
          <w:szCs w:val="28"/>
        </w:rPr>
        <w:t xml:space="preserve">alth jurisdictions, </w:t>
      </w:r>
      <w:proofErr w:type="spellStart"/>
      <w:r>
        <w:rPr>
          <w:szCs w:val="28"/>
        </w:rPr>
        <w:t>DoD</w:t>
      </w:r>
      <w:proofErr w:type="spellEnd"/>
      <w:r>
        <w:rPr>
          <w:szCs w:val="28"/>
        </w:rPr>
        <w:t>, VA, two</w:t>
      </w:r>
      <w:r w:rsidRPr="00F33EE6">
        <w:rPr>
          <w:szCs w:val="28"/>
        </w:rPr>
        <w:t xml:space="preserve"> na</w:t>
      </w:r>
      <w:r>
        <w:rPr>
          <w:szCs w:val="28"/>
        </w:rPr>
        <w:t>tional clinical laboratories, and a</w:t>
      </w:r>
      <w:r w:rsidRPr="00F33EE6">
        <w:rPr>
          <w:szCs w:val="28"/>
        </w:rPr>
        <w:t xml:space="preserve"> private sector health information exchange company </w:t>
      </w:r>
      <w:r>
        <w:rPr>
          <w:szCs w:val="28"/>
        </w:rPr>
        <w:t>on at least a daily basis, because</w:t>
      </w:r>
      <w:r w:rsidRPr="00557D1F">
        <w:rPr>
          <w:szCs w:val="28"/>
        </w:rPr>
        <w:t xml:space="preserve"> </w:t>
      </w:r>
      <w:r w:rsidRPr="00E75788">
        <w:rPr>
          <w:szCs w:val="28"/>
        </w:rPr>
        <w:t xml:space="preserve">the Program must have access </w:t>
      </w:r>
      <w:r>
        <w:rPr>
          <w:szCs w:val="28"/>
        </w:rPr>
        <w:t xml:space="preserve">to </w:t>
      </w:r>
      <w:r w:rsidRPr="00E75788">
        <w:rPr>
          <w:szCs w:val="28"/>
        </w:rPr>
        <w:t>electronic health information</w:t>
      </w:r>
      <w:r>
        <w:rPr>
          <w:szCs w:val="28"/>
        </w:rPr>
        <w:t xml:space="preserve"> at this frequency</w:t>
      </w:r>
      <w:r w:rsidRPr="00E75788">
        <w:rPr>
          <w:szCs w:val="28"/>
        </w:rPr>
        <w:t xml:space="preserve"> </w:t>
      </w:r>
      <w:r>
        <w:rPr>
          <w:szCs w:val="28"/>
        </w:rPr>
        <w:t>i</w:t>
      </w:r>
      <w:r w:rsidRPr="00E75788">
        <w:rPr>
          <w:szCs w:val="28"/>
        </w:rPr>
        <w:t>n order to meet the congressional mandate outlined</w:t>
      </w:r>
      <w:r>
        <w:rPr>
          <w:szCs w:val="28"/>
        </w:rPr>
        <w:t xml:space="preserve"> in A.1</w:t>
      </w:r>
      <w:r w:rsidRPr="00E75788">
        <w:rPr>
          <w:szCs w:val="28"/>
        </w:rPr>
        <w:t xml:space="preserve">. </w:t>
      </w:r>
      <w:r>
        <w:rPr>
          <w:szCs w:val="28"/>
        </w:rPr>
        <w:t xml:space="preserve">Notably, however, the collection of data </w:t>
      </w:r>
      <w:r w:rsidRPr="00CD5E51">
        <w:rPr>
          <w:szCs w:val="28"/>
        </w:rPr>
        <w:t>requires</w:t>
      </w:r>
      <w:r>
        <w:rPr>
          <w:szCs w:val="28"/>
        </w:rPr>
        <w:t xml:space="preserve"> only</w:t>
      </w:r>
      <w:r w:rsidRPr="00CD5E51">
        <w:rPr>
          <w:szCs w:val="28"/>
        </w:rPr>
        <w:t xml:space="preserve"> a one-time </w:t>
      </w:r>
      <w:r>
        <w:rPr>
          <w:szCs w:val="28"/>
        </w:rPr>
        <w:t>initial set-</w:t>
      </w:r>
      <w:r w:rsidRPr="00CD5E51">
        <w:rPr>
          <w:szCs w:val="28"/>
        </w:rPr>
        <w:t>up</w:t>
      </w:r>
      <w:r>
        <w:rPr>
          <w:szCs w:val="28"/>
        </w:rPr>
        <w:t xml:space="preserve"> by the sender; afterward,</w:t>
      </w:r>
      <w:r w:rsidRPr="00CD5E51">
        <w:rPr>
          <w:szCs w:val="28"/>
        </w:rPr>
        <w:t xml:space="preserve"> </w:t>
      </w:r>
      <w:r>
        <w:rPr>
          <w:szCs w:val="28"/>
        </w:rPr>
        <w:t xml:space="preserve">data is sent in an automatic, electronic transmission that involves no effort on the part of the sender. Other than this exception, the </w:t>
      </w:r>
      <w:r w:rsidRPr="00557D1F">
        <w:rPr>
          <w:szCs w:val="28"/>
        </w:rPr>
        <w:t>request fully complies with the regulation 5 CFR 1320.5.</w:t>
      </w:r>
    </w:p>
    <w:p w14:paraId="0BBA5C08" w14:textId="77777777" w:rsidR="008D75A7" w:rsidRDefault="008D75A7" w:rsidP="008D75A7">
      <w:pPr>
        <w:tabs>
          <w:tab w:val="left" w:pos="3240"/>
        </w:tabs>
        <w:spacing w:after="0"/>
        <w:rPr>
          <w:szCs w:val="28"/>
        </w:rPr>
      </w:pPr>
    </w:p>
    <w:p w14:paraId="076951C9" w14:textId="77777777" w:rsidR="008D75A7" w:rsidRDefault="008D75A7" w:rsidP="008D75A7">
      <w:pPr>
        <w:tabs>
          <w:tab w:val="left" w:pos="3240"/>
        </w:tabs>
        <w:spacing w:after="0"/>
        <w:rPr>
          <w:szCs w:val="28"/>
        </w:rPr>
      </w:pPr>
    </w:p>
    <w:p w14:paraId="47AFFDB8" w14:textId="77777777" w:rsidR="006800B9" w:rsidRDefault="006800B9" w:rsidP="008D75A7">
      <w:pPr>
        <w:tabs>
          <w:tab w:val="left" w:pos="3240"/>
        </w:tabs>
        <w:spacing w:after="0"/>
        <w:rPr>
          <w:szCs w:val="28"/>
        </w:rPr>
      </w:pPr>
    </w:p>
    <w:p w14:paraId="45A54EA4" w14:textId="77777777" w:rsidR="006800B9" w:rsidRDefault="006800B9" w:rsidP="008D75A7">
      <w:pPr>
        <w:tabs>
          <w:tab w:val="left" w:pos="3240"/>
        </w:tabs>
        <w:spacing w:after="0"/>
        <w:rPr>
          <w:szCs w:val="28"/>
        </w:rPr>
      </w:pPr>
    </w:p>
    <w:p w14:paraId="71C6B866" w14:textId="77777777" w:rsidR="006800B9" w:rsidRPr="00557D1F" w:rsidRDefault="006800B9" w:rsidP="008D75A7">
      <w:pPr>
        <w:tabs>
          <w:tab w:val="left" w:pos="3240"/>
        </w:tabs>
        <w:spacing w:after="0"/>
        <w:rPr>
          <w:szCs w:val="28"/>
        </w:rPr>
      </w:pPr>
    </w:p>
    <w:p w14:paraId="6E734C4E" w14:textId="77777777" w:rsidR="008D75A7" w:rsidRDefault="008D75A7" w:rsidP="008D75A7">
      <w:pPr>
        <w:tabs>
          <w:tab w:val="left" w:pos="3240"/>
        </w:tabs>
        <w:spacing w:after="0"/>
        <w:rPr>
          <w:b/>
          <w:szCs w:val="28"/>
        </w:rPr>
      </w:pPr>
      <w:proofErr w:type="gramStart"/>
      <w:r>
        <w:rPr>
          <w:b/>
          <w:szCs w:val="28"/>
        </w:rPr>
        <w:lastRenderedPageBreak/>
        <w:t xml:space="preserve">8  </w:t>
      </w:r>
      <w:r w:rsidRPr="00BC705D">
        <w:rPr>
          <w:b/>
          <w:szCs w:val="28"/>
        </w:rPr>
        <w:t>Comments</w:t>
      </w:r>
      <w:proofErr w:type="gramEnd"/>
      <w:r w:rsidRPr="00BC705D">
        <w:rPr>
          <w:b/>
          <w:szCs w:val="28"/>
        </w:rPr>
        <w:t xml:space="preserve"> in Response to the Federal Register Notice and Efforts to Consult Outside the Agency</w:t>
      </w:r>
    </w:p>
    <w:p w14:paraId="584346B1" w14:textId="77777777" w:rsidR="008D75A7" w:rsidRPr="00BC705D" w:rsidRDefault="008D75A7" w:rsidP="008D75A7">
      <w:pPr>
        <w:tabs>
          <w:tab w:val="left" w:pos="3240"/>
        </w:tabs>
        <w:spacing w:after="0"/>
        <w:rPr>
          <w:b/>
          <w:szCs w:val="28"/>
        </w:rPr>
      </w:pPr>
    </w:p>
    <w:p w14:paraId="27FBE5F8" w14:textId="77777777" w:rsidR="008D75A7" w:rsidRDefault="008D75A7" w:rsidP="008D75A7">
      <w:pPr>
        <w:ind w:left="720" w:hanging="720"/>
      </w:pPr>
      <w:r w:rsidRPr="00CB018B">
        <w:rPr>
          <w:color w:val="000000"/>
        </w:rPr>
        <w:t>A.</w:t>
      </w:r>
      <w:r>
        <w:rPr>
          <w:b/>
          <w:color w:val="000000"/>
        </w:rPr>
        <w:tab/>
      </w:r>
    </w:p>
    <w:p w14:paraId="05B223A1" w14:textId="54330033" w:rsidR="008D75A7" w:rsidRPr="009C4F56" w:rsidRDefault="008D75A7" w:rsidP="008D75A7">
      <w:pPr>
        <w:tabs>
          <w:tab w:val="left" w:pos="3240"/>
        </w:tabs>
        <w:rPr>
          <w:szCs w:val="28"/>
        </w:rPr>
      </w:pPr>
      <w:r>
        <w:rPr>
          <w:szCs w:val="28"/>
        </w:rPr>
        <w:t xml:space="preserve">A </w:t>
      </w:r>
      <w:r w:rsidRPr="00245597">
        <w:rPr>
          <w:szCs w:val="28"/>
        </w:rPr>
        <w:t xml:space="preserve">60-day </w:t>
      </w:r>
      <w:r>
        <w:rPr>
          <w:szCs w:val="28"/>
        </w:rPr>
        <w:t>Federal Register Notice was published in the</w:t>
      </w:r>
      <w:r w:rsidRPr="00262060">
        <w:rPr>
          <w:i/>
          <w:szCs w:val="28"/>
        </w:rPr>
        <w:t xml:space="preserve"> </w:t>
      </w:r>
      <w:r w:rsidRPr="00245597">
        <w:rPr>
          <w:i/>
          <w:szCs w:val="28"/>
        </w:rPr>
        <w:t>Federal Register</w:t>
      </w:r>
      <w:r>
        <w:rPr>
          <w:szCs w:val="28"/>
        </w:rPr>
        <w:t xml:space="preserve"> on June 6, 2012, vol. 77, No. 109, pp. 33464–33465 </w:t>
      </w:r>
      <w:r w:rsidRPr="00CC21FC">
        <w:rPr>
          <w:szCs w:val="28"/>
        </w:rPr>
        <w:t>(</w:t>
      </w:r>
      <w:r>
        <w:rPr>
          <w:b/>
          <w:szCs w:val="28"/>
        </w:rPr>
        <w:t>Attachment 2</w:t>
      </w:r>
      <w:r w:rsidRPr="00CC21FC">
        <w:rPr>
          <w:szCs w:val="28"/>
        </w:rPr>
        <w:t>)</w:t>
      </w:r>
      <w:r>
        <w:rPr>
          <w:szCs w:val="28"/>
        </w:rPr>
        <w:t>. There were</w:t>
      </w:r>
      <w:r w:rsidR="00A67DB4">
        <w:rPr>
          <w:szCs w:val="28"/>
        </w:rPr>
        <w:t xml:space="preserve"> no public comments.</w:t>
      </w:r>
    </w:p>
    <w:p w14:paraId="1E0D845F" w14:textId="77777777" w:rsidR="008D75A7" w:rsidRDefault="008D75A7" w:rsidP="009F763C">
      <w:pPr>
        <w:ind w:left="720" w:hanging="720"/>
        <w:rPr>
          <w:color w:val="000000"/>
        </w:rPr>
      </w:pPr>
      <w:r w:rsidRPr="00B319F3">
        <w:t>B.</w:t>
      </w:r>
      <w:r>
        <w:rPr>
          <w:b/>
        </w:rPr>
        <w:tab/>
      </w:r>
    </w:p>
    <w:p w14:paraId="079C02C9" w14:textId="2BE69E26" w:rsidR="008D75A7" w:rsidRPr="000A2E41" w:rsidRDefault="008D75A7" w:rsidP="008D75A7">
      <w:pPr>
        <w:rPr>
          <w:color w:val="000000"/>
        </w:rPr>
      </w:pPr>
      <w:r w:rsidRPr="000A2E41">
        <w:rPr>
          <w:color w:val="000000"/>
        </w:rPr>
        <w:t xml:space="preserve">CDC has engaged with external stakeholders throughout the process in various ways.  At the beginning of the redesign effort, a Technical Expert Panel (TEP) was engaged to guide and </w:t>
      </w:r>
      <w:proofErr w:type="gramStart"/>
      <w:r w:rsidRPr="000A2E41">
        <w:rPr>
          <w:color w:val="000000"/>
        </w:rPr>
        <w:t>advise</w:t>
      </w:r>
      <w:proofErr w:type="gramEnd"/>
      <w:r w:rsidRPr="000A2E41">
        <w:rPr>
          <w:color w:val="000000"/>
        </w:rPr>
        <w:t xml:space="preserve"> during the redesign process.  This group comprised of state and local health department representatives, other federal partners, leaders in the public health industry, and other experts in the field.  The names and affiliations of the TEP are in </w:t>
      </w:r>
      <w:r>
        <w:rPr>
          <w:b/>
          <w:color w:val="000000"/>
        </w:rPr>
        <w:t>Attachment</w:t>
      </w:r>
      <w:r w:rsidRPr="000A2E41">
        <w:rPr>
          <w:b/>
          <w:color w:val="000000"/>
        </w:rPr>
        <w:t xml:space="preserve"> </w:t>
      </w:r>
      <w:r>
        <w:rPr>
          <w:b/>
          <w:color w:val="000000"/>
        </w:rPr>
        <w:t>7</w:t>
      </w:r>
      <w:r w:rsidRPr="000A2E41">
        <w:rPr>
          <w:color w:val="000000"/>
        </w:rPr>
        <w:t xml:space="preserve">.  We have also consulted with an </w:t>
      </w:r>
      <w:r w:rsidR="00F82703">
        <w:rPr>
          <w:color w:val="000000"/>
        </w:rPr>
        <w:t>A</w:t>
      </w:r>
      <w:r w:rsidRPr="000A2E41">
        <w:rPr>
          <w:color w:val="000000"/>
        </w:rPr>
        <w:t xml:space="preserve">dvanced </w:t>
      </w:r>
      <w:r w:rsidR="00F82703">
        <w:rPr>
          <w:color w:val="000000"/>
        </w:rPr>
        <w:t>U</w:t>
      </w:r>
      <w:r w:rsidRPr="000A2E41">
        <w:rPr>
          <w:color w:val="000000"/>
        </w:rPr>
        <w:t xml:space="preserve">ser </w:t>
      </w:r>
      <w:r w:rsidR="00F82703">
        <w:rPr>
          <w:color w:val="000000"/>
        </w:rPr>
        <w:t>P</w:t>
      </w:r>
      <w:r w:rsidRPr="000A2E41">
        <w:rPr>
          <w:color w:val="000000"/>
        </w:rPr>
        <w:t>anel</w:t>
      </w:r>
      <w:r w:rsidR="00F82703">
        <w:rPr>
          <w:color w:val="000000"/>
        </w:rPr>
        <w:t xml:space="preserve"> (AUP)</w:t>
      </w:r>
      <w:r w:rsidRPr="000A2E41">
        <w:rPr>
          <w:color w:val="000000"/>
        </w:rPr>
        <w:t xml:space="preserve"> to test new features and garner feedback on the </w:t>
      </w:r>
      <w:proofErr w:type="spellStart"/>
      <w:r w:rsidRPr="000A2E41">
        <w:rPr>
          <w:color w:val="000000"/>
        </w:rPr>
        <w:t>BioSense</w:t>
      </w:r>
      <w:proofErr w:type="spellEnd"/>
      <w:r w:rsidRPr="000A2E41">
        <w:rPr>
          <w:color w:val="000000"/>
        </w:rPr>
        <w:t xml:space="preserve"> 2.0 application. </w:t>
      </w:r>
      <w:r w:rsidR="00F82703">
        <w:rPr>
          <w:color w:val="000000"/>
        </w:rPr>
        <w:t>The AUP</w:t>
      </w:r>
      <w:r>
        <w:rPr>
          <w:color w:val="000000"/>
        </w:rPr>
        <w:t xml:space="preserve"> </w:t>
      </w:r>
      <w:r w:rsidR="0078568D">
        <w:rPr>
          <w:color w:val="000000"/>
        </w:rPr>
        <w:t xml:space="preserve">was comprised of 12 users (5 federal and 7 </w:t>
      </w:r>
      <w:r>
        <w:rPr>
          <w:color w:val="000000"/>
        </w:rPr>
        <w:t>seven non-federal members</w:t>
      </w:r>
      <w:r w:rsidR="0078568D">
        <w:rPr>
          <w:color w:val="000000"/>
        </w:rPr>
        <w:t>)</w:t>
      </w:r>
      <w:r>
        <w:rPr>
          <w:color w:val="000000"/>
        </w:rPr>
        <w:t xml:space="preserve"> (</w:t>
      </w:r>
      <w:r w:rsidRPr="00667818">
        <w:rPr>
          <w:b/>
          <w:color w:val="000000"/>
        </w:rPr>
        <w:t>Attachment 7</w:t>
      </w:r>
      <w:r>
        <w:rPr>
          <w:color w:val="000000"/>
        </w:rPr>
        <w:t xml:space="preserve">). </w:t>
      </w:r>
      <w:r w:rsidRPr="000A2E41">
        <w:rPr>
          <w:color w:val="000000"/>
        </w:rPr>
        <w:t xml:space="preserve">Further, a series of user feedback opportunities have been released through the </w:t>
      </w:r>
      <w:proofErr w:type="spellStart"/>
      <w:r w:rsidRPr="000A2E41">
        <w:rPr>
          <w:color w:val="000000"/>
        </w:rPr>
        <w:t>BioSense</w:t>
      </w:r>
      <w:proofErr w:type="spellEnd"/>
      <w:r w:rsidRPr="000A2E41">
        <w:rPr>
          <w:color w:val="000000"/>
        </w:rPr>
        <w:t xml:space="preserve"> Redesign website (</w:t>
      </w:r>
      <w:hyperlink r:id="rId20" w:history="1">
        <w:r w:rsidRPr="000A2E41">
          <w:rPr>
            <w:rStyle w:val="Hyperlink"/>
            <w:u w:val="none"/>
          </w:rPr>
          <w:t>www.biosenseredesign.org</w:t>
        </w:r>
      </w:hyperlink>
      <w:r w:rsidRPr="000A2E41">
        <w:rPr>
          <w:color w:val="000000"/>
        </w:rPr>
        <w:t xml:space="preserve">). We have also worked closely with our partners in ASTHO, CSTE, NACCHO, and ISDS to gain feedback from their constituencies.  </w:t>
      </w:r>
    </w:p>
    <w:p w14:paraId="07239D6F" w14:textId="77777777" w:rsidR="008D75A7" w:rsidRDefault="008D75A7" w:rsidP="008D75A7">
      <w:pPr>
        <w:spacing w:after="0"/>
        <w:rPr>
          <w:color w:val="000000"/>
        </w:rPr>
      </w:pPr>
      <w:r w:rsidRPr="001B5553">
        <w:rPr>
          <w:color w:val="000000"/>
        </w:rPr>
        <w:t>No major data collection problems exist that could not be resolved through these consultations.</w:t>
      </w:r>
    </w:p>
    <w:p w14:paraId="7C5B5894" w14:textId="77777777" w:rsidR="008D75A7" w:rsidRDefault="008D75A7" w:rsidP="008D75A7">
      <w:pPr>
        <w:spacing w:after="0"/>
        <w:rPr>
          <w:color w:val="000000"/>
        </w:rPr>
      </w:pPr>
    </w:p>
    <w:p w14:paraId="57621AE1" w14:textId="77777777" w:rsidR="008D75A7" w:rsidRPr="009C4F56" w:rsidRDefault="008D75A7" w:rsidP="008D75A7">
      <w:pPr>
        <w:spacing w:after="0"/>
        <w:rPr>
          <w:color w:val="000000"/>
        </w:rPr>
      </w:pPr>
    </w:p>
    <w:p w14:paraId="69ADFFFB" w14:textId="77777777" w:rsidR="008D75A7" w:rsidRDefault="008D75A7" w:rsidP="008D75A7">
      <w:pPr>
        <w:tabs>
          <w:tab w:val="left" w:pos="3240"/>
        </w:tabs>
        <w:spacing w:after="0"/>
        <w:rPr>
          <w:b/>
          <w:szCs w:val="28"/>
        </w:rPr>
      </w:pPr>
      <w:proofErr w:type="gramStart"/>
      <w:r>
        <w:rPr>
          <w:b/>
          <w:szCs w:val="28"/>
        </w:rPr>
        <w:t xml:space="preserve">9  </w:t>
      </w:r>
      <w:r w:rsidRPr="00BC705D">
        <w:rPr>
          <w:b/>
          <w:szCs w:val="28"/>
        </w:rPr>
        <w:t>Explanation</w:t>
      </w:r>
      <w:proofErr w:type="gramEnd"/>
      <w:r w:rsidRPr="00BC705D">
        <w:rPr>
          <w:b/>
          <w:szCs w:val="28"/>
        </w:rPr>
        <w:t xml:space="preserve"> of Any Payment or Gift to Respondents </w:t>
      </w:r>
    </w:p>
    <w:p w14:paraId="53421CA5" w14:textId="77777777" w:rsidR="008D75A7" w:rsidRDefault="008D75A7" w:rsidP="008D75A7">
      <w:pPr>
        <w:tabs>
          <w:tab w:val="left" w:pos="3240"/>
        </w:tabs>
        <w:spacing w:after="0"/>
        <w:rPr>
          <w:b/>
          <w:szCs w:val="28"/>
        </w:rPr>
      </w:pPr>
    </w:p>
    <w:p w14:paraId="2A51C554" w14:textId="77777777" w:rsidR="008D75A7" w:rsidRPr="000A2E41" w:rsidRDefault="008D75A7" w:rsidP="008D75A7">
      <w:pPr>
        <w:tabs>
          <w:tab w:val="left" w:pos="3240"/>
        </w:tabs>
        <w:spacing w:after="0"/>
        <w:rPr>
          <w:szCs w:val="28"/>
        </w:rPr>
      </w:pPr>
      <w:r w:rsidRPr="000A2E41">
        <w:rPr>
          <w:szCs w:val="28"/>
        </w:rPr>
        <w:t xml:space="preserve">No payment or gift is provided to respondents who provide information for enrolling new public health jurisdictions, who apply for user access to the </w:t>
      </w:r>
      <w:proofErr w:type="spellStart"/>
      <w:r w:rsidRPr="000A2E41">
        <w:rPr>
          <w:szCs w:val="28"/>
        </w:rPr>
        <w:t>BioSense</w:t>
      </w:r>
      <w:proofErr w:type="spellEnd"/>
      <w:r w:rsidRPr="000A2E41">
        <w:rPr>
          <w:szCs w:val="28"/>
        </w:rPr>
        <w:t xml:space="preserve"> 2.0 Application or who provide data to CDC </w:t>
      </w:r>
      <w:proofErr w:type="spellStart"/>
      <w:r w:rsidRPr="000A2E41">
        <w:rPr>
          <w:szCs w:val="28"/>
        </w:rPr>
        <w:t>BioSense</w:t>
      </w:r>
      <w:proofErr w:type="spellEnd"/>
      <w:r w:rsidRPr="000A2E41">
        <w:rPr>
          <w:szCs w:val="28"/>
        </w:rPr>
        <w:t xml:space="preserve"> Program.</w:t>
      </w:r>
    </w:p>
    <w:p w14:paraId="1E0BE3C3" w14:textId="77777777" w:rsidR="008D75A7" w:rsidRDefault="008D75A7" w:rsidP="008D75A7">
      <w:pPr>
        <w:tabs>
          <w:tab w:val="left" w:pos="3240"/>
        </w:tabs>
        <w:spacing w:after="0"/>
        <w:rPr>
          <w:szCs w:val="28"/>
        </w:rPr>
      </w:pPr>
    </w:p>
    <w:p w14:paraId="492D64D0" w14:textId="77777777" w:rsidR="008D75A7" w:rsidRDefault="008D75A7" w:rsidP="008D75A7">
      <w:pPr>
        <w:tabs>
          <w:tab w:val="left" w:pos="3240"/>
        </w:tabs>
        <w:spacing w:after="0"/>
        <w:rPr>
          <w:szCs w:val="28"/>
        </w:rPr>
      </w:pPr>
    </w:p>
    <w:p w14:paraId="6D816982" w14:textId="77777777" w:rsidR="008D75A7" w:rsidRDefault="008D75A7" w:rsidP="008D75A7">
      <w:pPr>
        <w:tabs>
          <w:tab w:val="left" w:pos="3240"/>
        </w:tabs>
        <w:spacing w:after="0"/>
        <w:rPr>
          <w:b/>
          <w:szCs w:val="28"/>
        </w:rPr>
      </w:pPr>
      <w:proofErr w:type="gramStart"/>
      <w:r w:rsidRPr="00537431">
        <w:rPr>
          <w:b/>
          <w:szCs w:val="28"/>
        </w:rPr>
        <w:t>10  Assurance</w:t>
      </w:r>
      <w:proofErr w:type="gramEnd"/>
      <w:r w:rsidRPr="00D508D5">
        <w:rPr>
          <w:b/>
          <w:szCs w:val="28"/>
        </w:rPr>
        <w:t xml:space="preserve"> of Confidentiality Provided to Respondents </w:t>
      </w:r>
    </w:p>
    <w:p w14:paraId="18B99A4A" w14:textId="77777777" w:rsidR="008D75A7" w:rsidRPr="00D508D5" w:rsidRDefault="008D75A7" w:rsidP="008D75A7">
      <w:pPr>
        <w:tabs>
          <w:tab w:val="left" w:pos="3240"/>
        </w:tabs>
        <w:spacing w:after="0"/>
        <w:rPr>
          <w:b/>
          <w:szCs w:val="28"/>
        </w:rPr>
      </w:pPr>
    </w:p>
    <w:p w14:paraId="2360B851" w14:textId="77777777" w:rsidR="008D75A7" w:rsidRDefault="008D75A7" w:rsidP="008D75A7">
      <w:pPr>
        <w:tabs>
          <w:tab w:val="left" w:pos="3240"/>
        </w:tabs>
        <w:rPr>
          <w:szCs w:val="28"/>
          <w:u w:val="single"/>
        </w:rPr>
      </w:pPr>
      <w:r>
        <w:rPr>
          <w:szCs w:val="28"/>
          <w:u w:val="single"/>
        </w:rPr>
        <w:t xml:space="preserve">The Privacy Act does not apply to the </w:t>
      </w:r>
      <w:proofErr w:type="spellStart"/>
      <w:r>
        <w:rPr>
          <w:szCs w:val="28"/>
          <w:u w:val="single"/>
        </w:rPr>
        <w:t>BioSense</w:t>
      </w:r>
      <w:proofErr w:type="spellEnd"/>
      <w:r>
        <w:rPr>
          <w:szCs w:val="28"/>
          <w:u w:val="single"/>
        </w:rPr>
        <w:t xml:space="preserve"> Program.</w:t>
      </w:r>
    </w:p>
    <w:p w14:paraId="508BAE14" w14:textId="5EB3F8A4" w:rsidR="008D75A7" w:rsidRPr="005C18AA" w:rsidRDefault="008D75A7" w:rsidP="008D75A7">
      <w:pPr>
        <w:tabs>
          <w:tab w:val="left" w:pos="3240"/>
        </w:tabs>
        <w:rPr>
          <w:bCs/>
          <w:szCs w:val="28"/>
          <w:u w:val="single"/>
        </w:rPr>
      </w:pPr>
      <w:r>
        <w:rPr>
          <w:szCs w:val="28"/>
          <w:u w:val="single"/>
        </w:rPr>
        <w:t xml:space="preserve">Institutional review board (IRB) review and approval is not necessary for </w:t>
      </w:r>
      <w:proofErr w:type="spellStart"/>
      <w:r>
        <w:rPr>
          <w:szCs w:val="28"/>
          <w:u w:val="single"/>
        </w:rPr>
        <w:t>BioSense</w:t>
      </w:r>
      <w:proofErr w:type="spellEnd"/>
      <w:r>
        <w:rPr>
          <w:szCs w:val="28"/>
          <w:u w:val="single"/>
        </w:rPr>
        <w:t xml:space="preserve"> 2.0, because its </w:t>
      </w:r>
      <w:r>
        <w:rPr>
          <w:bCs/>
          <w:szCs w:val="28"/>
          <w:u w:val="single"/>
        </w:rPr>
        <w:t>surveillance activities are</w:t>
      </w:r>
      <w:r w:rsidRPr="00266926">
        <w:rPr>
          <w:bCs/>
          <w:szCs w:val="28"/>
          <w:u w:val="single"/>
        </w:rPr>
        <w:t xml:space="preserve"> conducted solely to provide national public health situation awareness</w:t>
      </w:r>
      <w:r>
        <w:rPr>
          <w:bCs/>
          <w:szCs w:val="28"/>
          <w:u w:val="single"/>
        </w:rPr>
        <w:t xml:space="preserve"> and are considered public health practice, not </w:t>
      </w:r>
      <w:r w:rsidRPr="009F763C">
        <w:rPr>
          <w:bCs/>
          <w:szCs w:val="28"/>
        </w:rPr>
        <w:t>research</w:t>
      </w:r>
      <w:r w:rsidR="006800B9" w:rsidRPr="009F763C">
        <w:rPr>
          <w:bCs/>
          <w:szCs w:val="28"/>
        </w:rPr>
        <w:t xml:space="preserve"> (</w:t>
      </w:r>
      <w:r w:rsidR="006800B9" w:rsidRPr="009F763C">
        <w:rPr>
          <w:b/>
          <w:bCs/>
          <w:szCs w:val="28"/>
        </w:rPr>
        <w:t>Attachment 9</w:t>
      </w:r>
      <w:r w:rsidR="006800B9">
        <w:rPr>
          <w:bCs/>
          <w:szCs w:val="28"/>
          <w:u w:val="single"/>
        </w:rPr>
        <w:t>)</w:t>
      </w:r>
      <w:r>
        <w:rPr>
          <w:bCs/>
          <w:szCs w:val="28"/>
          <w:u w:val="single"/>
        </w:rPr>
        <w:t>.</w:t>
      </w:r>
      <w:r w:rsidRPr="00266926">
        <w:rPr>
          <w:bCs/>
          <w:szCs w:val="28"/>
          <w:u w:val="single"/>
        </w:rPr>
        <w:t xml:space="preserve"> </w:t>
      </w:r>
    </w:p>
    <w:p w14:paraId="19A20704" w14:textId="77777777" w:rsidR="008D75A7" w:rsidRPr="00D508D5" w:rsidRDefault="008D75A7" w:rsidP="008D75A7">
      <w:pPr>
        <w:tabs>
          <w:tab w:val="left" w:pos="3240"/>
        </w:tabs>
        <w:rPr>
          <w:szCs w:val="28"/>
          <w:u w:val="single"/>
        </w:rPr>
      </w:pPr>
      <w:r w:rsidRPr="00D508D5">
        <w:rPr>
          <w:szCs w:val="28"/>
          <w:u w:val="single"/>
        </w:rPr>
        <w:t>Recruitment</w:t>
      </w:r>
    </w:p>
    <w:p w14:paraId="77F3DE72" w14:textId="4E27CF75" w:rsidR="008D75A7" w:rsidRDefault="008D75A7" w:rsidP="008D75A7">
      <w:pPr>
        <w:tabs>
          <w:tab w:val="left" w:pos="3240"/>
        </w:tabs>
        <w:rPr>
          <w:szCs w:val="28"/>
        </w:rPr>
      </w:pPr>
      <w:r w:rsidRPr="00D508D5">
        <w:rPr>
          <w:szCs w:val="28"/>
        </w:rPr>
        <w:t>Information collected for recruitment of public health jurisdictions contains first and last names, email addresses, organizational affiliations, and telephone numbers. This information is not considered IIF, because when the information is given, the respondents are acting in professional roles as representatives of their organization. Additionally, this information will be used only internally and only as contact information. This information will not be analyzed or shared.</w:t>
      </w:r>
    </w:p>
    <w:p w14:paraId="439B91FF" w14:textId="77777777" w:rsidR="00A67DB4" w:rsidRPr="00D508D5" w:rsidRDefault="00A67DB4" w:rsidP="008D75A7">
      <w:pPr>
        <w:tabs>
          <w:tab w:val="left" w:pos="3240"/>
        </w:tabs>
        <w:rPr>
          <w:szCs w:val="28"/>
        </w:rPr>
      </w:pPr>
    </w:p>
    <w:p w14:paraId="61A9ABE1" w14:textId="77777777" w:rsidR="008D75A7" w:rsidRPr="00D508D5" w:rsidRDefault="008D75A7" w:rsidP="008D75A7">
      <w:pPr>
        <w:tabs>
          <w:tab w:val="left" w:pos="3240"/>
        </w:tabs>
        <w:rPr>
          <w:szCs w:val="28"/>
          <w:u w:val="single"/>
        </w:rPr>
      </w:pPr>
      <w:r w:rsidRPr="00D508D5">
        <w:rPr>
          <w:szCs w:val="28"/>
          <w:u w:val="single"/>
        </w:rPr>
        <w:lastRenderedPageBreak/>
        <w:t>Web Application Access</w:t>
      </w:r>
    </w:p>
    <w:p w14:paraId="4533C94E" w14:textId="131519EF" w:rsidR="008D75A7" w:rsidRPr="00D508D5" w:rsidRDefault="008D75A7" w:rsidP="008D75A7">
      <w:pPr>
        <w:tabs>
          <w:tab w:val="left" w:pos="3240"/>
        </w:tabs>
        <w:rPr>
          <w:szCs w:val="28"/>
        </w:rPr>
      </w:pPr>
      <w:r w:rsidRPr="00D508D5">
        <w:rPr>
          <w:szCs w:val="28"/>
        </w:rPr>
        <w:t xml:space="preserve">Information collected for granting access to the web application contains first and last names, email addresses, organizational affiliations, </w:t>
      </w:r>
      <w:r w:rsidR="00CA3B85">
        <w:rPr>
          <w:szCs w:val="28"/>
        </w:rPr>
        <w:t xml:space="preserve">security questions, </w:t>
      </w:r>
      <w:r w:rsidRPr="00D508D5">
        <w:rPr>
          <w:szCs w:val="28"/>
        </w:rPr>
        <w:t>and passwords. This information is not considered IIF, because when the information is given, the respondents are acting in professional roles as representatives of their organization. Additionally, this information will be used only internally and only to inform the granting of access to the web application. Only the number of total users of the application or number of users of the applicatio</w:t>
      </w:r>
      <w:r>
        <w:rPr>
          <w:szCs w:val="28"/>
        </w:rPr>
        <w:t>n by state might be shared as</w:t>
      </w:r>
      <w:r w:rsidRPr="00D508D5">
        <w:rPr>
          <w:szCs w:val="28"/>
        </w:rPr>
        <w:t xml:space="preserve"> </w:t>
      </w:r>
      <w:r>
        <w:rPr>
          <w:szCs w:val="28"/>
        </w:rPr>
        <w:t xml:space="preserve">aggregate </w:t>
      </w:r>
      <w:r w:rsidRPr="00D508D5">
        <w:rPr>
          <w:szCs w:val="28"/>
        </w:rPr>
        <w:t>application statistic</w:t>
      </w:r>
      <w:r>
        <w:rPr>
          <w:szCs w:val="28"/>
        </w:rPr>
        <w:t>s</w:t>
      </w:r>
      <w:r w:rsidRPr="00D508D5">
        <w:rPr>
          <w:szCs w:val="28"/>
        </w:rPr>
        <w:t xml:space="preserve">. </w:t>
      </w:r>
    </w:p>
    <w:p w14:paraId="6EBE84C2" w14:textId="77777777" w:rsidR="008D75A7" w:rsidRPr="00D508D5" w:rsidRDefault="008D75A7" w:rsidP="008D75A7">
      <w:pPr>
        <w:tabs>
          <w:tab w:val="left" w:pos="3240"/>
        </w:tabs>
        <w:rPr>
          <w:szCs w:val="28"/>
          <w:u w:val="single"/>
        </w:rPr>
      </w:pPr>
      <w:r w:rsidRPr="00D508D5">
        <w:rPr>
          <w:szCs w:val="28"/>
          <w:u w:val="single"/>
        </w:rPr>
        <w:t>Data Collection</w:t>
      </w:r>
    </w:p>
    <w:p w14:paraId="1DF7F500" w14:textId="29B8A329" w:rsidR="008D75A7" w:rsidRDefault="008D75A7" w:rsidP="008D75A7">
      <w:pPr>
        <w:tabs>
          <w:tab w:val="left" w:pos="3240"/>
        </w:tabs>
        <w:spacing w:after="0"/>
        <w:rPr>
          <w:szCs w:val="28"/>
        </w:rPr>
      </w:pPr>
      <w:r w:rsidRPr="00D508D5">
        <w:rPr>
          <w:szCs w:val="28"/>
        </w:rPr>
        <w:t xml:space="preserve">The public health jurisdictions, </w:t>
      </w:r>
      <w:proofErr w:type="spellStart"/>
      <w:r w:rsidRPr="00D508D5">
        <w:rPr>
          <w:szCs w:val="28"/>
        </w:rPr>
        <w:t>DoD</w:t>
      </w:r>
      <w:proofErr w:type="spellEnd"/>
      <w:r w:rsidRPr="00D508D5">
        <w:rPr>
          <w:szCs w:val="28"/>
        </w:rPr>
        <w:t xml:space="preserve">, VA, the national clinical laboratories, or the private sector health information exchange company are not providing CDC with individually identifiable information about their organization, they are providing healthcare encounter data from people seen in their jurisdiction or by their organization. Some of these data do contain combinations of variables that can be considered </w:t>
      </w:r>
      <w:r w:rsidR="00CA3B85">
        <w:rPr>
          <w:szCs w:val="28"/>
        </w:rPr>
        <w:t xml:space="preserve">IIF that is only indirectly </w:t>
      </w:r>
      <w:proofErr w:type="spellStart"/>
      <w:r w:rsidR="00CA3B85">
        <w:rPr>
          <w:szCs w:val="28"/>
        </w:rPr>
        <w:t>identifiable,</w:t>
      </w:r>
      <w:r w:rsidRPr="00D508D5">
        <w:rPr>
          <w:szCs w:val="28"/>
        </w:rPr>
        <w:t>,such</w:t>
      </w:r>
      <w:proofErr w:type="spellEnd"/>
      <w:r w:rsidRPr="00D508D5">
        <w:rPr>
          <w:szCs w:val="28"/>
        </w:rPr>
        <w:t xml:space="preserve"> as, Date of birth (month/year), date of death (month/day/year), sex, ethnic group, race, state, zip code, date of visit</w:t>
      </w:r>
      <w:r>
        <w:rPr>
          <w:szCs w:val="28"/>
        </w:rPr>
        <w:t xml:space="preserve">, and name of facility visited </w:t>
      </w:r>
      <w:r w:rsidRPr="00C47326">
        <w:rPr>
          <w:szCs w:val="28"/>
        </w:rPr>
        <w:t>(</w:t>
      </w:r>
      <w:r>
        <w:rPr>
          <w:b/>
          <w:szCs w:val="28"/>
        </w:rPr>
        <w:t>Attachment 6</w:t>
      </w:r>
      <w:r w:rsidRPr="00C47326">
        <w:rPr>
          <w:szCs w:val="28"/>
        </w:rPr>
        <w:t>)</w:t>
      </w:r>
      <w:r>
        <w:rPr>
          <w:szCs w:val="28"/>
        </w:rPr>
        <w:t>.</w:t>
      </w:r>
      <w:r w:rsidRPr="00D508D5">
        <w:rPr>
          <w:szCs w:val="28"/>
        </w:rPr>
        <w:t xml:space="preserve"> However, there are security measures and policies in place that protect the data and prohibit anyone attempting to identify individuals using </w:t>
      </w:r>
      <w:proofErr w:type="spellStart"/>
      <w:r w:rsidRPr="00D508D5">
        <w:rPr>
          <w:szCs w:val="28"/>
        </w:rPr>
        <w:t>BioSense</w:t>
      </w:r>
      <w:proofErr w:type="spellEnd"/>
      <w:r w:rsidRPr="00D508D5">
        <w:rPr>
          <w:szCs w:val="28"/>
        </w:rPr>
        <w:t xml:space="preserve"> data</w:t>
      </w:r>
      <w:r>
        <w:rPr>
          <w:szCs w:val="28"/>
        </w:rPr>
        <w:t xml:space="preserve"> </w:t>
      </w:r>
      <w:r w:rsidRPr="00C47326">
        <w:rPr>
          <w:szCs w:val="28"/>
        </w:rPr>
        <w:t>(</w:t>
      </w:r>
      <w:r>
        <w:rPr>
          <w:b/>
          <w:szCs w:val="28"/>
        </w:rPr>
        <w:t>Attachment 4 and 8</w:t>
      </w:r>
      <w:r w:rsidRPr="00C47326">
        <w:rPr>
          <w:szCs w:val="28"/>
        </w:rPr>
        <w:t>)</w:t>
      </w:r>
      <w:r w:rsidRPr="00D508D5">
        <w:rPr>
          <w:szCs w:val="28"/>
        </w:rPr>
        <w:t>. This activity is not research involving human subjects; it is the public he</w:t>
      </w:r>
      <w:r>
        <w:rPr>
          <w:szCs w:val="28"/>
        </w:rPr>
        <w:t xml:space="preserve">alth practice of surveillance. </w:t>
      </w:r>
    </w:p>
    <w:p w14:paraId="4C7EB17A" w14:textId="77777777" w:rsidR="008D75A7" w:rsidRPr="00196CB7" w:rsidRDefault="008D75A7" w:rsidP="008D75A7">
      <w:pPr>
        <w:tabs>
          <w:tab w:val="left" w:pos="3240"/>
        </w:tabs>
        <w:spacing w:after="0"/>
        <w:rPr>
          <w:szCs w:val="28"/>
        </w:rPr>
      </w:pPr>
    </w:p>
    <w:p w14:paraId="336B832B" w14:textId="77777777" w:rsidR="008D75A7" w:rsidRDefault="008D75A7" w:rsidP="008D75A7">
      <w:pPr>
        <w:tabs>
          <w:tab w:val="left" w:pos="3240"/>
        </w:tabs>
        <w:spacing w:after="0"/>
        <w:rPr>
          <w:b/>
          <w:szCs w:val="28"/>
        </w:rPr>
      </w:pPr>
      <w:proofErr w:type="gramStart"/>
      <w:r>
        <w:rPr>
          <w:b/>
          <w:szCs w:val="28"/>
        </w:rPr>
        <w:t xml:space="preserve">10.1  </w:t>
      </w:r>
      <w:r w:rsidRPr="00D508D5">
        <w:rPr>
          <w:b/>
          <w:szCs w:val="28"/>
        </w:rPr>
        <w:t>Privacy</w:t>
      </w:r>
      <w:proofErr w:type="gramEnd"/>
      <w:r w:rsidRPr="00D508D5">
        <w:rPr>
          <w:b/>
          <w:szCs w:val="28"/>
        </w:rPr>
        <w:t xml:space="preserve"> Impact Assessment Information</w:t>
      </w:r>
    </w:p>
    <w:p w14:paraId="3E93C709" w14:textId="77777777" w:rsidR="008D75A7" w:rsidRPr="00D508D5" w:rsidRDefault="008D75A7" w:rsidP="008D75A7">
      <w:pPr>
        <w:tabs>
          <w:tab w:val="left" w:pos="3240"/>
        </w:tabs>
        <w:spacing w:after="0"/>
        <w:rPr>
          <w:b/>
          <w:szCs w:val="28"/>
        </w:rPr>
      </w:pPr>
    </w:p>
    <w:p w14:paraId="464789DF" w14:textId="77777777" w:rsidR="008D75A7" w:rsidRPr="00D508D5" w:rsidRDefault="008D75A7" w:rsidP="008D75A7">
      <w:pPr>
        <w:spacing w:after="0"/>
        <w:rPr>
          <w:szCs w:val="28"/>
          <w:u w:val="single"/>
        </w:rPr>
      </w:pPr>
      <w:r w:rsidRPr="00D508D5">
        <w:rPr>
          <w:szCs w:val="28"/>
          <w:u w:val="single"/>
        </w:rPr>
        <w:t>Recruitment</w:t>
      </w:r>
      <w:r>
        <w:rPr>
          <w:szCs w:val="28"/>
          <w:u w:val="single"/>
        </w:rPr>
        <w:t xml:space="preserve"> and </w:t>
      </w:r>
      <w:r w:rsidRPr="00D508D5">
        <w:rPr>
          <w:szCs w:val="28"/>
          <w:u w:val="single"/>
        </w:rPr>
        <w:t>Web Application Access</w:t>
      </w:r>
    </w:p>
    <w:p w14:paraId="10242DB2" w14:textId="2B581F68" w:rsidR="008D75A7" w:rsidRPr="00D508D5" w:rsidRDefault="008D75A7" w:rsidP="008D75A7">
      <w:pPr>
        <w:rPr>
          <w:szCs w:val="28"/>
        </w:rPr>
      </w:pPr>
      <w:r w:rsidRPr="00D508D5">
        <w:rPr>
          <w:szCs w:val="28"/>
        </w:rPr>
        <w:t xml:space="preserve">Gaining a user account and adding a jurisdiction to </w:t>
      </w:r>
      <w:proofErr w:type="spellStart"/>
      <w:r w:rsidRPr="00D508D5">
        <w:rPr>
          <w:szCs w:val="28"/>
        </w:rPr>
        <w:t>BioSense</w:t>
      </w:r>
      <w:proofErr w:type="spellEnd"/>
      <w:r w:rsidRPr="00D508D5">
        <w:rPr>
          <w:szCs w:val="28"/>
        </w:rPr>
        <w:t xml:space="preserve"> 2.0 are both voluntary activities.  Individuals or organizations are not mandated to participate. </w:t>
      </w:r>
      <w:r>
        <w:rPr>
          <w:szCs w:val="28"/>
        </w:rPr>
        <w:t xml:space="preserve">This information is used for communication and access purposes only, and is kept only as long as the individuals or organizations choose to participate in </w:t>
      </w:r>
      <w:proofErr w:type="spellStart"/>
      <w:r>
        <w:rPr>
          <w:szCs w:val="28"/>
        </w:rPr>
        <w:t>BioSense</w:t>
      </w:r>
      <w:proofErr w:type="spellEnd"/>
      <w:r>
        <w:rPr>
          <w:szCs w:val="28"/>
        </w:rPr>
        <w:t xml:space="preserve"> 2.0.</w:t>
      </w:r>
      <w:r w:rsidRPr="00D508D5">
        <w:rPr>
          <w:szCs w:val="28"/>
        </w:rPr>
        <w:t xml:space="preserve">  </w:t>
      </w:r>
    </w:p>
    <w:p w14:paraId="56F9C1FB" w14:textId="77777777" w:rsidR="008D75A7" w:rsidRDefault="008D75A7" w:rsidP="008D75A7">
      <w:pPr>
        <w:tabs>
          <w:tab w:val="left" w:pos="3240"/>
        </w:tabs>
        <w:rPr>
          <w:szCs w:val="28"/>
          <w:u w:val="single"/>
        </w:rPr>
      </w:pPr>
      <w:r w:rsidRPr="00D508D5">
        <w:rPr>
          <w:szCs w:val="28"/>
          <w:u w:val="single"/>
        </w:rPr>
        <w:t>Data Collection</w:t>
      </w:r>
    </w:p>
    <w:p w14:paraId="46939C7D" w14:textId="77777777" w:rsidR="008D75A7" w:rsidRPr="00D508D5" w:rsidRDefault="008D75A7" w:rsidP="008D75A7">
      <w:pPr>
        <w:rPr>
          <w:szCs w:val="28"/>
        </w:rPr>
      </w:pPr>
      <w:r>
        <w:rPr>
          <w:szCs w:val="28"/>
        </w:rPr>
        <w:t xml:space="preserve">It is clearly stated in the Information Sharing and Data Use Agreements that are signed by public health jurisdictions that sharing data with other jurisdictions and CDC is voluntary. They consent to the sharing of data by </w:t>
      </w:r>
      <w:r w:rsidRPr="00DA6331">
        <w:rPr>
          <w:szCs w:val="28"/>
        </w:rPr>
        <w:t xml:space="preserve">simply </w:t>
      </w:r>
      <w:r>
        <w:rPr>
          <w:szCs w:val="28"/>
        </w:rPr>
        <w:t>choosing</w:t>
      </w:r>
      <w:r w:rsidRPr="006D281A">
        <w:rPr>
          <w:szCs w:val="28"/>
        </w:rPr>
        <w:t xml:space="preserve"> their sharing permissions</w:t>
      </w:r>
      <w:r w:rsidRPr="00DA6331">
        <w:rPr>
          <w:szCs w:val="28"/>
        </w:rPr>
        <w:t xml:space="preserve"> from drop-down lists</w:t>
      </w:r>
      <w:r>
        <w:rPr>
          <w:szCs w:val="28"/>
        </w:rPr>
        <w:t xml:space="preserve"> </w:t>
      </w:r>
      <w:r w:rsidRPr="00DA6331">
        <w:rPr>
          <w:szCs w:val="28"/>
        </w:rPr>
        <w:t xml:space="preserve">on the </w:t>
      </w:r>
      <w:proofErr w:type="spellStart"/>
      <w:r w:rsidRPr="00DA6331">
        <w:rPr>
          <w:szCs w:val="28"/>
        </w:rPr>
        <w:t>BioSense</w:t>
      </w:r>
      <w:proofErr w:type="spellEnd"/>
      <w:r w:rsidRPr="00DA6331">
        <w:rPr>
          <w:szCs w:val="28"/>
        </w:rPr>
        <w:t xml:space="preserve"> 2.0</w:t>
      </w:r>
      <w:r w:rsidRPr="00307673">
        <w:rPr>
          <w:szCs w:val="28"/>
        </w:rPr>
        <w:t>.</w:t>
      </w:r>
      <w:r>
        <w:rPr>
          <w:szCs w:val="28"/>
        </w:rPr>
        <w:t xml:space="preserve"> </w:t>
      </w:r>
      <w:r w:rsidRPr="00D508D5">
        <w:rPr>
          <w:szCs w:val="28"/>
        </w:rPr>
        <w:t>All sharing privileges are at the discretion of the jurisdiction</w:t>
      </w:r>
      <w:r>
        <w:rPr>
          <w:szCs w:val="28"/>
        </w:rPr>
        <w:t xml:space="preserve"> and the administrator therein, and s</w:t>
      </w:r>
      <w:r w:rsidRPr="00D508D5">
        <w:rPr>
          <w:szCs w:val="28"/>
        </w:rPr>
        <w:t xml:space="preserve">haring privileges can be changed at any time at the discretion of the administrator.  </w:t>
      </w:r>
    </w:p>
    <w:p w14:paraId="201DA25F" w14:textId="494DE91A" w:rsidR="008D75A7" w:rsidRDefault="008D75A7" w:rsidP="008D75A7">
      <w:pPr>
        <w:tabs>
          <w:tab w:val="left" w:pos="3240"/>
        </w:tabs>
        <w:spacing w:after="0"/>
        <w:rPr>
          <w:szCs w:val="28"/>
        </w:rPr>
      </w:pPr>
      <w:r>
        <w:rPr>
          <w:szCs w:val="28"/>
        </w:rPr>
        <w:t>The data collected is in electronic format and is secured</w:t>
      </w:r>
      <w:r w:rsidRPr="00307673">
        <w:t xml:space="preserve"> </w:t>
      </w:r>
      <w:r>
        <w:t xml:space="preserve">on a </w:t>
      </w:r>
      <w:r w:rsidRPr="00307673">
        <w:rPr>
          <w:szCs w:val="28"/>
        </w:rPr>
        <w:t>cloud-enabled, web-based platform that is in compliance with the Federal Information Security Management Act</w:t>
      </w:r>
      <w:r>
        <w:rPr>
          <w:szCs w:val="28"/>
        </w:rPr>
        <w:t xml:space="preserve"> (FISMA).</w:t>
      </w:r>
      <w:r w:rsidRPr="00C47326">
        <w:rPr>
          <w:szCs w:val="28"/>
        </w:rPr>
        <w:t xml:space="preserve"> </w:t>
      </w:r>
      <w:proofErr w:type="gramStart"/>
      <w:r w:rsidRPr="00C47326">
        <w:rPr>
          <w:szCs w:val="28"/>
        </w:rPr>
        <w:t>(</w:t>
      </w:r>
      <w:r w:rsidRPr="00C47326">
        <w:rPr>
          <w:b/>
          <w:szCs w:val="28"/>
        </w:rPr>
        <w:t>Attachment 4 and 8</w:t>
      </w:r>
      <w:r w:rsidRPr="00C47326">
        <w:rPr>
          <w:szCs w:val="28"/>
        </w:rPr>
        <w:t>)</w:t>
      </w:r>
      <w:r>
        <w:rPr>
          <w:szCs w:val="28"/>
        </w:rPr>
        <w:t>.</w:t>
      </w:r>
      <w:proofErr w:type="gramEnd"/>
      <w:r>
        <w:rPr>
          <w:szCs w:val="28"/>
        </w:rPr>
        <w:t xml:space="preserve"> </w:t>
      </w:r>
      <w:r w:rsidRPr="00D508D5">
        <w:rPr>
          <w:szCs w:val="28"/>
        </w:rPr>
        <w:t xml:space="preserve">The </w:t>
      </w:r>
      <w:proofErr w:type="spellStart"/>
      <w:r w:rsidRPr="00D508D5">
        <w:rPr>
          <w:szCs w:val="28"/>
        </w:rPr>
        <w:t>BioSense</w:t>
      </w:r>
      <w:proofErr w:type="spellEnd"/>
      <w:r w:rsidRPr="00D508D5">
        <w:rPr>
          <w:szCs w:val="28"/>
        </w:rPr>
        <w:t xml:space="preserve"> 2.0 application is a FISMA-moderate environment, and has also been through the Certification and </w:t>
      </w:r>
      <w:r w:rsidR="0078568D">
        <w:rPr>
          <w:szCs w:val="28"/>
        </w:rPr>
        <w:t xml:space="preserve">Accreditation </w:t>
      </w:r>
      <w:r w:rsidRPr="00D508D5">
        <w:rPr>
          <w:szCs w:val="28"/>
        </w:rPr>
        <w:t>process performed by CDC security personnel.  It does not collect data from state and local health departments that contain PII.  All data in the application is aggregated.</w:t>
      </w:r>
      <w:r w:rsidRPr="00C47326">
        <w:rPr>
          <w:szCs w:val="28"/>
        </w:rPr>
        <w:t xml:space="preserve"> (</w:t>
      </w:r>
      <w:r w:rsidRPr="00C47326">
        <w:rPr>
          <w:b/>
          <w:szCs w:val="28"/>
        </w:rPr>
        <w:t>Attachment 4 and 8</w:t>
      </w:r>
      <w:r w:rsidRPr="00C47326">
        <w:rPr>
          <w:szCs w:val="28"/>
        </w:rPr>
        <w:t>)</w:t>
      </w:r>
    </w:p>
    <w:p w14:paraId="30DD4839" w14:textId="77777777" w:rsidR="00CA3B85" w:rsidRDefault="00CA3B85" w:rsidP="008D75A7">
      <w:pPr>
        <w:tabs>
          <w:tab w:val="left" w:pos="3240"/>
        </w:tabs>
        <w:spacing w:after="0"/>
        <w:rPr>
          <w:szCs w:val="28"/>
        </w:rPr>
      </w:pPr>
    </w:p>
    <w:p w14:paraId="2BEACEDC" w14:textId="77777777" w:rsidR="008D75A7" w:rsidRDefault="008D75A7" w:rsidP="008D75A7">
      <w:pPr>
        <w:tabs>
          <w:tab w:val="left" w:pos="3240"/>
        </w:tabs>
        <w:spacing w:after="0"/>
        <w:rPr>
          <w:szCs w:val="28"/>
        </w:rPr>
      </w:pPr>
      <w:r w:rsidRPr="00C17075">
        <w:rPr>
          <w:szCs w:val="28"/>
        </w:rPr>
        <w:t xml:space="preserve">The </w:t>
      </w:r>
      <w:proofErr w:type="spellStart"/>
      <w:r w:rsidRPr="00C17075">
        <w:rPr>
          <w:szCs w:val="28"/>
        </w:rPr>
        <w:t>BioSense</w:t>
      </w:r>
      <w:proofErr w:type="spellEnd"/>
      <w:r w:rsidRPr="00C17075">
        <w:rPr>
          <w:szCs w:val="28"/>
        </w:rPr>
        <w:t xml:space="preserve"> program completed an HHS Privacy Impact Assessment, and that form was approved by CDC on April, 2011.</w:t>
      </w:r>
    </w:p>
    <w:p w14:paraId="10827ED3" w14:textId="77777777" w:rsidR="009F763C" w:rsidRPr="00C17075" w:rsidRDefault="009F763C" w:rsidP="008D75A7">
      <w:pPr>
        <w:tabs>
          <w:tab w:val="left" w:pos="3240"/>
        </w:tabs>
        <w:spacing w:after="0"/>
        <w:rPr>
          <w:szCs w:val="28"/>
        </w:rPr>
      </w:pPr>
    </w:p>
    <w:p w14:paraId="4D7832B9" w14:textId="77777777" w:rsidR="008D75A7" w:rsidRDefault="008D75A7" w:rsidP="008D75A7">
      <w:pPr>
        <w:tabs>
          <w:tab w:val="left" w:pos="3240"/>
        </w:tabs>
        <w:spacing w:after="0"/>
        <w:rPr>
          <w:b/>
          <w:szCs w:val="28"/>
        </w:rPr>
      </w:pPr>
      <w:proofErr w:type="gramStart"/>
      <w:r>
        <w:rPr>
          <w:b/>
          <w:szCs w:val="28"/>
        </w:rPr>
        <w:lastRenderedPageBreak/>
        <w:t xml:space="preserve">11  </w:t>
      </w:r>
      <w:r w:rsidRPr="00BC705D">
        <w:rPr>
          <w:b/>
          <w:szCs w:val="28"/>
        </w:rPr>
        <w:t>Justification</w:t>
      </w:r>
      <w:proofErr w:type="gramEnd"/>
      <w:r w:rsidRPr="00BC705D">
        <w:rPr>
          <w:b/>
          <w:szCs w:val="28"/>
        </w:rPr>
        <w:t xml:space="preserve"> for Sensitive Questions</w:t>
      </w:r>
    </w:p>
    <w:p w14:paraId="173EB03C" w14:textId="77777777" w:rsidR="008D75A7" w:rsidRPr="00BC705D" w:rsidRDefault="008D75A7" w:rsidP="008D75A7">
      <w:pPr>
        <w:tabs>
          <w:tab w:val="left" w:pos="3240"/>
        </w:tabs>
        <w:spacing w:after="0"/>
        <w:rPr>
          <w:b/>
          <w:szCs w:val="28"/>
        </w:rPr>
      </w:pPr>
    </w:p>
    <w:p w14:paraId="5AFBBD25" w14:textId="77777777" w:rsidR="008D75A7" w:rsidRPr="00634A89" w:rsidRDefault="008D75A7" w:rsidP="008D75A7">
      <w:pPr>
        <w:tabs>
          <w:tab w:val="left" w:pos="3240"/>
        </w:tabs>
        <w:rPr>
          <w:szCs w:val="28"/>
          <w:u w:val="single"/>
        </w:rPr>
      </w:pPr>
      <w:r w:rsidRPr="00634A89">
        <w:rPr>
          <w:szCs w:val="28"/>
          <w:u w:val="single"/>
        </w:rPr>
        <w:t>Recruitment</w:t>
      </w:r>
    </w:p>
    <w:p w14:paraId="06941BFF" w14:textId="77777777" w:rsidR="008D75A7" w:rsidRPr="00634A89" w:rsidRDefault="008D75A7" w:rsidP="008D75A7">
      <w:pPr>
        <w:rPr>
          <w:color w:val="000000"/>
        </w:rPr>
      </w:pPr>
      <w:r w:rsidRPr="00634A89">
        <w:rPr>
          <w:color w:val="000000"/>
        </w:rPr>
        <w:t xml:space="preserve">There are no questions of a sensitive nature asked in the collection of information for the recruitment of data sources. </w:t>
      </w:r>
    </w:p>
    <w:p w14:paraId="7B02BA28" w14:textId="77777777" w:rsidR="008D75A7" w:rsidRPr="009C4F56" w:rsidRDefault="008D75A7" w:rsidP="008D75A7">
      <w:pPr>
        <w:tabs>
          <w:tab w:val="left" w:pos="3240"/>
        </w:tabs>
        <w:rPr>
          <w:color w:val="000000"/>
          <w:u w:val="single"/>
        </w:rPr>
      </w:pPr>
      <w:r w:rsidRPr="009C4F56">
        <w:rPr>
          <w:color w:val="000000"/>
          <w:u w:val="single"/>
        </w:rPr>
        <w:t>Web Application Access</w:t>
      </w:r>
    </w:p>
    <w:p w14:paraId="32AC9D66" w14:textId="77777777" w:rsidR="008D75A7" w:rsidRDefault="008D75A7" w:rsidP="008D75A7">
      <w:pPr>
        <w:tabs>
          <w:tab w:val="left" w:pos="3240"/>
        </w:tabs>
        <w:rPr>
          <w:color w:val="000000"/>
        </w:rPr>
      </w:pPr>
      <w:r>
        <w:rPr>
          <w:color w:val="000000"/>
        </w:rPr>
        <w:t xml:space="preserve">There are no questions of a sensitive nature asked in the collection of information for access to the </w:t>
      </w:r>
      <w:proofErr w:type="spellStart"/>
      <w:r>
        <w:rPr>
          <w:color w:val="000000"/>
        </w:rPr>
        <w:t>BioSense</w:t>
      </w:r>
      <w:proofErr w:type="spellEnd"/>
      <w:r>
        <w:rPr>
          <w:color w:val="000000"/>
        </w:rPr>
        <w:t xml:space="preserve"> application</w:t>
      </w:r>
      <w:r w:rsidRPr="00986691">
        <w:rPr>
          <w:color w:val="000000"/>
        </w:rPr>
        <w:t>.</w:t>
      </w:r>
    </w:p>
    <w:p w14:paraId="231F181D" w14:textId="77777777" w:rsidR="008D75A7" w:rsidRPr="009C4F56" w:rsidRDefault="008D75A7" w:rsidP="008D75A7">
      <w:pPr>
        <w:tabs>
          <w:tab w:val="left" w:pos="3240"/>
        </w:tabs>
        <w:rPr>
          <w:color w:val="000000"/>
        </w:rPr>
      </w:pPr>
      <w:r w:rsidRPr="009C4F56">
        <w:rPr>
          <w:color w:val="000000"/>
          <w:u w:val="single"/>
        </w:rPr>
        <w:t>Data Collection</w:t>
      </w:r>
    </w:p>
    <w:p w14:paraId="7AECE401" w14:textId="77777777" w:rsidR="008D75A7" w:rsidRDefault="008D75A7" w:rsidP="008D75A7">
      <w:pPr>
        <w:tabs>
          <w:tab w:val="left" w:pos="3240"/>
        </w:tabs>
        <w:spacing w:after="0"/>
        <w:rPr>
          <w:szCs w:val="28"/>
        </w:rPr>
      </w:pPr>
      <w:r w:rsidRPr="00307673">
        <w:rPr>
          <w:szCs w:val="28"/>
        </w:rPr>
        <w:t>There are no questions of a sensitive nature asked</w:t>
      </w:r>
      <w:r>
        <w:rPr>
          <w:szCs w:val="28"/>
        </w:rPr>
        <w:t xml:space="preserve"> of the public health jurisdictions,</w:t>
      </w:r>
      <w:r w:rsidRPr="000120FC">
        <w:rPr>
          <w:szCs w:val="28"/>
        </w:rPr>
        <w:t xml:space="preserve"> </w:t>
      </w:r>
      <w:proofErr w:type="spellStart"/>
      <w:proofErr w:type="gramStart"/>
      <w:r w:rsidRPr="000120FC">
        <w:rPr>
          <w:szCs w:val="28"/>
        </w:rPr>
        <w:t>DoD</w:t>
      </w:r>
      <w:proofErr w:type="spellEnd"/>
      <w:proofErr w:type="gramEnd"/>
      <w:r w:rsidRPr="000120FC">
        <w:rPr>
          <w:szCs w:val="28"/>
        </w:rPr>
        <w:t>, VA, the national clinical laboratories, or the private sector health information exchange company</w:t>
      </w:r>
      <w:r>
        <w:rPr>
          <w:szCs w:val="28"/>
        </w:rPr>
        <w:t xml:space="preserve"> during </w:t>
      </w:r>
      <w:r w:rsidRPr="00307673">
        <w:rPr>
          <w:szCs w:val="28"/>
        </w:rPr>
        <w:t>collection</w:t>
      </w:r>
      <w:r>
        <w:rPr>
          <w:szCs w:val="28"/>
        </w:rPr>
        <w:t xml:space="preserve"> of their healthcare encounter data.</w:t>
      </w:r>
    </w:p>
    <w:p w14:paraId="68B50E2F" w14:textId="77777777" w:rsidR="008D75A7" w:rsidRDefault="008D75A7" w:rsidP="008D75A7">
      <w:pPr>
        <w:tabs>
          <w:tab w:val="left" w:pos="3240"/>
        </w:tabs>
        <w:spacing w:after="0"/>
        <w:rPr>
          <w:szCs w:val="28"/>
        </w:rPr>
      </w:pPr>
    </w:p>
    <w:p w14:paraId="04EE0E79" w14:textId="77777777" w:rsidR="008D75A7" w:rsidRDefault="008D75A7" w:rsidP="008D75A7">
      <w:pPr>
        <w:tabs>
          <w:tab w:val="left" w:pos="3240"/>
        </w:tabs>
        <w:spacing w:after="0"/>
        <w:rPr>
          <w:szCs w:val="28"/>
        </w:rPr>
      </w:pPr>
    </w:p>
    <w:p w14:paraId="3BADF2ED" w14:textId="77777777" w:rsidR="008D75A7" w:rsidRDefault="008D75A7" w:rsidP="008D75A7">
      <w:pPr>
        <w:tabs>
          <w:tab w:val="left" w:pos="2520"/>
          <w:tab w:val="left" w:pos="3060"/>
          <w:tab w:val="left" w:pos="3240"/>
        </w:tabs>
        <w:spacing w:after="0"/>
        <w:rPr>
          <w:b/>
          <w:szCs w:val="28"/>
        </w:rPr>
      </w:pPr>
      <w:proofErr w:type="gramStart"/>
      <w:r>
        <w:rPr>
          <w:b/>
          <w:szCs w:val="28"/>
        </w:rPr>
        <w:t xml:space="preserve">12  </w:t>
      </w:r>
      <w:r w:rsidRPr="006A38F4">
        <w:rPr>
          <w:b/>
          <w:szCs w:val="28"/>
        </w:rPr>
        <w:t>Estimates</w:t>
      </w:r>
      <w:proofErr w:type="gramEnd"/>
      <w:r w:rsidRPr="006A38F4">
        <w:rPr>
          <w:b/>
          <w:szCs w:val="28"/>
        </w:rPr>
        <w:t xml:space="preserve"> of Annualized Burden Hours and Costs</w:t>
      </w:r>
      <w:r w:rsidRPr="00BC705D">
        <w:rPr>
          <w:b/>
          <w:szCs w:val="28"/>
        </w:rPr>
        <w:t xml:space="preserve"> </w:t>
      </w:r>
    </w:p>
    <w:p w14:paraId="1B4D4611" w14:textId="77777777" w:rsidR="008D75A7" w:rsidRPr="00BC705D" w:rsidRDefault="008D75A7" w:rsidP="008D75A7">
      <w:pPr>
        <w:tabs>
          <w:tab w:val="left" w:pos="2520"/>
          <w:tab w:val="left" w:pos="3060"/>
          <w:tab w:val="left" w:pos="3240"/>
        </w:tabs>
        <w:spacing w:after="0"/>
        <w:rPr>
          <w:b/>
          <w:szCs w:val="28"/>
        </w:rPr>
      </w:pPr>
    </w:p>
    <w:p w14:paraId="7E85B717" w14:textId="13560943" w:rsidR="008D75A7" w:rsidRPr="00986691" w:rsidRDefault="008D75A7" w:rsidP="008D75A7">
      <w:pPr>
        <w:spacing w:after="0"/>
        <w:rPr>
          <w:color w:val="000000"/>
        </w:rPr>
      </w:pPr>
      <w:r>
        <w:rPr>
          <w:color w:val="000000"/>
        </w:rPr>
        <w:t>RTI, the contractor participating in recruitment, has provided an estimate of 1 hour per respondent</w:t>
      </w:r>
      <w:r w:rsidRPr="00F443D2">
        <w:rPr>
          <w:color w:val="000000"/>
        </w:rPr>
        <w:t>.</w:t>
      </w:r>
      <w:r>
        <w:rPr>
          <w:color w:val="000000"/>
        </w:rPr>
        <w:t xml:space="preserve"> This encompasses the unstructured conversation between the contractor and the respondent where the contractor discusses the respondent’s various options to connect to the </w:t>
      </w:r>
      <w:proofErr w:type="spellStart"/>
      <w:r>
        <w:rPr>
          <w:color w:val="000000"/>
        </w:rPr>
        <w:t>BioSense</w:t>
      </w:r>
      <w:proofErr w:type="spellEnd"/>
      <w:r>
        <w:rPr>
          <w:color w:val="000000"/>
        </w:rPr>
        <w:t xml:space="preserve"> 2.0 cloud environment and answers questions from the respondent.</w:t>
      </w:r>
      <w:r w:rsidR="00CA3B85" w:rsidRPr="00CA3B85">
        <w:rPr>
          <w:color w:val="000000"/>
        </w:rPr>
        <w:t xml:space="preserve"> </w:t>
      </w:r>
      <w:r w:rsidR="00CA3B85">
        <w:rPr>
          <w:color w:val="000000"/>
        </w:rPr>
        <w:t>Thus there is no longer a need for the previously used data collection instrument.</w:t>
      </w:r>
      <w:r>
        <w:rPr>
          <w:color w:val="000000"/>
        </w:rPr>
        <w:t xml:space="preserve"> This includes s</w:t>
      </w:r>
      <w:r w:rsidRPr="0087346C">
        <w:rPr>
          <w:color w:val="000000"/>
        </w:rPr>
        <w:t>tate, local, and territorial public health jurisdictions</w:t>
      </w:r>
      <w:r>
        <w:rPr>
          <w:color w:val="000000"/>
        </w:rPr>
        <w:t xml:space="preserve"> as well as </w:t>
      </w:r>
      <w:r w:rsidRPr="0087346C">
        <w:rPr>
          <w:color w:val="000000"/>
        </w:rPr>
        <w:t xml:space="preserve">VA, </w:t>
      </w:r>
      <w:proofErr w:type="spellStart"/>
      <w:proofErr w:type="gramStart"/>
      <w:r w:rsidRPr="0087346C">
        <w:rPr>
          <w:color w:val="000000"/>
        </w:rPr>
        <w:t>DoD</w:t>
      </w:r>
      <w:proofErr w:type="spellEnd"/>
      <w:proofErr w:type="gramEnd"/>
      <w:r w:rsidRPr="0087346C">
        <w:rPr>
          <w:color w:val="000000"/>
        </w:rPr>
        <w:t xml:space="preserve">, the </w:t>
      </w:r>
      <w:r w:rsidRPr="00724FF2">
        <w:rPr>
          <w:color w:val="000000"/>
        </w:rPr>
        <w:t>two national clinical laboratory corporations, and the private sector health information exchange company.</w:t>
      </w:r>
      <w:r w:rsidR="00A67DB4" w:rsidRPr="00724FF2">
        <w:rPr>
          <w:color w:val="000000"/>
        </w:rPr>
        <w:t xml:space="preserve"> The state, local, and territorial public health jurisdiction number is an average divided over three years. We expect the number to be highest for the first year then decrease in subsequent</w:t>
      </w:r>
      <w:r w:rsidR="009B6FE5" w:rsidRPr="00724FF2">
        <w:rPr>
          <w:color w:val="000000"/>
        </w:rPr>
        <w:t xml:space="preserve"> years with an estimated </w:t>
      </w:r>
      <w:r w:rsidR="00A67DB4" w:rsidRPr="00724FF2">
        <w:rPr>
          <w:color w:val="000000"/>
        </w:rPr>
        <w:t>total of 60 jurisdictions over 3 years.</w:t>
      </w:r>
    </w:p>
    <w:p w14:paraId="6ACDE10B" w14:textId="77777777" w:rsidR="008D75A7" w:rsidRPr="00986691" w:rsidRDefault="008D75A7" w:rsidP="008D75A7">
      <w:pPr>
        <w:spacing w:after="0"/>
        <w:rPr>
          <w:color w:val="000000"/>
        </w:rPr>
      </w:pPr>
    </w:p>
    <w:p w14:paraId="773F4E37" w14:textId="77777777" w:rsidR="008D75A7" w:rsidRDefault="008D75A7" w:rsidP="008D75A7">
      <w:pPr>
        <w:spacing w:after="0"/>
        <w:rPr>
          <w:color w:val="000000"/>
        </w:rPr>
      </w:pPr>
      <w:r w:rsidRPr="00986691">
        <w:rPr>
          <w:color w:val="000000"/>
        </w:rPr>
        <w:t xml:space="preserve">CDC personnel </w:t>
      </w:r>
      <w:r>
        <w:rPr>
          <w:color w:val="000000"/>
        </w:rPr>
        <w:t>who have applied</w:t>
      </w:r>
      <w:r w:rsidRPr="00986691">
        <w:rPr>
          <w:color w:val="000000"/>
        </w:rPr>
        <w:t xml:space="preserve"> for access to the </w:t>
      </w:r>
      <w:proofErr w:type="spellStart"/>
      <w:r w:rsidRPr="00986691">
        <w:rPr>
          <w:color w:val="000000"/>
        </w:rPr>
        <w:t>BioSense</w:t>
      </w:r>
      <w:proofErr w:type="spellEnd"/>
      <w:r>
        <w:rPr>
          <w:color w:val="000000"/>
        </w:rPr>
        <w:t xml:space="preserve"> 2.0</w:t>
      </w:r>
      <w:r w:rsidRPr="00986691">
        <w:rPr>
          <w:color w:val="000000"/>
        </w:rPr>
        <w:t xml:space="preserve"> Application p</w:t>
      </w:r>
      <w:r>
        <w:rPr>
          <w:color w:val="000000"/>
        </w:rPr>
        <w:t>rovided an estimate of 5/60 hours per respondent</w:t>
      </w:r>
      <w:r w:rsidRPr="00986691">
        <w:rPr>
          <w:color w:val="000000"/>
        </w:rPr>
        <w:t>.</w:t>
      </w:r>
      <w:r>
        <w:rPr>
          <w:color w:val="000000"/>
        </w:rPr>
        <w:t xml:space="preserve"> </w:t>
      </w:r>
      <w:r w:rsidRPr="00C47326">
        <w:rPr>
          <w:color w:val="000000"/>
        </w:rPr>
        <w:t>(</w:t>
      </w:r>
      <w:r w:rsidRPr="00C47326">
        <w:rPr>
          <w:b/>
          <w:color w:val="000000"/>
        </w:rPr>
        <w:t xml:space="preserve">Attachment </w:t>
      </w:r>
      <w:r>
        <w:rPr>
          <w:b/>
          <w:color w:val="000000"/>
        </w:rPr>
        <w:t>3</w:t>
      </w:r>
      <w:r w:rsidRPr="00C47326">
        <w:rPr>
          <w:color w:val="000000"/>
        </w:rPr>
        <w:t>)</w:t>
      </w:r>
    </w:p>
    <w:p w14:paraId="52A8917C" w14:textId="77777777" w:rsidR="008D75A7" w:rsidRPr="00986691" w:rsidRDefault="008D75A7" w:rsidP="008D75A7">
      <w:pPr>
        <w:spacing w:after="0"/>
        <w:rPr>
          <w:color w:val="000000"/>
        </w:rPr>
      </w:pPr>
    </w:p>
    <w:p w14:paraId="27E2257A" w14:textId="5E77360B" w:rsidR="008D75A7" w:rsidRDefault="008D75A7" w:rsidP="008D75A7">
      <w:pPr>
        <w:spacing w:after="0"/>
        <w:rPr>
          <w:color w:val="000000"/>
        </w:rPr>
      </w:pPr>
      <w:r>
        <w:rPr>
          <w:color w:val="000000"/>
        </w:rPr>
        <w:t>State, local, and territorial public health jurisdictions using the</w:t>
      </w:r>
      <w:r w:rsidRPr="00FB229C">
        <w:rPr>
          <w:color w:val="000000"/>
        </w:rPr>
        <w:t xml:space="preserve"> </w:t>
      </w:r>
      <w:proofErr w:type="spellStart"/>
      <w:r w:rsidRPr="00FB229C">
        <w:rPr>
          <w:color w:val="000000"/>
        </w:rPr>
        <w:t>BioSense</w:t>
      </w:r>
      <w:proofErr w:type="spellEnd"/>
      <w:r w:rsidRPr="00FB229C">
        <w:rPr>
          <w:color w:val="000000"/>
        </w:rPr>
        <w:t xml:space="preserve"> 2.0 application</w:t>
      </w:r>
      <w:r>
        <w:rPr>
          <w:color w:val="000000"/>
        </w:rPr>
        <w:t xml:space="preserve"> have the option to participate in the shared space. This activity entails accessing </w:t>
      </w:r>
      <w:r w:rsidRPr="009F2593">
        <w:rPr>
          <w:color w:val="000000"/>
        </w:rPr>
        <w:t xml:space="preserve">a submenu of the </w:t>
      </w:r>
      <w:proofErr w:type="spellStart"/>
      <w:r w:rsidRPr="009F2593">
        <w:rPr>
          <w:color w:val="000000"/>
        </w:rPr>
        <w:t>BioSense</w:t>
      </w:r>
      <w:proofErr w:type="spellEnd"/>
      <w:r w:rsidRPr="009F2593">
        <w:rPr>
          <w:color w:val="000000"/>
        </w:rPr>
        <w:t xml:space="preserve"> 2.0 cl</w:t>
      </w:r>
      <w:r>
        <w:rPr>
          <w:color w:val="000000"/>
        </w:rPr>
        <w:t xml:space="preserve">oud-enabled, web-based platform. The </w:t>
      </w:r>
      <w:r w:rsidRPr="009F2593">
        <w:rPr>
          <w:color w:val="000000"/>
        </w:rPr>
        <w:t xml:space="preserve">submenu allows </w:t>
      </w:r>
      <w:r>
        <w:rPr>
          <w:color w:val="000000"/>
        </w:rPr>
        <w:t xml:space="preserve">respondents to choose with whom to share data and at what level of aggregation from a series of drop-down lists. </w:t>
      </w:r>
      <w:r w:rsidR="005732E7">
        <w:rPr>
          <w:color w:val="000000"/>
        </w:rPr>
        <w:t>Based on</w:t>
      </w:r>
      <w:r w:rsidR="004D6D4E" w:rsidRPr="004D6D4E">
        <w:rPr>
          <w:color w:val="000000"/>
        </w:rPr>
        <w:t xml:space="preserve"> </w:t>
      </w:r>
      <w:r w:rsidR="004D6D4E">
        <w:rPr>
          <w:color w:val="000000"/>
        </w:rPr>
        <w:t>their expertise in the field and</w:t>
      </w:r>
      <w:r w:rsidR="005732E7">
        <w:rPr>
          <w:color w:val="000000"/>
        </w:rPr>
        <w:t xml:space="preserve"> internal trial runs</w:t>
      </w:r>
      <w:r w:rsidR="005927E9">
        <w:rPr>
          <w:color w:val="000000"/>
        </w:rPr>
        <w:t xml:space="preserve">, </w:t>
      </w:r>
      <w:r>
        <w:rPr>
          <w:color w:val="000000"/>
        </w:rPr>
        <w:t>RTI, t</w:t>
      </w:r>
      <w:r w:rsidRPr="0087346C">
        <w:rPr>
          <w:color w:val="000000"/>
        </w:rPr>
        <w:t>he contractor</w:t>
      </w:r>
      <w:r>
        <w:rPr>
          <w:color w:val="000000"/>
        </w:rPr>
        <w:t xml:space="preserve"> who designed this submenu, provided an estimate of 5/60 hours per respondent. In the table below this is captured under “Data Collection”. </w:t>
      </w:r>
      <w:r w:rsidRPr="00C47326">
        <w:rPr>
          <w:color w:val="000000"/>
        </w:rPr>
        <w:t>(</w:t>
      </w:r>
      <w:r w:rsidRPr="00C47326">
        <w:rPr>
          <w:b/>
          <w:color w:val="000000"/>
        </w:rPr>
        <w:t xml:space="preserve">Attachment </w:t>
      </w:r>
      <w:r>
        <w:rPr>
          <w:b/>
          <w:color w:val="000000"/>
        </w:rPr>
        <w:t>5</w:t>
      </w:r>
      <w:r w:rsidRPr="00C47326">
        <w:rPr>
          <w:color w:val="000000"/>
        </w:rPr>
        <w:t>)</w:t>
      </w:r>
    </w:p>
    <w:p w14:paraId="29C49496" w14:textId="77777777" w:rsidR="008D75A7" w:rsidRDefault="008D75A7" w:rsidP="008D75A7">
      <w:pPr>
        <w:spacing w:after="0"/>
        <w:rPr>
          <w:color w:val="000000"/>
        </w:rPr>
      </w:pPr>
    </w:p>
    <w:p w14:paraId="0DC8D524" w14:textId="4E3BA101" w:rsidR="0078568D" w:rsidRDefault="008D75A7" w:rsidP="008D75A7">
      <w:pPr>
        <w:spacing w:after="0"/>
        <w:rPr>
          <w:color w:val="000000"/>
        </w:rPr>
      </w:pPr>
      <w:r>
        <w:rPr>
          <w:color w:val="000000"/>
        </w:rPr>
        <w:t xml:space="preserve">VA, </w:t>
      </w:r>
      <w:proofErr w:type="spellStart"/>
      <w:proofErr w:type="gramStart"/>
      <w:r>
        <w:rPr>
          <w:color w:val="000000"/>
        </w:rPr>
        <w:t>DoD</w:t>
      </w:r>
      <w:proofErr w:type="spellEnd"/>
      <w:proofErr w:type="gramEnd"/>
      <w:r>
        <w:rPr>
          <w:color w:val="000000"/>
        </w:rPr>
        <w:t xml:space="preserve">, the two </w:t>
      </w:r>
      <w:r w:rsidRPr="001309F9">
        <w:rPr>
          <w:color w:val="000000"/>
        </w:rPr>
        <w:t xml:space="preserve">national clinical </w:t>
      </w:r>
      <w:r>
        <w:rPr>
          <w:color w:val="000000"/>
        </w:rPr>
        <w:t>laboratory corporations, and the</w:t>
      </w:r>
      <w:r w:rsidRPr="001309F9">
        <w:rPr>
          <w:color w:val="000000"/>
        </w:rPr>
        <w:t xml:space="preserve"> </w:t>
      </w:r>
      <w:r w:rsidRPr="006D1025">
        <w:rPr>
          <w:color w:val="000000"/>
        </w:rPr>
        <w:t>private sector health information exchange company</w:t>
      </w:r>
      <w:r>
        <w:rPr>
          <w:color w:val="000000"/>
        </w:rPr>
        <w:t xml:space="preserve"> automatically chose to share with CDC when they were recruited to submit data to the </w:t>
      </w:r>
      <w:proofErr w:type="spellStart"/>
      <w:r>
        <w:rPr>
          <w:color w:val="000000"/>
        </w:rPr>
        <w:t>BioSense</w:t>
      </w:r>
      <w:proofErr w:type="spellEnd"/>
      <w:r>
        <w:rPr>
          <w:color w:val="000000"/>
        </w:rPr>
        <w:t xml:space="preserve"> 2.0 cloud environment. This entails 0 hours of burden per respondent as the data is shared directly with the CDC </w:t>
      </w:r>
      <w:proofErr w:type="spellStart"/>
      <w:r>
        <w:rPr>
          <w:color w:val="000000"/>
        </w:rPr>
        <w:t>BioSense</w:t>
      </w:r>
      <w:proofErr w:type="spellEnd"/>
      <w:r>
        <w:rPr>
          <w:color w:val="000000"/>
        </w:rPr>
        <w:t xml:space="preserve"> Program. </w:t>
      </w:r>
    </w:p>
    <w:p w14:paraId="2095EE2F" w14:textId="77777777" w:rsidR="008D75A7" w:rsidRPr="00986691" w:rsidRDefault="008D75A7" w:rsidP="008D75A7">
      <w:pPr>
        <w:spacing w:after="0"/>
        <w:rPr>
          <w:color w:val="FF0000"/>
        </w:rPr>
      </w:pPr>
      <w:r w:rsidRPr="00986691">
        <w:rPr>
          <w:color w:val="000000"/>
        </w:rPr>
        <w:lastRenderedPageBreak/>
        <w:t>A</w:t>
      </w:r>
      <w:r>
        <w:rPr>
          <w:color w:val="000000"/>
        </w:rPr>
        <w:t>.</w:t>
      </w:r>
      <w:r w:rsidRPr="00986691">
        <w:rPr>
          <w:color w:val="000000"/>
        </w:rPr>
        <w:t>12-A. Estimates of Annualized Burden Hours</w:t>
      </w:r>
    </w:p>
    <w:tbl>
      <w:tblPr>
        <w:tblW w:w="7935" w:type="dxa"/>
        <w:tblInd w:w="93" w:type="dxa"/>
        <w:tblLayout w:type="fixed"/>
        <w:tblLook w:val="0000" w:firstRow="0" w:lastRow="0" w:firstColumn="0" w:lastColumn="0" w:noHBand="0" w:noVBand="0"/>
      </w:tblPr>
      <w:tblGrid>
        <w:gridCol w:w="1995"/>
        <w:gridCol w:w="1620"/>
        <w:gridCol w:w="1620"/>
        <w:gridCol w:w="1440"/>
        <w:gridCol w:w="1260"/>
      </w:tblGrid>
      <w:tr w:rsidR="008D75A7" w:rsidRPr="00986691" w14:paraId="2E1B2CD9" w14:textId="77777777" w:rsidTr="00382456">
        <w:trPr>
          <w:trHeight w:val="1155"/>
        </w:trPr>
        <w:tc>
          <w:tcPr>
            <w:tcW w:w="1995" w:type="dxa"/>
            <w:tcBorders>
              <w:top w:val="single" w:sz="8" w:space="0" w:color="auto"/>
              <w:left w:val="single" w:sz="8" w:space="0" w:color="auto"/>
              <w:bottom w:val="single" w:sz="8" w:space="0" w:color="auto"/>
              <w:right w:val="single" w:sz="8" w:space="0" w:color="auto"/>
            </w:tcBorders>
          </w:tcPr>
          <w:p w14:paraId="32DF452F" w14:textId="77777777" w:rsidR="008D75A7" w:rsidRPr="00986691" w:rsidRDefault="008D75A7" w:rsidP="00382456">
            <w:pPr>
              <w:spacing w:after="120"/>
              <w:rPr>
                <w:b/>
                <w:bCs/>
                <w:color w:val="000000"/>
              </w:rPr>
            </w:pPr>
            <w:r>
              <w:rPr>
                <w:b/>
                <w:bCs/>
                <w:color w:val="000000"/>
              </w:rPr>
              <w:t xml:space="preserve">Type of </w:t>
            </w:r>
            <w:r w:rsidRPr="00986691">
              <w:rPr>
                <w:b/>
                <w:bCs/>
                <w:color w:val="000000"/>
              </w:rPr>
              <w:t>Respondents</w:t>
            </w:r>
          </w:p>
        </w:tc>
        <w:tc>
          <w:tcPr>
            <w:tcW w:w="1620" w:type="dxa"/>
            <w:tcBorders>
              <w:top w:val="single" w:sz="8" w:space="0" w:color="auto"/>
              <w:left w:val="nil"/>
              <w:bottom w:val="single" w:sz="8" w:space="0" w:color="auto"/>
              <w:right w:val="single" w:sz="8" w:space="0" w:color="auto"/>
            </w:tcBorders>
          </w:tcPr>
          <w:p w14:paraId="3A6DFA2F" w14:textId="77777777" w:rsidR="008D75A7" w:rsidRPr="00986691" w:rsidRDefault="008D75A7" w:rsidP="00382456">
            <w:pPr>
              <w:spacing w:after="120"/>
              <w:rPr>
                <w:b/>
                <w:bCs/>
                <w:color w:val="000000"/>
              </w:rPr>
            </w:pPr>
            <w:r w:rsidRPr="00986691">
              <w:rPr>
                <w:b/>
                <w:bCs/>
                <w:color w:val="000000"/>
              </w:rPr>
              <w:t>Number of Respondents</w:t>
            </w:r>
          </w:p>
        </w:tc>
        <w:tc>
          <w:tcPr>
            <w:tcW w:w="1620" w:type="dxa"/>
            <w:tcBorders>
              <w:top w:val="single" w:sz="8" w:space="0" w:color="auto"/>
              <w:left w:val="nil"/>
              <w:bottom w:val="single" w:sz="8" w:space="0" w:color="auto"/>
              <w:right w:val="single" w:sz="8" w:space="0" w:color="auto"/>
            </w:tcBorders>
          </w:tcPr>
          <w:p w14:paraId="2823BC4F" w14:textId="77777777" w:rsidR="008D75A7" w:rsidRPr="00986691" w:rsidRDefault="008D75A7" w:rsidP="00382456">
            <w:pPr>
              <w:spacing w:after="120"/>
              <w:rPr>
                <w:b/>
                <w:bCs/>
                <w:color w:val="000000"/>
              </w:rPr>
            </w:pPr>
            <w:r w:rsidRPr="00986691">
              <w:rPr>
                <w:b/>
                <w:bCs/>
                <w:color w:val="000000"/>
              </w:rPr>
              <w:t>Number of  Responses per Respondent</w:t>
            </w:r>
          </w:p>
        </w:tc>
        <w:tc>
          <w:tcPr>
            <w:tcW w:w="1440" w:type="dxa"/>
            <w:tcBorders>
              <w:top w:val="single" w:sz="8" w:space="0" w:color="auto"/>
              <w:left w:val="nil"/>
              <w:bottom w:val="single" w:sz="8" w:space="0" w:color="auto"/>
              <w:right w:val="single" w:sz="8" w:space="0" w:color="auto"/>
            </w:tcBorders>
          </w:tcPr>
          <w:p w14:paraId="7DFBF75D" w14:textId="77777777" w:rsidR="008D75A7" w:rsidRPr="00986691" w:rsidRDefault="008D75A7" w:rsidP="00382456">
            <w:pPr>
              <w:spacing w:after="120"/>
              <w:rPr>
                <w:b/>
                <w:bCs/>
                <w:color w:val="000000"/>
              </w:rPr>
            </w:pPr>
            <w:r w:rsidRPr="00986691">
              <w:rPr>
                <w:b/>
                <w:bCs/>
                <w:color w:val="000000"/>
              </w:rPr>
              <w:t>Average Burden Per Response  (in hours)</w:t>
            </w:r>
          </w:p>
        </w:tc>
        <w:tc>
          <w:tcPr>
            <w:tcW w:w="1260" w:type="dxa"/>
            <w:tcBorders>
              <w:top w:val="single" w:sz="8" w:space="0" w:color="auto"/>
              <w:left w:val="nil"/>
              <w:bottom w:val="single" w:sz="8" w:space="0" w:color="auto"/>
              <w:right w:val="single" w:sz="8" w:space="0" w:color="auto"/>
            </w:tcBorders>
          </w:tcPr>
          <w:p w14:paraId="464DB4BA" w14:textId="77777777" w:rsidR="008D75A7" w:rsidRPr="00986691" w:rsidRDefault="008D75A7" w:rsidP="00382456">
            <w:pPr>
              <w:spacing w:after="120"/>
              <w:rPr>
                <w:b/>
                <w:bCs/>
                <w:color w:val="000000"/>
              </w:rPr>
            </w:pPr>
            <w:r w:rsidRPr="00986691">
              <w:rPr>
                <w:b/>
                <w:bCs/>
                <w:color w:val="000000"/>
              </w:rPr>
              <w:t>Total Burden  (in hours)</w:t>
            </w:r>
          </w:p>
        </w:tc>
      </w:tr>
      <w:tr w:rsidR="008D75A7" w:rsidRPr="00986691" w14:paraId="48D55ECB" w14:textId="77777777" w:rsidTr="00382456">
        <w:trPr>
          <w:trHeight w:val="315"/>
        </w:trPr>
        <w:tc>
          <w:tcPr>
            <w:tcW w:w="7935" w:type="dxa"/>
            <w:gridSpan w:val="5"/>
            <w:tcBorders>
              <w:top w:val="nil"/>
              <w:left w:val="single" w:sz="8" w:space="0" w:color="auto"/>
              <w:bottom w:val="single" w:sz="8" w:space="0" w:color="auto"/>
              <w:right w:val="single" w:sz="8" w:space="0" w:color="auto"/>
            </w:tcBorders>
            <w:vAlign w:val="center"/>
          </w:tcPr>
          <w:p w14:paraId="63943C2C" w14:textId="77777777" w:rsidR="008D75A7" w:rsidRPr="009C2CEA" w:rsidRDefault="008D75A7" w:rsidP="00382456">
            <w:pPr>
              <w:spacing w:after="120"/>
              <w:rPr>
                <w:b/>
                <w:color w:val="000000"/>
              </w:rPr>
            </w:pPr>
            <w:r>
              <w:rPr>
                <w:b/>
                <w:color w:val="000000"/>
              </w:rPr>
              <w:t>Recruitment</w:t>
            </w:r>
          </w:p>
        </w:tc>
      </w:tr>
      <w:tr w:rsidR="008D75A7" w:rsidRPr="00986691" w14:paraId="592AC5D0" w14:textId="77777777" w:rsidTr="00382456">
        <w:trPr>
          <w:trHeight w:val="315"/>
        </w:trPr>
        <w:tc>
          <w:tcPr>
            <w:tcW w:w="1995" w:type="dxa"/>
            <w:tcBorders>
              <w:top w:val="nil"/>
              <w:left w:val="single" w:sz="8" w:space="0" w:color="auto"/>
              <w:bottom w:val="single" w:sz="8" w:space="0" w:color="auto"/>
              <w:right w:val="single" w:sz="8" w:space="0" w:color="auto"/>
            </w:tcBorders>
            <w:vAlign w:val="bottom"/>
          </w:tcPr>
          <w:p w14:paraId="3CA2606C" w14:textId="77777777" w:rsidR="008D75A7" w:rsidRPr="00986691" w:rsidRDefault="008D75A7" w:rsidP="00382456">
            <w:pPr>
              <w:spacing w:after="120"/>
              <w:rPr>
                <w:color w:val="000000"/>
              </w:rPr>
            </w:pPr>
            <w:r>
              <w:rPr>
                <w:color w:val="000000"/>
              </w:rPr>
              <w:t>State, Local, and Territorial Public Health Jurisdictions</w:t>
            </w:r>
          </w:p>
        </w:tc>
        <w:tc>
          <w:tcPr>
            <w:tcW w:w="1620" w:type="dxa"/>
            <w:tcBorders>
              <w:top w:val="nil"/>
              <w:left w:val="nil"/>
              <w:bottom w:val="single" w:sz="8" w:space="0" w:color="auto"/>
              <w:right w:val="single" w:sz="8" w:space="0" w:color="auto"/>
            </w:tcBorders>
            <w:vAlign w:val="bottom"/>
          </w:tcPr>
          <w:p w14:paraId="3C59DE6F" w14:textId="77777777" w:rsidR="008D75A7" w:rsidRPr="00986691" w:rsidRDefault="008D75A7" w:rsidP="00382456">
            <w:pPr>
              <w:spacing w:after="120"/>
              <w:rPr>
                <w:color w:val="000000"/>
              </w:rPr>
            </w:pPr>
            <w:r>
              <w:rPr>
                <w:color w:val="000000"/>
              </w:rPr>
              <w:t>20</w:t>
            </w:r>
          </w:p>
        </w:tc>
        <w:tc>
          <w:tcPr>
            <w:tcW w:w="1620" w:type="dxa"/>
            <w:tcBorders>
              <w:top w:val="nil"/>
              <w:left w:val="nil"/>
              <w:bottom w:val="single" w:sz="8" w:space="0" w:color="auto"/>
              <w:right w:val="single" w:sz="8" w:space="0" w:color="auto"/>
            </w:tcBorders>
            <w:vAlign w:val="bottom"/>
          </w:tcPr>
          <w:p w14:paraId="5EB721F0" w14:textId="77777777" w:rsidR="008D75A7" w:rsidRPr="00986691" w:rsidRDefault="008D75A7" w:rsidP="00382456">
            <w:pPr>
              <w:spacing w:after="120"/>
              <w:rPr>
                <w:color w:val="000000"/>
              </w:rPr>
            </w:pPr>
            <w:r>
              <w:rPr>
                <w:color w:val="000000"/>
              </w:rPr>
              <w:t>1</w:t>
            </w:r>
          </w:p>
        </w:tc>
        <w:tc>
          <w:tcPr>
            <w:tcW w:w="1440" w:type="dxa"/>
            <w:tcBorders>
              <w:top w:val="nil"/>
              <w:left w:val="nil"/>
              <w:bottom w:val="single" w:sz="8" w:space="0" w:color="auto"/>
              <w:right w:val="single" w:sz="8" w:space="0" w:color="auto"/>
            </w:tcBorders>
            <w:vAlign w:val="bottom"/>
          </w:tcPr>
          <w:p w14:paraId="329DD752" w14:textId="77777777" w:rsidR="008D75A7" w:rsidRPr="00986691" w:rsidRDefault="008D75A7" w:rsidP="00382456">
            <w:pPr>
              <w:spacing w:after="120"/>
              <w:rPr>
                <w:color w:val="000000"/>
              </w:rPr>
            </w:pPr>
            <w:r>
              <w:rPr>
                <w:color w:val="000000"/>
              </w:rPr>
              <w:t>1</w:t>
            </w:r>
          </w:p>
        </w:tc>
        <w:tc>
          <w:tcPr>
            <w:tcW w:w="1260" w:type="dxa"/>
            <w:tcBorders>
              <w:top w:val="nil"/>
              <w:left w:val="nil"/>
              <w:bottom w:val="single" w:sz="8" w:space="0" w:color="auto"/>
              <w:right w:val="single" w:sz="8" w:space="0" w:color="auto"/>
            </w:tcBorders>
            <w:vAlign w:val="bottom"/>
          </w:tcPr>
          <w:p w14:paraId="6C5A242D" w14:textId="77777777" w:rsidR="008D75A7" w:rsidRPr="003E0FDB" w:rsidRDefault="008D75A7" w:rsidP="00382456">
            <w:pPr>
              <w:spacing w:after="120"/>
              <w:rPr>
                <w:color w:val="000000"/>
              </w:rPr>
            </w:pPr>
            <w:r w:rsidRPr="003E0FDB">
              <w:rPr>
                <w:color w:val="000000"/>
              </w:rPr>
              <w:t>20</w:t>
            </w:r>
          </w:p>
        </w:tc>
      </w:tr>
      <w:tr w:rsidR="008D75A7" w:rsidRPr="00986691" w14:paraId="77F3D0A9" w14:textId="77777777" w:rsidTr="00382456">
        <w:trPr>
          <w:trHeight w:val="315"/>
        </w:trPr>
        <w:tc>
          <w:tcPr>
            <w:tcW w:w="1995" w:type="dxa"/>
            <w:tcBorders>
              <w:top w:val="nil"/>
              <w:left w:val="single" w:sz="8" w:space="0" w:color="auto"/>
              <w:bottom w:val="single" w:sz="8" w:space="0" w:color="auto"/>
              <w:right w:val="single" w:sz="8" w:space="0" w:color="auto"/>
            </w:tcBorders>
            <w:vAlign w:val="bottom"/>
          </w:tcPr>
          <w:p w14:paraId="58F392F4" w14:textId="77777777" w:rsidR="008D75A7" w:rsidRDefault="008D75A7" w:rsidP="00382456">
            <w:pPr>
              <w:spacing w:after="120"/>
              <w:rPr>
                <w:color w:val="000000"/>
              </w:rPr>
            </w:pPr>
            <w:r>
              <w:rPr>
                <w:color w:val="000000"/>
              </w:rPr>
              <w:t>Federal Government</w:t>
            </w:r>
          </w:p>
        </w:tc>
        <w:tc>
          <w:tcPr>
            <w:tcW w:w="1620" w:type="dxa"/>
            <w:tcBorders>
              <w:top w:val="nil"/>
              <w:left w:val="nil"/>
              <w:bottom w:val="single" w:sz="8" w:space="0" w:color="auto"/>
              <w:right w:val="single" w:sz="8" w:space="0" w:color="auto"/>
            </w:tcBorders>
            <w:vAlign w:val="bottom"/>
          </w:tcPr>
          <w:p w14:paraId="1359850B" w14:textId="77777777" w:rsidR="008D75A7" w:rsidRDefault="008D75A7" w:rsidP="00382456">
            <w:pPr>
              <w:spacing w:after="120"/>
              <w:rPr>
                <w:color w:val="000000"/>
              </w:rPr>
            </w:pPr>
            <w:r>
              <w:rPr>
                <w:color w:val="000000"/>
              </w:rPr>
              <w:t>2</w:t>
            </w:r>
          </w:p>
        </w:tc>
        <w:tc>
          <w:tcPr>
            <w:tcW w:w="1620" w:type="dxa"/>
            <w:tcBorders>
              <w:top w:val="nil"/>
              <w:left w:val="nil"/>
              <w:bottom w:val="single" w:sz="8" w:space="0" w:color="auto"/>
              <w:right w:val="single" w:sz="8" w:space="0" w:color="auto"/>
            </w:tcBorders>
            <w:vAlign w:val="bottom"/>
          </w:tcPr>
          <w:p w14:paraId="6C51A7C6" w14:textId="77777777" w:rsidR="008D75A7" w:rsidRDefault="008D75A7" w:rsidP="00382456">
            <w:pPr>
              <w:spacing w:after="120"/>
              <w:rPr>
                <w:color w:val="000000"/>
              </w:rPr>
            </w:pPr>
            <w:r>
              <w:rPr>
                <w:color w:val="000000"/>
              </w:rPr>
              <w:t>1</w:t>
            </w:r>
          </w:p>
        </w:tc>
        <w:tc>
          <w:tcPr>
            <w:tcW w:w="1440" w:type="dxa"/>
            <w:tcBorders>
              <w:top w:val="nil"/>
              <w:left w:val="nil"/>
              <w:bottom w:val="single" w:sz="8" w:space="0" w:color="auto"/>
              <w:right w:val="single" w:sz="8" w:space="0" w:color="auto"/>
            </w:tcBorders>
            <w:vAlign w:val="bottom"/>
          </w:tcPr>
          <w:p w14:paraId="139E3A4A" w14:textId="77777777" w:rsidR="008D75A7" w:rsidRDefault="008D75A7" w:rsidP="00382456">
            <w:pPr>
              <w:spacing w:after="120"/>
              <w:rPr>
                <w:color w:val="000000"/>
              </w:rPr>
            </w:pPr>
            <w:r>
              <w:rPr>
                <w:color w:val="000000"/>
              </w:rPr>
              <w:t>1</w:t>
            </w:r>
          </w:p>
        </w:tc>
        <w:tc>
          <w:tcPr>
            <w:tcW w:w="1260" w:type="dxa"/>
            <w:tcBorders>
              <w:top w:val="nil"/>
              <w:left w:val="nil"/>
              <w:bottom w:val="single" w:sz="8" w:space="0" w:color="auto"/>
              <w:right w:val="single" w:sz="8" w:space="0" w:color="auto"/>
            </w:tcBorders>
            <w:vAlign w:val="bottom"/>
          </w:tcPr>
          <w:p w14:paraId="382ED6D1" w14:textId="77777777" w:rsidR="008D75A7" w:rsidRPr="003E0FDB" w:rsidRDefault="008D75A7" w:rsidP="00382456">
            <w:pPr>
              <w:spacing w:after="120"/>
              <w:rPr>
                <w:color w:val="000000"/>
              </w:rPr>
            </w:pPr>
            <w:r w:rsidRPr="003E0FDB">
              <w:rPr>
                <w:color w:val="000000"/>
              </w:rPr>
              <w:t>2</w:t>
            </w:r>
          </w:p>
        </w:tc>
      </w:tr>
      <w:tr w:rsidR="008D75A7" w:rsidRPr="00986691" w14:paraId="4AF8D03A" w14:textId="77777777" w:rsidTr="00382456">
        <w:trPr>
          <w:trHeight w:val="315"/>
        </w:trPr>
        <w:tc>
          <w:tcPr>
            <w:tcW w:w="1995" w:type="dxa"/>
            <w:tcBorders>
              <w:top w:val="nil"/>
              <w:left w:val="single" w:sz="8" w:space="0" w:color="auto"/>
              <w:bottom w:val="single" w:sz="8" w:space="0" w:color="auto"/>
              <w:right w:val="single" w:sz="8" w:space="0" w:color="auto"/>
            </w:tcBorders>
            <w:vAlign w:val="bottom"/>
          </w:tcPr>
          <w:p w14:paraId="5F98E133" w14:textId="77777777" w:rsidR="008D75A7" w:rsidRDefault="008D75A7" w:rsidP="00382456">
            <w:pPr>
              <w:spacing w:after="120"/>
              <w:rPr>
                <w:color w:val="000000"/>
              </w:rPr>
            </w:pPr>
            <w:r>
              <w:rPr>
                <w:color w:val="000000"/>
              </w:rPr>
              <w:t>Private Sector</w:t>
            </w:r>
          </w:p>
          <w:p w14:paraId="07043A79" w14:textId="77777777" w:rsidR="008D75A7" w:rsidRDefault="008D75A7" w:rsidP="00382456">
            <w:pPr>
              <w:spacing w:after="120"/>
              <w:rPr>
                <w:color w:val="000000"/>
              </w:rPr>
            </w:pPr>
            <w:r>
              <w:rPr>
                <w:color w:val="000000"/>
              </w:rPr>
              <w:t xml:space="preserve">(national clinical laboratory corporations, and a </w:t>
            </w:r>
            <w:r w:rsidRPr="006D1025">
              <w:rPr>
                <w:color w:val="000000"/>
              </w:rPr>
              <w:t>private sector health information exchange company</w:t>
            </w:r>
            <w:r>
              <w:rPr>
                <w:color w:val="000000"/>
              </w:rPr>
              <w:t>)</w:t>
            </w:r>
          </w:p>
        </w:tc>
        <w:tc>
          <w:tcPr>
            <w:tcW w:w="1620" w:type="dxa"/>
            <w:tcBorders>
              <w:top w:val="nil"/>
              <w:left w:val="nil"/>
              <w:bottom w:val="single" w:sz="8" w:space="0" w:color="auto"/>
              <w:right w:val="single" w:sz="8" w:space="0" w:color="auto"/>
            </w:tcBorders>
            <w:vAlign w:val="bottom"/>
          </w:tcPr>
          <w:p w14:paraId="4843D85F" w14:textId="77777777" w:rsidR="008D75A7" w:rsidRDefault="008D75A7" w:rsidP="00382456">
            <w:pPr>
              <w:spacing w:after="120"/>
              <w:rPr>
                <w:color w:val="000000"/>
              </w:rPr>
            </w:pPr>
            <w:r>
              <w:rPr>
                <w:color w:val="000000"/>
              </w:rPr>
              <w:t>3</w:t>
            </w:r>
          </w:p>
        </w:tc>
        <w:tc>
          <w:tcPr>
            <w:tcW w:w="1620" w:type="dxa"/>
            <w:tcBorders>
              <w:top w:val="nil"/>
              <w:left w:val="nil"/>
              <w:bottom w:val="single" w:sz="8" w:space="0" w:color="auto"/>
              <w:right w:val="single" w:sz="8" w:space="0" w:color="auto"/>
            </w:tcBorders>
            <w:vAlign w:val="bottom"/>
          </w:tcPr>
          <w:p w14:paraId="6DD098FD" w14:textId="77777777" w:rsidR="008D75A7" w:rsidRDefault="008D75A7" w:rsidP="00382456">
            <w:pPr>
              <w:spacing w:after="120"/>
              <w:rPr>
                <w:color w:val="000000"/>
              </w:rPr>
            </w:pPr>
            <w:r>
              <w:rPr>
                <w:color w:val="000000"/>
              </w:rPr>
              <w:t>1</w:t>
            </w:r>
          </w:p>
        </w:tc>
        <w:tc>
          <w:tcPr>
            <w:tcW w:w="1440" w:type="dxa"/>
            <w:tcBorders>
              <w:top w:val="nil"/>
              <w:left w:val="nil"/>
              <w:bottom w:val="single" w:sz="8" w:space="0" w:color="auto"/>
              <w:right w:val="single" w:sz="8" w:space="0" w:color="auto"/>
            </w:tcBorders>
            <w:vAlign w:val="bottom"/>
          </w:tcPr>
          <w:p w14:paraId="768A1200" w14:textId="77777777" w:rsidR="008D75A7" w:rsidRDefault="008D75A7" w:rsidP="00382456">
            <w:pPr>
              <w:spacing w:after="120"/>
              <w:rPr>
                <w:color w:val="000000"/>
              </w:rPr>
            </w:pPr>
            <w:r>
              <w:rPr>
                <w:color w:val="000000"/>
              </w:rPr>
              <w:t>1</w:t>
            </w:r>
          </w:p>
        </w:tc>
        <w:tc>
          <w:tcPr>
            <w:tcW w:w="1260" w:type="dxa"/>
            <w:tcBorders>
              <w:top w:val="nil"/>
              <w:left w:val="nil"/>
              <w:bottom w:val="single" w:sz="8" w:space="0" w:color="auto"/>
              <w:right w:val="single" w:sz="8" w:space="0" w:color="auto"/>
            </w:tcBorders>
            <w:vAlign w:val="bottom"/>
          </w:tcPr>
          <w:p w14:paraId="29E18004" w14:textId="77777777" w:rsidR="008D75A7" w:rsidRPr="003E0FDB" w:rsidRDefault="008D75A7" w:rsidP="00382456">
            <w:pPr>
              <w:spacing w:after="120"/>
              <w:rPr>
                <w:color w:val="000000"/>
              </w:rPr>
            </w:pPr>
            <w:r w:rsidRPr="003E0FDB">
              <w:rPr>
                <w:color w:val="000000"/>
              </w:rPr>
              <w:t>3</w:t>
            </w:r>
          </w:p>
        </w:tc>
      </w:tr>
      <w:tr w:rsidR="008D75A7" w:rsidRPr="00986691" w14:paraId="6BD77248" w14:textId="77777777" w:rsidTr="00382456">
        <w:trPr>
          <w:trHeight w:val="241"/>
        </w:trPr>
        <w:tc>
          <w:tcPr>
            <w:tcW w:w="1995" w:type="dxa"/>
            <w:tcBorders>
              <w:top w:val="nil"/>
              <w:left w:val="single" w:sz="8" w:space="0" w:color="auto"/>
              <w:bottom w:val="single" w:sz="8" w:space="0" w:color="auto"/>
              <w:right w:val="single" w:sz="8" w:space="0" w:color="auto"/>
            </w:tcBorders>
            <w:vAlign w:val="bottom"/>
          </w:tcPr>
          <w:p w14:paraId="46591271" w14:textId="77777777" w:rsidR="008D75A7" w:rsidRPr="000A66FB" w:rsidRDefault="008D75A7" w:rsidP="00382456">
            <w:pPr>
              <w:spacing w:after="120"/>
              <w:rPr>
                <w:b/>
                <w:color w:val="000000"/>
              </w:rPr>
            </w:pPr>
            <w:r w:rsidRPr="000A66FB">
              <w:rPr>
                <w:b/>
                <w:color w:val="000000"/>
              </w:rPr>
              <w:t>Total</w:t>
            </w:r>
          </w:p>
        </w:tc>
        <w:tc>
          <w:tcPr>
            <w:tcW w:w="1620" w:type="dxa"/>
            <w:tcBorders>
              <w:top w:val="nil"/>
              <w:left w:val="nil"/>
              <w:bottom w:val="single" w:sz="8" w:space="0" w:color="auto"/>
              <w:right w:val="single" w:sz="8" w:space="0" w:color="auto"/>
            </w:tcBorders>
            <w:vAlign w:val="bottom"/>
          </w:tcPr>
          <w:p w14:paraId="62255CEE" w14:textId="77777777" w:rsidR="008D75A7" w:rsidRDefault="008D75A7" w:rsidP="00382456">
            <w:pPr>
              <w:spacing w:after="120"/>
              <w:rPr>
                <w:color w:val="000000"/>
              </w:rPr>
            </w:pPr>
          </w:p>
        </w:tc>
        <w:tc>
          <w:tcPr>
            <w:tcW w:w="1620" w:type="dxa"/>
            <w:tcBorders>
              <w:top w:val="nil"/>
              <w:left w:val="nil"/>
              <w:bottom w:val="single" w:sz="8" w:space="0" w:color="auto"/>
              <w:right w:val="single" w:sz="8" w:space="0" w:color="auto"/>
            </w:tcBorders>
            <w:vAlign w:val="bottom"/>
          </w:tcPr>
          <w:p w14:paraId="4E6AF52B" w14:textId="77777777" w:rsidR="008D75A7" w:rsidRDefault="008D75A7" w:rsidP="00382456">
            <w:pPr>
              <w:spacing w:after="120"/>
              <w:rPr>
                <w:color w:val="000000"/>
              </w:rPr>
            </w:pPr>
          </w:p>
        </w:tc>
        <w:tc>
          <w:tcPr>
            <w:tcW w:w="1440" w:type="dxa"/>
            <w:tcBorders>
              <w:top w:val="nil"/>
              <w:left w:val="nil"/>
              <w:bottom w:val="single" w:sz="8" w:space="0" w:color="auto"/>
              <w:right w:val="single" w:sz="8" w:space="0" w:color="auto"/>
            </w:tcBorders>
            <w:vAlign w:val="bottom"/>
          </w:tcPr>
          <w:p w14:paraId="784C633C" w14:textId="77777777" w:rsidR="008D75A7" w:rsidRDefault="008D75A7" w:rsidP="00382456">
            <w:pPr>
              <w:spacing w:after="120"/>
              <w:rPr>
                <w:color w:val="000000"/>
              </w:rPr>
            </w:pPr>
          </w:p>
        </w:tc>
        <w:tc>
          <w:tcPr>
            <w:tcW w:w="1260" w:type="dxa"/>
            <w:tcBorders>
              <w:top w:val="nil"/>
              <w:left w:val="nil"/>
              <w:bottom w:val="single" w:sz="8" w:space="0" w:color="auto"/>
              <w:right w:val="single" w:sz="8" w:space="0" w:color="auto"/>
            </w:tcBorders>
            <w:vAlign w:val="bottom"/>
          </w:tcPr>
          <w:p w14:paraId="2587F53A" w14:textId="77777777" w:rsidR="008D75A7" w:rsidRPr="000A66FB" w:rsidRDefault="008D75A7" w:rsidP="00382456">
            <w:pPr>
              <w:spacing w:after="120"/>
              <w:rPr>
                <w:b/>
                <w:color w:val="000000"/>
              </w:rPr>
            </w:pPr>
            <w:r>
              <w:rPr>
                <w:b/>
                <w:color w:val="000000"/>
              </w:rPr>
              <w:t>25</w:t>
            </w:r>
          </w:p>
        </w:tc>
      </w:tr>
      <w:tr w:rsidR="008D75A7" w:rsidRPr="00986691" w14:paraId="4221F535" w14:textId="77777777" w:rsidTr="00382456">
        <w:trPr>
          <w:trHeight w:val="322"/>
        </w:trPr>
        <w:tc>
          <w:tcPr>
            <w:tcW w:w="7935" w:type="dxa"/>
            <w:gridSpan w:val="5"/>
            <w:tcBorders>
              <w:top w:val="nil"/>
              <w:left w:val="single" w:sz="8" w:space="0" w:color="auto"/>
              <w:bottom w:val="single" w:sz="8" w:space="0" w:color="auto"/>
              <w:right w:val="single" w:sz="8" w:space="0" w:color="auto"/>
            </w:tcBorders>
            <w:vAlign w:val="bottom"/>
          </w:tcPr>
          <w:p w14:paraId="4348278C" w14:textId="77777777" w:rsidR="008D75A7" w:rsidRPr="009C2CEA" w:rsidRDefault="008D75A7" w:rsidP="00382456">
            <w:pPr>
              <w:spacing w:after="120"/>
              <w:rPr>
                <w:b/>
                <w:color w:val="000000"/>
              </w:rPr>
            </w:pPr>
            <w:r w:rsidRPr="009C2CEA">
              <w:rPr>
                <w:b/>
                <w:color w:val="000000"/>
              </w:rPr>
              <w:t xml:space="preserve">Access to </w:t>
            </w:r>
            <w:proofErr w:type="spellStart"/>
            <w:r w:rsidRPr="009C2CEA">
              <w:rPr>
                <w:b/>
                <w:color w:val="000000"/>
              </w:rPr>
              <w:t>BioSense</w:t>
            </w:r>
            <w:proofErr w:type="spellEnd"/>
            <w:r>
              <w:rPr>
                <w:b/>
                <w:color w:val="000000"/>
              </w:rPr>
              <w:t xml:space="preserve"> 2.0</w:t>
            </w:r>
            <w:r w:rsidRPr="009C2CEA">
              <w:rPr>
                <w:b/>
                <w:color w:val="000000"/>
              </w:rPr>
              <w:t xml:space="preserve"> Application</w:t>
            </w:r>
          </w:p>
        </w:tc>
      </w:tr>
      <w:tr w:rsidR="008D75A7" w:rsidRPr="00986691" w14:paraId="6D8C5B19" w14:textId="77777777" w:rsidTr="00382456">
        <w:trPr>
          <w:trHeight w:val="315"/>
        </w:trPr>
        <w:tc>
          <w:tcPr>
            <w:tcW w:w="1995" w:type="dxa"/>
            <w:tcBorders>
              <w:top w:val="nil"/>
              <w:left w:val="single" w:sz="8" w:space="0" w:color="auto"/>
              <w:bottom w:val="single" w:sz="8" w:space="0" w:color="auto"/>
              <w:right w:val="single" w:sz="8" w:space="0" w:color="auto"/>
            </w:tcBorders>
            <w:vAlign w:val="bottom"/>
          </w:tcPr>
          <w:p w14:paraId="2BC8D9CE" w14:textId="77777777" w:rsidR="008D75A7" w:rsidRPr="00986691" w:rsidRDefault="008D75A7" w:rsidP="00382456">
            <w:pPr>
              <w:spacing w:after="120"/>
              <w:rPr>
                <w:color w:val="000000"/>
              </w:rPr>
            </w:pPr>
            <w:r w:rsidRPr="00867C9D">
              <w:rPr>
                <w:color w:val="000000"/>
              </w:rPr>
              <w:t>State, Local, and Territorial Public Health Jurisdictions</w:t>
            </w:r>
          </w:p>
        </w:tc>
        <w:tc>
          <w:tcPr>
            <w:tcW w:w="1620" w:type="dxa"/>
            <w:tcBorders>
              <w:top w:val="nil"/>
              <w:left w:val="nil"/>
              <w:bottom w:val="single" w:sz="8" w:space="0" w:color="auto"/>
              <w:right w:val="single" w:sz="8" w:space="0" w:color="auto"/>
            </w:tcBorders>
            <w:vAlign w:val="bottom"/>
          </w:tcPr>
          <w:p w14:paraId="53588EB9" w14:textId="77777777" w:rsidR="008D75A7" w:rsidRPr="00986691" w:rsidRDefault="008D75A7" w:rsidP="00382456">
            <w:pPr>
              <w:spacing w:after="120"/>
              <w:rPr>
                <w:color w:val="000000"/>
              </w:rPr>
            </w:pPr>
            <w:r>
              <w:rPr>
                <w:color w:val="000000"/>
              </w:rPr>
              <w:t>200</w:t>
            </w:r>
          </w:p>
        </w:tc>
        <w:tc>
          <w:tcPr>
            <w:tcW w:w="1620" w:type="dxa"/>
            <w:tcBorders>
              <w:top w:val="nil"/>
              <w:left w:val="nil"/>
              <w:bottom w:val="single" w:sz="8" w:space="0" w:color="auto"/>
              <w:right w:val="single" w:sz="8" w:space="0" w:color="auto"/>
            </w:tcBorders>
            <w:vAlign w:val="bottom"/>
          </w:tcPr>
          <w:p w14:paraId="076835B6" w14:textId="77777777" w:rsidR="008D75A7" w:rsidRPr="00986691" w:rsidRDefault="008D75A7" w:rsidP="00382456">
            <w:pPr>
              <w:spacing w:after="120"/>
              <w:rPr>
                <w:color w:val="000000"/>
              </w:rPr>
            </w:pPr>
            <w:r>
              <w:rPr>
                <w:color w:val="000000"/>
              </w:rPr>
              <w:t>1</w:t>
            </w:r>
          </w:p>
        </w:tc>
        <w:tc>
          <w:tcPr>
            <w:tcW w:w="1440" w:type="dxa"/>
            <w:tcBorders>
              <w:top w:val="nil"/>
              <w:left w:val="nil"/>
              <w:bottom w:val="single" w:sz="8" w:space="0" w:color="auto"/>
              <w:right w:val="single" w:sz="8" w:space="0" w:color="auto"/>
            </w:tcBorders>
            <w:vAlign w:val="bottom"/>
          </w:tcPr>
          <w:p w14:paraId="43E14D2D" w14:textId="77777777" w:rsidR="008D75A7" w:rsidRPr="00986691" w:rsidRDefault="008D75A7" w:rsidP="00382456">
            <w:pPr>
              <w:spacing w:after="120"/>
              <w:rPr>
                <w:color w:val="000000"/>
              </w:rPr>
            </w:pPr>
            <w:r>
              <w:rPr>
                <w:color w:val="000000"/>
              </w:rPr>
              <w:t>5/60</w:t>
            </w:r>
          </w:p>
        </w:tc>
        <w:tc>
          <w:tcPr>
            <w:tcW w:w="1260" w:type="dxa"/>
            <w:tcBorders>
              <w:top w:val="nil"/>
              <w:left w:val="nil"/>
              <w:bottom w:val="single" w:sz="8" w:space="0" w:color="auto"/>
              <w:right w:val="single" w:sz="8" w:space="0" w:color="auto"/>
            </w:tcBorders>
            <w:vAlign w:val="bottom"/>
          </w:tcPr>
          <w:p w14:paraId="355A8AD2" w14:textId="77777777" w:rsidR="008D75A7" w:rsidRPr="001D1148" w:rsidRDefault="008D75A7" w:rsidP="00382456">
            <w:pPr>
              <w:spacing w:after="120"/>
              <w:rPr>
                <w:color w:val="000000"/>
              </w:rPr>
            </w:pPr>
            <w:r w:rsidRPr="001D1148">
              <w:rPr>
                <w:color w:val="000000"/>
              </w:rPr>
              <w:t>17</w:t>
            </w:r>
          </w:p>
        </w:tc>
      </w:tr>
      <w:tr w:rsidR="008D75A7" w:rsidRPr="00986691" w14:paraId="08F77BE2" w14:textId="77777777" w:rsidTr="00382456">
        <w:trPr>
          <w:trHeight w:val="315"/>
        </w:trPr>
        <w:tc>
          <w:tcPr>
            <w:tcW w:w="1995" w:type="dxa"/>
            <w:tcBorders>
              <w:top w:val="nil"/>
              <w:left w:val="single" w:sz="8" w:space="0" w:color="auto"/>
              <w:bottom w:val="single" w:sz="8" w:space="0" w:color="auto"/>
              <w:right w:val="single" w:sz="8" w:space="0" w:color="auto"/>
            </w:tcBorders>
            <w:vAlign w:val="bottom"/>
          </w:tcPr>
          <w:p w14:paraId="3C8FD2DB" w14:textId="77777777" w:rsidR="008D75A7" w:rsidRDefault="008D75A7" w:rsidP="00382456">
            <w:pPr>
              <w:spacing w:after="120"/>
              <w:rPr>
                <w:color w:val="000000"/>
              </w:rPr>
            </w:pPr>
            <w:r>
              <w:rPr>
                <w:color w:val="000000"/>
              </w:rPr>
              <w:t>Federal Government</w:t>
            </w:r>
          </w:p>
        </w:tc>
        <w:tc>
          <w:tcPr>
            <w:tcW w:w="1620" w:type="dxa"/>
            <w:tcBorders>
              <w:top w:val="nil"/>
              <w:left w:val="nil"/>
              <w:bottom w:val="single" w:sz="8" w:space="0" w:color="auto"/>
              <w:right w:val="single" w:sz="8" w:space="0" w:color="auto"/>
            </w:tcBorders>
            <w:vAlign w:val="bottom"/>
          </w:tcPr>
          <w:p w14:paraId="7498F04D" w14:textId="77777777" w:rsidR="008D75A7" w:rsidRPr="00986691" w:rsidRDefault="008D75A7" w:rsidP="00382456">
            <w:pPr>
              <w:spacing w:after="120"/>
              <w:rPr>
                <w:color w:val="000000"/>
              </w:rPr>
            </w:pPr>
            <w:r>
              <w:rPr>
                <w:color w:val="000000"/>
              </w:rPr>
              <w:t>30</w:t>
            </w:r>
          </w:p>
        </w:tc>
        <w:tc>
          <w:tcPr>
            <w:tcW w:w="1620" w:type="dxa"/>
            <w:tcBorders>
              <w:top w:val="nil"/>
              <w:left w:val="nil"/>
              <w:bottom w:val="single" w:sz="8" w:space="0" w:color="auto"/>
              <w:right w:val="single" w:sz="8" w:space="0" w:color="auto"/>
            </w:tcBorders>
            <w:vAlign w:val="bottom"/>
          </w:tcPr>
          <w:p w14:paraId="2A47A486" w14:textId="77777777" w:rsidR="008D75A7" w:rsidRPr="00986691" w:rsidRDefault="008D75A7" w:rsidP="00382456">
            <w:pPr>
              <w:spacing w:after="120"/>
              <w:rPr>
                <w:color w:val="000000"/>
              </w:rPr>
            </w:pPr>
            <w:r>
              <w:rPr>
                <w:color w:val="000000"/>
              </w:rPr>
              <w:t>1</w:t>
            </w:r>
          </w:p>
        </w:tc>
        <w:tc>
          <w:tcPr>
            <w:tcW w:w="1440" w:type="dxa"/>
            <w:tcBorders>
              <w:top w:val="nil"/>
              <w:left w:val="nil"/>
              <w:bottom w:val="single" w:sz="8" w:space="0" w:color="auto"/>
              <w:right w:val="single" w:sz="8" w:space="0" w:color="auto"/>
            </w:tcBorders>
            <w:vAlign w:val="bottom"/>
          </w:tcPr>
          <w:p w14:paraId="197F6766" w14:textId="77777777" w:rsidR="008D75A7" w:rsidRPr="00986691" w:rsidRDefault="008D75A7" w:rsidP="00382456">
            <w:pPr>
              <w:spacing w:after="120"/>
              <w:rPr>
                <w:color w:val="000000"/>
              </w:rPr>
            </w:pPr>
            <w:r>
              <w:rPr>
                <w:color w:val="000000"/>
              </w:rPr>
              <w:t>5/60</w:t>
            </w:r>
          </w:p>
        </w:tc>
        <w:tc>
          <w:tcPr>
            <w:tcW w:w="1260" w:type="dxa"/>
            <w:tcBorders>
              <w:top w:val="nil"/>
              <w:left w:val="nil"/>
              <w:bottom w:val="single" w:sz="8" w:space="0" w:color="auto"/>
              <w:right w:val="single" w:sz="8" w:space="0" w:color="auto"/>
            </w:tcBorders>
            <w:vAlign w:val="bottom"/>
          </w:tcPr>
          <w:p w14:paraId="47AE68CE" w14:textId="0F9442FA" w:rsidR="008D75A7" w:rsidRPr="001D1148" w:rsidRDefault="008D75A7" w:rsidP="00382456">
            <w:pPr>
              <w:spacing w:after="120"/>
              <w:rPr>
                <w:color w:val="000000"/>
              </w:rPr>
            </w:pPr>
            <w:r>
              <w:rPr>
                <w:color w:val="000000"/>
              </w:rPr>
              <w:t>3</w:t>
            </w:r>
          </w:p>
        </w:tc>
      </w:tr>
      <w:tr w:rsidR="008D75A7" w:rsidRPr="00986691" w14:paraId="153C1F43" w14:textId="77777777" w:rsidTr="00382456">
        <w:trPr>
          <w:trHeight w:val="315"/>
        </w:trPr>
        <w:tc>
          <w:tcPr>
            <w:tcW w:w="1995" w:type="dxa"/>
            <w:tcBorders>
              <w:top w:val="nil"/>
              <w:left w:val="single" w:sz="8" w:space="0" w:color="auto"/>
              <w:bottom w:val="single" w:sz="8" w:space="0" w:color="auto"/>
              <w:right w:val="single" w:sz="8" w:space="0" w:color="auto"/>
            </w:tcBorders>
            <w:vAlign w:val="bottom"/>
          </w:tcPr>
          <w:p w14:paraId="195846CD" w14:textId="77777777" w:rsidR="008D75A7" w:rsidRDefault="008D75A7" w:rsidP="00382456">
            <w:pPr>
              <w:spacing w:after="120"/>
              <w:rPr>
                <w:color w:val="000000"/>
              </w:rPr>
            </w:pPr>
            <w:r>
              <w:rPr>
                <w:color w:val="000000"/>
              </w:rPr>
              <w:t>Private Sector</w:t>
            </w:r>
          </w:p>
        </w:tc>
        <w:tc>
          <w:tcPr>
            <w:tcW w:w="1620" w:type="dxa"/>
            <w:tcBorders>
              <w:top w:val="nil"/>
              <w:left w:val="nil"/>
              <w:bottom w:val="single" w:sz="8" w:space="0" w:color="auto"/>
              <w:right w:val="single" w:sz="8" w:space="0" w:color="auto"/>
            </w:tcBorders>
            <w:vAlign w:val="bottom"/>
          </w:tcPr>
          <w:p w14:paraId="6AA0D4B3" w14:textId="77777777" w:rsidR="008D75A7" w:rsidRPr="00715EE4" w:rsidRDefault="008D75A7" w:rsidP="00382456">
            <w:pPr>
              <w:spacing w:after="120"/>
              <w:rPr>
                <w:color w:val="000000"/>
                <w:highlight w:val="yellow"/>
              </w:rPr>
            </w:pPr>
            <w:r w:rsidRPr="00BE667B">
              <w:rPr>
                <w:color w:val="000000"/>
              </w:rPr>
              <w:t>50</w:t>
            </w:r>
          </w:p>
        </w:tc>
        <w:tc>
          <w:tcPr>
            <w:tcW w:w="1620" w:type="dxa"/>
            <w:tcBorders>
              <w:top w:val="nil"/>
              <w:left w:val="nil"/>
              <w:bottom w:val="single" w:sz="8" w:space="0" w:color="auto"/>
              <w:right w:val="single" w:sz="8" w:space="0" w:color="auto"/>
            </w:tcBorders>
            <w:vAlign w:val="bottom"/>
          </w:tcPr>
          <w:p w14:paraId="370CDA01" w14:textId="77777777" w:rsidR="008D75A7" w:rsidRPr="00BE667B" w:rsidRDefault="008D75A7" w:rsidP="00382456">
            <w:pPr>
              <w:spacing w:after="120"/>
              <w:rPr>
                <w:color w:val="000000"/>
              </w:rPr>
            </w:pPr>
            <w:r w:rsidRPr="00BE667B">
              <w:rPr>
                <w:color w:val="000000"/>
              </w:rPr>
              <w:t>1</w:t>
            </w:r>
          </w:p>
        </w:tc>
        <w:tc>
          <w:tcPr>
            <w:tcW w:w="1440" w:type="dxa"/>
            <w:tcBorders>
              <w:top w:val="nil"/>
              <w:left w:val="nil"/>
              <w:bottom w:val="single" w:sz="8" w:space="0" w:color="auto"/>
              <w:right w:val="single" w:sz="8" w:space="0" w:color="auto"/>
            </w:tcBorders>
            <w:vAlign w:val="bottom"/>
          </w:tcPr>
          <w:p w14:paraId="03141F53" w14:textId="77777777" w:rsidR="008D75A7" w:rsidRPr="00986691" w:rsidRDefault="008D75A7" w:rsidP="00382456">
            <w:pPr>
              <w:spacing w:after="120"/>
              <w:rPr>
                <w:color w:val="000000"/>
              </w:rPr>
            </w:pPr>
            <w:r>
              <w:rPr>
                <w:color w:val="000000"/>
              </w:rPr>
              <w:t>5/60</w:t>
            </w:r>
          </w:p>
        </w:tc>
        <w:tc>
          <w:tcPr>
            <w:tcW w:w="1260" w:type="dxa"/>
            <w:tcBorders>
              <w:top w:val="nil"/>
              <w:left w:val="nil"/>
              <w:bottom w:val="single" w:sz="8" w:space="0" w:color="auto"/>
              <w:right w:val="single" w:sz="8" w:space="0" w:color="auto"/>
            </w:tcBorders>
            <w:vAlign w:val="bottom"/>
          </w:tcPr>
          <w:p w14:paraId="36026727" w14:textId="77777777" w:rsidR="008D75A7" w:rsidRPr="001D1148" w:rsidRDefault="008D75A7" w:rsidP="00382456">
            <w:pPr>
              <w:spacing w:after="120"/>
              <w:rPr>
                <w:color w:val="000000"/>
              </w:rPr>
            </w:pPr>
            <w:r w:rsidRPr="001D1148">
              <w:rPr>
                <w:color w:val="000000"/>
              </w:rPr>
              <w:t>4</w:t>
            </w:r>
          </w:p>
        </w:tc>
      </w:tr>
      <w:tr w:rsidR="008D75A7" w:rsidRPr="00986691" w14:paraId="01160A92" w14:textId="77777777" w:rsidTr="00382456">
        <w:trPr>
          <w:trHeight w:val="250"/>
        </w:trPr>
        <w:tc>
          <w:tcPr>
            <w:tcW w:w="1995" w:type="dxa"/>
            <w:tcBorders>
              <w:top w:val="single" w:sz="8" w:space="0" w:color="auto"/>
              <w:left w:val="single" w:sz="8" w:space="0" w:color="auto"/>
              <w:bottom w:val="single" w:sz="8" w:space="0" w:color="auto"/>
              <w:right w:val="single" w:sz="8" w:space="0" w:color="auto"/>
            </w:tcBorders>
            <w:vAlign w:val="bottom"/>
          </w:tcPr>
          <w:p w14:paraId="3E87FA86" w14:textId="77777777" w:rsidR="008D75A7" w:rsidRPr="000A66FB" w:rsidRDefault="008D75A7" w:rsidP="00382456">
            <w:pPr>
              <w:spacing w:after="120"/>
              <w:rPr>
                <w:b/>
                <w:color w:val="000000"/>
              </w:rPr>
            </w:pPr>
            <w:r w:rsidRPr="000A66FB">
              <w:rPr>
                <w:b/>
                <w:color w:val="000000"/>
              </w:rPr>
              <w:t>Total</w:t>
            </w:r>
          </w:p>
        </w:tc>
        <w:tc>
          <w:tcPr>
            <w:tcW w:w="1620" w:type="dxa"/>
            <w:tcBorders>
              <w:top w:val="single" w:sz="8" w:space="0" w:color="auto"/>
              <w:left w:val="nil"/>
              <w:bottom w:val="single" w:sz="8" w:space="0" w:color="auto"/>
              <w:right w:val="single" w:sz="8" w:space="0" w:color="auto"/>
            </w:tcBorders>
            <w:vAlign w:val="bottom"/>
          </w:tcPr>
          <w:p w14:paraId="01A2AE77" w14:textId="77777777" w:rsidR="008D75A7" w:rsidRPr="00986691" w:rsidRDefault="008D75A7" w:rsidP="00382456">
            <w:pPr>
              <w:spacing w:after="120"/>
              <w:rPr>
                <w:color w:val="000000"/>
              </w:rPr>
            </w:pPr>
          </w:p>
        </w:tc>
        <w:tc>
          <w:tcPr>
            <w:tcW w:w="1620" w:type="dxa"/>
            <w:tcBorders>
              <w:top w:val="single" w:sz="8" w:space="0" w:color="auto"/>
              <w:left w:val="nil"/>
              <w:bottom w:val="single" w:sz="8" w:space="0" w:color="auto"/>
              <w:right w:val="single" w:sz="8" w:space="0" w:color="auto"/>
            </w:tcBorders>
            <w:vAlign w:val="bottom"/>
          </w:tcPr>
          <w:p w14:paraId="590BBF28" w14:textId="77777777" w:rsidR="008D75A7" w:rsidRPr="00986691" w:rsidRDefault="008D75A7" w:rsidP="00382456">
            <w:pPr>
              <w:spacing w:after="120"/>
              <w:rPr>
                <w:color w:val="000000"/>
              </w:rPr>
            </w:pPr>
          </w:p>
        </w:tc>
        <w:tc>
          <w:tcPr>
            <w:tcW w:w="1440" w:type="dxa"/>
            <w:tcBorders>
              <w:top w:val="single" w:sz="8" w:space="0" w:color="auto"/>
              <w:left w:val="nil"/>
              <w:bottom w:val="single" w:sz="8" w:space="0" w:color="auto"/>
              <w:right w:val="single" w:sz="8" w:space="0" w:color="auto"/>
            </w:tcBorders>
            <w:vAlign w:val="bottom"/>
          </w:tcPr>
          <w:p w14:paraId="32B136A7" w14:textId="77777777" w:rsidR="008D75A7" w:rsidRPr="00986691" w:rsidRDefault="008D75A7" w:rsidP="00382456">
            <w:pPr>
              <w:spacing w:after="120"/>
              <w:rPr>
                <w:color w:val="000000"/>
              </w:rPr>
            </w:pPr>
          </w:p>
        </w:tc>
        <w:tc>
          <w:tcPr>
            <w:tcW w:w="1260" w:type="dxa"/>
            <w:tcBorders>
              <w:top w:val="single" w:sz="8" w:space="0" w:color="auto"/>
              <w:left w:val="nil"/>
              <w:bottom w:val="single" w:sz="8" w:space="0" w:color="auto"/>
              <w:right w:val="single" w:sz="8" w:space="0" w:color="auto"/>
            </w:tcBorders>
            <w:vAlign w:val="bottom"/>
          </w:tcPr>
          <w:p w14:paraId="538A70CB" w14:textId="5D86DF95" w:rsidR="008D75A7" w:rsidRPr="001D1148" w:rsidRDefault="008D75A7" w:rsidP="00382456">
            <w:pPr>
              <w:spacing w:after="120"/>
              <w:rPr>
                <w:b/>
                <w:color w:val="000000"/>
              </w:rPr>
            </w:pPr>
            <w:r w:rsidRPr="001D1148">
              <w:rPr>
                <w:b/>
                <w:color w:val="000000"/>
              </w:rPr>
              <w:t>2</w:t>
            </w:r>
            <w:r>
              <w:rPr>
                <w:b/>
                <w:color w:val="000000"/>
              </w:rPr>
              <w:t>4</w:t>
            </w:r>
          </w:p>
        </w:tc>
      </w:tr>
      <w:tr w:rsidR="008D75A7" w:rsidRPr="009C2CEA" w14:paraId="2C4FEF09" w14:textId="77777777" w:rsidTr="00382456">
        <w:trPr>
          <w:trHeight w:val="315"/>
        </w:trPr>
        <w:tc>
          <w:tcPr>
            <w:tcW w:w="7935" w:type="dxa"/>
            <w:gridSpan w:val="5"/>
            <w:tcBorders>
              <w:top w:val="nil"/>
              <w:left w:val="single" w:sz="8" w:space="0" w:color="auto"/>
              <w:bottom w:val="single" w:sz="8" w:space="0" w:color="auto"/>
              <w:right w:val="single" w:sz="8" w:space="0" w:color="auto"/>
            </w:tcBorders>
            <w:vAlign w:val="bottom"/>
          </w:tcPr>
          <w:p w14:paraId="45A028F4" w14:textId="77777777" w:rsidR="008D75A7" w:rsidRPr="009C2CEA" w:rsidRDefault="008D75A7" w:rsidP="00382456">
            <w:pPr>
              <w:spacing w:after="120"/>
              <w:rPr>
                <w:b/>
                <w:color w:val="000000"/>
              </w:rPr>
            </w:pPr>
            <w:r>
              <w:rPr>
                <w:b/>
                <w:color w:val="000000"/>
              </w:rPr>
              <w:t>Data Collection</w:t>
            </w:r>
          </w:p>
        </w:tc>
      </w:tr>
      <w:tr w:rsidR="008D75A7" w:rsidRPr="00986691" w14:paraId="19F01BD7" w14:textId="77777777" w:rsidTr="00382456">
        <w:trPr>
          <w:trHeight w:val="315"/>
        </w:trPr>
        <w:tc>
          <w:tcPr>
            <w:tcW w:w="1995" w:type="dxa"/>
            <w:tcBorders>
              <w:top w:val="nil"/>
              <w:left w:val="single" w:sz="8" w:space="0" w:color="auto"/>
              <w:bottom w:val="single" w:sz="8" w:space="0" w:color="auto"/>
              <w:right w:val="single" w:sz="8" w:space="0" w:color="auto"/>
            </w:tcBorders>
            <w:vAlign w:val="bottom"/>
          </w:tcPr>
          <w:p w14:paraId="1191FBC6" w14:textId="77777777" w:rsidR="008D75A7" w:rsidRPr="00986691" w:rsidRDefault="008D75A7" w:rsidP="00382456">
            <w:pPr>
              <w:spacing w:after="120"/>
              <w:rPr>
                <w:color w:val="000000"/>
              </w:rPr>
            </w:pPr>
            <w:r w:rsidRPr="00867C9D">
              <w:rPr>
                <w:color w:val="000000"/>
              </w:rPr>
              <w:t>State, Local, and Territorial Public Health Jurisdictions</w:t>
            </w:r>
          </w:p>
        </w:tc>
        <w:tc>
          <w:tcPr>
            <w:tcW w:w="1620" w:type="dxa"/>
            <w:tcBorders>
              <w:top w:val="nil"/>
              <w:left w:val="nil"/>
              <w:bottom w:val="single" w:sz="8" w:space="0" w:color="auto"/>
              <w:right w:val="single" w:sz="8" w:space="0" w:color="auto"/>
            </w:tcBorders>
            <w:vAlign w:val="bottom"/>
          </w:tcPr>
          <w:p w14:paraId="287483B1" w14:textId="77777777" w:rsidR="008D75A7" w:rsidRPr="00986691" w:rsidRDefault="008D75A7" w:rsidP="00382456">
            <w:pPr>
              <w:spacing w:after="120"/>
              <w:rPr>
                <w:color w:val="000000"/>
              </w:rPr>
            </w:pPr>
            <w:r>
              <w:rPr>
                <w:color w:val="000000"/>
              </w:rPr>
              <w:t>20</w:t>
            </w:r>
          </w:p>
        </w:tc>
        <w:tc>
          <w:tcPr>
            <w:tcW w:w="1620" w:type="dxa"/>
            <w:tcBorders>
              <w:top w:val="nil"/>
              <w:left w:val="nil"/>
              <w:bottom w:val="single" w:sz="8" w:space="0" w:color="auto"/>
              <w:right w:val="single" w:sz="8" w:space="0" w:color="auto"/>
            </w:tcBorders>
            <w:vAlign w:val="bottom"/>
          </w:tcPr>
          <w:p w14:paraId="18ECEFF3" w14:textId="77777777" w:rsidR="008D75A7" w:rsidRPr="00986691" w:rsidRDefault="008D75A7" w:rsidP="00382456">
            <w:pPr>
              <w:spacing w:after="120"/>
              <w:rPr>
                <w:color w:val="000000"/>
              </w:rPr>
            </w:pPr>
            <w:r>
              <w:rPr>
                <w:color w:val="000000"/>
              </w:rPr>
              <w:t>1</w:t>
            </w:r>
          </w:p>
        </w:tc>
        <w:tc>
          <w:tcPr>
            <w:tcW w:w="1440" w:type="dxa"/>
            <w:tcBorders>
              <w:top w:val="nil"/>
              <w:left w:val="nil"/>
              <w:bottom w:val="single" w:sz="8" w:space="0" w:color="auto"/>
              <w:right w:val="single" w:sz="8" w:space="0" w:color="auto"/>
            </w:tcBorders>
            <w:vAlign w:val="bottom"/>
          </w:tcPr>
          <w:p w14:paraId="54BDFE2A" w14:textId="77777777" w:rsidR="008D75A7" w:rsidRPr="00986691" w:rsidRDefault="008D75A7" w:rsidP="00382456">
            <w:pPr>
              <w:spacing w:after="120"/>
              <w:rPr>
                <w:color w:val="000000"/>
              </w:rPr>
            </w:pPr>
            <w:r>
              <w:rPr>
                <w:color w:val="000000"/>
              </w:rPr>
              <w:t>5/60</w:t>
            </w:r>
          </w:p>
        </w:tc>
        <w:tc>
          <w:tcPr>
            <w:tcW w:w="1260" w:type="dxa"/>
            <w:tcBorders>
              <w:top w:val="nil"/>
              <w:left w:val="nil"/>
              <w:bottom w:val="single" w:sz="8" w:space="0" w:color="auto"/>
              <w:right w:val="single" w:sz="8" w:space="0" w:color="auto"/>
            </w:tcBorders>
            <w:vAlign w:val="bottom"/>
          </w:tcPr>
          <w:p w14:paraId="17CC76A3" w14:textId="77777777" w:rsidR="008D75A7" w:rsidRPr="0064370F" w:rsidRDefault="008D75A7" w:rsidP="00382456">
            <w:pPr>
              <w:spacing w:after="120"/>
              <w:rPr>
                <w:color w:val="000000"/>
                <w:highlight w:val="yellow"/>
              </w:rPr>
            </w:pPr>
            <w:r w:rsidRPr="001D1148">
              <w:rPr>
                <w:color w:val="000000"/>
              </w:rPr>
              <w:t>2</w:t>
            </w:r>
          </w:p>
        </w:tc>
      </w:tr>
      <w:tr w:rsidR="008D75A7" w:rsidRPr="00986691" w14:paraId="05F61D82" w14:textId="77777777" w:rsidTr="00382456">
        <w:trPr>
          <w:trHeight w:val="315"/>
        </w:trPr>
        <w:tc>
          <w:tcPr>
            <w:tcW w:w="1995" w:type="dxa"/>
            <w:tcBorders>
              <w:top w:val="nil"/>
              <w:left w:val="single" w:sz="8" w:space="0" w:color="auto"/>
              <w:bottom w:val="single" w:sz="8" w:space="0" w:color="auto"/>
              <w:right w:val="single" w:sz="8" w:space="0" w:color="auto"/>
            </w:tcBorders>
            <w:vAlign w:val="bottom"/>
          </w:tcPr>
          <w:p w14:paraId="2B68CBAB" w14:textId="77777777" w:rsidR="008D75A7" w:rsidRDefault="008D75A7" w:rsidP="00382456">
            <w:pPr>
              <w:spacing w:after="120"/>
              <w:rPr>
                <w:color w:val="000000"/>
              </w:rPr>
            </w:pPr>
            <w:r>
              <w:rPr>
                <w:color w:val="000000"/>
              </w:rPr>
              <w:t>Federal Government</w:t>
            </w:r>
          </w:p>
        </w:tc>
        <w:tc>
          <w:tcPr>
            <w:tcW w:w="1620" w:type="dxa"/>
            <w:tcBorders>
              <w:top w:val="nil"/>
              <w:left w:val="nil"/>
              <w:bottom w:val="single" w:sz="8" w:space="0" w:color="auto"/>
              <w:right w:val="single" w:sz="8" w:space="0" w:color="auto"/>
            </w:tcBorders>
            <w:vAlign w:val="bottom"/>
          </w:tcPr>
          <w:p w14:paraId="6E5A1A50" w14:textId="77777777" w:rsidR="008D75A7" w:rsidRPr="00986691" w:rsidRDefault="008D75A7" w:rsidP="00382456">
            <w:pPr>
              <w:spacing w:after="120"/>
              <w:rPr>
                <w:color w:val="000000"/>
              </w:rPr>
            </w:pPr>
            <w:r>
              <w:rPr>
                <w:color w:val="000000"/>
              </w:rPr>
              <w:t>2</w:t>
            </w:r>
          </w:p>
        </w:tc>
        <w:tc>
          <w:tcPr>
            <w:tcW w:w="1620" w:type="dxa"/>
            <w:tcBorders>
              <w:top w:val="nil"/>
              <w:left w:val="nil"/>
              <w:bottom w:val="single" w:sz="8" w:space="0" w:color="auto"/>
              <w:right w:val="single" w:sz="8" w:space="0" w:color="auto"/>
            </w:tcBorders>
            <w:vAlign w:val="bottom"/>
          </w:tcPr>
          <w:p w14:paraId="11B05BF0" w14:textId="77777777" w:rsidR="008D75A7" w:rsidRPr="00986691" w:rsidRDefault="008D75A7" w:rsidP="00382456">
            <w:pPr>
              <w:spacing w:after="120"/>
              <w:rPr>
                <w:color w:val="000000"/>
              </w:rPr>
            </w:pPr>
            <w:r>
              <w:rPr>
                <w:color w:val="000000"/>
              </w:rPr>
              <w:t>0</w:t>
            </w:r>
          </w:p>
        </w:tc>
        <w:tc>
          <w:tcPr>
            <w:tcW w:w="1440" w:type="dxa"/>
            <w:tcBorders>
              <w:top w:val="nil"/>
              <w:left w:val="nil"/>
              <w:bottom w:val="single" w:sz="8" w:space="0" w:color="auto"/>
              <w:right w:val="single" w:sz="8" w:space="0" w:color="auto"/>
            </w:tcBorders>
            <w:vAlign w:val="bottom"/>
          </w:tcPr>
          <w:p w14:paraId="35C3B6D1" w14:textId="77777777" w:rsidR="008D75A7" w:rsidRPr="001D1148" w:rsidRDefault="008D75A7" w:rsidP="00382456">
            <w:pPr>
              <w:spacing w:after="120"/>
              <w:rPr>
                <w:color w:val="000000"/>
              </w:rPr>
            </w:pPr>
            <w:r w:rsidRPr="001D1148">
              <w:rPr>
                <w:color w:val="000000"/>
              </w:rPr>
              <w:t>0</w:t>
            </w:r>
          </w:p>
        </w:tc>
        <w:tc>
          <w:tcPr>
            <w:tcW w:w="1260" w:type="dxa"/>
            <w:tcBorders>
              <w:top w:val="nil"/>
              <w:left w:val="nil"/>
              <w:bottom w:val="single" w:sz="8" w:space="0" w:color="auto"/>
              <w:right w:val="single" w:sz="8" w:space="0" w:color="auto"/>
            </w:tcBorders>
            <w:vAlign w:val="bottom"/>
          </w:tcPr>
          <w:p w14:paraId="30494558" w14:textId="77777777" w:rsidR="008D75A7" w:rsidRPr="001D1148" w:rsidRDefault="008D75A7" w:rsidP="00382456">
            <w:pPr>
              <w:spacing w:after="120"/>
              <w:rPr>
                <w:color w:val="000000"/>
              </w:rPr>
            </w:pPr>
            <w:r w:rsidRPr="001D1148">
              <w:rPr>
                <w:color w:val="000000"/>
              </w:rPr>
              <w:t>0</w:t>
            </w:r>
          </w:p>
        </w:tc>
      </w:tr>
      <w:tr w:rsidR="008D75A7" w:rsidRPr="00986691" w14:paraId="5460FC82" w14:textId="77777777" w:rsidTr="00382456">
        <w:trPr>
          <w:trHeight w:val="315"/>
        </w:trPr>
        <w:tc>
          <w:tcPr>
            <w:tcW w:w="1995" w:type="dxa"/>
            <w:tcBorders>
              <w:top w:val="nil"/>
              <w:left w:val="single" w:sz="8" w:space="0" w:color="auto"/>
              <w:bottom w:val="single" w:sz="8" w:space="0" w:color="auto"/>
              <w:right w:val="single" w:sz="8" w:space="0" w:color="auto"/>
            </w:tcBorders>
            <w:vAlign w:val="bottom"/>
          </w:tcPr>
          <w:p w14:paraId="4DD6C437" w14:textId="77777777" w:rsidR="008D75A7" w:rsidRDefault="008D75A7" w:rsidP="00382456">
            <w:pPr>
              <w:spacing w:after="120"/>
              <w:rPr>
                <w:color w:val="000000"/>
              </w:rPr>
            </w:pPr>
            <w:r>
              <w:rPr>
                <w:color w:val="000000"/>
              </w:rPr>
              <w:t>Private Sector</w:t>
            </w:r>
          </w:p>
          <w:p w14:paraId="43325077" w14:textId="77777777" w:rsidR="008D75A7" w:rsidRDefault="008D75A7" w:rsidP="00382456">
            <w:pPr>
              <w:spacing w:after="120"/>
              <w:rPr>
                <w:color w:val="000000"/>
              </w:rPr>
            </w:pPr>
            <w:r>
              <w:rPr>
                <w:color w:val="000000"/>
              </w:rPr>
              <w:t xml:space="preserve">(national clinical </w:t>
            </w:r>
            <w:r>
              <w:rPr>
                <w:color w:val="000000"/>
              </w:rPr>
              <w:lastRenderedPageBreak/>
              <w:t xml:space="preserve">laboratory corporations, and a </w:t>
            </w:r>
            <w:r w:rsidRPr="006D1025">
              <w:rPr>
                <w:color w:val="000000"/>
              </w:rPr>
              <w:t>private sec</w:t>
            </w:r>
            <w:r>
              <w:rPr>
                <w:color w:val="000000"/>
              </w:rPr>
              <w:t xml:space="preserve">tor health information exchange </w:t>
            </w:r>
            <w:r w:rsidRPr="006D1025">
              <w:rPr>
                <w:color w:val="000000"/>
              </w:rPr>
              <w:t>company</w:t>
            </w:r>
            <w:r>
              <w:rPr>
                <w:color w:val="000000"/>
              </w:rPr>
              <w:t>)</w:t>
            </w:r>
          </w:p>
        </w:tc>
        <w:tc>
          <w:tcPr>
            <w:tcW w:w="1620" w:type="dxa"/>
            <w:tcBorders>
              <w:top w:val="nil"/>
              <w:left w:val="nil"/>
              <w:bottom w:val="single" w:sz="8" w:space="0" w:color="auto"/>
              <w:right w:val="single" w:sz="8" w:space="0" w:color="auto"/>
            </w:tcBorders>
            <w:vAlign w:val="bottom"/>
          </w:tcPr>
          <w:p w14:paraId="7C45C0F0" w14:textId="77777777" w:rsidR="008D75A7" w:rsidRPr="00986691" w:rsidRDefault="008D75A7" w:rsidP="00382456">
            <w:pPr>
              <w:spacing w:after="120"/>
              <w:rPr>
                <w:color w:val="000000"/>
              </w:rPr>
            </w:pPr>
            <w:r>
              <w:rPr>
                <w:color w:val="000000"/>
              </w:rPr>
              <w:lastRenderedPageBreak/>
              <w:t>3</w:t>
            </w:r>
          </w:p>
        </w:tc>
        <w:tc>
          <w:tcPr>
            <w:tcW w:w="1620" w:type="dxa"/>
            <w:tcBorders>
              <w:top w:val="nil"/>
              <w:left w:val="nil"/>
              <w:bottom w:val="single" w:sz="8" w:space="0" w:color="auto"/>
              <w:right w:val="single" w:sz="8" w:space="0" w:color="auto"/>
            </w:tcBorders>
            <w:vAlign w:val="bottom"/>
          </w:tcPr>
          <w:p w14:paraId="1B07C3FB" w14:textId="77777777" w:rsidR="008D75A7" w:rsidRPr="00986691" w:rsidRDefault="008D75A7" w:rsidP="00382456">
            <w:pPr>
              <w:spacing w:after="120"/>
              <w:rPr>
                <w:color w:val="000000"/>
              </w:rPr>
            </w:pPr>
            <w:r>
              <w:rPr>
                <w:color w:val="000000"/>
              </w:rPr>
              <w:t>0</w:t>
            </w:r>
          </w:p>
        </w:tc>
        <w:tc>
          <w:tcPr>
            <w:tcW w:w="1440" w:type="dxa"/>
            <w:tcBorders>
              <w:top w:val="nil"/>
              <w:left w:val="nil"/>
              <w:bottom w:val="single" w:sz="8" w:space="0" w:color="auto"/>
              <w:right w:val="single" w:sz="8" w:space="0" w:color="auto"/>
            </w:tcBorders>
            <w:vAlign w:val="bottom"/>
          </w:tcPr>
          <w:p w14:paraId="13F6335A" w14:textId="77777777" w:rsidR="008D75A7" w:rsidRPr="001D1148" w:rsidRDefault="008D75A7" w:rsidP="00382456">
            <w:pPr>
              <w:spacing w:after="120"/>
              <w:rPr>
                <w:color w:val="000000"/>
              </w:rPr>
            </w:pPr>
            <w:r w:rsidRPr="001D1148">
              <w:rPr>
                <w:color w:val="000000"/>
              </w:rPr>
              <w:t>0</w:t>
            </w:r>
          </w:p>
        </w:tc>
        <w:tc>
          <w:tcPr>
            <w:tcW w:w="1260" w:type="dxa"/>
            <w:tcBorders>
              <w:top w:val="nil"/>
              <w:left w:val="nil"/>
              <w:bottom w:val="single" w:sz="8" w:space="0" w:color="auto"/>
              <w:right w:val="single" w:sz="8" w:space="0" w:color="auto"/>
            </w:tcBorders>
            <w:vAlign w:val="bottom"/>
          </w:tcPr>
          <w:p w14:paraId="671CBBE4" w14:textId="77777777" w:rsidR="008D75A7" w:rsidRPr="001D1148" w:rsidRDefault="008D75A7" w:rsidP="00382456">
            <w:pPr>
              <w:spacing w:after="120"/>
              <w:rPr>
                <w:color w:val="000000"/>
              </w:rPr>
            </w:pPr>
            <w:r w:rsidRPr="001D1148">
              <w:rPr>
                <w:color w:val="000000"/>
              </w:rPr>
              <w:t>0</w:t>
            </w:r>
          </w:p>
        </w:tc>
      </w:tr>
      <w:tr w:rsidR="008D75A7" w:rsidRPr="000A66FB" w14:paraId="46AD562C" w14:textId="77777777" w:rsidTr="00382456">
        <w:trPr>
          <w:trHeight w:val="187"/>
        </w:trPr>
        <w:tc>
          <w:tcPr>
            <w:tcW w:w="1995" w:type="dxa"/>
            <w:tcBorders>
              <w:top w:val="single" w:sz="8" w:space="0" w:color="auto"/>
              <w:left w:val="single" w:sz="8" w:space="0" w:color="auto"/>
              <w:bottom w:val="single" w:sz="8" w:space="0" w:color="auto"/>
              <w:right w:val="single" w:sz="8" w:space="0" w:color="auto"/>
            </w:tcBorders>
            <w:vAlign w:val="bottom"/>
          </w:tcPr>
          <w:p w14:paraId="27C3E989" w14:textId="77777777" w:rsidR="008D75A7" w:rsidRPr="000A66FB" w:rsidRDefault="008D75A7" w:rsidP="00382456">
            <w:pPr>
              <w:spacing w:after="120"/>
              <w:rPr>
                <w:b/>
                <w:color w:val="000000"/>
              </w:rPr>
            </w:pPr>
            <w:r w:rsidRPr="000A66FB">
              <w:rPr>
                <w:b/>
                <w:color w:val="000000"/>
              </w:rPr>
              <w:lastRenderedPageBreak/>
              <w:t>Total</w:t>
            </w:r>
          </w:p>
        </w:tc>
        <w:tc>
          <w:tcPr>
            <w:tcW w:w="1620" w:type="dxa"/>
            <w:tcBorders>
              <w:top w:val="single" w:sz="8" w:space="0" w:color="auto"/>
              <w:left w:val="nil"/>
              <w:bottom w:val="single" w:sz="8" w:space="0" w:color="auto"/>
              <w:right w:val="single" w:sz="8" w:space="0" w:color="auto"/>
            </w:tcBorders>
            <w:vAlign w:val="bottom"/>
          </w:tcPr>
          <w:p w14:paraId="21E2EC3C" w14:textId="77777777" w:rsidR="008D75A7" w:rsidRPr="00986691" w:rsidRDefault="008D75A7" w:rsidP="00382456">
            <w:pPr>
              <w:spacing w:after="120"/>
              <w:rPr>
                <w:color w:val="000000"/>
              </w:rPr>
            </w:pPr>
          </w:p>
        </w:tc>
        <w:tc>
          <w:tcPr>
            <w:tcW w:w="1620" w:type="dxa"/>
            <w:tcBorders>
              <w:top w:val="single" w:sz="8" w:space="0" w:color="auto"/>
              <w:left w:val="nil"/>
              <w:bottom w:val="single" w:sz="8" w:space="0" w:color="auto"/>
              <w:right w:val="single" w:sz="8" w:space="0" w:color="auto"/>
            </w:tcBorders>
            <w:vAlign w:val="bottom"/>
          </w:tcPr>
          <w:p w14:paraId="198D8DDE" w14:textId="77777777" w:rsidR="008D75A7" w:rsidRPr="00986691" w:rsidRDefault="008D75A7" w:rsidP="00382456">
            <w:pPr>
              <w:spacing w:after="120"/>
              <w:rPr>
                <w:color w:val="000000"/>
              </w:rPr>
            </w:pPr>
          </w:p>
        </w:tc>
        <w:tc>
          <w:tcPr>
            <w:tcW w:w="1440" w:type="dxa"/>
            <w:tcBorders>
              <w:top w:val="single" w:sz="8" w:space="0" w:color="auto"/>
              <w:left w:val="nil"/>
              <w:bottom w:val="single" w:sz="8" w:space="0" w:color="auto"/>
              <w:right w:val="single" w:sz="8" w:space="0" w:color="auto"/>
            </w:tcBorders>
            <w:vAlign w:val="bottom"/>
          </w:tcPr>
          <w:p w14:paraId="66884FD8" w14:textId="77777777" w:rsidR="008D75A7" w:rsidRPr="00986691" w:rsidRDefault="008D75A7" w:rsidP="00382456">
            <w:pPr>
              <w:spacing w:after="120"/>
              <w:rPr>
                <w:color w:val="000000"/>
              </w:rPr>
            </w:pPr>
          </w:p>
        </w:tc>
        <w:tc>
          <w:tcPr>
            <w:tcW w:w="1260" w:type="dxa"/>
            <w:tcBorders>
              <w:top w:val="single" w:sz="8" w:space="0" w:color="auto"/>
              <w:left w:val="nil"/>
              <w:bottom w:val="single" w:sz="8" w:space="0" w:color="auto"/>
              <w:right w:val="single" w:sz="8" w:space="0" w:color="auto"/>
            </w:tcBorders>
            <w:vAlign w:val="bottom"/>
          </w:tcPr>
          <w:p w14:paraId="166BF547" w14:textId="77777777" w:rsidR="008D75A7" w:rsidRPr="001D1148" w:rsidRDefault="008D75A7" w:rsidP="00382456">
            <w:pPr>
              <w:spacing w:after="120"/>
              <w:rPr>
                <w:b/>
                <w:color w:val="000000"/>
              </w:rPr>
            </w:pPr>
            <w:r w:rsidRPr="001D1148">
              <w:rPr>
                <w:b/>
                <w:color w:val="000000"/>
              </w:rPr>
              <w:t>2</w:t>
            </w:r>
          </w:p>
        </w:tc>
      </w:tr>
      <w:tr w:rsidR="008D75A7" w:rsidRPr="00FA3AEF" w14:paraId="1C374534" w14:textId="77777777" w:rsidTr="00382456">
        <w:trPr>
          <w:trHeight w:val="178"/>
        </w:trPr>
        <w:tc>
          <w:tcPr>
            <w:tcW w:w="1995" w:type="dxa"/>
            <w:tcBorders>
              <w:top w:val="single" w:sz="8" w:space="0" w:color="auto"/>
              <w:left w:val="single" w:sz="8" w:space="0" w:color="auto"/>
              <w:bottom w:val="single" w:sz="8" w:space="0" w:color="auto"/>
              <w:right w:val="single" w:sz="8" w:space="0" w:color="auto"/>
            </w:tcBorders>
            <w:vAlign w:val="bottom"/>
          </w:tcPr>
          <w:p w14:paraId="02CFA45D" w14:textId="77777777" w:rsidR="008D75A7" w:rsidRPr="000A66FB" w:rsidRDefault="008D75A7" w:rsidP="00382456">
            <w:pPr>
              <w:spacing w:after="120"/>
              <w:rPr>
                <w:b/>
                <w:color w:val="000000"/>
              </w:rPr>
            </w:pPr>
            <w:r>
              <w:rPr>
                <w:b/>
                <w:color w:val="000000"/>
              </w:rPr>
              <w:t>Overall Total</w:t>
            </w:r>
          </w:p>
        </w:tc>
        <w:tc>
          <w:tcPr>
            <w:tcW w:w="1620" w:type="dxa"/>
            <w:tcBorders>
              <w:top w:val="single" w:sz="8" w:space="0" w:color="auto"/>
              <w:left w:val="nil"/>
              <w:bottom w:val="single" w:sz="8" w:space="0" w:color="auto"/>
              <w:right w:val="single" w:sz="8" w:space="0" w:color="auto"/>
            </w:tcBorders>
            <w:vAlign w:val="bottom"/>
          </w:tcPr>
          <w:p w14:paraId="72E1371C" w14:textId="77777777" w:rsidR="008D75A7" w:rsidRPr="00986691" w:rsidRDefault="008D75A7" w:rsidP="00382456">
            <w:pPr>
              <w:spacing w:after="120"/>
              <w:rPr>
                <w:color w:val="000000"/>
              </w:rPr>
            </w:pPr>
          </w:p>
        </w:tc>
        <w:tc>
          <w:tcPr>
            <w:tcW w:w="1620" w:type="dxa"/>
            <w:tcBorders>
              <w:top w:val="single" w:sz="8" w:space="0" w:color="auto"/>
              <w:left w:val="nil"/>
              <w:bottom w:val="single" w:sz="8" w:space="0" w:color="auto"/>
              <w:right w:val="single" w:sz="8" w:space="0" w:color="auto"/>
            </w:tcBorders>
            <w:vAlign w:val="bottom"/>
          </w:tcPr>
          <w:p w14:paraId="450C1746" w14:textId="77777777" w:rsidR="008D75A7" w:rsidRPr="00986691" w:rsidRDefault="008D75A7" w:rsidP="00382456">
            <w:pPr>
              <w:spacing w:after="120"/>
              <w:rPr>
                <w:color w:val="000000"/>
              </w:rPr>
            </w:pPr>
          </w:p>
        </w:tc>
        <w:tc>
          <w:tcPr>
            <w:tcW w:w="1440" w:type="dxa"/>
            <w:tcBorders>
              <w:top w:val="single" w:sz="8" w:space="0" w:color="auto"/>
              <w:left w:val="nil"/>
              <w:bottom w:val="single" w:sz="8" w:space="0" w:color="auto"/>
              <w:right w:val="single" w:sz="8" w:space="0" w:color="auto"/>
            </w:tcBorders>
            <w:vAlign w:val="bottom"/>
          </w:tcPr>
          <w:p w14:paraId="7BE5AA9F" w14:textId="77777777" w:rsidR="008D75A7" w:rsidRPr="00986691" w:rsidRDefault="008D75A7" w:rsidP="00382456">
            <w:pPr>
              <w:spacing w:after="120"/>
              <w:rPr>
                <w:color w:val="000000"/>
              </w:rPr>
            </w:pPr>
          </w:p>
        </w:tc>
        <w:tc>
          <w:tcPr>
            <w:tcW w:w="1260" w:type="dxa"/>
            <w:tcBorders>
              <w:top w:val="single" w:sz="8" w:space="0" w:color="auto"/>
              <w:left w:val="nil"/>
              <w:bottom w:val="single" w:sz="8" w:space="0" w:color="auto"/>
              <w:right w:val="single" w:sz="8" w:space="0" w:color="auto"/>
            </w:tcBorders>
            <w:vAlign w:val="bottom"/>
          </w:tcPr>
          <w:p w14:paraId="34CF9FEE" w14:textId="11CAD04C" w:rsidR="008D75A7" w:rsidRPr="001D1148" w:rsidRDefault="008D75A7" w:rsidP="00382456">
            <w:pPr>
              <w:spacing w:after="120"/>
              <w:rPr>
                <w:b/>
                <w:color w:val="000000"/>
              </w:rPr>
            </w:pPr>
            <w:r>
              <w:rPr>
                <w:b/>
                <w:color w:val="000000"/>
              </w:rPr>
              <w:t>51</w:t>
            </w:r>
          </w:p>
        </w:tc>
      </w:tr>
    </w:tbl>
    <w:p w14:paraId="0F66AA45" w14:textId="77777777" w:rsidR="008D75A7" w:rsidRDefault="008D75A7" w:rsidP="008D75A7">
      <w:pPr>
        <w:tabs>
          <w:tab w:val="left" w:pos="3240"/>
        </w:tabs>
        <w:rPr>
          <w:color w:val="000000"/>
        </w:rPr>
      </w:pPr>
    </w:p>
    <w:p w14:paraId="709ECC64" w14:textId="087D05D3" w:rsidR="008D75A7" w:rsidRPr="00410136" w:rsidRDefault="00CA3B85" w:rsidP="008D75A7">
      <w:pPr>
        <w:tabs>
          <w:tab w:val="left" w:pos="3240"/>
        </w:tabs>
        <w:rPr>
          <w:szCs w:val="28"/>
        </w:rPr>
      </w:pPr>
      <w:r>
        <w:rPr>
          <w:color w:val="000000"/>
        </w:rPr>
        <w:t>There has been a change in the burden hours from the previous Information Collection Request approved by OMB on 10/13/09. The category “Recruitment” and “</w:t>
      </w:r>
      <w:r w:rsidRPr="00D7061E">
        <w:rPr>
          <w:color w:val="000000"/>
        </w:rPr>
        <w:t xml:space="preserve">Access to </w:t>
      </w:r>
      <w:proofErr w:type="spellStart"/>
      <w:r w:rsidRPr="00D7061E">
        <w:rPr>
          <w:color w:val="000000"/>
        </w:rPr>
        <w:t>BioSense</w:t>
      </w:r>
      <w:proofErr w:type="spellEnd"/>
      <w:r w:rsidRPr="00D7061E">
        <w:rPr>
          <w:color w:val="000000"/>
        </w:rPr>
        <w:t xml:space="preserve"> 2.0 Application</w:t>
      </w:r>
      <w:r>
        <w:rPr>
          <w:color w:val="000000"/>
        </w:rPr>
        <w:t xml:space="preserve">” both decreased in hours of burden, and the category “Data Collection” was newly added. Even with the addition of a category, the overall total burden hours decreased. The “Recruitment” category decreased in total burden hours, because additional information technologies were added to the application (multiple easy-to-use ways to institute data transfer) that made the previously used extensive spreadsheet for gathering information no longer necessary. Now the information needed is gathered during an unstructured conversation with the respondent. The “Access to </w:t>
      </w:r>
      <w:proofErr w:type="spellStart"/>
      <w:r>
        <w:rPr>
          <w:color w:val="000000"/>
        </w:rPr>
        <w:t>BioSense</w:t>
      </w:r>
      <w:proofErr w:type="spellEnd"/>
      <w:r>
        <w:rPr>
          <w:color w:val="000000"/>
        </w:rPr>
        <w:t xml:space="preserve"> 2.0 Application” decreased in total burden hours, because there is a decreased number of individuals and organizations projected to request access to the application per year. Additionally, the data collection instrument has been changed. </w:t>
      </w:r>
      <w:r w:rsidR="005927E9">
        <w:rPr>
          <w:color w:val="000000"/>
        </w:rPr>
        <w:t>Because of the move to the cloud environment, i</w:t>
      </w:r>
      <w:r>
        <w:rPr>
          <w:color w:val="000000"/>
        </w:rPr>
        <w:t xml:space="preserve">t has become a onetime only activity, so there is no longer a yearly requirement to renew. The “Data Collection” category was added to reflect a change in policy and information technology in the application. There is now an option for public health jurisdictions to choose to share data with others; this activity entails accessing </w:t>
      </w:r>
      <w:r w:rsidRPr="009F2593">
        <w:rPr>
          <w:color w:val="000000"/>
        </w:rPr>
        <w:t xml:space="preserve">a submenu of the </w:t>
      </w:r>
      <w:proofErr w:type="spellStart"/>
      <w:r w:rsidRPr="009F2593">
        <w:rPr>
          <w:color w:val="000000"/>
        </w:rPr>
        <w:t>BioSense</w:t>
      </w:r>
      <w:proofErr w:type="spellEnd"/>
      <w:r w:rsidRPr="009F2593">
        <w:rPr>
          <w:color w:val="000000"/>
        </w:rPr>
        <w:t xml:space="preserve"> 2.0 cl</w:t>
      </w:r>
      <w:r>
        <w:rPr>
          <w:color w:val="000000"/>
        </w:rPr>
        <w:t xml:space="preserve">oud-enabled, web-based platform. The </w:t>
      </w:r>
      <w:r w:rsidRPr="009F2593">
        <w:rPr>
          <w:color w:val="000000"/>
        </w:rPr>
        <w:t xml:space="preserve">submenu allows </w:t>
      </w:r>
      <w:r>
        <w:rPr>
          <w:color w:val="000000"/>
        </w:rPr>
        <w:t>respondents to choose with whom to share data and at what level of aggregation from a series of drop-down lists. Because information technology was used, this activity takes very little time, thus adding very few burden hours.</w:t>
      </w:r>
      <w:r w:rsidR="008D75A7" w:rsidRPr="00986691">
        <w:rPr>
          <w:color w:val="000000"/>
        </w:rPr>
        <w:br w:type="page"/>
      </w:r>
    </w:p>
    <w:p w14:paraId="1714026E" w14:textId="77777777" w:rsidR="008D75A7" w:rsidRPr="00986691" w:rsidRDefault="008D75A7" w:rsidP="008D75A7">
      <w:pPr>
        <w:spacing w:after="120"/>
        <w:rPr>
          <w:color w:val="000000"/>
        </w:rPr>
      </w:pPr>
      <w:r>
        <w:rPr>
          <w:color w:val="000000"/>
        </w:rPr>
        <w:lastRenderedPageBreak/>
        <w:t>A.</w:t>
      </w:r>
      <w:r w:rsidRPr="00986691">
        <w:rPr>
          <w:color w:val="000000"/>
        </w:rPr>
        <w:t>12</w:t>
      </w:r>
      <w:r>
        <w:rPr>
          <w:color w:val="000000"/>
        </w:rPr>
        <w:t>-</w:t>
      </w:r>
      <w:r w:rsidRPr="00986691">
        <w:rPr>
          <w:color w:val="000000"/>
        </w:rPr>
        <w:t>B. Estimates of Annualized Cost Burden</w:t>
      </w:r>
    </w:p>
    <w:tbl>
      <w:tblPr>
        <w:tblW w:w="9195" w:type="dxa"/>
        <w:tblInd w:w="93" w:type="dxa"/>
        <w:tblLook w:val="0000" w:firstRow="0" w:lastRow="0" w:firstColumn="0" w:lastColumn="0" w:noHBand="0" w:noVBand="0"/>
      </w:tblPr>
      <w:tblGrid>
        <w:gridCol w:w="1965"/>
        <w:gridCol w:w="1523"/>
        <w:gridCol w:w="1607"/>
        <w:gridCol w:w="1422"/>
        <w:gridCol w:w="1239"/>
        <w:gridCol w:w="1439"/>
      </w:tblGrid>
      <w:tr w:rsidR="008D75A7" w:rsidRPr="00986691" w14:paraId="7F1AC41D" w14:textId="77777777" w:rsidTr="00382456">
        <w:trPr>
          <w:trHeight w:val="1258"/>
        </w:trPr>
        <w:tc>
          <w:tcPr>
            <w:tcW w:w="1965" w:type="dxa"/>
            <w:tcBorders>
              <w:top w:val="single" w:sz="8" w:space="0" w:color="auto"/>
              <w:left w:val="single" w:sz="8" w:space="0" w:color="auto"/>
              <w:bottom w:val="single" w:sz="8" w:space="0" w:color="auto"/>
              <w:right w:val="single" w:sz="8" w:space="0" w:color="auto"/>
            </w:tcBorders>
          </w:tcPr>
          <w:p w14:paraId="75ADF13A" w14:textId="77777777" w:rsidR="008D75A7" w:rsidRPr="00986691" w:rsidRDefault="008D75A7" w:rsidP="00382456">
            <w:pPr>
              <w:spacing w:after="120"/>
              <w:rPr>
                <w:b/>
                <w:bCs/>
                <w:color w:val="000000"/>
              </w:rPr>
            </w:pPr>
            <w:r>
              <w:rPr>
                <w:b/>
                <w:bCs/>
                <w:color w:val="000000"/>
              </w:rPr>
              <w:t xml:space="preserve">Type of </w:t>
            </w:r>
            <w:r w:rsidRPr="00986691">
              <w:rPr>
                <w:b/>
                <w:bCs/>
                <w:color w:val="000000"/>
              </w:rPr>
              <w:t>Respondents</w:t>
            </w:r>
          </w:p>
        </w:tc>
        <w:tc>
          <w:tcPr>
            <w:tcW w:w="1523" w:type="dxa"/>
            <w:tcBorders>
              <w:top w:val="single" w:sz="8" w:space="0" w:color="auto"/>
              <w:left w:val="nil"/>
              <w:bottom w:val="single" w:sz="8" w:space="0" w:color="auto"/>
              <w:right w:val="single" w:sz="8" w:space="0" w:color="auto"/>
            </w:tcBorders>
          </w:tcPr>
          <w:p w14:paraId="2D0C31E9" w14:textId="77777777" w:rsidR="008D75A7" w:rsidRPr="00986691" w:rsidRDefault="008D75A7" w:rsidP="00382456">
            <w:pPr>
              <w:spacing w:after="120"/>
              <w:rPr>
                <w:b/>
                <w:bCs/>
                <w:color w:val="000000"/>
              </w:rPr>
            </w:pPr>
            <w:r w:rsidRPr="00986691">
              <w:rPr>
                <w:b/>
                <w:bCs/>
                <w:color w:val="000000"/>
              </w:rPr>
              <w:t>Number of Respondents</w:t>
            </w:r>
          </w:p>
        </w:tc>
        <w:tc>
          <w:tcPr>
            <w:tcW w:w="1607" w:type="dxa"/>
            <w:tcBorders>
              <w:top w:val="single" w:sz="8" w:space="0" w:color="auto"/>
              <w:left w:val="nil"/>
              <w:bottom w:val="single" w:sz="8" w:space="0" w:color="auto"/>
              <w:right w:val="single" w:sz="8" w:space="0" w:color="auto"/>
            </w:tcBorders>
          </w:tcPr>
          <w:p w14:paraId="47E38A71" w14:textId="77777777" w:rsidR="008D75A7" w:rsidRPr="00986691" w:rsidRDefault="008D75A7" w:rsidP="00382456">
            <w:pPr>
              <w:spacing w:after="120"/>
              <w:rPr>
                <w:b/>
                <w:bCs/>
                <w:color w:val="000000"/>
              </w:rPr>
            </w:pPr>
            <w:r w:rsidRPr="00986691">
              <w:rPr>
                <w:b/>
                <w:bCs/>
                <w:color w:val="000000"/>
              </w:rPr>
              <w:t>Number of  Responses per Respondent</w:t>
            </w:r>
          </w:p>
        </w:tc>
        <w:tc>
          <w:tcPr>
            <w:tcW w:w="1422" w:type="dxa"/>
            <w:tcBorders>
              <w:top w:val="single" w:sz="8" w:space="0" w:color="auto"/>
              <w:left w:val="nil"/>
              <w:bottom w:val="single" w:sz="8" w:space="0" w:color="auto"/>
              <w:right w:val="single" w:sz="8" w:space="0" w:color="auto"/>
            </w:tcBorders>
          </w:tcPr>
          <w:p w14:paraId="7F42DFDF" w14:textId="77777777" w:rsidR="008D75A7" w:rsidRPr="00986691" w:rsidRDefault="008D75A7" w:rsidP="00382456">
            <w:pPr>
              <w:spacing w:after="120"/>
              <w:rPr>
                <w:b/>
                <w:bCs/>
                <w:color w:val="000000"/>
              </w:rPr>
            </w:pPr>
            <w:r w:rsidRPr="00986691">
              <w:rPr>
                <w:b/>
                <w:bCs/>
                <w:color w:val="000000"/>
              </w:rPr>
              <w:t>Average Burden Per Response  (in hours)</w:t>
            </w:r>
          </w:p>
        </w:tc>
        <w:tc>
          <w:tcPr>
            <w:tcW w:w="1239" w:type="dxa"/>
            <w:tcBorders>
              <w:top w:val="single" w:sz="8" w:space="0" w:color="auto"/>
              <w:left w:val="nil"/>
              <w:bottom w:val="single" w:sz="8" w:space="0" w:color="auto"/>
              <w:right w:val="single" w:sz="8" w:space="0" w:color="auto"/>
            </w:tcBorders>
          </w:tcPr>
          <w:p w14:paraId="43937183" w14:textId="77777777" w:rsidR="008D75A7" w:rsidRPr="00986691" w:rsidRDefault="008D75A7" w:rsidP="00382456">
            <w:pPr>
              <w:spacing w:after="120"/>
              <w:rPr>
                <w:b/>
                <w:bCs/>
                <w:color w:val="000000"/>
              </w:rPr>
            </w:pPr>
            <w:r w:rsidRPr="00986691">
              <w:rPr>
                <w:b/>
                <w:bCs/>
                <w:color w:val="000000"/>
              </w:rPr>
              <w:t>Hourly Wage Rate</w:t>
            </w:r>
          </w:p>
        </w:tc>
        <w:tc>
          <w:tcPr>
            <w:tcW w:w="1439" w:type="dxa"/>
            <w:tcBorders>
              <w:top w:val="single" w:sz="8" w:space="0" w:color="auto"/>
              <w:left w:val="nil"/>
              <w:bottom w:val="single" w:sz="8" w:space="0" w:color="auto"/>
              <w:right w:val="single" w:sz="8" w:space="0" w:color="auto"/>
            </w:tcBorders>
          </w:tcPr>
          <w:p w14:paraId="0A76800A" w14:textId="77777777" w:rsidR="008D75A7" w:rsidRPr="00986691" w:rsidRDefault="008D75A7" w:rsidP="00382456">
            <w:pPr>
              <w:spacing w:after="120"/>
              <w:rPr>
                <w:b/>
                <w:bCs/>
                <w:color w:val="000000"/>
              </w:rPr>
            </w:pPr>
            <w:r w:rsidRPr="00986691">
              <w:rPr>
                <w:b/>
                <w:bCs/>
                <w:color w:val="000000"/>
              </w:rPr>
              <w:t xml:space="preserve">Respondent Cost </w:t>
            </w:r>
          </w:p>
        </w:tc>
      </w:tr>
      <w:tr w:rsidR="008D75A7" w:rsidRPr="00396208" w14:paraId="4E5ABF1D" w14:textId="77777777" w:rsidTr="00382456">
        <w:trPr>
          <w:trHeight w:val="315"/>
        </w:trPr>
        <w:tc>
          <w:tcPr>
            <w:tcW w:w="9195" w:type="dxa"/>
            <w:gridSpan w:val="6"/>
            <w:tcBorders>
              <w:top w:val="nil"/>
              <w:left w:val="single" w:sz="8" w:space="0" w:color="auto"/>
              <w:bottom w:val="single" w:sz="4" w:space="0" w:color="auto"/>
              <w:right w:val="single" w:sz="8" w:space="0" w:color="auto"/>
            </w:tcBorders>
            <w:vAlign w:val="bottom"/>
          </w:tcPr>
          <w:p w14:paraId="40E28D7D" w14:textId="77777777" w:rsidR="008D75A7" w:rsidRPr="00396208" w:rsidRDefault="008D75A7" w:rsidP="00382456">
            <w:pPr>
              <w:spacing w:after="120"/>
              <w:rPr>
                <w:b/>
                <w:color w:val="000000"/>
              </w:rPr>
            </w:pPr>
            <w:r>
              <w:rPr>
                <w:b/>
                <w:color w:val="000000"/>
              </w:rPr>
              <w:t xml:space="preserve">Recruitment </w:t>
            </w:r>
          </w:p>
        </w:tc>
      </w:tr>
      <w:tr w:rsidR="008D75A7" w14:paraId="72AA6630" w14:textId="77777777" w:rsidTr="00382456">
        <w:trPr>
          <w:trHeight w:val="315"/>
        </w:trPr>
        <w:tc>
          <w:tcPr>
            <w:tcW w:w="1965" w:type="dxa"/>
            <w:tcBorders>
              <w:top w:val="single" w:sz="4" w:space="0" w:color="auto"/>
              <w:left w:val="single" w:sz="4" w:space="0" w:color="auto"/>
              <w:bottom w:val="single" w:sz="4" w:space="0" w:color="auto"/>
              <w:right w:val="single" w:sz="4" w:space="0" w:color="auto"/>
            </w:tcBorders>
          </w:tcPr>
          <w:p w14:paraId="0A62990D" w14:textId="77777777" w:rsidR="008D75A7" w:rsidRPr="00986691" w:rsidRDefault="008D75A7" w:rsidP="00382456">
            <w:pPr>
              <w:spacing w:after="120"/>
              <w:rPr>
                <w:color w:val="000000"/>
              </w:rPr>
            </w:pPr>
            <w:r w:rsidRPr="00867C9D">
              <w:rPr>
                <w:color w:val="000000"/>
              </w:rPr>
              <w:t>State, Local, and Territorial Public Health Jurisdictions</w:t>
            </w:r>
            <w:r>
              <w:rPr>
                <w:color w:val="000000"/>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14:paraId="03962F37" w14:textId="77777777" w:rsidR="008D75A7" w:rsidRDefault="008D75A7" w:rsidP="00382456">
            <w:pPr>
              <w:spacing w:after="120"/>
              <w:jc w:val="center"/>
              <w:rPr>
                <w:color w:val="000000"/>
              </w:rPr>
            </w:pPr>
            <w:r>
              <w:rPr>
                <w:color w:val="000000"/>
              </w:rPr>
              <w:t>20</w:t>
            </w:r>
          </w:p>
        </w:tc>
        <w:tc>
          <w:tcPr>
            <w:tcW w:w="1607" w:type="dxa"/>
            <w:tcBorders>
              <w:top w:val="single" w:sz="4" w:space="0" w:color="auto"/>
              <w:left w:val="single" w:sz="4" w:space="0" w:color="auto"/>
              <w:bottom w:val="single" w:sz="4" w:space="0" w:color="auto"/>
              <w:right w:val="single" w:sz="4" w:space="0" w:color="auto"/>
            </w:tcBorders>
            <w:vAlign w:val="center"/>
          </w:tcPr>
          <w:p w14:paraId="339DF9E4" w14:textId="77777777" w:rsidR="008D75A7" w:rsidRDefault="008D75A7" w:rsidP="00382456">
            <w:pPr>
              <w:spacing w:after="120"/>
              <w:jc w:val="center"/>
              <w:rPr>
                <w:color w:val="000000"/>
              </w:rPr>
            </w:pPr>
            <w:r>
              <w:rPr>
                <w:color w:val="000000"/>
              </w:rPr>
              <w:t>1</w:t>
            </w:r>
          </w:p>
        </w:tc>
        <w:tc>
          <w:tcPr>
            <w:tcW w:w="1422" w:type="dxa"/>
            <w:tcBorders>
              <w:top w:val="single" w:sz="4" w:space="0" w:color="auto"/>
              <w:left w:val="single" w:sz="4" w:space="0" w:color="auto"/>
              <w:bottom w:val="single" w:sz="4" w:space="0" w:color="auto"/>
              <w:right w:val="single" w:sz="4" w:space="0" w:color="auto"/>
            </w:tcBorders>
            <w:vAlign w:val="center"/>
          </w:tcPr>
          <w:p w14:paraId="4E888069" w14:textId="77777777" w:rsidR="008D75A7" w:rsidRPr="001D1148" w:rsidRDefault="008D75A7" w:rsidP="00382456">
            <w:pPr>
              <w:spacing w:after="120"/>
              <w:jc w:val="center"/>
              <w:rPr>
                <w:color w:val="000000"/>
              </w:rPr>
            </w:pPr>
            <w:r w:rsidRPr="001D1148">
              <w:rPr>
                <w:color w:val="000000"/>
              </w:rPr>
              <w:t>1</w:t>
            </w:r>
          </w:p>
        </w:tc>
        <w:tc>
          <w:tcPr>
            <w:tcW w:w="1239" w:type="dxa"/>
            <w:tcBorders>
              <w:top w:val="single" w:sz="4" w:space="0" w:color="auto"/>
              <w:left w:val="single" w:sz="4" w:space="0" w:color="auto"/>
              <w:bottom w:val="single" w:sz="4" w:space="0" w:color="auto"/>
              <w:right w:val="single" w:sz="4" w:space="0" w:color="auto"/>
            </w:tcBorders>
            <w:vAlign w:val="center"/>
          </w:tcPr>
          <w:p w14:paraId="65B31B27" w14:textId="77777777" w:rsidR="008D75A7" w:rsidRPr="00D56BC3" w:rsidRDefault="008D75A7" w:rsidP="00382456">
            <w:pPr>
              <w:spacing w:after="120"/>
              <w:jc w:val="center"/>
              <w:rPr>
                <w:color w:val="FF0000"/>
              </w:rPr>
            </w:pPr>
            <w:r>
              <w:rPr>
                <w:color w:val="000000"/>
              </w:rPr>
              <w:t>$37.85</w:t>
            </w:r>
          </w:p>
        </w:tc>
        <w:tc>
          <w:tcPr>
            <w:tcW w:w="1439" w:type="dxa"/>
            <w:tcBorders>
              <w:top w:val="single" w:sz="4" w:space="0" w:color="auto"/>
              <w:left w:val="single" w:sz="4" w:space="0" w:color="auto"/>
              <w:bottom w:val="single" w:sz="4" w:space="0" w:color="auto"/>
              <w:right w:val="single" w:sz="4" w:space="0" w:color="auto"/>
            </w:tcBorders>
            <w:vAlign w:val="center"/>
          </w:tcPr>
          <w:p w14:paraId="23258D4C" w14:textId="77777777" w:rsidR="008D75A7" w:rsidRPr="00D56BC3" w:rsidRDefault="008D75A7" w:rsidP="00382456">
            <w:pPr>
              <w:spacing w:after="120"/>
              <w:jc w:val="center"/>
              <w:rPr>
                <w:color w:val="000000"/>
                <w:highlight w:val="yellow"/>
              </w:rPr>
            </w:pPr>
            <w:r w:rsidRPr="005C221D">
              <w:rPr>
                <w:color w:val="000000"/>
              </w:rPr>
              <w:t>$757.00</w:t>
            </w:r>
          </w:p>
        </w:tc>
      </w:tr>
      <w:tr w:rsidR="008D75A7" w14:paraId="175F5A32" w14:textId="77777777" w:rsidTr="00382456">
        <w:trPr>
          <w:trHeight w:val="315"/>
        </w:trPr>
        <w:tc>
          <w:tcPr>
            <w:tcW w:w="1965" w:type="dxa"/>
            <w:tcBorders>
              <w:top w:val="single" w:sz="4" w:space="0" w:color="auto"/>
              <w:left w:val="single" w:sz="4" w:space="0" w:color="auto"/>
              <w:bottom w:val="single" w:sz="4" w:space="0" w:color="auto"/>
              <w:right w:val="single" w:sz="4" w:space="0" w:color="auto"/>
            </w:tcBorders>
          </w:tcPr>
          <w:p w14:paraId="0E1F2784" w14:textId="77777777" w:rsidR="008D75A7" w:rsidRDefault="008D75A7" w:rsidP="00382456">
            <w:pPr>
              <w:spacing w:after="120"/>
              <w:rPr>
                <w:color w:val="000000"/>
              </w:rPr>
            </w:pPr>
            <w:r>
              <w:rPr>
                <w:color w:val="000000"/>
              </w:rPr>
              <w:t>Federal Government</w:t>
            </w:r>
          </w:p>
        </w:tc>
        <w:tc>
          <w:tcPr>
            <w:tcW w:w="1523" w:type="dxa"/>
            <w:tcBorders>
              <w:top w:val="single" w:sz="4" w:space="0" w:color="auto"/>
              <w:left w:val="single" w:sz="4" w:space="0" w:color="auto"/>
              <w:bottom w:val="single" w:sz="4" w:space="0" w:color="auto"/>
              <w:right w:val="single" w:sz="4" w:space="0" w:color="auto"/>
            </w:tcBorders>
            <w:vAlign w:val="center"/>
          </w:tcPr>
          <w:p w14:paraId="5C3BB1F7" w14:textId="77777777" w:rsidR="008D75A7" w:rsidRDefault="008D75A7" w:rsidP="00382456">
            <w:pPr>
              <w:spacing w:after="120"/>
              <w:jc w:val="center"/>
              <w:rPr>
                <w:color w:val="000000"/>
              </w:rPr>
            </w:pPr>
            <w:r>
              <w:rPr>
                <w:color w:val="000000"/>
              </w:rPr>
              <w:t>2</w:t>
            </w:r>
          </w:p>
        </w:tc>
        <w:tc>
          <w:tcPr>
            <w:tcW w:w="1607" w:type="dxa"/>
            <w:tcBorders>
              <w:top w:val="single" w:sz="4" w:space="0" w:color="auto"/>
              <w:left w:val="single" w:sz="4" w:space="0" w:color="auto"/>
              <w:bottom w:val="single" w:sz="4" w:space="0" w:color="auto"/>
              <w:right w:val="single" w:sz="4" w:space="0" w:color="auto"/>
            </w:tcBorders>
            <w:vAlign w:val="center"/>
          </w:tcPr>
          <w:p w14:paraId="792747B7" w14:textId="77777777" w:rsidR="008D75A7" w:rsidRDefault="008D75A7" w:rsidP="00382456">
            <w:pPr>
              <w:spacing w:after="120"/>
              <w:jc w:val="center"/>
              <w:rPr>
                <w:color w:val="000000"/>
              </w:rPr>
            </w:pPr>
            <w:r>
              <w:rPr>
                <w:color w:val="000000"/>
              </w:rPr>
              <w:t>1</w:t>
            </w:r>
          </w:p>
        </w:tc>
        <w:tc>
          <w:tcPr>
            <w:tcW w:w="1422" w:type="dxa"/>
            <w:tcBorders>
              <w:top w:val="single" w:sz="4" w:space="0" w:color="auto"/>
              <w:left w:val="single" w:sz="4" w:space="0" w:color="auto"/>
              <w:bottom w:val="single" w:sz="4" w:space="0" w:color="auto"/>
              <w:right w:val="single" w:sz="4" w:space="0" w:color="auto"/>
            </w:tcBorders>
            <w:vAlign w:val="center"/>
          </w:tcPr>
          <w:p w14:paraId="72F72266" w14:textId="77777777" w:rsidR="008D75A7" w:rsidRPr="001D1148" w:rsidRDefault="008D75A7" w:rsidP="00382456">
            <w:pPr>
              <w:spacing w:after="120"/>
              <w:jc w:val="center"/>
              <w:rPr>
                <w:color w:val="000000"/>
              </w:rPr>
            </w:pPr>
            <w:r w:rsidRPr="001D1148">
              <w:rPr>
                <w:color w:val="000000"/>
              </w:rPr>
              <w:t>1</w:t>
            </w:r>
          </w:p>
        </w:tc>
        <w:tc>
          <w:tcPr>
            <w:tcW w:w="1239" w:type="dxa"/>
            <w:tcBorders>
              <w:top w:val="single" w:sz="4" w:space="0" w:color="auto"/>
              <w:left w:val="single" w:sz="4" w:space="0" w:color="auto"/>
              <w:bottom w:val="single" w:sz="4" w:space="0" w:color="auto"/>
              <w:right w:val="single" w:sz="4" w:space="0" w:color="auto"/>
            </w:tcBorders>
            <w:vAlign w:val="center"/>
          </w:tcPr>
          <w:p w14:paraId="0DEFAB0E" w14:textId="77777777" w:rsidR="008D75A7" w:rsidRPr="00D56BC3" w:rsidRDefault="008D75A7" w:rsidP="00382456">
            <w:pPr>
              <w:spacing w:after="120"/>
              <w:jc w:val="center"/>
              <w:rPr>
                <w:color w:val="FF0000"/>
              </w:rPr>
            </w:pPr>
            <w:r>
              <w:rPr>
                <w:color w:val="000000"/>
              </w:rPr>
              <w:t>$37.85</w:t>
            </w:r>
          </w:p>
        </w:tc>
        <w:tc>
          <w:tcPr>
            <w:tcW w:w="1439" w:type="dxa"/>
            <w:tcBorders>
              <w:top w:val="single" w:sz="4" w:space="0" w:color="auto"/>
              <w:left w:val="single" w:sz="4" w:space="0" w:color="auto"/>
              <w:bottom w:val="single" w:sz="4" w:space="0" w:color="auto"/>
              <w:right w:val="single" w:sz="4" w:space="0" w:color="auto"/>
            </w:tcBorders>
            <w:vAlign w:val="center"/>
          </w:tcPr>
          <w:p w14:paraId="3E81DF46" w14:textId="77777777" w:rsidR="008D75A7" w:rsidRPr="00D56BC3" w:rsidRDefault="008D75A7" w:rsidP="00382456">
            <w:pPr>
              <w:spacing w:after="120"/>
              <w:jc w:val="center"/>
              <w:rPr>
                <w:color w:val="000000"/>
                <w:highlight w:val="yellow"/>
              </w:rPr>
            </w:pPr>
            <w:r w:rsidRPr="005C221D">
              <w:rPr>
                <w:color w:val="000000"/>
              </w:rPr>
              <w:t>$75.70</w:t>
            </w:r>
          </w:p>
        </w:tc>
      </w:tr>
      <w:tr w:rsidR="008D75A7" w14:paraId="281345EA" w14:textId="77777777" w:rsidTr="00382456">
        <w:trPr>
          <w:trHeight w:val="315"/>
        </w:trPr>
        <w:tc>
          <w:tcPr>
            <w:tcW w:w="1965" w:type="dxa"/>
            <w:tcBorders>
              <w:top w:val="single" w:sz="4" w:space="0" w:color="auto"/>
              <w:left w:val="single" w:sz="4" w:space="0" w:color="auto"/>
              <w:bottom w:val="single" w:sz="4" w:space="0" w:color="auto"/>
              <w:right w:val="single" w:sz="4" w:space="0" w:color="auto"/>
            </w:tcBorders>
          </w:tcPr>
          <w:p w14:paraId="4013FADE" w14:textId="77777777" w:rsidR="008D75A7" w:rsidRDefault="008D75A7" w:rsidP="00382456">
            <w:pPr>
              <w:spacing w:after="120"/>
              <w:rPr>
                <w:color w:val="000000"/>
              </w:rPr>
            </w:pPr>
            <w:r>
              <w:rPr>
                <w:color w:val="000000"/>
              </w:rPr>
              <w:t>Private Sector</w:t>
            </w:r>
          </w:p>
          <w:p w14:paraId="598BF428" w14:textId="77777777" w:rsidR="008D75A7" w:rsidRDefault="008D75A7" w:rsidP="00382456">
            <w:pPr>
              <w:spacing w:after="120"/>
              <w:rPr>
                <w:color w:val="000000"/>
              </w:rPr>
            </w:pPr>
            <w:r>
              <w:rPr>
                <w:color w:val="000000"/>
              </w:rPr>
              <w:t xml:space="preserve">(national clinical laboratory corporations, and a </w:t>
            </w:r>
            <w:r w:rsidRPr="006D1025">
              <w:rPr>
                <w:color w:val="000000"/>
              </w:rPr>
              <w:t>private sector health information exchange company</w:t>
            </w:r>
            <w:r>
              <w:rPr>
                <w:color w:val="000000"/>
              </w:rPr>
              <w:t>)</w:t>
            </w:r>
          </w:p>
        </w:tc>
        <w:tc>
          <w:tcPr>
            <w:tcW w:w="1523" w:type="dxa"/>
            <w:tcBorders>
              <w:top w:val="single" w:sz="4" w:space="0" w:color="auto"/>
              <w:left w:val="single" w:sz="4" w:space="0" w:color="auto"/>
              <w:bottom w:val="single" w:sz="4" w:space="0" w:color="auto"/>
              <w:right w:val="single" w:sz="4" w:space="0" w:color="auto"/>
            </w:tcBorders>
            <w:vAlign w:val="center"/>
          </w:tcPr>
          <w:p w14:paraId="692296BE" w14:textId="77777777" w:rsidR="008D75A7" w:rsidRDefault="008D75A7" w:rsidP="00382456">
            <w:pPr>
              <w:spacing w:after="120"/>
              <w:jc w:val="center"/>
              <w:rPr>
                <w:color w:val="000000"/>
              </w:rPr>
            </w:pPr>
            <w:r>
              <w:rPr>
                <w:color w:val="000000"/>
              </w:rPr>
              <w:t>3</w:t>
            </w:r>
          </w:p>
        </w:tc>
        <w:tc>
          <w:tcPr>
            <w:tcW w:w="1607" w:type="dxa"/>
            <w:tcBorders>
              <w:top w:val="single" w:sz="4" w:space="0" w:color="auto"/>
              <w:left w:val="single" w:sz="4" w:space="0" w:color="auto"/>
              <w:bottom w:val="single" w:sz="4" w:space="0" w:color="auto"/>
              <w:right w:val="single" w:sz="4" w:space="0" w:color="auto"/>
            </w:tcBorders>
            <w:vAlign w:val="center"/>
          </w:tcPr>
          <w:p w14:paraId="6EFDECA9" w14:textId="77777777" w:rsidR="008D75A7" w:rsidRDefault="008D75A7" w:rsidP="00382456">
            <w:pPr>
              <w:spacing w:after="120"/>
              <w:jc w:val="center"/>
              <w:rPr>
                <w:color w:val="000000"/>
              </w:rPr>
            </w:pPr>
            <w:r>
              <w:rPr>
                <w:color w:val="000000"/>
              </w:rPr>
              <w:t>1</w:t>
            </w:r>
          </w:p>
        </w:tc>
        <w:tc>
          <w:tcPr>
            <w:tcW w:w="1422" w:type="dxa"/>
            <w:tcBorders>
              <w:top w:val="single" w:sz="4" w:space="0" w:color="auto"/>
              <w:left w:val="single" w:sz="4" w:space="0" w:color="auto"/>
              <w:bottom w:val="single" w:sz="4" w:space="0" w:color="auto"/>
              <w:right w:val="single" w:sz="4" w:space="0" w:color="auto"/>
            </w:tcBorders>
            <w:vAlign w:val="center"/>
          </w:tcPr>
          <w:p w14:paraId="1E6CEFFB" w14:textId="77777777" w:rsidR="008D75A7" w:rsidRPr="001D1148" w:rsidRDefault="008D75A7" w:rsidP="00382456">
            <w:pPr>
              <w:spacing w:after="120"/>
              <w:jc w:val="center"/>
              <w:rPr>
                <w:color w:val="000000"/>
              </w:rPr>
            </w:pPr>
            <w:r w:rsidRPr="001D1148">
              <w:rPr>
                <w:color w:val="000000"/>
              </w:rPr>
              <w:t>1</w:t>
            </w:r>
          </w:p>
        </w:tc>
        <w:tc>
          <w:tcPr>
            <w:tcW w:w="1239" w:type="dxa"/>
            <w:tcBorders>
              <w:top w:val="single" w:sz="4" w:space="0" w:color="auto"/>
              <w:left w:val="single" w:sz="4" w:space="0" w:color="auto"/>
              <w:bottom w:val="single" w:sz="4" w:space="0" w:color="auto"/>
              <w:right w:val="single" w:sz="4" w:space="0" w:color="auto"/>
            </w:tcBorders>
            <w:vAlign w:val="center"/>
          </w:tcPr>
          <w:p w14:paraId="543F28E7" w14:textId="77777777" w:rsidR="008D75A7" w:rsidRPr="00D56BC3" w:rsidRDefault="008D75A7" w:rsidP="00382456">
            <w:pPr>
              <w:spacing w:after="120"/>
              <w:jc w:val="center"/>
              <w:rPr>
                <w:color w:val="FF0000"/>
              </w:rPr>
            </w:pPr>
            <w:r>
              <w:rPr>
                <w:color w:val="000000"/>
              </w:rPr>
              <w:t>$37.85</w:t>
            </w:r>
          </w:p>
        </w:tc>
        <w:tc>
          <w:tcPr>
            <w:tcW w:w="1439" w:type="dxa"/>
            <w:tcBorders>
              <w:top w:val="single" w:sz="4" w:space="0" w:color="auto"/>
              <w:left w:val="single" w:sz="4" w:space="0" w:color="auto"/>
              <w:bottom w:val="single" w:sz="4" w:space="0" w:color="auto"/>
              <w:right w:val="single" w:sz="4" w:space="0" w:color="auto"/>
            </w:tcBorders>
            <w:vAlign w:val="center"/>
          </w:tcPr>
          <w:p w14:paraId="16111304" w14:textId="77777777" w:rsidR="008D75A7" w:rsidRPr="00D56BC3" w:rsidRDefault="008D75A7" w:rsidP="00382456">
            <w:pPr>
              <w:spacing w:after="120"/>
              <w:jc w:val="center"/>
              <w:rPr>
                <w:color w:val="000000"/>
                <w:highlight w:val="yellow"/>
              </w:rPr>
            </w:pPr>
            <w:r w:rsidRPr="005C221D">
              <w:rPr>
                <w:color w:val="000000"/>
              </w:rPr>
              <w:t>$113.55</w:t>
            </w:r>
          </w:p>
        </w:tc>
      </w:tr>
      <w:tr w:rsidR="008D75A7" w14:paraId="043BFF7A" w14:textId="77777777" w:rsidTr="00382456">
        <w:trPr>
          <w:trHeight w:val="315"/>
        </w:trPr>
        <w:tc>
          <w:tcPr>
            <w:tcW w:w="1965" w:type="dxa"/>
            <w:tcBorders>
              <w:top w:val="single" w:sz="4" w:space="0" w:color="auto"/>
              <w:left w:val="single" w:sz="4" w:space="0" w:color="auto"/>
              <w:bottom w:val="single" w:sz="4" w:space="0" w:color="auto"/>
              <w:right w:val="single" w:sz="4" w:space="0" w:color="auto"/>
            </w:tcBorders>
          </w:tcPr>
          <w:p w14:paraId="066DE419" w14:textId="77777777" w:rsidR="008D75A7" w:rsidRPr="004A7881" w:rsidRDefault="008D75A7" w:rsidP="00382456">
            <w:pPr>
              <w:spacing w:after="120"/>
              <w:rPr>
                <w:b/>
                <w:color w:val="000000"/>
              </w:rPr>
            </w:pPr>
            <w:r w:rsidRPr="004A7881">
              <w:rPr>
                <w:b/>
                <w:color w:val="000000"/>
              </w:rPr>
              <w:t>Total</w:t>
            </w:r>
          </w:p>
        </w:tc>
        <w:tc>
          <w:tcPr>
            <w:tcW w:w="1523" w:type="dxa"/>
            <w:tcBorders>
              <w:top w:val="single" w:sz="4" w:space="0" w:color="auto"/>
              <w:left w:val="single" w:sz="4" w:space="0" w:color="auto"/>
              <w:bottom w:val="single" w:sz="4" w:space="0" w:color="auto"/>
              <w:right w:val="single" w:sz="4" w:space="0" w:color="auto"/>
            </w:tcBorders>
            <w:vAlign w:val="center"/>
          </w:tcPr>
          <w:p w14:paraId="40D44E80" w14:textId="77777777" w:rsidR="008D75A7" w:rsidRDefault="008D75A7" w:rsidP="00382456">
            <w:pPr>
              <w:spacing w:after="120"/>
              <w:jc w:val="cente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14:paraId="2BD45FEA" w14:textId="77777777" w:rsidR="008D75A7" w:rsidRDefault="008D75A7" w:rsidP="00382456">
            <w:pPr>
              <w:spacing w:after="120"/>
              <w:jc w:val="center"/>
              <w:rPr>
                <w:color w:val="000000"/>
              </w:rPr>
            </w:pPr>
          </w:p>
        </w:tc>
        <w:tc>
          <w:tcPr>
            <w:tcW w:w="1422" w:type="dxa"/>
            <w:tcBorders>
              <w:top w:val="single" w:sz="4" w:space="0" w:color="auto"/>
              <w:left w:val="single" w:sz="4" w:space="0" w:color="auto"/>
              <w:bottom w:val="single" w:sz="4" w:space="0" w:color="auto"/>
              <w:right w:val="single" w:sz="4" w:space="0" w:color="auto"/>
            </w:tcBorders>
            <w:vAlign w:val="center"/>
          </w:tcPr>
          <w:p w14:paraId="0D705E91" w14:textId="77777777" w:rsidR="008D75A7" w:rsidRDefault="008D75A7" w:rsidP="00382456">
            <w:pPr>
              <w:spacing w:after="120"/>
              <w:jc w:val="center"/>
              <w:rPr>
                <w:color w:val="000000"/>
              </w:rPr>
            </w:pPr>
          </w:p>
        </w:tc>
        <w:tc>
          <w:tcPr>
            <w:tcW w:w="1239" w:type="dxa"/>
            <w:tcBorders>
              <w:top w:val="single" w:sz="4" w:space="0" w:color="auto"/>
              <w:left w:val="single" w:sz="4" w:space="0" w:color="auto"/>
              <w:bottom w:val="single" w:sz="4" w:space="0" w:color="auto"/>
              <w:right w:val="single" w:sz="4" w:space="0" w:color="auto"/>
            </w:tcBorders>
            <w:vAlign w:val="center"/>
          </w:tcPr>
          <w:p w14:paraId="2AE889E3" w14:textId="77777777" w:rsidR="008D75A7" w:rsidRPr="00D56BC3" w:rsidRDefault="008D75A7" w:rsidP="00382456">
            <w:pPr>
              <w:spacing w:after="120"/>
              <w:jc w:val="center"/>
              <w:rPr>
                <w:color w:val="FF0000"/>
                <w:highlight w:val="yellow"/>
              </w:rPr>
            </w:pPr>
          </w:p>
        </w:tc>
        <w:tc>
          <w:tcPr>
            <w:tcW w:w="1439" w:type="dxa"/>
            <w:tcBorders>
              <w:top w:val="single" w:sz="4" w:space="0" w:color="auto"/>
              <w:left w:val="single" w:sz="4" w:space="0" w:color="auto"/>
              <w:bottom w:val="single" w:sz="4" w:space="0" w:color="auto"/>
              <w:right w:val="single" w:sz="4" w:space="0" w:color="auto"/>
            </w:tcBorders>
            <w:vAlign w:val="center"/>
          </w:tcPr>
          <w:p w14:paraId="35FE9F8F" w14:textId="77777777" w:rsidR="008D75A7" w:rsidRDefault="008D75A7" w:rsidP="00382456">
            <w:pPr>
              <w:spacing w:after="120"/>
              <w:jc w:val="center"/>
              <w:rPr>
                <w:b/>
                <w:color w:val="000000"/>
                <w:highlight w:val="yellow"/>
              </w:rPr>
            </w:pPr>
            <w:r w:rsidRPr="005C221D">
              <w:rPr>
                <w:b/>
                <w:color w:val="000000"/>
              </w:rPr>
              <w:t>$946.25</w:t>
            </w:r>
          </w:p>
        </w:tc>
      </w:tr>
      <w:tr w:rsidR="008D75A7" w:rsidRPr="002F34F9" w14:paraId="701DB1FC" w14:textId="77777777" w:rsidTr="00382456">
        <w:trPr>
          <w:trHeight w:val="315"/>
        </w:trPr>
        <w:tc>
          <w:tcPr>
            <w:tcW w:w="9195" w:type="dxa"/>
            <w:gridSpan w:val="6"/>
            <w:tcBorders>
              <w:top w:val="single" w:sz="4" w:space="0" w:color="auto"/>
              <w:left w:val="single" w:sz="8" w:space="0" w:color="auto"/>
              <w:bottom w:val="single" w:sz="4" w:space="0" w:color="auto"/>
              <w:right w:val="single" w:sz="8" w:space="0" w:color="auto"/>
            </w:tcBorders>
            <w:vAlign w:val="bottom"/>
          </w:tcPr>
          <w:p w14:paraId="0CC4AC96" w14:textId="77777777" w:rsidR="008D75A7" w:rsidRPr="00D56BC3" w:rsidRDefault="008D75A7" w:rsidP="00382456">
            <w:pPr>
              <w:spacing w:after="120"/>
              <w:rPr>
                <w:b/>
                <w:color w:val="FF0000"/>
              </w:rPr>
            </w:pPr>
            <w:r w:rsidRPr="00D56BC3">
              <w:rPr>
                <w:b/>
              </w:rPr>
              <w:t xml:space="preserve">Access to </w:t>
            </w:r>
            <w:proofErr w:type="spellStart"/>
            <w:r w:rsidRPr="00D56BC3">
              <w:rPr>
                <w:b/>
              </w:rPr>
              <w:t>BioSense</w:t>
            </w:r>
            <w:proofErr w:type="spellEnd"/>
            <w:r w:rsidRPr="00D56BC3">
              <w:rPr>
                <w:b/>
              </w:rPr>
              <w:t xml:space="preserve"> Application</w:t>
            </w:r>
          </w:p>
        </w:tc>
      </w:tr>
      <w:tr w:rsidR="008D75A7" w:rsidRPr="005E7372" w14:paraId="4E372CDC" w14:textId="77777777" w:rsidTr="00382456">
        <w:trPr>
          <w:trHeight w:val="315"/>
        </w:trPr>
        <w:tc>
          <w:tcPr>
            <w:tcW w:w="1965" w:type="dxa"/>
            <w:tcBorders>
              <w:top w:val="single" w:sz="4" w:space="0" w:color="auto"/>
              <w:left w:val="single" w:sz="4" w:space="0" w:color="auto"/>
              <w:bottom w:val="single" w:sz="6" w:space="0" w:color="auto"/>
              <w:right w:val="single" w:sz="6" w:space="0" w:color="auto"/>
            </w:tcBorders>
          </w:tcPr>
          <w:p w14:paraId="3E41F2EE" w14:textId="77777777" w:rsidR="008D75A7" w:rsidRPr="005E7372" w:rsidRDefault="008D75A7" w:rsidP="00382456">
            <w:pPr>
              <w:spacing w:after="120"/>
              <w:rPr>
                <w:color w:val="000000"/>
              </w:rPr>
            </w:pPr>
            <w:r w:rsidRPr="005E7372">
              <w:rPr>
                <w:color w:val="000000"/>
              </w:rPr>
              <w:t>State, Local, and Territorial Public Health Jurisdictions</w:t>
            </w:r>
          </w:p>
        </w:tc>
        <w:tc>
          <w:tcPr>
            <w:tcW w:w="1523" w:type="dxa"/>
            <w:tcBorders>
              <w:top w:val="single" w:sz="4" w:space="0" w:color="auto"/>
              <w:left w:val="single" w:sz="6" w:space="0" w:color="auto"/>
              <w:bottom w:val="single" w:sz="6" w:space="0" w:color="auto"/>
              <w:right w:val="single" w:sz="6" w:space="0" w:color="auto"/>
            </w:tcBorders>
            <w:vAlign w:val="center"/>
          </w:tcPr>
          <w:p w14:paraId="03115AF9" w14:textId="77777777" w:rsidR="008D75A7" w:rsidRPr="005E7372" w:rsidRDefault="008D75A7" w:rsidP="00382456">
            <w:pPr>
              <w:spacing w:after="120"/>
              <w:jc w:val="center"/>
              <w:rPr>
                <w:color w:val="000000"/>
              </w:rPr>
            </w:pPr>
            <w:r w:rsidRPr="005E7372">
              <w:rPr>
                <w:color w:val="000000"/>
              </w:rPr>
              <w:t>200</w:t>
            </w:r>
          </w:p>
        </w:tc>
        <w:tc>
          <w:tcPr>
            <w:tcW w:w="1607" w:type="dxa"/>
            <w:tcBorders>
              <w:top w:val="single" w:sz="4" w:space="0" w:color="auto"/>
              <w:left w:val="single" w:sz="6" w:space="0" w:color="auto"/>
              <w:bottom w:val="single" w:sz="6" w:space="0" w:color="auto"/>
              <w:right w:val="single" w:sz="6" w:space="0" w:color="auto"/>
            </w:tcBorders>
            <w:vAlign w:val="center"/>
          </w:tcPr>
          <w:p w14:paraId="4BDBB303" w14:textId="77777777" w:rsidR="008D75A7" w:rsidRPr="005E7372" w:rsidRDefault="008D75A7" w:rsidP="00382456">
            <w:pPr>
              <w:spacing w:after="120"/>
              <w:jc w:val="center"/>
              <w:rPr>
                <w:color w:val="000000"/>
              </w:rPr>
            </w:pPr>
            <w:r w:rsidRPr="005E7372">
              <w:rPr>
                <w:color w:val="000000"/>
              </w:rPr>
              <w:t>1</w:t>
            </w:r>
          </w:p>
        </w:tc>
        <w:tc>
          <w:tcPr>
            <w:tcW w:w="1422" w:type="dxa"/>
            <w:tcBorders>
              <w:top w:val="single" w:sz="4" w:space="0" w:color="auto"/>
              <w:left w:val="single" w:sz="6" w:space="0" w:color="auto"/>
              <w:bottom w:val="single" w:sz="6" w:space="0" w:color="auto"/>
              <w:right w:val="single" w:sz="6" w:space="0" w:color="auto"/>
            </w:tcBorders>
            <w:vAlign w:val="center"/>
          </w:tcPr>
          <w:p w14:paraId="466F488B" w14:textId="77777777" w:rsidR="008D75A7" w:rsidRPr="005E7372" w:rsidRDefault="008D75A7" w:rsidP="00382456">
            <w:pPr>
              <w:spacing w:after="120"/>
              <w:jc w:val="center"/>
              <w:rPr>
                <w:color w:val="000000"/>
              </w:rPr>
            </w:pPr>
            <w:r w:rsidRPr="005E7372">
              <w:rPr>
                <w:color w:val="000000"/>
              </w:rPr>
              <w:t>5/60</w:t>
            </w:r>
          </w:p>
        </w:tc>
        <w:tc>
          <w:tcPr>
            <w:tcW w:w="1239" w:type="dxa"/>
            <w:tcBorders>
              <w:top w:val="single" w:sz="4" w:space="0" w:color="auto"/>
              <w:left w:val="single" w:sz="6" w:space="0" w:color="auto"/>
              <w:bottom w:val="single" w:sz="6" w:space="0" w:color="auto"/>
              <w:right w:val="single" w:sz="6" w:space="0" w:color="auto"/>
            </w:tcBorders>
            <w:vAlign w:val="center"/>
          </w:tcPr>
          <w:p w14:paraId="363ECDCB" w14:textId="77777777" w:rsidR="008D75A7" w:rsidRPr="005E7372" w:rsidRDefault="008D75A7" w:rsidP="00382456">
            <w:pPr>
              <w:spacing w:after="120"/>
              <w:jc w:val="center"/>
              <w:rPr>
                <w:color w:val="FF0000"/>
              </w:rPr>
            </w:pPr>
            <w:r w:rsidRPr="005E7372">
              <w:rPr>
                <w:color w:val="000000"/>
              </w:rPr>
              <w:t>$32.44</w:t>
            </w:r>
          </w:p>
        </w:tc>
        <w:tc>
          <w:tcPr>
            <w:tcW w:w="1439" w:type="dxa"/>
            <w:tcBorders>
              <w:top w:val="single" w:sz="4" w:space="0" w:color="auto"/>
              <w:left w:val="single" w:sz="6" w:space="0" w:color="auto"/>
              <w:bottom w:val="single" w:sz="6" w:space="0" w:color="auto"/>
              <w:right w:val="single" w:sz="4" w:space="0" w:color="auto"/>
            </w:tcBorders>
            <w:vAlign w:val="center"/>
          </w:tcPr>
          <w:p w14:paraId="2269C1A9" w14:textId="60B01156" w:rsidR="008D75A7" w:rsidRPr="005E7372" w:rsidRDefault="008D75A7" w:rsidP="00382456">
            <w:pPr>
              <w:spacing w:after="120"/>
              <w:jc w:val="center"/>
              <w:rPr>
                <w:color w:val="000000"/>
              </w:rPr>
            </w:pPr>
            <w:r w:rsidRPr="005E7372">
              <w:rPr>
                <w:color w:val="000000"/>
              </w:rPr>
              <w:t>$5</w:t>
            </w:r>
            <w:r w:rsidR="00A42135">
              <w:rPr>
                <w:color w:val="000000"/>
              </w:rPr>
              <w:t>51</w:t>
            </w:r>
            <w:r w:rsidRPr="005E7372">
              <w:rPr>
                <w:color w:val="000000"/>
              </w:rPr>
              <w:t>.</w:t>
            </w:r>
            <w:r w:rsidR="00A42135">
              <w:rPr>
                <w:color w:val="000000"/>
              </w:rPr>
              <w:t>48</w:t>
            </w:r>
          </w:p>
        </w:tc>
      </w:tr>
      <w:tr w:rsidR="008D75A7" w:rsidRPr="005E7372" w14:paraId="21D376C5" w14:textId="77777777" w:rsidTr="00382456">
        <w:trPr>
          <w:trHeight w:val="315"/>
        </w:trPr>
        <w:tc>
          <w:tcPr>
            <w:tcW w:w="1965" w:type="dxa"/>
            <w:tcBorders>
              <w:top w:val="single" w:sz="6" w:space="0" w:color="auto"/>
              <w:left w:val="single" w:sz="4" w:space="0" w:color="auto"/>
              <w:bottom w:val="single" w:sz="6" w:space="0" w:color="auto"/>
              <w:right w:val="single" w:sz="6" w:space="0" w:color="auto"/>
            </w:tcBorders>
          </w:tcPr>
          <w:p w14:paraId="35C0E42A" w14:textId="77777777" w:rsidR="008D75A7" w:rsidRPr="005E7372" w:rsidRDefault="008D75A7" w:rsidP="00382456">
            <w:pPr>
              <w:spacing w:after="120"/>
              <w:rPr>
                <w:color w:val="000000"/>
              </w:rPr>
            </w:pPr>
            <w:r w:rsidRPr="005E7372">
              <w:rPr>
                <w:color w:val="000000"/>
              </w:rPr>
              <w:t>Federal Government</w:t>
            </w:r>
          </w:p>
        </w:tc>
        <w:tc>
          <w:tcPr>
            <w:tcW w:w="1523" w:type="dxa"/>
            <w:tcBorders>
              <w:top w:val="single" w:sz="6" w:space="0" w:color="auto"/>
              <w:left w:val="single" w:sz="6" w:space="0" w:color="auto"/>
              <w:bottom w:val="single" w:sz="6" w:space="0" w:color="auto"/>
              <w:right w:val="single" w:sz="6" w:space="0" w:color="auto"/>
            </w:tcBorders>
            <w:vAlign w:val="center"/>
          </w:tcPr>
          <w:p w14:paraId="43FDFCD8" w14:textId="77777777" w:rsidR="008D75A7" w:rsidRPr="005E7372" w:rsidRDefault="008D75A7" w:rsidP="00382456">
            <w:pPr>
              <w:spacing w:after="120"/>
              <w:jc w:val="center"/>
              <w:rPr>
                <w:color w:val="000000"/>
              </w:rPr>
            </w:pPr>
            <w:r w:rsidRPr="005E7372">
              <w:rPr>
                <w:color w:val="000000"/>
              </w:rPr>
              <w:t>30</w:t>
            </w:r>
          </w:p>
        </w:tc>
        <w:tc>
          <w:tcPr>
            <w:tcW w:w="1607" w:type="dxa"/>
            <w:tcBorders>
              <w:top w:val="single" w:sz="6" w:space="0" w:color="auto"/>
              <w:left w:val="single" w:sz="6" w:space="0" w:color="auto"/>
              <w:bottom w:val="single" w:sz="6" w:space="0" w:color="auto"/>
              <w:right w:val="single" w:sz="6" w:space="0" w:color="auto"/>
            </w:tcBorders>
            <w:vAlign w:val="center"/>
          </w:tcPr>
          <w:p w14:paraId="01D9BF4B" w14:textId="77777777" w:rsidR="008D75A7" w:rsidRPr="005E7372" w:rsidRDefault="008D75A7" w:rsidP="00382456">
            <w:pPr>
              <w:spacing w:after="120"/>
              <w:jc w:val="center"/>
              <w:rPr>
                <w:color w:val="000000"/>
              </w:rPr>
            </w:pPr>
            <w:r w:rsidRPr="005E7372">
              <w:rPr>
                <w:color w:val="000000"/>
              </w:rPr>
              <w:t>1</w:t>
            </w:r>
          </w:p>
        </w:tc>
        <w:tc>
          <w:tcPr>
            <w:tcW w:w="1422" w:type="dxa"/>
            <w:tcBorders>
              <w:top w:val="single" w:sz="6" w:space="0" w:color="auto"/>
              <w:left w:val="single" w:sz="6" w:space="0" w:color="auto"/>
              <w:bottom w:val="single" w:sz="6" w:space="0" w:color="auto"/>
              <w:right w:val="single" w:sz="6" w:space="0" w:color="auto"/>
            </w:tcBorders>
            <w:vAlign w:val="center"/>
          </w:tcPr>
          <w:p w14:paraId="198C450A" w14:textId="77777777" w:rsidR="008D75A7" w:rsidRPr="005E7372" w:rsidRDefault="008D75A7" w:rsidP="00382456">
            <w:pPr>
              <w:spacing w:after="120"/>
              <w:jc w:val="center"/>
              <w:rPr>
                <w:color w:val="000000"/>
              </w:rPr>
            </w:pPr>
            <w:r w:rsidRPr="005E7372">
              <w:rPr>
                <w:color w:val="000000"/>
              </w:rPr>
              <w:t>5/60</w:t>
            </w:r>
          </w:p>
        </w:tc>
        <w:tc>
          <w:tcPr>
            <w:tcW w:w="1239" w:type="dxa"/>
            <w:tcBorders>
              <w:top w:val="single" w:sz="6" w:space="0" w:color="auto"/>
              <w:left w:val="single" w:sz="6" w:space="0" w:color="auto"/>
              <w:bottom w:val="single" w:sz="6" w:space="0" w:color="auto"/>
              <w:right w:val="single" w:sz="6" w:space="0" w:color="auto"/>
            </w:tcBorders>
            <w:vAlign w:val="center"/>
          </w:tcPr>
          <w:p w14:paraId="35414B3B" w14:textId="77777777" w:rsidR="008D75A7" w:rsidRPr="005E7372" w:rsidRDefault="008D75A7" w:rsidP="00382456">
            <w:pPr>
              <w:spacing w:after="120"/>
              <w:jc w:val="center"/>
              <w:rPr>
                <w:color w:val="FF0000"/>
              </w:rPr>
            </w:pPr>
            <w:r w:rsidRPr="005E7372">
              <w:rPr>
                <w:color w:val="000000"/>
              </w:rPr>
              <w:t>$32.44</w:t>
            </w:r>
          </w:p>
        </w:tc>
        <w:tc>
          <w:tcPr>
            <w:tcW w:w="1439" w:type="dxa"/>
            <w:tcBorders>
              <w:top w:val="single" w:sz="6" w:space="0" w:color="auto"/>
              <w:left w:val="single" w:sz="6" w:space="0" w:color="auto"/>
              <w:bottom w:val="single" w:sz="6" w:space="0" w:color="auto"/>
              <w:right w:val="single" w:sz="4" w:space="0" w:color="auto"/>
            </w:tcBorders>
            <w:vAlign w:val="center"/>
          </w:tcPr>
          <w:p w14:paraId="24EFE290" w14:textId="60411FC0" w:rsidR="008D75A7" w:rsidRPr="005E7372" w:rsidRDefault="008D75A7" w:rsidP="00382456">
            <w:pPr>
              <w:spacing w:after="120"/>
              <w:jc w:val="center"/>
              <w:rPr>
                <w:color w:val="000000"/>
              </w:rPr>
            </w:pPr>
            <w:r w:rsidRPr="005E7372">
              <w:rPr>
                <w:color w:val="000000"/>
              </w:rPr>
              <w:t>$</w:t>
            </w:r>
            <w:r w:rsidR="00A42135">
              <w:rPr>
                <w:color w:val="000000"/>
              </w:rPr>
              <w:t>97</w:t>
            </w:r>
            <w:r>
              <w:rPr>
                <w:color w:val="000000"/>
              </w:rPr>
              <w:t>.</w:t>
            </w:r>
            <w:r w:rsidR="00A42135">
              <w:rPr>
                <w:color w:val="000000"/>
              </w:rPr>
              <w:t>32</w:t>
            </w:r>
          </w:p>
        </w:tc>
      </w:tr>
      <w:tr w:rsidR="008D75A7" w:rsidRPr="005E7372" w14:paraId="3399AB72" w14:textId="77777777" w:rsidTr="00382456">
        <w:trPr>
          <w:trHeight w:val="315"/>
        </w:trPr>
        <w:tc>
          <w:tcPr>
            <w:tcW w:w="1965" w:type="dxa"/>
            <w:tcBorders>
              <w:top w:val="single" w:sz="6" w:space="0" w:color="auto"/>
              <w:left w:val="single" w:sz="4" w:space="0" w:color="auto"/>
              <w:bottom w:val="single" w:sz="6" w:space="0" w:color="auto"/>
              <w:right w:val="single" w:sz="6" w:space="0" w:color="auto"/>
            </w:tcBorders>
          </w:tcPr>
          <w:p w14:paraId="48802FD8" w14:textId="77777777" w:rsidR="008D75A7" w:rsidRPr="005E7372" w:rsidRDefault="008D75A7" w:rsidP="00382456">
            <w:pPr>
              <w:spacing w:after="120"/>
              <w:rPr>
                <w:color w:val="000000"/>
              </w:rPr>
            </w:pPr>
            <w:r w:rsidRPr="005E7372">
              <w:rPr>
                <w:color w:val="000000"/>
              </w:rPr>
              <w:t>Private Sector</w:t>
            </w:r>
          </w:p>
        </w:tc>
        <w:tc>
          <w:tcPr>
            <w:tcW w:w="1523" w:type="dxa"/>
            <w:tcBorders>
              <w:top w:val="single" w:sz="6" w:space="0" w:color="auto"/>
              <w:left w:val="single" w:sz="6" w:space="0" w:color="auto"/>
              <w:bottom w:val="single" w:sz="6" w:space="0" w:color="auto"/>
              <w:right w:val="single" w:sz="6" w:space="0" w:color="auto"/>
            </w:tcBorders>
            <w:vAlign w:val="center"/>
          </w:tcPr>
          <w:p w14:paraId="78B847DC" w14:textId="77777777" w:rsidR="008D75A7" w:rsidRPr="005E7372" w:rsidRDefault="008D75A7" w:rsidP="00382456">
            <w:pPr>
              <w:spacing w:after="120"/>
              <w:jc w:val="center"/>
              <w:rPr>
                <w:color w:val="000000"/>
              </w:rPr>
            </w:pPr>
            <w:r w:rsidRPr="005E7372">
              <w:rPr>
                <w:color w:val="000000"/>
              </w:rPr>
              <w:t>50</w:t>
            </w:r>
          </w:p>
        </w:tc>
        <w:tc>
          <w:tcPr>
            <w:tcW w:w="1607" w:type="dxa"/>
            <w:tcBorders>
              <w:top w:val="single" w:sz="6" w:space="0" w:color="auto"/>
              <w:left w:val="single" w:sz="6" w:space="0" w:color="auto"/>
              <w:bottom w:val="single" w:sz="6" w:space="0" w:color="auto"/>
              <w:right w:val="single" w:sz="6" w:space="0" w:color="auto"/>
            </w:tcBorders>
            <w:vAlign w:val="center"/>
          </w:tcPr>
          <w:p w14:paraId="50A9AD52" w14:textId="77777777" w:rsidR="008D75A7" w:rsidRPr="005E7372" w:rsidRDefault="008D75A7" w:rsidP="00382456">
            <w:pPr>
              <w:spacing w:after="120"/>
              <w:jc w:val="center"/>
              <w:rPr>
                <w:color w:val="000000"/>
              </w:rPr>
            </w:pPr>
            <w:r w:rsidRPr="005E7372">
              <w:rPr>
                <w:color w:val="000000"/>
              </w:rPr>
              <w:t>1</w:t>
            </w:r>
          </w:p>
        </w:tc>
        <w:tc>
          <w:tcPr>
            <w:tcW w:w="1422" w:type="dxa"/>
            <w:tcBorders>
              <w:top w:val="single" w:sz="6" w:space="0" w:color="auto"/>
              <w:left w:val="single" w:sz="6" w:space="0" w:color="auto"/>
              <w:bottom w:val="single" w:sz="6" w:space="0" w:color="auto"/>
              <w:right w:val="single" w:sz="6" w:space="0" w:color="auto"/>
            </w:tcBorders>
            <w:vAlign w:val="center"/>
          </w:tcPr>
          <w:p w14:paraId="186AF9EF" w14:textId="77777777" w:rsidR="008D75A7" w:rsidRPr="005E7372" w:rsidRDefault="008D75A7" w:rsidP="00382456">
            <w:pPr>
              <w:spacing w:after="120"/>
              <w:jc w:val="center"/>
              <w:rPr>
                <w:color w:val="000000"/>
              </w:rPr>
            </w:pPr>
            <w:r w:rsidRPr="005E7372">
              <w:rPr>
                <w:color w:val="000000"/>
              </w:rPr>
              <w:t>5/60</w:t>
            </w:r>
          </w:p>
        </w:tc>
        <w:tc>
          <w:tcPr>
            <w:tcW w:w="1239" w:type="dxa"/>
            <w:tcBorders>
              <w:top w:val="single" w:sz="6" w:space="0" w:color="auto"/>
              <w:left w:val="single" w:sz="6" w:space="0" w:color="auto"/>
              <w:bottom w:val="single" w:sz="6" w:space="0" w:color="auto"/>
              <w:right w:val="single" w:sz="6" w:space="0" w:color="auto"/>
            </w:tcBorders>
            <w:vAlign w:val="center"/>
          </w:tcPr>
          <w:p w14:paraId="5B0302D1" w14:textId="77777777" w:rsidR="008D75A7" w:rsidRPr="005E7372" w:rsidRDefault="008D75A7" w:rsidP="00382456">
            <w:pPr>
              <w:spacing w:after="120"/>
              <w:jc w:val="center"/>
              <w:rPr>
                <w:color w:val="FF0000"/>
              </w:rPr>
            </w:pPr>
            <w:r w:rsidRPr="005E7372">
              <w:t>$32.44</w:t>
            </w:r>
          </w:p>
        </w:tc>
        <w:tc>
          <w:tcPr>
            <w:tcW w:w="1439" w:type="dxa"/>
            <w:tcBorders>
              <w:top w:val="single" w:sz="6" w:space="0" w:color="auto"/>
              <w:left w:val="single" w:sz="6" w:space="0" w:color="auto"/>
              <w:bottom w:val="single" w:sz="6" w:space="0" w:color="auto"/>
              <w:right w:val="single" w:sz="4" w:space="0" w:color="auto"/>
            </w:tcBorders>
            <w:vAlign w:val="center"/>
          </w:tcPr>
          <w:p w14:paraId="1D8FE039" w14:textId="6FF1A03D" w:rsidR="008D75A7" w:rsidRPr="005E7372" w:rsidRDefault="008D75A7" w:rsidP="00382456">
            <w:pPr>
              <w:spacing w:after="120"/>
              <w:jc w:val="center"/>
              <w:rPr>
                <w:color w:val="000000"/>
              </w:rPr>
            </w:pPr>
            <w:r w:rsidRPr="005E7372">
              <w:rPr>
                <w:color w:val="000000"/>
              </w:rPr>
              <w:t>$1</w:t>
            </w:r>
            <w:r w:rsidR="00A42135">
              <w:rPr>
                <w:color w:val="000000"/>
              </w:rPr>
              <w:t>29</w:t>
            </w:r>
            <w:r w:rsidRPr="005E7372">
              <w:rPr>
                <w:color w:val="000000"/>
              </w:rPr>
              <w:t>.</w:t>
            </w:r>
            <w:r w:rsidR="00A42135">
              <w:rPr>
                <w:color w:val="000000"/>
              </w:rPr>
              <w:t>76</w:t>
            </w:r>
          </w:p>
        </w:tc>
      </w:tr>
      <w:tr w:rsidR="008D75A7" w:rsidRPr="005E7372" w14:paraId="04FD87EF" w14:textId="77777777" w:rsidTr="00382456">
        <w:trPr>
          <w:trHeight w:val="315"/>
        </w:trPr>
        <w:tc>
          <w:tcPr>
            <w:tcW w:w="1965" w:type="dxa"/>
            <w:tcBorders>
              <w:top w:val="single" w:sz="6" w:space="0" w:color="auto"/>
              <w:left w:val="single" w:sz="4" w:space="0" w:color="auto"/>
              <w:bottom w:val="single" w:sz="4" w:space="0" w:color="auto"/>
              <w:right w:val="single" w:sz="6" w:space="0" w:color="auto"/>
            </w:tcBorders>
          </w:tcPr>
          <w:p w14:paraId="29530BDB" w14:textId="77777777" w:rsidR="008D75A7" w:rsidRPr="005E7372" w:rsidRDefault="008D75A7" w:rsidP="00382456">
            <w:pPr>
              <w:spacing w:after="120"/>
              <w:rPr>
                <w:b/>
                <w:color w:val="000000"/>
              </w:rPr>
            </w:pPr>
            <w:r w:rsidRPr="005E7372">
              <w:rPr>
                <w:b/>
                <w:color w:val="000000"/>
              </w:rPr>
              <w:t>Total</w:t>
            </w:r>
          </w:p>
        </w:tc>
        <w:tc>
          <w:tcPr>
            <w:tcW w:w="1523" w:type="dxa"/>
            <w:tcBorders>
              <w:top w:val="single" w:sz="6" w:space="0" w:color="auto"/>
              <w:left w:val="single" w:sz="6" w:space="0" w:color="auto"/>
              <w:bottom w:val="single" w:sz="4" w:space="0" w:color="auto"/>
              <w:right w:val="single" w:sz="6" w:space="0" w:color="auto"/>
            </w:tcBorders>
            <w:vAlign w:val="center"/>
          </w:tcPr>
          <w:p w14:paraId="71FAA96C" w14:textId="77777777" w:rsidR="008D75A7" w:rsidRPr="005E7372" w:rsidRDefault="008D75A7" w:rsidP="00382456">
            <w:pPr>
              <w:spacing w:after="120"/>
              <w:jc w:val="center"/>
              <w:rPr>
                <w:color w:val="000000"/>
              </w:rPr>
            </w:pPr>
          </w:p>
        </w:tc>
        <w:tc>
          <w:tcPr>
            <w:tcW w:w="1607" w:type="dxa"/>
            <w:tcBorders>
              <w:top w:val="single" w:sz="6" w:space="0" w:color="auto"/>
              <w:left w:val="single" w:sz="6" w:space="0" w:color="auto"/>
              <w:bottom w:val="single" w:sz="4" w:space="0" w:color="auto"/>
              <w:right w:val="single" w:sz="6" w:space="0" w:color="auto"/>
            </w:tcBorders>
            <w:vAlign w:val="center"/>
          </w:tcPr>
          <w:p w14:paraId="38427E69" w14:textId="77777777" w:rsidR="008D75A7" w:rsidRPr="005E7372" w:rsidRDefault="008D75A7" w:rsidP="00382456">
            <w:pPr>
              <w:spacing w:after="120"/>
              <w:jc w:val="center"/>
              <w:rPr>
                <w:color w:val="000000"/>
              </w:rPr>
            </w:pPr>
          </w:p>
        </w:tc>
        <w:tc>
          <w:tcPr>
            <w:tcW w:w="1422" w:type="dxa"/>
            <w:tcBorders>
              <w:top w:val="single" w:sz="6" w:space="0" w:color="auto"/>
              <w:left w:val="single" w:sz="6" w:space="0" w:color="auto"/>
              <w:bottom w:val="single" w:sz="4" w:space="0" w:color="auto"/>
              <w:right w:val="single" w:sz="6" w:space="0" w:color="auto"/>
            </w:tcBorders>
            <w:vAlign w:val="center"/>
          </w:tcPr>
          <w:p w14:paraId="69F84474" w14:textId="77777777" w:rsidR="008D75A7" w:rsidRPr="005E7372" w:rsidRDefault="008D75A7" w:rsidP="00382456">
            <w:pPr>
              <w:spacing w:after="120"/>
              <w:jc w:val="center"/>
              <w:rPr>
                <w:color w:val="000000"/>
              </w:rPr>
            </w:pPr>
          </w:p>
        </w:tc>
        <w:tc>
          <w:tcPr>
            <w:tcW w:w="1239" w:type="dxa"/>
            <w:tcBorders>
              <w:top w:val="single" w:sz="6" w:space="0" w:color="auto"/>
              <w:left w:val="single" w:sz="6" w:space="0" w:color="auto"/>
              <w:bottom w:val="single" w:sz="4" w:space="0" w:color="auto"/>
              <w:right w:val="single" w:sz="6" w:space="0" w:color="auto"/>
            </w:tcBorders>
            <w:vAlign w:val="center"/>
          </w:tcPr>
          <w:p w14:paraId="74670CD3" w14:textId="77777777" w:rsidR="008D75A7" w:rsidRPr="005E7372" w:rsidRDefault="008D75A7" w:rsidP="00382456">
            <w:pPr>
              <w:spacing w:after="120"/>
              <w:jc w:val="center"/>
              <w:rPr>
                <w:color w:val="FF0000"/>
              </w:rPr>
            </w:pPr>
          </w:p>
        </w:tc>
        <w:tc>
          <w:tcPr>
            <w:tcW w:w="1439" w:type="dxa"/>
            <w:tcBorders>
              <w:top w:val="single" w:sz="6" w:space="0" w:color="auto"/>
              <w:left w:val="single" w:sz="6" w:space="0" w:color="auto"/>
              <w:bottom w:val="single" w:sz="4" w:space="0" w:color="auto"/>
              <w:right w:val="single" w:sz="4" w:space="0" w:color="auto"/>
            </w:tcBorders>
            <w:vAlign w:val="center"/>
          </w:tcPr>
          <w:p w14:paraId="3063F011" w14:textId="69A2F907" w:rsidR="008D75A7" w:rsidRPr="005E7372" w:rsidRDefault="008D75A7" w:rsidP="00382456">
            <w:pPr>
              <w:spacing w:after="120"/>
              <w:jc w:val="center"/>
              <w:rPr>
                <w:b/>
                <w:color w:val="000000"/>
              </w:rPr>
            </w:pPr>
            <w:r w:rsidRPr="005E7372">
              <w:rPr>
                <w:b/>
                <w:color w:val="000000"/>
              </w:rPr>
              <w:t>$7</w:t>
            </w:r>
            <w:r w:rsidR="00A42135">
              <w:rPr>
                <w:b/>
                <w:color w:val="000000"/>
              </w:rPr>
              <w:t>78</w:t>
            </w:r>
            <w:r w:rsidRPr="005E7372">
              <w:rPr>
                <w:b/>
                <w:color w:val="000000"/>
              </w:rPr>
              <w:t>.</w:t>
            </w:r>
            <w:r w:rsidR="00A42135">
              <w:rPr>
                <w:b/>
                <w:color w:val="000000"/>
              </w:rPr>
              <w:t>56</w:t>
            </w:r>
          </w:p>
        </w:tc>
      </w:tr>
      <w:tr w:rsidR="008D75A7" w:rsidRPr="005E7372" w14:paraId="7DF68691" w14:textId="77777777" w:rsidTr="00382456">
        <w:trPr>
          <w:trHeight w:val="315"/>
        </w:trPr>
        <w:tc>
          <w:tcPr>
            <w:tcW w:w="9195" w:type="dxa"/>
            <w:gridSpan w:val="6"/>
            <w:tcBorders>
              <w:top w:val="nil"/>
              <w:left w:val="single" w:sz="8" w:space="0" w:color="auto"/>
              <w:bottom w:val="single" w:sz="4" w:space="0" w:color="auto"/>
              <w:right w:val="single" w:sz="8" w:space="0" w:color="auto"/>
            </w:tcBorders>
            <w:vAlign w:val="bottom"/>
          </w:tcPr>
          <w:p w14:paraId="0D548171" w14:textId="77777777" w:rsidR="008D75A7" w:rsidRPr="005E7372" w:rsidRDefault="008D75A7" w:rsidP="00382456">
            <w:pPr>
              <w:spacing w:after="120"/>
              <w:rPr>
                <w:b/>
                <w:color w:val="FF0000"/>
              </w:rPr>
            </w:pPr>
            <w:r w:rsidRPr="005E7372">
              <w:rPr>
                <w:b/>
              </w:rPr>
              <w:t>Data Collection</w:t>
            </w:r>
          </w:p>
        </w:tc>
      </w:tr>
      <w:tr w:rsidR="008D75A7" w:rsidRPr="005E7372" w14:paraId="3CB1F2E6" w14:textId="77777777" w:rsidTr="00382456">
        <w:trPr>
          <w:trHeight w:val="315"/>
        </w:trPr>
        <w:tc>
          <w:tcPr>
            <w:tcW w:w="1965" w:type="dxa"/>
            <w:tcBorders>
              <w:top w:val="single" w:sz="4" w:space="0" w:color="auto"/>
              <w:left w:val="single" w:sz="4" w:space="0" w:color="auto"/>
              <w:bottom w:val="single" w:sz="4" w:space="0" w:color="auto"/>
              <w:right w:val="single" w:sz="4" w:space="0" w:color="auto"/>
            </w:tcBorders>
          </w:tcPr>
          <w:p w14:paraId="7595638E" w14:textId="77777777" w:rsidR="008D75A7" w:rsidRPr="005E7372" w:rsidRDefault="008D75A7" w:rsidP="00382456">
            <w:pPr>
              <w:spacing w:after="120"/>
              <w:rPr>
                <w:color w:val="000000"/>
              </w:rPr>
            </w:pPr>
            <w:r w:rsidRPr="005E7372">
              <w:rPr>
                <w:color w:val="000000"/>
              </w:rPr>
              <w:t xml:space="preserve">State, Local, and Territorial Public Health Jurisdictions </w:t>
            </w:r>
          </w:p>
        </w:tc>
        <w:tc>
          <w:tcPr>
            <w:tcW w:w="1523" w:type="dxa"/>
            <w:tcBorders>
              <w:top w:val="single" w:sz="4" w:space="0" w:color="auto"/>
              <w:left w:val="single" w:sz="4" w:space="0" w:color="auto"/>
              <w:bottom w:val="single" w:sz="4" w:space="0" w:color="auto"/>
              <w:right w:val="single" w:sz="4" w:space="0" w:color="auto"/>
            </w:tcBorders>
            <w:vAlign w:val="center"/>
          </w:tcPr>
          <w:p w14:paraId="7F193A97" w14:textId="77777777" w:rsidR="008D75A7" w:rsidRPr="005E7372" w:rsidRDefault="008D75A7" w:rsidP="00382456">
            <w:pPr>
              <w:spacing w:after="120"/>
              <w:jc w:val="center"/>
              <w:rPr>
                <w:color w:val="000000"/>
              </w:rPr>
            </w:pPr>
            <w:r w:rsidRPr="005E7372">
              <w:rPr>
                <w:color w:val="000000"/>
              </w:rPr>
              <w:t>20</w:t>
            </w:r>
          </w:p>
        </w:tc>
        <w:tc>
          <w:tcPr>
            <w:tcW w:w="1607" w:type="dxa"/>
            <w:tcBorders>
              <w:top w:val="single" w:sz="4" w:space="0" w:color="auto"/>
              <w:left w:val="single" w:sz="4" w:space="0" w:color="auto"/>
              <w:bottom w:val="single" w:sz="4" w:space="0" w:color="auto"/>
              <w:right w:val="single" w:sz="4" w:space="0" w:color="auto"/>
            </w:tcBorders>
            <w:vAlign w:val="center"/>
          </w:tcPr>
          <w:p w14:paraId="05E9A460" w14:textId="77777777" w:rsidR="008D75A7" w:rsidRPr="005E7372" w:rsidRDefault="008D75A7" w:rsidP="00382456">
            <w:pPr>
              <w:spacing w:after="120"/>
              <w:jc w:val="center"/>
              <w:rPr>
                <w:color w:val="000000"/>
              </w:rPr>
            </w:pPr>
            <w:r w:rsidRPr="005E7372">
              <w:rPr>
                <w:color w:val="000000"/>
              </w:rPr>
              <w:t>1</w:t>
            </w:r>
          </w:p>
        </w:tc>
        <w:tc>
          <w:tcPr>
            <w:tcW w:w="1422" w:type="dxa"/>
            <w:tcBorders>
              <w:top w:val="single" w:sz="4" w:space="0" w:color="auto"/>
              <w:left w:val="single" w:sz="4" w:space="0" w:color="auto"/>
              <w:bottom w:val="single" w:sz="4" w:space="0" w:color="auto"/>
              <w:right w:val="single" w:sz="4" w:space="0" w:color="auto"/>
            </w:tcBorders>
            <w:vAlign w:val="center"/>
          </w:tcPr>
          <w:p w14:paraId="6F53B18B" w14:textId="77777777" w:rsidR="008D75A7" w:rsidRPr="005E7372" w:rsidRDefault="008D75A7" w:rsidP="00382456">
            <w:pPr>
              <w:spacing w:after="120"/>
              <w:jc w:val="center"/>
              <w:rPr>
                <w:color w:val="000000"/>
              </w:rPr>
            </w:pPr>
            <w:r w:rsidRPr="005E7372">
              <w:rPr>
                <w:color w:val="000000"/>
              </w:rPr>
              <w:t>5/60</w:t>
            </w:r>
          </w:p>
        </w:tc>
        <w:tc>
          <w:tcPr>
            <w:tcW w:w="1239" w:type="dxa"/>
            <w:tcBorders>
              <w:top w:val="single" w:sz="4" w:space="0" w:color="auto"/>
              <w:left w:val="single" w:sz="4" w:space="0" w:color="auto"/>
              <w:bottom w:val="single" w:sz="4" w:space="0" w:color="auto"/>
              <w:right w:val="single" w:sz="4" w:space="0" w:color="auto"/>
            </w:tcBorders>
            <w:vAlign w:val="center"/>
          </w:tcPr>
          <w:p w14:paraId="78CF03F3" w14:textId="77777777" w:rsidR="008D75A7" w:rsidRPr="005E7372" w:rsidRDefault="008D75A7" w:rsidP="00382456">
            <w:pPr>
              <w:spacing w:after="120"/>
              <w:jc w:val="center"/>
              <w:rPr>
                <w:color w:val="FF0000"/>
              </w:rPr>
            </w:pPr>
            <w:r w:rsidRPr="005E7372">
              <w:rPr>
                <w:color w:val="000000"/>
              </w:rPr>
              <w:t>$32.44</w:t>
            </w:r>
          </w:p>
        </w:tc>
        <w:tc>
          <w:tcPr>
            <w:tcW w:w="1439" w:type="dxa"/>
            <w:tcBorders>
              <w:top w:val="single" w:sz="4" w:space="0" w:color="auto"/>
              <w:left w:val="single" w:sz="4" w:space="0" w:color="auto"/>
              <w:bottom w:val="single" w:sz="4" w:space="0" w:color="auto"/>
              <w:right w:val="single" w:sz="4" w:space="0" w:color="auto"/>
            </w:tcBorders>
            <w:vAlign w:val="center"/>
          </w:tcPr>
          <w:p w14:paraId="38D7750B" w14:textId="0C9D27AB" w:rsidR="008D75A7" w:rsidRPr="005E7372" w:rsidRDefault="008D75A7" w:rsidP="00382456">
            <w:pPr>
              <w:spacing w:after="120"/>
              <w:jc w:val="center"/>
              <w:rPr>
                <w:color w:val="000000"/>
              </w:rPr>
            </w:pPr>
            <w:r w:rsidRPr="005E7372">
              <w:rPr>
                <w:color w:val="000000"/>
              </w:rPr>
              <w:t>$</w:t>
            </w:r>
            <w:r w:rsidR="00A42135">
              <w:rPr>
                <w:color w:val="000000"/>
              </w:rPr>
              <w:t>6</w:t>
            </w:r>
            <w:r w:rsidRPr="005E7372">
              <w:rPr>
                <w:color w:val="000000"/>
              </w:rPr>
              <w:t>4.</w:t>
            </w:r>
            <w:r w:rsidR="00A42135">
              <w:rPr>
                <w:color w:val="000000"/>
              </w:rPr>
              <w:t>88</w:t>
            </w:r>
          </w:p>
        </w:tc>
      </w:tr>
      <w:tr w:rsidR="008D75A7" w:rsidRPr="005E7372" w14:paraId="6A68A543" w14:textId="77777777" w:rsidTr="00382456">
        <w:trPr>
          <w:trHeight w:val="315"/>
        </w:trPr>
        <w:tc>
          <w:tcPr>
            <w:tcW w:w="1965" w:type="dxa"/>
            <w:tcBorders>
              <w:top w:val="single" w:sz="4" w:space="0" w:color="auto"/>
              <w:left w:val="single" w:sz="4" w:space="0" w:color="auto"/>
              <w:bottom w:val="single" w:sz="4" w:space="0" w:color="auto"/>
              <w:right w:val="single" w:sz="4" w:space="0" w:color="auto"/>
            </w:tcBorders>
          </w:tcPr>
          <w:p w14:paraId="11C03B79" w14:textId="77777777" w:rsidR="008D75A7" w:rsidRPr="005E7372" w:rsidRDefault="008D75A7" w:rsidP="00382456">
            <w:pPr>
              <w:spacing w:after="120"/>
              <w:rPr>
                <w:color w:val="000000"/>
              </w:rPr>
            </w:pPr>
            <w:r w:rsidRPr="005E7372">
              <w:rPr>
                <w:color w:val="000000"/>
              </w:rPr>
              <w:t>Federal Government</w:t>
            </w:r>
          </w:p>
        </w:tc>
        <w:tc>
          <w:tcPr>
            <w:tcW w:w="1523" w:type="dxa"/>
            <w:tcBorders>
              <w:top w:val="single" w:sz="4" w:space="0" w:color="auto"/>
              <w:left w:val="single" w:sz="4" w:space="0" w:color="auto"/>
              <w:bottom w:val="single" w:sz="4" w:space="0" w:color="auto"/>
              <w:right w:val="single" w:sz="4" w:space="0" w:color="auto"/>
            </w:tcBorders>
            <w:vAlign w:val="center"/>
          </w:tcPr>
          <w:p w14:paraId="16B6433D" w14:textId="77777777" w:rsidR="008D75A7" w:rsidRPr="005E7372" w:rsidRDefault="008D75A7" w:rsidP="00382456">
            <w:pPr>
              <w:spacing w:after="120"/>
              <w:jc w:val="center"/>
              <w:rPr>
                <w:color w:val="000000"/>
              </w:rPr>
            </w:pPr>
            <w:r w:rsidRPr="005E7372">
              <w:rPr>
                <w:color w:val="000000"/>
              </w:rPr>
              <w:t>2</w:t>
            </w:r>
          </w:p>
        </w:tc>
        <w:tc>
          <w:tcPr>
            <w:tcW w:w="1607" w:type="dxa"/>
            <w:tcBorders>
              <w:top w:val="single" w:sz="4" w:space="0" w:color="auto"/>
              <w:left w:val="single" w:sz="4" w:space="0" w:color="auto"/>
              <w:bottom w:val="single" w:sz="4" w:space="0" w:color="auto"/>
              <w:right w:val="single" w:sz="4" w:space="0" w:color="auto"/>
            </w:tcBorders>
            <w:vAlign w:val="center"/>
          </w:tcPr>
          <w:p w14:paraId="693E2A10" w14:textId="77777777" w:rsidR="008D75A7" w:rsidRPr="005E7372" w:rsidRDefault="008D75A7" w:rsidP="00382456">
            <w:pPr>
              <w:spacing w:after="120"/>
              <w:jc w:val="center"/>
              <w:rPr>
                <w:color w:val="000000"/>
              </w:rPr>
            </w:pPr>
            <w:r w:rsidRPr="005E7372">
              <w:rPr>
                <w:color w:val="000000"/>
              </w:rPr>
              <w:t>1</w:t>
            </w:r>
          </w:p>
        </w:tc>
        <w:tc>
          <w:tcPr>
            <w:tcW w:w="1422" w:type="dxa"/>
            <w:tcBorders>
              <w:top w:val="single" w:sz="4" w:space="0" w:color="auto"/>
              <w:left w:val="single" w:sz="4" w:space="0" w:color="auto"/>
              <w:bottom w:val="single" w:sz="4" w:space="0" w:color="auto"/>
              <w:right w:val="single" w:sz="4" w:space="0" w:color="auto"/>
            </w:tcBorders>
            <w:vAlign w:val="center"/>
          </w:tcPr>
          <w:p w14:paraId="10E09CC7" w14:textId="77777777" w:rsidR="008D75A7" w:rsidRPr="005E7372" w:rsidRDefault="008D75A7" w:rsidP="00382456">
            <w:pPr>
              <w:spacing w:after="120"/>
              <w:jc w:val="center"/>
              <w:rPr>
                <w:color w:val="000000"/>
              </w:rPr>
            </w:pPr>
            <w:r w:rsidRPr="005E7372">
              <w:rPr>
                <w:color w:val="000000"/>
              </w:rPr>
              <w:t>0</w:t>
            </w:r>
          </w:p>
        </w:tc>
        <w:tc>
          <w:tcPr>
            <w:tcW w:w="1239" w:type="dxa"/>
            <w:tcBorders>
              <w:top w:val="single" w:sz="4" w:space="0" w:color="auto"/>
              <w:left w:val="single" w:sz="4" w:space="0" w:color="auto"/>
              <w:bottom w:val="single" w:sz="4" w:space="0" w:color="auto"/>
              <w:right w:val="single" w:sz="4" w:space="0" w:color="auto"/>
            </w:tcBorders>
            <w:vAlign w:val="center"/>
          </w:tcPr>
          <w:p w14:paraId="13EB4687" w14:textId="77777777" w:rsidR="008D75A7" w:rsidRPr="005E7372" w:rsidRDefault="008D75A7" w:rsidP="00382456">
            <w:pPr>
              <w:spacing w:after="120"/>
              <w:jc w:val="center"/>
              <w:rPr>
                <w:color w:val="FF0000"/>
              </w:rPr>
            </w:pPr>
            <w:r w:rsidRPr="005E7372">
              <w:rPr>
                <w:color w:val="000000"/>
              </w:rPr>
              <w:t>$32.44</w:t>
            </w:r>
          </w:p>
        </w:tc>
        <w:tc>
          <w:tcPr>
            <w:tcW w:w="1439" w:type="dxa"/>
            <w:tcBorders>
              <w:top w:val="single" w:sz="4" w:space="0" w:color="auto"/>
              <w:left w:val="single" w:sz="4" w:space="0" w:color="auto"/>
              <w:bottom w:val="single" w:sz="4" w:space="0" w:color="auto"/>
              <w:right w:val="single" w:sz="4" w:space="0" w:color="auto"/>
            </w:tcBorders>
            <w:vAlign w:val="center"/>
          </w:tcPr>
          <w:p w14:paraId="43FD606A" w14:textId="77777777" w:rsidR="008D75A7" w:rsidRPr="005E7372" w:rsidRDefault="008D75A7" w:rsidP="00382456">
            <w:pPr>
              <w:spacing w:after="120"/>
              <w:jc w:val="center"/>
              <w:rPr>
                <w:color w:val="000000"/>
              </w:rPr>
            </w:pPr>
            <w:r w:rsidRPr="005E7372">
              <w:rPr>
                <w:color w:val="000000"/>
              </w:rPr>
              <w:t>$0</w:t>
            </w:r>
          </w:p>
        </w:tc>
      </w:tr>
      <w:tr w:rsidR="008D75A7" w:rsidRPr="005E7372" w14:paraId="12E0026B" w14:textId="77777777" w:rsidTr="00382456">
        <w:trPr>
          <w:trHeight w:val="315"/>
        </w:trPr>
        <w:tc>
          <w:tcPr>
            <w:tcW w:w="1965" w:type="dxa"/>
            <w:tcBorders>
              <w:top w:val="single" w:sz="4" w:space="0" w:color="auto"/>
              <w:left w:val="single" w:sz="4" w:space="0" w:color="auto"/>
              <w:bottom w:val="single" w:sz="4" w:space="0" w:color="auto"/>
              <w:right w:val="single" w:sz="4" w:space="0" w:color="auto"/>
            </w:tcBorders>
          </w:tcPr>
          <w:p w14:paraId="4B98E49D" w14:textId="77777777" w:rsidR="008D75A7" w:rsidRPr="005E7372" w:rsidRDefault="008D75A7" w:rsidP="00382456">
            <w:pPr>
              <w:spacing w:after="120"/>
              <w:rPr>
                <w:color w:val="000000"/>
              </w:rPr>
            </w:pPr>
            <w:r w:rsidRPr="005E7372">
              <w:rPr>
                <w:color w:val="000000"/>
              </w:rPr>
              <w:t>Private Sector</w:t>
            </w:r>
          </w:p>
          <w:p w14:paraId="43873CBE" w14:textId="77777777" w:rsidR="008D75A7" w:rsidRPr="005E7372" w:rsidRDefault="008D75A7" w:rsidP="00382456">
            <w:pPr>
              <w:spacing w:after="120"/>
              <w:rPr>
                <w:color w:val="000000"/>
              </w:rPr>
            </w:pPr>
            <w:r w:rsidRPr="005E7372">
              <w:rPr>
                <w:color w:val="000000"/>
              </w:rPr>
              <w:t xml:space="preserve">(national clinical </w:t>
            </w:r>
            <w:r w:rsidRPr="005E7372">
              <w:rPr>
                <w:color w:val="000000"/>
              </w:rPr>
              <w:lastRenderedPageBreak/>
              <w:t>laboratory corporations, and a private sector health information exchange company)</w:t>
            </w:r>
          </w:p>
        </w:tc>
        <w:tc>
          <w:tcPr>
            <w:tcW w:w="1523" w:type="dxa"/>
            <w:tcBorders>
              <w:top w:val="single" w:sz="4" w:space="0" w:color="auto"/>
              <w:left w:val="single" w:sz="4" w:space="0" w:color="auto"/>
              <w:bottom w:val="single" w:sz="4" w:space="0" w:color="auto"/>
              <w:right w:val="single" w:sz="4" w:space="0" w:color="auto"/>
            </w:tcBorders>
            <w:vAlign w:val="center"/>
          </w:tcPr>
          <w:p w14:paraId="36321978" w14:textId="77777777" w:rsidR="008D75A7" w:rsidRPr="005E7372" w:rsidRDefault="008D75A7" w:rsidP="00382456">
            <w:pPr>
              <w:spacing w:after="120"/>
              <w:jc w:val="center"/>
              <w:rPr>
                <w:color w:val="000000"/>
              </w:rPr>
            </w:pPr>
            <w:r w:rsidRPr="005E7372">
              <w:rPr>
                <w:color w:val="000000"/>
              </w:rPr>
              <w:lastRenderedPageBreak/>
              <w:t>3</w:t>
            </w:r>
          </w:p>
        </w:tc>
        <w:tc>
          <w:tcPr>
            <w:tcW w:w="1607" w:type="dxa"/>
            <w:tcBorders>
              <w:top w:val="single" w:sz="4" w:space="0" w:color="auto"/>
              <w:left w:val="single" w:sz="4" w:space="0" w:color="auto"/>
              <w:bottom w:val="single" w:sz="4" w:space="0" w:color="auto"/>
              <w:right w:val="single" w:sz="4" w:space="0" w:color="auto"/>
            </w:tcBorders>
            <w:vAlign w:val="center"/>
          </w:tcPr>
          <w:p w14:paraId="3B07DF45" w14:textId="77777777" w:rsidR="008D75A7" w:rsidRPr="005E7372" w:rsidRDefault="008D75A7" w:rsidP="00382456">
            <w:pPr>
              <w:spacing w:after="120"/>
              <w:jc w:val="center"/>
              <w:rPr>
                <w:color w:val="000000"/>
              </w:rPr>
            </w:pPr>
            <w:r w:rsidRPr="005E7372">
              <w:rPr>
                <w:color w:val="000000"/>
              </w:rPr>
              <w:t>1</w:t>
            </w:r>
          </w:p>
        </w:tc>
        <w:tc>
          <w:tcPr>
            <w:tcW w:w="1422" w:type="dxa"/>
            <w:tcBorders>
              <w:top w:val="single" w:sz="4" w:space="0" w:color="auto"/>
              <w:left w:val="single" w:sz="4" w:space="0" w:color="auto"/>
              <w:bottom w:val="single" w:sz="4" w:space="0" w:color="auto"/>
              <w:right w:val="single" w:sz="4" w:space="0" w:color="auto"/>
            </w:tcBorders>
            <w:vAlign w:val="center"/>
          </w:tcPr>
          <w:p w14:paraId="380D2944" w14:textId="77777777" w:rsidR="008D75A7" w:rsidRPr="005E7372" w:rsidRDefault="008D75A7" w:rsidP="00382456">
            <w:pPr>
              <w:spacing w:after="120"/>
              <w:jc w:val="center"/>
              <w:rPr>
                <w:color w:val="000000"/>
              </w:rPr>
            </w:pPr>
            <w:r w:rsidRPr="005E7372">
              <w:rPr>
                <w:color w:val="000000"/>
              </w:rPr>
              <w:t>0</w:t>
            </w:r>
          </w:p>
        </w:tc>
        <w:tc>
          <w:tcPr>
            <w:tcW w:w="1239" w:type="dxa"/>
            <w:tcBorders>
              <w:top w:val="single" w:sz="4" w:space="0" w:color="auto"/>
              <w:left w:val="single" w:sz="4" w:space="0" w:color="auto"/>
              <w:bottom w:val="single" w:sz="4" w:space="0" w:color="auto"/>
              <w:right w:val="single" w:sz="4" w:space="0" w:color="auto"/>
            </w:tcBorders>
            <w:vAlign w:val="center"/>
          </w:tcPr>
          <w:p w14:paraId="6BF4EF51" w14:textId="77777777" w:rsidR="008D75A7" w:rsidRPr="005E7372" w:rsidRDefault="008D75A7" w:rsidP="00382456">
            <w:pPr>
              <w:spacing w:after="120"/>
              <w:jc w:val="center"/>
              <w:rPr>
                <w:color w:val="FF0000"/>
              </w:rPr>
            </w:pPr>
            <w:r w:rsidRPr="005E7372">
              <w:rPr>
                <w:color w:val="000000"/>
              </w:rPr>
              <w:t>$32.44</w:t>
            </w:r>
          </w:p>
        </w:tc>
        <w:tc>
          <w:tcPr>
            <w:tcW w:w="1439" w:type="dxa"/>
            <w:tcBorders>
              <w:top w:val="single" w:sz="4" w:space="0" w:color="auto"/>
              <w:left w:val="single" w:sz="4" w:space="0" w:color="auto"/>
              <w:bottom w:val="single" w:sz="4" w:space="0" w:color="auto"/>
              <w:right w:val="single" w:sz="4" w:space="0" w:color="auto"/>
            </w:tcBorders>
            <w:vAlign w:val="center"/>
          </w:tcPr>
          <w:p w14:paraId="2E8DD98F" w14:textId="77777777" w:rsidR="008D75A7" w:rsidRPr="005E7372" w:rsidRDefault="008D75A7" w:rsidP="00382456">
            <w:pPr>
              <w:spacing w:after="120"/>
              <w:jc w:val="center"/>
              <w:rPr>
                <w:color w:val="000000"/>
              </w:rPr>
            </w:pPr>
            <w:r w:rsidRPr="005E7372">
              <w:rPr>
                <w:color w:val="000000"/>
              </w:rPr>
              <w:t>$0</w:t>
            </w:r>
          </w:p>
        </w:tc>
      </w:tr>
      <w:tr w:rsidR="008D75A7" w:rsidRPr="005E7372" w14:paraId="06ED84F0" w14:textId="77777777" w:rsidTr="00382456">
        <w:trPr>
          <w:trHeight w:val="315"/>
        </w:trPr>
        <w:tc>
          <w:tcPr>
            <w:tcW w:w="1965" w:type="dxa"/>
            <w:tcBorders>
              <w:top w:val="single" w:sz="4" w:space="0" w:color="auto"/>
              <w:left w:val="single" w:sz="4" w:space="0" w:color="auto"/>
              <w:bottom w:val="single" w:sz="4" w:space="0" w:color="auto"/>
              <w:right w:val="single" w:sz="4" w:space="0" w:color="auto"/>
            </w:tcBorders>
          </w:tcPr>
          <w:p w14:paraId="36C97094" w14:textId="77777777" w:rsidR="008D75A7" w:rsidRPr="005E7372" w:rsidRDefault="008D75A7" w:rsidP="00382456">
            <w:pPr>
              <w:spacing w:after="120"/>
              <w:rPr>
                <w:b/>
                <w:color w:val="000000"/>
              </w:rPr>
            </w:pPr>
            <w:r w:rsidRPr="005E7372">
              <w:rPr>
                <w:b/>
                <w:color w:val="000000"/>
              </w:rPr>
              <w:lastRenderedPageBreak/>
              <w:t>Total</w:t>
            </w:r>
          </w:p>
        </w:tc>
        <w:tc>
          <w:tcPr>
            <w:tcW w:w="1523" w:type="dxa"/>
            <w:tcBorders>
              <w:top w:val="single" w:sz="4" w:space="0" w:color="auto"/>
              <w:left w:val="single" w:sz="4" w:space="0" w:color="auto"/>
              <w:bottom w:val="single" w:sz="4" w:space="0" w:color="auto"/>
              <w:right w:val="single" w:sz="4" w:space="0" w:color="auto"/>
            </w:tcBorders>
            <w:vAlign w:val="center"/>
          </w:tcPr>
          <w:p w14:paraId="68F0AFF6" w14:textId="77777777" w:rsidR="008D75A7" w:rsidRPr="005E7372" w:rsidRDefault="008D75A7" w:rsidP="00382456">
            <w:pPr>
              <w:spacing w:after="120"/>
              <w:jc w:val="cente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14:paraId="749B542B" w14:textId="77777777" w:rsidR="008D75A7" w:rsidRPr="005E7372" w:rsidRDefault="008D75A7" w:rsidP="00382456">
            <w:pPr>
              <w:spacing w:after="120"/>
              <w:jc w:val="center"/>
              <w:rPr>
                <w:color w:val="000000"/>
              </w:rPr>
            </w:pPr>
          </w:p>
        </w:tc>
        <w:tc>
          <w:tcPr>
            <w:tcW w:w="1422" w:type="dxa"/>
            <w:tcBorders>
              <w:top w:val="single" w:sz="4" w:space="0" w:color="auto"/>
              <w:left w:val="single" w:sz="4" w:space="0" w:color="auto"/>
              <w:bottom w:val="single" w:sz="4" w:space="0" w:color="auto"/>
              <w:right w:val="single" w:sz="4" w:space="0" w:color="auto"/>
            </w:tcBorders>
            <w:vAlign w:val="center"/>
          </w:tcPr>
          <w:p w14:paraId="05F8F3BB" w14:textId="77777777" w:rsidR="008D75A7" w:rsidRPr="005E7372" w:rsidRDefault="008D75A7" w:rsidP="00382456">
            <w:pPr>
              <w:spacing w:after="120"/>
              <w:jc w:val="center"/>
              <w:rPr>
                <w:color w:val="000000"/>
              </w:rPr>
            </w:pPr>
          </w:p>
        </w:tc>
        <w:tc>
          <w:tcPr>
            <w:tcW w:w="1239" w:type="dxa"/>
            <w:tcBorders>
              <w:top w:val="single" w:sz="4" w:space="0" w:color="auto"/>
              <w:left w:val="single" w:sz="4" w:space="0" w:color="auto"/>
              <w:bottom w:val="single" w:sz="4" w:space="0" w:color="auto"/>
              <w:right w:val="single" w:sz="4" w:space="0" w:color="auto"/>
            </w:tcBorders>
            <w:vAlign w:val="center"/>
          </w:tcPr>
          <w:p w14:paraId="3AAAF505" w14:textId="77777777" w:rsidR="008D75A7" w:rsidRPr="005E7372" w:rsidRDefault="008D75A7" w:rsidP="00382456">
            <w:pPr>
              <w:spacing w:after="120"/>
              <w:jc w:val="center"/>
              <w:rPr>
                <w:color w:val="FF0000"/>
              </w:rPr>
            </w:pPr>
          </w:p>
        </w:tc>
        <w:tc>
          <w:tcPr>
            <w:tcW w:w="1439" w:type="dxa"/>
            <w:tcBorders>
              <w:top w:val="single" w:sz="4" w:space="0" w:color="auto"/>
              <w:left w:val="single" w:sz="4" w:space="0" w:color="auto"/>
              <w:bottom w:val="single" w:sz="4" w:space="0" w:color="auto"/>
              <w:right w:val="single" w:sz="4" w:space="0" w:color="auto"/>
            </w:tcBorders>
            <w:vAlign w:val="center"/>
          </w:tcPr>
          <w:p w14:paraId="4B86A179" w14:textId="300BF42F" w:rsidR="008D75A7" w:rsidRPr="005E7372" w:rsidRDefault="008D75A7" w:rsidP="00382456">
            <w:pPr>
              <w:spacing w:after="120"/>
              <w:jc w:val="center"/>
              <w:rPr>
                <w:b/>
                <w:color w:val="000000"/>
              </w:rPr>
            </w:pPr>
            <w:r w:rsidRPr="005E7372">
              <w:rPr>
                <w:b/>
                <w:color w:val="000000"/>
              </w:rPr>
              <w:t>$</w:t>
            </w:r>
            <w:r w:rsidR="00A42135">
              <w:rPr>
                <w:b/>
                <w:color w:val="000000"/>
              </w:rPr>
              <w:t>6</w:t>
            </w:r>
            <w:r w:rsidRPr="005E7372">
              <w:rPr>
                <w:b/>
                <w:color w:val="000000"/>
              </w:rPr>
              <w:t>4.</w:t>
            </w:r>
            <w:r w:rsidR="00A42135">
              <w:rPr>
                <w:b/>
                <w:color w:val="000000"/>
              </w:rPr>
              <w:t>88</w:t>
            </w:r>
          </w:p>
        </w:tc>
      </w:tr>
      <w:tr w:rsidR="008D75A7" w:rsidRPr="001D1148" w14:paraId="459D77AF" w14:textId="77777777" w:rsidTr="00382456">
        <w:trPr>
          <w:trHeight w:val="538"/>
        </w:trPr>
        <w:tc>
          <w:tcPr>
            <w:tcW w:w="1965" w:type="dxa"/>
            <w:tcBorders>
              <w:top w:val="single" w:sz="8" w:space="0" w:color="auto"/>
              <w:left w:val="single" w:sz="8" w:space="0" w:color="auto"/>
              <w:bottom w:val="single" w:sz="8" w:space="0" w:color="auto"/>
              <w:right w:val="single" w:sz="8" w:space="0" w:color="auto"/>
            </w:tcBorders>
            <w:vAlign w:val="bottom"/>
          </w:tcPr>
          <w:p w14:paraId="6111A6D4" w14:textId="77777777" w:rsidR="008D75A7" w:rsidRPr="005E7372" w:rsidRDefault="008D75A7" w:rsidP="00382456">
            <w:pPr>
              <w:spacing w:after="120"/>
              <w:rPr>
                <w:b/>
                <w:color w:val="000000"/>
              </w:rPr>
            </w:pPr>
            <w:r w:rsidRPr="005E7372">
              <w:rPr>
                <w:b/>
                <w:color w:val="000000"/>
              </w:rPr>
              <w:t>Overall Total</w:t>
            </w:r>
          </w:p>
        </w:tc>
        <w:tc>
          <w:tcPr>
            <w:tcW w:w="1523" w:type="dxa"/>
            <w:tcBorders>
              <w:top w:val="single" w:sz="8" w:space="0" w:color="auto"/>
              <w:left w:val="nil"/>
              <w:bottom w:val="single" w:sz="8" w:space="0" w:color="auto"/>
              <w:right w:val="single" w:sz="8" w:space="0" w:color="auto"/>
            </w:tcBorders>
            <w:vAlign w:val="bottom"/>
          </w:tcPr>
          <w:p w14:paraId="7D3A0354" w14:textId="77777777" w:rsidR="008D75A7" w:rsidRPr="005E7372" w:rsidRDefault="008D75A7" w:rsidP="00382456">
            <w:pPr>
              <w:spacing w:after="120"/>
              <w:rPr>
                <w:color w:val="000000"/>
              </w:rPr>
            </w:pPr>
          </w:p>
        </w:tc>
        <w:tc>
          <w:tcPr>
            <w:tcW w:w="1607" w:type="dxa"/>
            <w:tcBorders>
              <w:top w:val="single" w:sz="8" w:space="0" w:color="auto"/>
              <w:left w:val="nil"/>
              <w:bottom w:val="single" w:sz="8" w:space="0" w:color="auto"/>
              <w:right w:val="single" w:sz="8" w:space="0" w:color="auto"/>
            </w:tcBorders>
            <w:vAlign w:val="bottom"/>
          </w:tcPr>
          <w:p w14:paraId="359EB86F" w14:textId="77777777" w:rsidR="008D75A7" w:rsidRPr="005E7372" w:rsidRDefault="008D75A7" w:rsidP="00382456">
            <w:pPr>
              <w:spacing w:after="120"/>
              <w:rPr>
                <w:color w:val="000000"/>
              </w:rPr>
            </w:pPr>
          </w:p>
        </w:tc>
        <w:tc>
          <w:tcPr>
            <w:tcW w:w="1422" w:type="dxa"/>
            <w:tcBorders>
              <w:top w:val="single" w:sz="8" w:space="0" w:color="auto"/>
              <w:left w:val="nil"/>
              <w:bottom w:val="single" w:sz="8" w:space="0" w:color="auto"/>
              <w:right w:val="single" w:sz="8" w:space="0" w:color="auto"/>
            </w:tcBorders>
            <w:vAlign w:val="bottom"/>
          </w:tcPr>
          <w:p w14:paraId="25164B06" w14:textId="77777777" w:rsidR="008D75A7" w:rsidRPr="005E7372" w:rsidRDefault="008D75A7" w:rsidP="00382456">
            <w:pPr>
              <w:spacing w:after="120"/>
              <w:rPr>
                <w:color w:val="000000"/>
              </w:rPr>
            </w:pPr>
          </w:p>
        </w:tc>
        <w:tc>
          <w:tcPr>
            <w:tcW w:w="1239" w:type="dxa"/>
            <w:tcBorders>
              <w:top w:val="single" w:sz="8" w:space="0" w:color="auto"/>
              <w:left w:val="nil"/>
              <w:bottom w:val="single" w:sz="8" w:space="0" w:color="auto"/>
              <w:right w:val="single" w:sz="8" w:space="0" w:color="auto"/>
            </w:tcBorders>
            <w:vAlign w:val="bottom"/>
          </w:tcPr>
          <w:p w14:paraId="6348F0B5" w14:textId="77777777" w:rsidR="008D75A7" w:rsidRPr="005E7372" w:rsidRDefault="008D75A7" w:rsidP="00382456">
            <w:pPr>
              <w:spacing w:after="120"/>
              <w:rPr>
                <w:b/>
                <w:color w:val="000000"/>
              </w:rPr>
            </w:pPr>
          </w:p>
        </w:tc>
        <w:tc>
          <w:tcPr>
            <w:tcW w:w="1439" w:type="dxa"/>
            <w:tcBorders>
              <w:top w:val="single" w:sz="8" w:space="0" w:color="auto"/>
              <w:left w:val="nil"/>
              <w:bottom w:val="single" w:sz="8" w:space="0" w:color="auto"/>
              <w:right w:val="single" w:sz="8" w:space="0" w:color="auto"/>
            </w:tcBorders>
            <w:vAlign w:val="bottom"/>
          </w:tcPr>
          <w:p w14:paraId="00472D32" w14:textId="7CAE975A" w:rsidR="008D75A7" w:rsidRPr="001D1148" w:rsidRDefault="008D75A7" w:rsidP="00382456">
            <w:pPr>
              <w:spacing w:after="120"/>
              <w:jc w:val="center"/>
              <w:rPr>
                <w:b/>
                <w:color w:val="000000"/>
              </w:rPr>
            </w:pPr>
            <w:r w:rsidRPr="005E7372">
              <w:rPr>
                <w:b/>
                <w:color w:val="000000"/>
              </w:rPr>
              <w:t>$17</w:t>
            </w:r>
            <w:r w:rsidR="00A42135">
              <w:rPr>
                <w:b/>
                <w:color w:val="000000"/>
              </w:rPr>
              <w:t>89</w:t>
            </w:r>
            <w:r w:rsidRPr="005E7372">
              <w:rPr>
                <w:b/>
                <w:color w:val="000000"/>
              </w:rPr>
              <w:t>.</w:t>
            </w:r>
            <w:r>
              <w:rPr>
                <w:b/>
                <w:color w:val="000000"/>
              </w:rPr>
              <w:t>6</w:t>
            </w:r>
            <w:r w:rsidR="00A42135">
              <w:rPr>
                <w:b/>
                <w:color w:val="000000"/>
              </w:rPr>
              <w:t>9</w:t>
            </w:r>
          </w:p>
        </w:tc>
      </w:tr>
    </w:tbl>
    <w:p w14:paraId="450547F9" w14:textId="77777777" w:rsidR="008D75A7" w:rsidRDefault="008D75A7" w:rsidP="008D75A7">
      <w:pPr>
        <w:spacing w:after="120"/>
        <w:rPr>
          <w:color w:val="FF0000"/>
        </w:rPr>
      </w:pPr>
    </w:p>
    <w:p w14:paraId="76A6E3AF" w14:textId="77777777" w:rsidR="008D75A7" w:rsidRPr="00144C1D" w:rsidRDefault="008D75A7" w:rsidP="008D75A7">
      <w:pPr>
        <w:tabs>
          <w:tab w:val="left" w:pos="1"/>
          <w:tab w:val="left" w:pos="1584"/>
          <w:tab w:val="left" w:pos="3888"/>
          <w:tab w:val="left" w:pos="5472"/>
          <w:tab w:val="left" w:pos="7200"/>
        </w:tabs>
        <w:spacing w:after="120"/>
        <w:rPr>
          <w:color w:val="000000"/>
        </w:rPr>
      </w:pPr>
      <w:r w:rsidRPr="00144C1D">
        <w:rPr>
          <w:color w:val="000000"/>
        </w:rPr>
        <w:t>According to the U.S. Department of Labor, Bureau of Labor Statistics, Occupational</w:t>
      </w:r>
      <w:r>
        <w:rPr>
          <w:color w:val="000000"/>
        </w:rPr>
        <w:t xml:space="preserve"> Employment Statistics, May 2011</w:t>
      </w:r>
      <w:r w:rsidRPr="00144C1D">
        <w:rPr>
          <w:color w:val="000000"/>
        </w:rPr>
        <w:t xml:space="preserve"> National Occupational Employment and Wage Estimates, the mean hourly wage for Computer and Mathema</w:t>
      </w:r>
      <w:r>
        <w:rPr>
          <w:color w:val="000000"/>
        </w:rPr>
        <w:t>tical Occupations is $37.85</w:t>
      </w:r>
      <w:r w:rsidRPr="00144C1D">
        <w:rPr>
          <w:color w:val="000000"/>
        </w:rPr>
        <w:t xml:space="preserve">.  This rate is used as the hourly wage rate for respondents to the recruitment survey of prospective data sources because it represents the category of occupations most likely held by the respondents  </w:t>
      </w:r>
    </w:p>
    <w:p w14:paraId="7B79B4AB" w14:textId="77777777" w:rsidR="008D75A7" w:rsidRPr="00031F93" w:rsidRDefault="008D75A7" w:rsidP="008D75A7">
      <w:pPr>
        <w:tabs>
          <w:tab w:val="left" w:pos="1"/>
          <w:tab w:val="left" w:pos="1584"/>
          <w:tab w:val="left" w:pos="3888"/>
          <w:tab w:val="left" w:pos="5472"/>
          <w:tab w:val="left" w:pos="7200"/>
        </w:tabs>
        <w:spacing w:after="0"/>
        <w:rPr>
          <w:color w:val="000000"/>
        </w:rPr>
      </w:pPr>
      <w:r w:rsidRPr="00144C1D">
        <w:rPr>
          <w:color w:val="000000"/>
        </w:rPr>
        <w:t xml:space="preserve">For </w:t>
      </w:r>
      <w:r>
        <w:rPr>
          <w:color w:val="000000"/>
        </w:rPr>
        <w:t xml:space="preserve">data collection and </w:t>
      </w:r>
      <w:r w:rsidRPr="00144C1D">
        <w:rPr>
          <w:color w:val="000000"/>
        </w:rPr>
        <w:t xml:space="preserve">requesting access to the </w:t>
      </w:r>
      <w:proofErr w:type="spellStart"/>
      <w:r w:rsidRPr="00144C1D">
        <w:rPr>
          <w:color w:val="000000"/>
        </w:rPr>
        <w:t>BioSense</w:t>
      </w:r>
      <w:proofErr w:type="spellEnd"/>
      <w:r>
        <w:rPr>
          <w:color w:val="000000"/>
        </w:rPr>
        <w:t xml:space="preserve"> 2.0 a</w:t>
      </w:r>
      <w:r w:rsidRPr="00144C1D">
        <w:rPr>
          <w:color w:val="000000"/>
        </w:rPr>
        <w:t>pplication, the hourly wage rate is taken from the Life, Physical, and Social Science Occupations listed under the U.S. Department of Labor Employment and Wage Estimates because it best rep</w:t>
      </w:r>
      <w:r>
        <w:rPr>
          <w:color w:val="000000"/>
        </w:rPr>
        <w:t>resents the occupations of the a</w:t>
      </w:r>
      <w:r w:rsidRPr="00144C1D">
        <w:rPr>
          <w:color w:val="000000"/>
        </w:rPr>
        <w:t>pplication’s current and potential use</w:t>
      </w:r>
      <w:r>
        <w:rPr>
          <w:color w:val="000000"/>
        </w:rPr>
        <w:t>rs.  The mean hourly wage is $32.44</w:t>
      </w:r>
      <w:r w:rsidRPr="00144C1D">
        <w:rPr>
          <w:color w:val="000000"/>
        </w:rPr>
        <w:t>.</w:t>
      </w:r>
      <w:r>
        <w:rPr>
          <w:color w:val="000000"/>
        </w:rPr>
        <w:t xml:space="preserve"> </w:t>
      </w:r>
    </w:p>
    <w:p w14:paraId="07150D52" w14:textId="77777777" w:rsidR="008D75A7" w:rsidRDefault="008D75A7" w:rsidP="008D75A7">
      <w:pPr>
        <w:tabs>
          <w:tab w:val="left" w:pos="3240"/>
        </w:tabs>
        <w:spacing w:after="0"/>
        <w:rPr>
          <w:szCs w:val="28"/>
        </w:rPr>
      </w:pPr>
    </w:p>
    <w:p w14:paraId="4DACA661" w14:textId="77777777" w:rsidR="008D75A7" w:rsidRPr="00410136" w:rsidRDefault="008D75A7" w:rsidP="008D75A7">
      <w:pPr>
        <w:tabs>
          <w:tab w:val="left" w:pos="3240"/>
        </w:tabs>
        <w:spacing w:after="0"/>
        <w:rPr>
          <w:szCs w:val="28"/>
        </w:rPr>
      </w:pPr>
    </w:p>
    <w:p w14:paraId="7377BBCA" w14:textId="77777777" w:rsidR="008D75A7" w:rsidRDefault="008D75A7" w:rsidP="008D75A7">
      <w:pPr>
        <w:tabs>
          <w:tab w:val="left" w:pos="3240"/>
        </w:tabs>
        <w:spacing w:after="0"/>
        <w:rPr>
          <w:b/>
          <w:szCs w:val="28"/>
        </w:rPr>
      </w:pPr>
      <w:proofErr w:type="gramStart"/>
      <w:r>
        <w:rPr>
          <w:b/>
          <w:szCs w:val="28"/>
        </w:rPr>
        <w:t xml:space="preserve">13  </w:t>
      </w:r>
      <w:r w:rsidRPr="008C35BE">
        <w:rPr>
          <w:b/>
          <w:szCs w:val="28"/>
        </w:rPr>
        <w:t>Estimates</w:t>
      </w:r>
      <w:proofErr w:type="gramEnd"/>
      <w:r w:rsidRPr="008C35BE">
        <w:rPr>
          <w:b/>
          <w:szCs w:val="28"/>
        </w:rPr>
        <w:t xml:space="preserve"> of Other Total Annual Cost Burden to Respondents or Record Keepers</w:t>
      </w:r>
    </w:p>
    <w:p w14:paraId="536C2B71" w14:textId="77777777" w:rsidR="008D75A7" w:rsidRPr="00BC705D" w:rsidRDefault="008D75A7" w:rsidP="008D75A7">
      <w:pPr>
        <w:tabs>
          <w:tab w:val="left" w:pos="3240"/>
        </w:tabs>
        <w:spacing w:after="0"/>
        <w:rPr>
          <w:b/>
          <w:szCs w:val="28"/>
        </w:rPr>
      </w:pPr>
    </w:p>
    <w:p w14:paraId="77CB8003" w14:textId="77777777" w:rsidR="008D75A7" w:rsidRPr="00986691" w:rsidRDefault="008D75A7" w:rsidP="008D75A7">
      <w:pPr>
        <w:tabs>
          <w:tab w:val="left" w:pos="1"/>
          <w:tab w:val="left" w:pos="1584"/>
          <w:tab w:val="left" w:pos="3888"/>
          <w:tab w:val="left" w:pos="5472"/>
          <w:tab w:val="left" w:pos="7200"/>
        </w:tabs>
        <w:spacing w:after="0"/>
        <w:rPr>
          <w:color w:val="000000"/>
        </w:rPr>
      </w:pPr>
      <w:r w:rsidRPr="00986691">
        <w:rPr>
          <w:color w:val="000000"/>
        </w:rPr>
        <w:t xml:space="preserve">There are no costs to respondents </w:t>
      </w:r>
      <w:r>
        <w:rPr>
          <w:color w:val="000000"/>
        </w:rPr>
        <w:t>other than their time</w:t>
      </w:r>
      <w:r w:rsidRPr="00986691">
        <w:rPr>
          <w:color w:val="000000"/>
        </w:rPr>
        <w:t xml:space="preserve">.  </w:t>
      </w:r>
    </w:p>
    <w:p w14:paraId="54FAFDDB" w14:textId="77777777" w:rsidR="008D75A7" w:rsidRDefault="008D75A7" w:rsidP="008D75A7">
      <w:pPr>
        <w:tabs>
          <w:tab w:val="left" w:pos="3240"/>
        </w:tabs>
        <w:spacing w:after="0"/>
        <w:rPr>
          <w:szCs w:val="28"/>
        </w:rPr>
      </w:pPr>
    </w:p>
    <w:p w14:paraId="3BE9A3AF" w14:textId="77777777" w:rsidR="008D75A7" w:rsidRPr="00410136" w:rsidRDefault="008D75A7" w:rsidP="008D75A7">
      <w:pPr>
        <w:tabs>
          <w:tab w:val="left" w:pos="3240"/>
        </w:tabs>
        <w:spacing w:after="0"/>
        <w:rPr>
          <w:szCs w:val="28"/>
        </w:rPr>
      </w:pPr>
    </w:p>
    <w:p w14:paraId="0D394459" w14:textId="77777777" w:rsidR="008D75A7" w:rsidRDefault="008D75A7" w:rsidP="008D75A7">
      <w:pPr>
        <w:tabs>
          <w:tab w:val="left" w:pos="3240"/>
        </w:tabs>
        <w:spacing w:after="0"/>
        <w:rPr>
          <w:b/>
          <w:szCs w:val="28"/>
        </w:rPr>
      </w:pPr>
      <w:proofErr w:type="gramStart"/>
      <w:r>
        <w:rPr>
          <w:b/>
          <w:szCs w:val="28"/>
        </w:rPr>
        <w:t xml:space="preserve">14  </w:t>
      </w:r>
      <w:r w:rsidRPr="004938EC">
        <w:rPr>
          <w:b/>
          <w:szCs w:val="28"/>
        </w:rPr>
        <w:t>Annualized</w:t>
      </w:r>
      <w:proofErr w:type="gramEnd"/>
      <w:r w:rsidRPr="004938EC">
        <w:rPr>
          <w:b/>
          <w:szCs w:val="28"/>
        </w:rPr>
        <w:t xml:space="preserve"> Cost to the Government</w:t>
      </w:r>
    </w:p>
    <w:p w14:paraId="68FFC0A7" w14:textId="77777777" w:rsidR="008D75A7" w:rsidRPr="00BC705D" w:rsidRDefault="008D75A7" w:rsidP="008D75A7">
      <w:pPr>
        <w:tabs>
          <w:tab w:val="left" w:pos="3240"/>
        </w:tabs>
        <w:spacing w:after="0"/>
        <w:rPr>
          <w:b/>
          <w:szCs w:val="28"/>
        </w:rPr>
      </w:pPr>
    </w:p>
    <w:p w14:paraId="368EBAF5" w14:textId="77777777" w:rsidR="008D75A7" w:rsidRDefault="008D75A7" w:rsidP="008D75A7">
      <w:pPr>
        <w:spacing w:after="0"/>
      </w:pPr>
      <w:r>
        <w:t>The total cost covered by</w:t>
      </w:r>
      <w:r w:rsidRPr="00317E35">
        <w:rPr>
          <w:szCs w:val="28"/>
        </w:rPr>
        <w:t xml:space="preserve"> </w:t>
      </w:r>
      <w:r w:rsidRPr="00317E35">
        <w:t>the maximum 3-year term for OMB clearance</w:t>
      </w:r>
      <w:r>
        <w:t xml:space="preserve"> will be $28.2M. The annualized cost shown below was estimated by including the known contract costs for FY 2013-2015, the projected value of cooperative agreements for the same time period, and projected salaries and benefits. By switching to the cloud environment, CDC’s </w:t>
      </w:r>
      <w:proofErr w:type="spellStart"/>
      <w:r>
        <w:t>BioSense</w:t>
      </w:r>
      <w:proofErr w:type="spellEnd"/>
      <w:r>
        <w:t xml:space="preserve"> Program </w:t>
      </w:r>
      <w:r w:rsidRPr="00EF66B3">
        <w:t xml:space="preserve">will move from </w:t>
      </w:r>
      <w:r>
        <w:t xml:space="preserve">spending </w:t>
      </w:r>
      <w:r w:rsidRPr="00EF66B3">
        <w:t>80% of its budget</w:t>
      </w:r>
      <w:r>
        <w:t xml:space="preserve"> o</w:t>
      </w:r>
      <w:r w:rsidRPr="00EF66B3">
        <w:t>n IT costs</w:t>
      </w:r>
      <w:r>
        <w:t xml:space="preserve"> to spending</w:t>
      </w:r>
      <w:r w:rsidRPr="00EF66B3">
        <w:t xml:space="preserve"> less than 20%</w:t>
      </w:r>
      <w:r>
        <w:t xml:space="preserve"> of its budget </w:t>
      </w:r>
      <w:r w:rsidRPr="00EF66B3">
        <w:t>on IT co</w:t>
      </w:r>
      <w:r>
        <w:t>sts</w:t>
      </w:r>
      <w:r w:rsidRPr="00EF66B3">
        <w:t>.</w:t>
      </w:r>
    </w:p>
    <w:p w14:paraId="1CA71F40" w14:textId="77777777" w:rsidR="008D75A7" w:rsidRDefault="008D75A7" w:rsidP="008D75A7">
      <w:pPr>
        <w:spacing w:after="0"/>
      </w:pPr>
    </w:p>
    <w:p w14:paraId="52669059" w14:textId="77777777" w:rsidR="008D75A7" w:rsidRPr="00B1139B" w:rsidRDefault="008D75A7" w:rsidP="008D75A7">
      <w:pPr>
        <w:spacing w:after="0" w:line="240" w:lineRule="auto"/>
        <w:rPr>
          <w:color w:val="000000"/>
        </w:rPr>
      </w:pPr>
      <w:r>
        <w:rPr>
          <w:color w:val="000000"/>
        </w:rPr>
        <w:t>A.14-A</w:t>
      </w:r>
      <w:r w:rsidRPr="00986691">
        <w:rPr>
          <w:color w:val="000000"/>
        </w:rPr>
        <w:t>. Estimates of Annualized Cost Burden</w:t>
      </w:r>
    </w:p>
    <w:tbl>
      <w:tblPr>
        <w:tblStyle w:val="TableGrid"/>
        <w:tblW w:w="0" w:type="auto"/>
        <w:tblLook w:val="04A0" w:firstRow="1" w:lastRow="0" w:firstColumn="1" w:lastColumn="0" w:noHBand="0" w:noVBand="1"/>
      </w:tblPr>
      <w:tblGrid>
        <w:gridCol w:w="3182"/>
        <w:gridCol w:w="3182"/>
      </w:tblGrid>
      <w:tr w:rsidR="008D75A7" w14:paraId="0CA44755" w14:textId="77777777" w:rsidTr="00382456">
        <w:trPr>
          <w:trHeight w:val="735"/>
        </w:trPr>
        <w:tc>
          <w:tcPr>
            <w:tcW w:w="3182" w:type="dxa"/>
            <w:vAlign w:val="bottom"/>
          </w:tcPr>
          <w:p w14:paraId="43BC85B7" w14:textId="77777777" w:rsidR="008D75A7" w:rsidRPr="00EE6034" w:rsidRDefault="008D75A7" w:rsidP="00382456">
            <w:pPr>
              <w:rPr>
                <w:b/>
              </w:rPr>
            </w:pPr>
            <w:r w:rsidRPr="00317E35">
              <w:rPr>
                <w:b/>
                <w:sz w:val="24"/>
              </w:rPr>
              <w:t>Recruitment</w:t>
            </w:r>
          </w:p>
        </w:tc>
        <w:tc>
          <w:tcPr>
            <w:tcW w:w="3182" w:type="dxa"/>
            <w:vAlign w:val="bottom"/>
          </w:tcPr>
          <w:p w14:paraId="3262A016" w14:textId="77777777" w:rsidR="008D75A7" w:rsidRPr="00EE6034" w:rsidRDefault="008D75A7" w:rsidP="00382456">
            <w:pPr>
              <w:jc w:val="center"/>
              <w:rPr>
                <w:b/>
              </w:rPr>
            </w:pPr>
            <w:r w:rsidRPr="00317E35">
              <w:rPr>
                <w:b/>
                <w:sz w:val="24"/>
              </w:rPr>
              <w:t>Cost per year</w:t>
            </w:r>
          </w:p>
        </w:tc>
      </w:tr>
      <w:tr w:rsidR="008D75A7" w14:paraId="387644D1" w14:textId="77777777" w:rsidTr="00382456">
        <w:trPr>
          <w:trHeight w:val="695"/>
        </w:trPr>
        <w:tc>
          <w:tcPr>
            <w:tcW w:w="3182" w:type="dxa"/>
            <w:vAlign w:val="bottom"/>
          </w:tcPr>
          <w:p w14:paraId="15514B78" w14:textId="77777777" w:rsidR="008D75A7" w:rsidRDefault="008D75A7" w:rsidP="00382456">
            <w:pPr>
              <w:ind w:left="270"/>
            </w:pPr>
            <w:r>
              <w:t>Contracts/ Cooperative         Agreements</w:t>
            </w:r>
          </w:p>
        </w:tc>
        <w:tc>
          <w:tcPr>
            <w:tcW w:w="3182" w:type="dxa"/>
            <w:vAlign w:val="bottom"/>
          </w:tcPr>
          <w:p w14:paraId="6AC8E7EC" w14:textId="77777777" w:rsidR="008D75A7" w:rsidRDefault="008D75A7" w:rsidP="00382456">
            <w:pPr>
              <w:jc w:val="center"/>
            </w:pPr>
            <w:r>
              <w:t>$3M</w:t>
            </w:r>
          </w:p>
        </w:tc>
      </w:tr>
      <w:tr w:rsidR="008D75A7" w14:paraId="01E2ED24" w14:textId="77777777" w:rsidTr="00382456">
        <w:trPr>
          <w:trHeight w:val="735"/>
        </w:trPr>
        <w:tc>
          <w:tcPr>
            <w:tcW w:w="3182" w:type="dxa"/>
            <w:vAlign w:val="bottom"/>
          </w:tcPr>
          <w:p w14:paraId="2C3AD7F9" w14:textId="77777777" w:rsidR="008D75A7" w:rsidRDefault="008D75A7" w:rsidP="00382456">
            <w:pPr>
              <w:ind w:firstLine="270"/>
            </w:pPr>
            <w:r>
              <w:t>Project Officer (FTE)</w:t>
            </w:r>
          </w:p>
        </w:tc>
        <w:tc>
          <w:tcPr>
            <w:tcW w:w="3182" w:type="dxa"/>
            <w:vAlign w:val="bottom"/>
          </w:tcPr>
          <w:p w14:paraId="687C4153" w14:textId="77777777" w:rsidR="008D75A7" w:rsidRDefault="008D75A7" w:rsidP="00382456">
            <w:pPr>
              <w:jc w:val="center"/>
            </w:pPr>
            <w:r>
              <w:t>$50,000</w:t>
            </w:r>
          </w:p>
        </w:tc>
      </w:tr>
      <w:tr w:rsidR="008D75A7" w14:paraId="7DDDF630" w14:textId="77777777" w:rsidTr="00382456">
        <w:trPr>
          <w:trHeight w:val="695"/>
        </w:trPr>
        <w:tc>
          <w:tcPr>
            <w:tcW w:w="3182" w:type="dxa"/>
            <w:vAlign w:val="bottom"/>
          </w:tcPr>
          <w:p w14:paraId="79B02556" w14:textId="77777777" w:rsidR="008D75A7" w:rsidRPr="00EE6034" w:rsidRDefault="008D75A7" w:rsidP="00382456">
            <w:pPr>
              <w:rPr>
                <w:b/>
              </w:rPr>
            </w:pPr>
            <w:r w:rsidRPr="00317E35">
              <w:rPr>
                <w:b/>
                <w:sz w:val="24"/>
              </w:rPr>
              <w:lastRenderedPageBreak/>
              <w:t>Access to Application</w:t>
            </w:r>
          </w:p>
        </w:tc>
        <w:tc>
          <w:tcPr>
            <w:tcW w:w="3182" w:type="dxa"/>
            <w:vAlign w:val="bottom"/>
          </w:tcPr>
          <w:p w14:paraId="75955B56" w14:textId="77777777" w:rsidR="008D75A7" w:rsidRDefault="008D75A7" w:rsidP="00382456">
            <w:pPr>
              <w:jc w:val="center"/>
            </w:pPr>
          </w:p>
        </w:tc>
      </w:tr>
      <w:tr w:rsidR="008D75A7" w14:paraId="7012FBB9" w14:textId="77777777" w:rsidTr="00382456">
        <w:trPr>
          <w:trHeight w:val="735"/>
        </w:trPr>
        <w:tc>
          <w:tcPr>
            <w:tcW w:w="3182" w:type="dxa"/>
            <w:vAlign w:val="bottom"/>
          </w:tcPr>
          <w:p w14:paraId="473A8AB2" w14:textId="77777777" w:rsidR="008D75A7" w:rsidRDefault="008D75A7" w:rsidP="00382456">
            <w:pPr>
              <w:ind w:firstLine="270"/>
            </w:pPr>
            <w:r>
              <w:t>Contracts</w:t>
            </w:r>
          </w:p>
        </w:tc>
        <w:tc>
          <w:tcPr>
            <w:tcW w:w="3182" w:type="dxa"/>
            <w:vAlign w:val="bottom"/>
          </w:tcPr>
          <w:p w14:paraId="2BE7A0DD" w14:textId="2416B57F" w:rsidR="008D75A7" w:rsidRDefault="008D75A7" w:rsidP="00382456">
            <w:pPr>
              <w:jc w:val="center"/>
            </w:pPr>
            <w:r>
              <w:t>$1.75M</w:t>
            </w:r>
          </w:p>
        </w:tc>
      </w:tr>
      <w:tr w:rsidR="008D75A7" w14:paraId="71CDD73F" w14:textId="77777777" w:rsidTr="00382456">
        <w:trPr>
          <w:trHeight w:val="695"/>
        </w:trPr>
        <w:tc>
          <w:tcPr>
            <w:tcW w:w="3182" w:type="dxa"/>
            <w:vAlign w:val="bottom"/>
          </w:tcPr>
          <w:p w14:paraId="234FE650" w14:textId="77777777" w:rsidR="008D75A7" w:rsidRDefault="008D75A7" w:rsidP="00382456">
            <w:pPr>
              <w:ind w:firstLine="270"/>
            </w:pPr>
            <w:r>
              <w:t>Project Officer (FTE)</w:t>
            </w:r>
          </w:p>
        </w:tc>
        <w:tc>
          <w:tcPr>
            <w:tcW w:w="3182" w:type="dxa"/>
            <w:vAlign w:val="bottom"/>
          </w:tcPr>
          <w:p w14:paraId="4B435983" w14:textId="77777777" w:rsidR="008D75A7" w:rsidRDefault="008D75A7" w:rsidP="00382456">
            <w:pPr>
              <w:jc w:val="center"/>
            </w:pPr>
            <w:r>
              <w:t>$50,000</w:t>
            </w:r>
          </w:p>
        </w:tc>
      </w:tr>
      <w:tr w:rsidR="008D75A7" w14:paraId="78D5A012" w14:textId="77777777" w:rsidTr="00382456">
        <w:trPr>
          <w:trHeight w:val="735"/>
        </w:trPr>
        <w:tc>
          <w:tcPr>
            <w:tcW w:w="3182" w:type="dxa"/>
            <w:vAlign w:val="bottom"/>
          </w:tcPr>
          <w:p w14:paraId="00C771DE" w14:textId="77777777" w:rsidR="008D75A7" w:rsidRPr="00EE6034" w:rsidRDefault="008D75A7" w:rsidP="00382456">
            <w:pPr>
              <w:rPr>
                <w:b/>
              </w:rPr>
            </w:pPr>
            <w:r w:rsidRPr="00317E35">
              <w:rPr>
                <w:b/>
                <w:sz w:val="24"/>
              </w:rPr>
              <w:t>Data Collection</w:t>
            </w:r>
          </w:p>
        </w:tc>
        <w:tc>
          <w:tcPr>
            <w:tcW w:w="3182" w:type="dxa"/>
            <w:vAlign w:val="bottom"/>
          </w:tcPr>
          <w:p w14:paraId="7E680D5D" w14:textId="77777777" w:rsidR="008D75A7" w:rsidRDefault="008D75A7" w:rsidP="00382456">
            <w:pPr>
              <w:jc w:val="center"/>
            </w:pPr>
          </w:p>
        </w:tc>
      </w:tr>
      <w:tr w:rsidR="008D75A7" w14:paraId="10CB7B73" w14:textId="77777777" w:rsidTr="00382456">
        <w:trPr>
          <w:trHeight w:val="735"/>
        </w:trPr>
        <w:tc>
          <w:tcPr>
            <w:tcW w:w="3182" w:type="dxa"/>
            <w:vAlign w:val="bottom"/>
          </w:tcPr>
          <w:p w14:paraId="366ABE83" w14:textId="77777777" w:rsidR="008D75A7" w:rsidRDefault="008D75A7" w:rsidP="00382456">
            <w:pPr>
              <w:ind w:firstLine="270"/>
            </w:pPr>
            <w:r>
              <w:t>Cooperative Agreement</w:t>
            </w:r>
          </w:p>
        </w:tc>
        <w:tc>
          <w:tcPr>
            <w:tcW w:w="3182" w:type="dxa"/>
            <w:vAlign w:val="bottom"/>
          </w:tcPr>
          <w:p w14:paraId="381B77B0" w14:textId="50C29A9E" w:rsidR="008D75A7" w:rsidRDefault="008D75A7" w:rsidP="00382456">
            <w:pPr>
              <w:jc w:val="center"/>
            </w:pPr>
            <w:r>
              <w:t>$1..75M</w:t>
            </w:r>
          </w:p>
        </w:tc>
      </w:tr>
      <w:tr w:rsidR="008D75A7" w14:paraId="56EEDD88" w14:textId="77777777" w:rsidTr="00382456">
        <w:trPr>
          <w:trHeight w:val="735"/>
        </w:trPr>
        <w:tc>
          <w:tcPr>
            <w:tcW w:w="3182" w:type="dxa"/>
            <w:vAlign w:val="bottom"/>
          </w:tcPr>
          <w:p w14:paraId="694B9C74" w14:textId="77777777" w:rsidR="008D75A7" w:rsidRDefault="008D75A7" w:rsidP="00382456">
            <w:pPr>
              <w:ind w:firstLine="270"/>
            </w:pPr>
            <w:r>
              <w:t>FTE Salaries and Benefits</w:t>
            </w:r>
          </w:p>
        </w:tc>
        <w:tc>
          <w:tcPr>
            <w:tcW w:w="3182" w:type="dxa"/>
            <w:vAlign w:val="bottom"/>
          </w:tcPr>
          <w:p w14:paraId="14BDF864" w14:textId="77777777" w:rsidR="008D75A7" w:rsidRDefault="008D75A7" w:rsidP="00382456">
            <w:pPr>
              <w:jc w:val="center"/>
            </w:pPr>
            <w:r>
              <w:t>$2.8M</w:t>
            </w:r>
          </w:p>
        </w:tc>
      </w:tr>
    </w:tbl>
    <w:p w14:paraId="24B59601" w14:textId="77777777" w:rsidR="008D75A7" w:rsidRDefault="008D75A7" w:rsidP="008D75A7">
      <w:pPr>
        <w:tabs>
          <w:tab w:val="left" w:pos="3240"/>
        </w:tabs>
        <w:spacing w:after="0"/>
        <w:rPr>
          <w:szCs w:val="28"/>
        </w:rPr>
      </w:pPr>
    </w:p>
    <w:p w14:paraId="654877E8" w14:textId="77777777" w:rsidR="008D75A7" w:rsidRDefault="008D75A7" w:rsidP="008D75A7">
      <w:pPr>
        <w:tabs>
          <w:tab w:val="left" w:pos="3240"/>
        </w:tabs>
        <w:spacing w:after="0"/>
        <w:rPr>
          <w:szCs w:val="28"/>
        </w:rPr>
      </w:pPr>
    </w:p>
    <w:p w14:paraId="282CED6D" w14:textId="77777777" w:rsidR="008D75A7" w:rsidRDefault="008D75A7" w:rsidP="008D75A7">
      <w:pPr>
        <w:tabs>
          <w:tab w:val="left" w:pos="3240"/>
        </w:tabs>
        <w:spacing w:after="0"/>
        <w:rPr>
          <w:b/>
          <w:szCs w:val="28"/>
        </w:rPr>
      </w:pPr>
      <w:proofErr w:type="gramStart"/>
      <w:r w:rsidRPr="004F609F">
        <w:rPr>
          <w:b/>
          <w:szCs w:val="28"/>
        </w:rPr>
        <w:t>15  Explanation</w:t>
      </w:r>
      <w:proofErr w:type="gramEnd"/>
      <w:r w:rsidRPr="00BC705D">
        <w:rPr>
          <w:b/>
          <w:szCs w:val="28"/>
        </w:rPr>
        <w:t xml:space="preserve"> for Program Changes or Adjustments</w:t>
      </w:r>
    </w:p>
    <w:p w14:paraId="5E9D48E2" w14:textId="77777777" w:rsidR="008D75A7" w:rsidRPr="00BC705D" w:rsidRDefault="008D75A7" w:rsidP="008D75A7">
      <w:pPr>
        <w:tabs>
          <w:tab w:val="left" w:pos="3240"/>
        </w:tabs>
        <w:spacing w:after="0"/>
        <w:rPr>
          <w:b/>
          <w:szCs w:val="28"/>
        </w:rPr>
      </w:pPr>
    </w:p>
    <w:p w14:paraId="53020195" w14:textId="77777777" w:rsidR="008D75A7" w:rsidRDefault="008D75A7" w:rsidP="008D75A7">
      <w:pPr>
        <w:rPr>
          <w:szCs w:val="28"/>
          <w:u w:val="single"/>
        </w:rPr>
      </w:pPr>
      <w:r w:rsidRPr="001C15AA">
        <w:rPr>
          <w:szCs w:val="28"/>
          <w:u w:val="single"/>
        </w:rPr>
        <w:t>Recruitment</w:t>
      </w:r>
    </w:p>
    <w:p w14:paraId="0F039829" w14:textId="77777777" w:rsidR="008D75A7" w:rsidRPr="00634A89" w:rsidRDefault="008D75A7" w:rsidP="008D75A7">
      <w:pPr>
        <w:rPr>
          <w:szCs w:val="28"/>
        </w:rPr>
      </w:pPr>
      <w:r w:rsidRPr="00634A89">
        <w:rPr>
          <w:szCs w:val="28"/>
        </w:rPr>
        <w:t xml:space="preserve">As noted earlier, the recruitment process has shifted to focus on outreach and education.  State and local health departments are now electing to join </w:t>
      </w:r>
      <w:proofErr w:type="spellStart"/>
      <w:r w:rsidRPr="00634A89">
        <w:rPr>
          <w:szCs w:val="28"/>
        </w:rPr>
        <w:t>BioSense</w:t>
      </w:r>
      <w:proofErr w:type="spellEnd"/>
      <w:r w:rsidRPr="00634A89">
        <w:rPr>
          <w:szCs w:val="28"/>
        </w:rPr>
        <w:t xml:space="preserve"> 2.0 instead of being solicited by CDC and its conduits. Thus there is no longer a need to use an</w:t>
      </w:r>
      <w:r w:rsidRPr="00634A89">
        <w:t xml:space="preserve"> </w:t>
      </w:r>
      <w:r w:rsidRPr="00634A89">
        <w:rPr>
          <w:szCs w:val="28"/>
        </w:rPr>
        <w:t xml:space="preserve">extensive survey to assess their capabilities to participate. This change is a result of a federal government action to redesign the </w:t>
      </w:r>
      <w:proofErr w:type="spellStart"/>
      <w:r w:rsidRPr="00634A89">
        <w:rPr>
          <w:szCs w:val="28"/>
        </w:rPr>
        <w:t>BioSense</w:t>
      </w:r>
      <w:proofErr w:type="spellEnd"/>
      <w:r w:rsidRPr="00634A89">
        <w:rPr>
          <w:szCs w:val="28"/>
        </w:rPr>
        <w:t xml:space="preserve"> Program, and allow for collective ownership by the public health community performing all hazards situation awareness activities. </w:t>
      </w:r>
    </w:p>
    <w:p w14:paraId="17F10702" w14:textId="77777777" w:rsidR="008D75A7" w:rsidRDefault="008D75A7" w:rsidP="008D75A7">
      <w:pPr>
        <w:rPr>
          <w:szCs w:val="28"/>
          <w:u w:val="single"/>
        </w:rPr>
      </w:pPr>
      <w:r w:rsidRPr="001C15AA">
        <w:rPr>
          <w:szCs w:val="28"/>
          <w:u w:val="single"/>
        </w:rPr>
        <w:t>Web Application Access</w:t>
      </w:r>
    </w:p>
    <w:p w14:paraId="14A68E5A" w14:textId="77777777" w:rsidR="008D75A7" w:rsidRPr="00634A89" w:rsidRDefault="008D75A7" w:rsidP="008D75A7">
      <w:pPr>
        <w:rPr>
          <w:szCs w:val="28"/>
        </w:rPr>
      </w:pPr>
      <w:r w:rsidRPr="00634A89">
        <w:rPr>
          <w:szCs w:val="28"/>
        </w:rPr>
        <w:t xml:space="preserve">As noted earlier, the </w:t>
      </w:r>
      <w:proofErr w:type="spellStart"/>
      <w:r w:rsidRPr="00634A89">
        <w:rPr>
          <w:szCs w:val="28"/>
        </w:rPr>
        <w:t>BioSense</w:t>
      </w:r>
      <w:proofErr w:type="spellEnd"/>
      <w:r w:rsidRPr="00634A89">
        <w:rPr>
          <w:szCs w:val="28"/>
        </w:rPr>
        <w:t xml:space="preserve"> 2.0 application is now a FISMA-moderate system, as opposed to </w:t>
      </w:r>
      <w:proofErr w:type="spellStart"/>
      <w:r w:rsidRPr="00634A89">
        <w:rPr>
          <w:szCs w:val="28"/>
        </w:rPr>
        <w:t>BioSense</w:t>
      </w:r>
      <w:proofErr w:type="spellEnd"/>
      <w:r w:rsidRPr="00634A89">
        <w:rPr>
          <w:szCs w:val="28"/>
        </w:rPr>
        <w:t xml:space="preserve"> 1.0, which was at a triple-high security setting.</w:t>
      </w:r>
      <w:r w:rsidRPr="00634A89">
        <w:t xml:space="preserve"> </w:t>
      </w:r>
      <w:r w:rsidRPr="00634A89">
        <w:rPr>
          <w:szCs w:val="28"/>
        </w:rPr>
        <w:t>The system has passed the CDC C&amp;A process and is secure according to federal NIST regulations</w:t>
      </w:r>
      <w:r>
        <w:rPr>
          <w:szCs w:val="28"/>
        </w:rPr>
        <w:t xml:space="preserve"> </w:t>
      </w:r>
      <w:r w:rsidRPr="00C47326">
        <w:rPr>
          <w:szCs w:val="28"/>
        </w:rPr>
        <w:t>(</w:t>
      </w:r>
      <w:r w:rsidRPr="00C47326">
        <w:rPr>
          <w:b/>
          <w:szCs w:val="28"/>
        </w:rPr>
        <w:t xml:space="preserve">Attachment </w:t>
      </w:r>
      <w:r>
        <w:rPr>
          <w:b/>
          <w:szCs w:val="28"/>
        </w:rPr>
        <w:t>4</w:t>
      </w:r>
      <w:r w:rsidRPr="00C47326">
        <w:rPr>
          <w:szCs w:val="28"/>
        </w:rPr>
        <w:t>)</w:t>
      </w:r>
      <w:r w:rsidRPr="00634A89">
        <w:rPr>
          <w:szCs w:val="28"/>
        </w:rPr>
        <w:t xml:space="preserve">.  This reduces the burden on state and local health departments to join </w:t>
      </w:r>
      <w:proofErr w:type="spellStart"/>
      <w:r w:rsidRPr="00634A89">
        <w:rPr>
          <w:szCs w:val="28"/>
        </w:rPr>
        <w:t>BioSense</w:t>
      </w:r>
      <w:proofErr w:type="spellEnd"/>
      <w:r w:rsidRPr="00634A89">
        <w:rPr>
          <w:szCs w:val="28"/>
        </w:rPr>
        <w:t xml:space="preserve"> 2.0 and also lowers the burden for individuals attempting to gain user accounts.  Thus, there is no longer a need to use the</w:t>
      </w:r>
      <w:r w:rsidRPr="00634A89">
        <w:t xml:space="preserve"> </w:t>
      </w:r>
      <w:r w:rsidRPr="00634A89">
        <w:rPr>
          <w:szCs w:val="28"/>
        </w:rPr>
        <w:t>CDC Secure Data Network that mandates permissions be renewed each year. There is now a registration form on the application (http://biosen.se), which users must fill out one time only</w:t>
      </w:r>
      <w:r>
        <w:rPr>
          <w:szCs w:val="28"/>
        </w:rPr>
        <w:t xml:space="preserve"> </w:t>
      </w:r>
      <w:r w:rsidRPr="00C47326">
        <w:rPr>
          <w:szCs w:val="28"/>
        </w:rPr>
        <w:t>(</w:t>
      </w:r>
      <w:r w:rsidRPr="00C47326">
        <w:rPr>
          <w:b/>
          <w:szCs w:val="28"/>
        </w:rPr>
        <w:t xml:space="preserve">Attachment </w:t>
      </w:r>
      <w:r>
        <w:rPr>
          <w:b/>
          <w:szCs w:val="28"/>
        </w:rPr>
        <w:t>3</w:t>
      </w:r>
      <w:r w:rsidRPr="00C47326">
        <w:rPr>
          <w:szCs w:val="28"/>
        </w:rPr>
        <w:t>)</w:t>
      </w:r>
      <w:r w:rsidRPr="00634A89">
        <w:rPr>
          <w:szCs w:val="28"/>
        </w:rPr>
        <w:t xml:space="preserve">.   </w:t>
      </w:r>
    </w:p>
    <w:p w14:paraId="54AFD621" w14:textId="77777777" w:rsidR="008D75A7" w:rsidRDefault="008D75A7" w:rsidP="008D75A7">
      <w:pPr>
        <w:tabs>
          <w:tab w:val="left" w:pos="3240"/>
        </w:tabs>
        <w:rPr>
          <w:szCs w:val="28"/>
          <w:u w:val="single"/>
        </w:rPr>
      </w:pPr>
      <w:r w:rsidRPr="001C15AA">
        <w:rPr>
          <w:szCs w:val="28"/>
          <w:u w:val="single"/>
        </w:rPr>
        <w:t>Data Collection</w:t>
      </w:r>
    </w:p>
    <w:p w14:paraId="78B69C1B" w14:textId="77777777" w:rsidR="008D75A7" w:rsidRDefault="008D75A7" w:rsidP="008D75A7">
      <w:pPr>
        <w:rPr>
          <w:szCs w:val="28"/>
        </w:rPr>
      </w:pPr>
      <w:r>
        <w:rPr>
          <w:szCs w:val="28"/>
        </w:rPr>
        <w:t xml:space="preserve">Under </w:t>
      </w:r>
      <w:proofErr w:type="spellStart"/>
      <w:r>
        <w:rPr>
          <w:szCs w:val="28"/>
        </w:rPr>
        <w:t>BioSense</w:t>
      </w:r>
      <w:proofErr w:type="spellEnd"/>
      <w:r>
        <w:rPr>
          <w:szCs w:val="28"/>
        </w:rPr>
        <w:t xml:space="preserve"> 2.0, the difference lies primarily in where the data will be stored and how it will be shared. A</w:t>
      </w:r>
      <w:r w:rsidRPr="00AA0762">
        <w:rPr>
          <w:szCs w:val="28"/>
        </w:rPr>
        <w:t xml:space="preserve">ll data submitted by its users will reside not </w:t>
      </w:r>
      <w:r w:rsidRPr="00F207C9">
        <w:rPr>
          <w:szCs w:val="28"/>
        </w:rPr>
        <w:t xml:space="preserve">in the CDC owned and operated Information Technology Services Office’s Mid-Tier Data Center </w:t>
      </w:r>
      <w:r w:rsidRPr="00AA0762">
        <w:rPr>
          <w:szCs w:val="28"/>
        </w:rPr>
        <w:t xml:space="preserve">but in a cloud-enabled, web-based platform that is in compliance with the Federal Information Security Management Act. </w:t>
      </w:r>
      <w:r>
        <w:rPr>
          <w:szCs w:val="28"/>
        </w:rPr>
        <w:t xml:space="preserve">ASTHO </w:t>
      </w:r>
      <w:r w:rsidRPr="00AA0762">
        <w:rPr>
          <w:szCs w:val="28"/>
        </w:rPr>
        <w:t xml:space="preserve">funded through a cooperative agreement with CDC </w:t>
      </w:r>
      <w:r>
        <w:rPr>
          <w:szCs w:val="28"/>
        </w:rPr>
        <w:t xml:space="preserve">will contract with a vendor to </w:t>
      </w:r>
      <w:r w:rsidRPr="00AA0762">
        <w:rPr>
          <w:szCs w:val="28"/>
        </w:rPr>
        <w:t xml:space="preserve">offer </w:t>
      </w:r>
      <w:proofErr w:type="spellStart"/>
      <w:r w:rsidRPr="00AA0762">
        <w:rPr>
          <w:szCs w:val="28"/>
        </w:rPr>
        <w:t>BioSense</w:t>
      </w:r>
      <w:proofErr w:type="spellEnd"/>
      <w:r w:rsidRPr="00AA0762">
        <w:rPr>
          <w:szCs w:val="28"/>
        </w:rPr>
        <w:t xml:space="preserve"> 2.0 on a vol</w:t>
      </w:r>
      <w:r>
        <w:rPr>
          <w:szCs w:val="28"/>
        </w:rPr>
        <w:t>untary basis to public health jurisdictions</w:t>
      </w:r>
      <w:r w:rsidRPr="00AA0762">
        <w:rPr>
          <w:szCs w:val="28"/>
        </w:rPr>
        <w:t xml:space="preserve"> for their use. The platform will provide users with an exclusive secure space and tools for posting, receiving, controlling, </w:t>
      </w:r>
      <w:r>
        <w:rPr>
          <w:szCs w:val="28"/>
        </w:rPr>
        <w:t xml:space="preserve">and analyzing </w:t>
      </w:r>
      <w:r w:rsidRPr="00AA0762">
        <w:rPr>
          <w:szCs w:val="28"/>
        </w:rPr>
        <w:t>their public hea</w:t>
      </w:r>
      <w:r>
        <w:rPr>
          <w:szCs w:val="28"/>
        </w:rPr>
        <w:t>lth surveillance information</w:t>
      </w:r>
      <w:r w:rsidRPr="00AA0762">
        <w:rPr>
          <w:szCs w:val="28"/>
        </w:rPr>
        <w:t xml:space="preserve">. The public health department will retain ownership of any data it </w:t>
      </w:r>
      <w:r w:rsidRPr="00AA0762">
        <w:rPr>
          <w:szCs w:val="28"/>
        </w:rPr>
        <w:lastRenderedPageBreak/>
        <w:t>contributes to its exclusive</w:t>
      </w:r>
      <w:r>
        <w:rPr>
          <w:szCs w:val="28"/>
        </w:rPr>
        <w:t xml:space="preserve"> secure space, and are not required to </w:t>
      </w:r>
      <w:r w:rsidRPr="00701A62">
        <w:rPr>
          <w:szCs w:val="28"/>
        </w:rPr>
        <w:t xml:space="preserve">share their data with any other </w:t>
      </w:r>
      <w:proofErr w:type="spellStart"/>
      <w:r w:rsidRPr="00701A62">
        <w:rPr>
          <w:szCs w:val="28"/>
        </w:rPr>
        <w:t>BioSense</w:t>
      </w:r>
      <w:proofErr w:type="spellEnd"/>
      <w:r w:rsidRPr="00701A62">
        <w:rPr>
          <w:szCs w:val="28"/>
        </w:rPr>
        <w:t xml:space="preserve"> 2.0 users.</w:t>
      </w:r>
      <w:r>
        <w:rPr>
          <w:szCs w:val="28"/>
        </w:rPr>
        <w:t xml:space="preserve"> </w:t>
      </w:r>
      <w:r w:rsidRPr="00F71A76">
        <w:rPr>
          <w:szCs w:val="28"/>
        </w:rPr>
        <w:t xml:space="preserve">The </w:t>
      </w:r>
      <w:proofErr w:type="spellStart"/>
      <w:r w:rsidRPr="00F71A76">
        <w:rPr>
          <w:szCs w:val="28"/>
        </w:rPr>
        <w:t>BioSense</w:t>
      </w:r>
      <w:proofErr w:type="spellEnd"/>
      <w:r w:rsidRPr="00F71A76">
        <w:rPr>
          <w:szCs w:val="28"/>
        </w:rPr>
        <w:t xml:space="preserve"> 2.0 cloud will also provide the CDC’s </w:t>
      </w:r>
      <w:proofErr w:type="spellStart"/>
      <w:r w:rsidRPr="00F71A76">
        <w:rPr>
          <w:szCs w:val="28"/>
        </w:rPr>
        <w:t>BioSense</w:t>
      </w:r>
      <w:proofErr w:type="spellEnd"/>
      <w:r w:rsidRPr="00F71A76">
        <w:rPr>
          <w:szCs w:val="28"/>
        </w:rPr>
        <w:t xml:space="preserve"> Program its own exclusive</w:t>
      </w:r>
      <w:r>
        <w:rPr>
          <w:szCs w:val="28"/>
        </w:rPr>
        <w:t>,</w:t>
      </w:r>
      <w:r w:rsidRPr="00F71A76">
        <w:rPr>
          <w:szCs w:val="28"/>
        </w:rPr>
        <w:t xml:space="preserve"> secure space to receive, store, and analyze data. CDC </w:t>
      </w:r>
      <w:r>
        <w:rPr>
          <w:szCs w:val="28"/>
        </w:rPr>
        <w:t>will receive data</w:t>
      </w:r>
      <w:r w:rsidRPr="00F207C9">
        <w:rPr>
          <w:szCs w:val="28"/>
        </w:rPr>
        <w:t xml:space="preserve"> </w:t>
      </w:r>
      <w:r>
        <w:rPr>
          <w:szCs w:val="28"/>
        </w:rPr>
        <w:t xml:space="preserve">directly into this space from </w:t>
      </w:r>
      <w:proofErr w:type="spellStart"/>
      <w:proofErr w:type="gramStart"/>
      <w:r>
        <w:rPr>
          <w:szCs w:val="28"/>
        </w:rPr>
        <w:t>DoD</w:t>
      </w:r>
      <w:proofErr w:type="spellEnd"/>
      <w:proofErr w:type="gramEnd"/>
      <w:r>
        <w:rPr>
          <w:szCs w:val="28"/>
        </w:rPr>
        <w:t xml:space="preserve">, </w:t>
      </w:r>
      <w:r w:rsidRPr="00F71A76">
        <w:rPr>
          <w:szCs w:val="28"/>
        </w:rPr>
        <w:t>VA</w:t>
      </w:r>
      <w:r>
        <w:rPr>
          <w:szCs w:val="28"/>
        </w:rPr>
        <w:t>,</w:t>
      </w:r>
      <w:r w:rsidRPr="00F71A76">
        <w:rPr>
          <w:szCs w:val="28"/>
        </w:rPr>
        <w:t xml:space="preserve"> two national-level private sector </w:t>
      </w:r>
      <w:r>
        <w:rPr>
          <w:szCs w:val="28"/>
        </w:rPr>
        <w:t xml:space="preserve">clinical laboratories, and </w:t>
      </w:r>
      <w:r w:rsidRPr="00F71A76">
        <w:rPr>
          <w:szCs w:val="28"/>
        </w:rPr>
        <w:t>a private sector health information exchange company</w:t>
      </w:r>
      <w:r>
        <w:rPr>
          <w:szCs w:val="28"/>
        </w:rPr>
        <w:t xml:space="preserve">. </w:t>
      </w:r>
    </w:p>
    <w:p w14:paraId="108FBC23" w14:textId="77777777" w:rsidR="008D75A7" w:rsidRDefault="008D75A7" w:rsidP="008D75A7">
      <w:pPr>
        <w:spacing w:after="0"/>
        <w:rPr>
          <w:szCs w:val="28"/>
        </w:rPr>
      </w:pPr>
      <w:r w:rsidRPr="00701A62">
        <w:rPr>
          <w:szCs w:val="28"/>
        </w:rPr>
        <w:t>In addition to providing a secure, exclusive space for use by CDC and secure, exclusive spaces for use by ea</w:t>
      </w:r>
      <w:r>
        <w:rPr>
          <w:szCs w:val="28"/>
        </w:rPr>
        <w:t>ch participating public health jurisdictions</w:t>
      </w:r>
      <w:r w:rsidRPr="00701A62">
        <w:rPr>
          <w:szCs w:val="28"/>
        </w:rPr>
        <w:t xml:space="preserve">, </w:t>
      </w:r>
      <w:proofErr w:type="spellStart"/>
      <w:r w:rsidRPr="00701A62">
        <w:rPr>
          <w:szCs w:val="28"/>
        </w:rPr>
        <w:t>BioSense</w:t>
      </w:r>
      <w:proofErr w:type="spellEnd"/>
      <w:r w:rsidRPr="00701A62">
        <w:rPr>
          <w:szCs w:val="28"/>
        </w:rPr>
        <w:t xml:space="preserve"> 2.0 provides a second se</w:t>
      </w:r>
      <w:r>
        <w:rPr>
          <w:szCs w:val="28"/>
        </w:rPr>
        <w:t>cure space in the cloud for</w:t>
      </w:r>
      <w:r w:rsidRPr="00701A62">
        <w:rPr>
          <w:szCs w:val="28"/>
        </w:rPr>
        <w:t xml:space="preserve"> health department</w:t>
      </w:r>
      <w:r>
        <w:rPr>
          <w:szCs w:val="28"/>
        </w:rPr>
        <w:t>s</w:t>
      </w:r>
      <w:r w:rsidRPr="00701A62">
        <w:rPr>
          <w:szCs w:val="28"/>
        </w:rPr>
        <w:t xml:space="preserve"> to share whatever aggrega</w:t>
      </w:r>
      <w:r>
        <w:rPr>
          <w:szCs w:val="28"/>
        </w:rPr>
        <w:t>ted data they</w:t>
      </w:r>
      <w:r w:rsidRPr="00701A62">
        <w:rPr>
          <w:szCs w:val="28"/>
        </w:rPr>
        <w:t xml:space="preserve"> chooses with other </w:t>
      </w:r>
      <w:r>
        <w:rPr>
          <w:szCs w:val="28"/>
        </w:rPr>
        <w:t>participating public health jurisdictions</w:t>
      </w:r>
      <w:r w:rsidRPr="00701A62">
        <w:rPr>
          <w:szCs w:val="28"/>
        </w:rPr>
        <w:t xml:space="preserve"> and CDC.  Whenever possible, the </w:t>
      </w:r>
      <w:proofErr w:type="spellStart"/>
      <w:r w:rsidRPr="00701A62">
        <w:rPr>
          <w:szCs w:val="28"/>
        </w:rPr>
        <w:t>BioSense</w:t>
      </w:r>
      <w:proofErr w:type="spellEnd"/>
      <w:r w:rsidRPr="00701A62">
        <w:rPr>
          <w:szCs w:val="28"/>
        </w:rPr>
        <w:t xml:space="preserve"> Program plans to share aggregate level pharmacy and laborat</w:t>
      </w:r>
      <w:r>
        <w:rPr>
          <w:szCs w:val="28"/>
        </w:rPr>
        <w:t>ory data with public health jurisdictions</w:t>
      </w:r>
      <w:r w:rsidRPr="00701A62">
        <w:rPr>
          <w:szCs w:val="28"/>
        </w:rPr>
        <w:t xml:space="preserve">. </w:t>
      </w:r>
      <w:proofErr w:type="spellStart"/>
      <w:r w:rsidRPr="00701A62">
        <w:rPr>
          <w:szCs w:val="28"/>
        </w:rPr>
        <w:t>BioSense</w:t>
      </w:r>
      <w:proofErr w:type="spellEnd"/>
      <w:r w:rsidRPr="00701A62">
        <w:rPr>
          <w:szCs w:val="28"/>
        </w:rPr>
        <w:t xml:space="preserve"> 2.0 is designed to promote the contribution of public health data by all users and the appropriate sharing of aggregated data in the shared space.  As part of access to the shared </w:t>
      </w:r>
      <w:r>
        <w:rPr>
          <w:szCs w:val="28"/>
        </w:rPr>
        <w:t>space, public health jurisdictions</w:t>
      </w:r>
      <w:r w:rsidRPr="00701A62">
        <w:rPr>
          <w:szCs w:val="28"/>
        </w:rPr>
        <w:t xml:space="preserve"> will be required in their Information Sharing and Data Use Agreements with ASTHO to grant CDC access to, at minimum, aggregate level data (city or county or state)</w:t>
      </w:r>
      <w:r>
        <w:rPr>
          <w:szCs w:val="28"/>
        </w:rPr>
        <w:t xml:space="preserve"> that contain the variables </w:t>
      </w:r>
      <w:r w:rsidRPr="000F3565">
        <w:rPr>
          <w:szCs w:val="28"/>
        </w:rPr>
        <w:t>ISDS recommended minimum dataset variables</w:t>
      </w:r>
      <w:r>
        <w:rPr>
          <w:szCs w:val="28"/>
        </w:rPr>
        <w:t xml:space="preserve"> from their jurisdiction that have</w:t>
      </w:r>
      <w:r w:rsidRPr="00701A62">
        <w:rPr>
          <w:szCs w:val="28"/>
        </w:rPr>
        <w:t xml:space="preserve"> been placed in the shared space, and they agree that CDC may review data contributed to the shared space for public health practice and surveillance purposes.</w:t>
      </w:r>
      <w:r w:rsidRPr="00187824">
        <w:rPr>
          <w:szCs w:val="28"/>
        </w:rPr>
        <w:t xml:space="preserve"> To participate in the shared space, public health jurisdictions must simply </w:t>
      </w:r>
      <w:r>
        <w:rPr>
          <w:szCs w:val="28"/>
        </w:rPr>
        <w:t>select</w:t>
      </w:r>
      <w:r w:rsidRPr="00187824">
        <w:rPr>
          <w:szCs w:val="28"/>
        </w:rPr>
        <w:t xml:space="preserve"> from drop-down lists</w:t>
      </w:r>
      <w:r>
        <w:rPr>
          <w:szCs w:val="28"/>
        </w:rPr>
        <w:t xml:space="preserve"> to choose</w:t>
      </w:r>
      <w:r w:rsidRPr="00187824">
        <w:rPr>
          <w:szCs w:val="28"/>
        </w:rPr>
        <w:t xml:space="preserve"> their sharing permissions on the </w:t>
      </w:r>
      <w:proofErr w:type="spellStart"/>
      <w:r w:rsidRPr="00187824">
        <w:rPr>
          <w:szCs w:val="28"/>
        </w:rPr>
        <w:t>BioSense</w:t>
      </w:r>
      <w:proofErr w:type="spellEnd"/>
      <w:r w:rsidRPr="00187824">
        <w:rPr>
          <w:szCs w:val="28"/>
        </w:rPr>
        <w:t xml:space="preserve"> 2.0 application</w:t>
      </w:r>
      <w:r>
        <w:rPr>
          <w:szCs w:val="28"/>
        </w:rPr>
        <w:t xml:space="preserve">, and they </w:t>
      </w:r>
      <w:r w:rsidRPr="00F03B02">
        <w:rPr>
          <w:szCs w:val="28"/>
        </w:rPr>
        <w:t>will have the right at any time to revise the level of sharing permissions regarding the data in their secure space</w:t>
      </w:r>
      <w:r>
        <w:rPr>
          <w:szCs w:val="28"/>
        </w:rPr>
        <w:t xml:space="preserve"> </w:t>
      </w:r>
      <w:r w:rsidRPr="00C47326">
        <w:rPr>
          <w:szCs w:val="28"/>
        </w:rPr>
        <w:t>(</w:t>
      </w:r>
      <w:r w:rsidRPr="00C47326">
        <w:rPr>
          <w:b/>
          <w:szCs w:val="28"/>
        </w:rPr>
        <w:t xml:space="preserve">Attachment </w:t>
      </w:r>
      <w:r>
        <w:rPr>
          <w:b/>
          <w:szCs w:val="28"/>
        </w:rPr>
        <w:t>5</w:t>
      </w:r>
      <w:r w:rsidRPr="00C47326">
        <w:rPr>
          <w:szCs w:val="28"/>
        </w:rPr>
        <w:t>)</w:t>
      </w:r>
      <w:r w:rsidRPr="00F03B02">
        <w:rPr>
          <w:szCs w:val="28"/>
        </w:rPr>
        <w:t>.</w:t>
      </w:r>
    </w:p>
    <w:p w14:paraId="753135A5" w14:textId="77777777" w:rsidR="008D75A7" w:rsidRDefault="008D75A7" w:rsidP="008D75A7">
      <w:pPr>
        <w:tabs>
          <w:tab w:val="left" w:pos="3240"/>
        </w:tabs>
        <w:spacing w:after="0"/>
        <w:rPr>
          <w:szCs w:val="28"/>
          <w:highlight w:val="cyan"/>
        </w:rPr>
      </w:pPr>
    </w:p>
    <w:p w14:paraId="7BE3FE36" w14:textId="77777777" w:rsidR="008D75A7" w:rsidRPr="00A41D9F" w:rsidRDefault="008D75A7" w:rsidP="008D75A7">
      <w:pPr>
        <w:tabs>
          <w:tab w:val="left" w:pos="3240"/>
        </w:tabs>
        <w:spacing w:after="0"/>
        <w:rPr>
          <w:szCs w:val="28"/>
          <w:highlight w:val="cyan"/>
        </w:rPr>
      </w:pPr>
    </w:p>
    <w:p w14:paraId="749C66CF" w14:textId="77777777" w:rsidR="008D75A7" w:rsidRDefault="008D75A7" w:rsidP="008D75A7">
      <w:pPr>
        <w:tabs>
          <w:tab w:val="left" w:pos="3240"/>
        </w:tabs>
        <w:spacing w:after="0"/>
        <w:rPr>
          <w:b/>
          <w:szCs w:val="28"/>
        </w:rPr>
      </w:pPr>
      <w:proofErr w:type="gramStart"/>
      <w:r>
        <w:rPr>
          <w:b/>
          <w:szCs w:val="28"/>
        </w:rPr>
        <w:t xml:space="preserve">16  </w:t>
      </w:r>
      <w:r w:rsidRPr="00BC705D">
        <w:rPr>
          <w:b/>
          <w:szCs w:val="28"/>
        </w:rPr>
        <w:t>Plans</w:t>
      </w:r>
      <w:proofErr w:type="gramEnd"/>
      <w:r w:rsidRPr="00BC705D">
        <w:rPr>
          <w:b/>
          <w:szCs w:val="28"/>
        </w:rPr>
        <w:t xml:space="preserve"> for Tabulation and Publication and Project Time Schedule</w:t>
      </w:r>
    </w:p>
    <w:p w14:paraId="2F210385" w14:textId="77777777" w:rsidR="008D75A7" w:rsidRPr="00BC705D" w:rsidRDefault="008D75A7" w:rsidP="008D75A7">
      <w:pPr>
        <w:tabs>
          <w:tab w:val="left" w:pos="3240"/>
        </w:tabs>
        <w:spacing w:after="0"/>
        <w:rPr>
          <w:b/>
          <w:szCs w:val="28"/>
        </w:rPr>
      </w:pPr>
    </w:p>
    <w:p w14:paraId="2090C396" w14:textId="77777777" w:rsidR="008D75A7" w:rsidRPr="001C15AA" w:rsidRDefault="008D75A7" w:rsidP="008D75A7">
      <w:pPr>
        <w:rPr>
          <w:szCs w:val="28"/>
          <w:u w:val="single"/>
        </w:rPr>
      </w:pPr>
      <w:r w:rsidRPr="001C15AA">
        <w:rPr>
          <w:szCs w:val="28"/>
          <w:u w:val="single"/>
        </w:rPr>
        <w:t>Recruitment</w:t>
      </w:r>
    </w:p>
    <w:p w14:paraId="6CAC02CB" w14:textId="77777777" w:rsidR="008D75A7" w:rsidRDefault="008D75A7" w:rsidP="008D75A7">
      <w:pPr>
        <w:tabs>
          <w:tab w:val="left" w:pos="1"/>
          <w:tab w:val="left" w:pos="1584"/>
          <w:tab w:val="left" w:pos="3888"/>
          <w:tab w:val="left" w:pos="5472"/>
          <w:tab w:val="left" w:pos="7200"/>
        </w:tabs>
        <w:rPr>
          <w:color w:val="000000"/>
        </w:rPr>
      </w:pPr>
      <w:r w:rsidRPr="00634A89">
        <w:rPr>
          <w:color w:val="000000"/>
        </w:rPr>
        <w:t xml:space="preserve">Jurisdictions have the potential to begin participating in </w:t>
      </w:r>
      <w:proofErr w:type="spellStart"/>
      <w:r w:rsidRPr="00634A89">
        <w:rPr>
          <w:color w:val="000000"/>
        </w:rPr>
        <w:t>BioSense</w:t>
      </w:r>
      <w:proofErr w:type="spellEnd"/>
      <w:r w:rsidRPr="00634A89">
        <w:rPr>
          <w:color w:val="000000"/>
        </w:rPr>
        <w:t xml:space="preserve"> 2.0 throughout the duration of the three year authorization requested.  The goal is to have </w:t>
      </w:r>
      <w:r>
        <w:rPr>
          <w:color w:val="000000"/>
        </w:rPr>
        <w:t>over 50</w:t>
      </w:r>
      <w:r w:rsidRPr="00634A89">
        <w:rPr>
          <w:color w:val="000000"/>
        </w:rPr>
        <w:t xml:space="preserve"> jurisdictions</w:t>
      </w:r>
      <w:r>
        <w:rPr>
          <w:color w:val="000000"/>
        </w:rPr>
        <w:t xml:space="preserve"> participating in </w:t>
      </w:r>
      <w:proofErr w:type="spellStart"/>
      <w:r>
        <w:rPr>
          <w:color w:val="000000"/>
        </w:rPr>
        <w:t>BioSense</w:t>
      </w:r>
      <w:proofErr w:type="spellEnd"/>
      <w:r>
        <w:rPr>
          <w:color w:val="000000"/>
        </w:rPr>
        <w:t xml:space="preserve"> 2.0 by 2015.</w:t>
      </w:r>
      <w:r w:rsidRPr="00634A89">
        <w:rPr>
          <w:color w:val="000000"/>
        </w:rPr>
        <w:t xml:space="preserve"> Recruitment and outreach information is not reported or published.</w:t>
      </w:r>
    </w:p>
    <w:p w14:paraId="1DF41385" w14:textId="77777777" w:rsidR="008D75A7" w:rsidRPr="006E3D32" w:rsidRDefault="008D75A7" w:rsidP="008D75A7">
      <w:pPr>
        <w:tabs>
          <w:tab w:val="left" w:pos="1"/>
          <w:tab w:val="left" w:pos="1584"/>
          <w:tab w:val="left" w:pos="3888"/>
          <w:tab w:val="left" w:pos="5472"/>
          <w:tab w:val="left" w:pos="7200"/>
        </w:tabs>
        <w:rPr>
          <w:color w:val="000000"/>
          <w:u w:val="single"/>
        </w:rPr>
      </w:pPr>
      <w:r w:rsidRPr="006E3D32">
        <w:rPr>
          <w:color w:val="000000"/>
          <w:u w:val="single"/>
        </w:rPr>
        <w:t>Web Application Access</w:t>
      </w:r>
    </w:p>
    <w:p w14:paraId="379D8CD7" w14:textId="77777777" w:rsidR="008D75A7" w:rsidRPr="00634A89" w:rsidRDefault="008D75A7" w:rsidP="008D75A7">
      <w:pPr>
        <w:tabs>
          <w:tab w:val="left" w:pos="1"/>
          <w:tab w:val="left" w:pos="1584"/>
          <w:tab w:val="left" w:pos="3888"/>
          <w:tab w:val="left" w:pos="5472"/>
          <w:tab w:val="left" w:pos="7200"/>
        </w:tabs>
        <w:rPr>
          <w:color w:val="000000"/>
        </w:rPr>
      </w:pPr>
      <w:r w:rsidRPr="00634A89">
        <w:rPr>
          <w:color w:val="000000"/>
        </w:rPr>
        <w:t>User accounts have the potential to be granted throughout the three year authorization requested.  Information collected to grant user accounts is not reported or published.</w:t>
      </w:r>
    </w:p>
    <w:p w14:paraId="3230DE6F" w14:textId="77777777" w:rsidR="008D75A7" w:rsidRPr="006E3D32" w:rsidRDefault="008D75A7" w:rsidP="008D75A7">
      <w:pPr>
        <w:tabs>
          <w:tab w:val="left" w:pos="3240"/>
        </w:tabs>
        <w:rPr>
          <w:szCs w:val="28"/>
        </w:rPr>
      </w:pPr>
      <w:r w:rsidRPr="006E3D32">
        <w:rPr>
          <w:szCs w:val="28"/>
          <w:u w:val="single"/>
        </w:rPr>
        <w:t>Data Collection</w:t>
      </w:r>
    </w:p>
    <w:p w14:paraId="17D2295C" w14:textId="77777777" w:rsidR="008D75A7" w:rsidRDefault="008D75A7" w:rsidP="008D75A7">
      <w:pPr>
        <w:tabs>
          <w:tab w:val="left" w:pos="3240"/>
        </w:tabs>
        <w:rPr>
          <w:szCs w:val="28"/>
        </w:rPr>
      </w:pPr>
      <w:r>
        <w:rPr>
          <w:szCs w:val="28"/>
        </w:rPr>
        <w:t>Once a jurisdiction elects</w:t>
      </w:r>
      <w:r w:rsidRPr="00F7237E">
        <w:rPr>
          <w:szCs w:val="28"/>
        </w:rPr>
        <w:t xml:space="preserve"> to share, the data they dedicate for sharing is automatically electronically transferred from their exclusive, secure space </w:t>
      </w:r>
      <w:r>
        <w:rPr>
          <w:szCs w:val="28"/>
        </w:rPr>
        <w:t>to the shared space on a daily</w:t>
      </w:r>
      <w:r w:rsidRPr="00F7237E">
        <w:rPr>
          <w:szCs w:val="28"/>
        </w:rPr>
        <w:t xml:space="preserve"> basis. Similarly, VA, </w:t>
      </w:r>
      <w:proofErr w:type="spellStart"/>
      <w:proofErr w:type="gramStart"/>
      <w:r w:rsidRPr="00F7237E">
        <w:rPr>
          <w:szCs w:val="28"/>
        </w:rPr>
        <w:t>DoD</w:t>
      </w:r>
      <w:proofErr w:type="spellEnd"/>
      <w:proofErr w:type="gramEnd"/>
      <w:r w:rsidRPr="00F7237E">
        <w:rPr>
          <w:szCs w:val="28"/>
        </w:rPr>
        <w:t>, pharmacy, and laboratory data are automatically electronically transferred from their already existing data bases to CDC’s excl</w:t>
      </w:r>
      <w:r>
        <w:rPr>
          <w:szCs w:val="28"/>
        </w:rPr>
        <w:t>usive, secure space on a daily</w:t>
      </w:r>
      <w:r w:rsidRPr="00F7237E">
        <w:rPr>
          <w:szCs w:val="28"/>
        </w:rPr>
        <w:t xml:space="preserve"> basis.</w:t>
      </w:r>
      <w:r>
        <w:rPr>
          <w:szCs w:val="28"/>
        </w:rPr>
        <w:t xml:space="preserve"> These data transfers will continue to function unless a public health jurisdiction chooses to</w:t>
      </w:r>
      <w:r w:rsidRPr="005A7432">
        <w:rPr>
          <w:szCs w:val="28"/>
        </w:rPr>
        <w:t xml:space="preserve"> revise the level of sharing permiss</w:t>
      </w:r>
      <w:r>
        <w:rPr>
          <w:szCs w:val="28"/>
        </w:rPr>
        <w:t>ions regarding the data in its</w:t>
      </w:r>
      <w:r w:rsidRPr="005A7432">
        <w:rPr>
          <w:szCs w:val="28"/>
        </w:rPr>
        <w:t xml:space="preserve"> sec</w:t>
      </w:r>
      <w:r>
        <w:rPr>
          <w:szCs w:val="28"/>
        </w:rPr>
        <w:t xml:space="preserve">ure space or any organization sharing data </w:t>
      </w:r>
      <w:r w:rsidRPr="00157FA8">
        <w:rPr>
          <w:szCs w:val="28"/>
        </w:rPr>
        <w:t>declines to renew its Data Use Agreement</w:t>
      </w:r>
      <w:r>
        <w:rPr>
          <w:szCs w:val="28"/>
        </w:rPr>
        <w:t xml:space="preserve"> after its 5-year term or</w:t>
      </w:r>
      <w:r w:rsidRPr="00157FA8">
        <w:rPr>
          <w:szCs w:val="28"/>
        </w:rPr>
        <w:t xml:space="preserve"> </w:t>
      </w:r>
      <w:r>
        <w:rPr>
          <w:szCs w:val="28"/>
        </w:rPr>
        <w:t xml:space="preserve">decides to terminate their agreement. The </w:t>
      </w:r>
      <w:proofErr w:type="spellStart"/>
      <w:r>
        <w:rPr>
          <w:szCs w:val="28"/>
        </w:rPr>
        <w:t>BioSense</w:t>
      </w:r>
      <w:proofErr w:type="spellEnd"/>
      <w:r>
        <w:rPr>
          <w:szCs w:val="28"/>
        </w:rPr>
        <w:t xml:space="preserve"> Program is an ongoing program, so we are requesting the maximum 3-year term for OMB clearance.  </w:t>
      </w:r>
    </w:p>
    <w:p w14:paraId="74896A83" w14:textId="77777777" w:rsidR="008D75A7" w:rsidRPr="00956A47" w:rsidRDefault="008D75A7" w:rsidP="008D75A7">
      <w:pPr>
        <w:tabs>
          <w:tab w:val="left" w:pos="3240"/>
        </w:tabs>
        <w:spacing w:after="0"/>
        <w:rPr>
          <w:szCs w:val="28"/>
        </w:rPr>
      </w:pPr>
      <w:r>
        <w:rPr>
          <w:szCs w:val="28"/>
        </w:rPr>
        <w:lastRenderedPageBreak/>
        <w:t xml:space="preserve">Regarding analysis, the </w:t>
      </w:r>
      <w:proofErr w:type="spellStart"/>
      <w:r>
        <w:rPr>
          <w:szCs w:val="28"/>
        </w:rPr>
        <w:t>BioSense</w:t>
      </w:r>
      <w:proofErr w:type="spellEnd"/>
      <w:r>
        <w:rPr>
          <w:szCs w:val="28"/>
        </w:rPr>
        <w:t xml:space="preserve"> Program receives and analyzes data on a daily basis (Monday–Friday) for </w:t>
      </w:r>
      <w:proofErr w:type="spellStart"/>
      <w:r>
        <w:rPr>
          <w:szCs w:val="28"/>
        </w:rPr>
        <w:t>syndromic</w:t>
      </w:r>
      <w:proofErr w:type="spellEnd"/>
      <w:r>
        <w:rPr>
          <w:szCs w:val="28"/>
        </w:rPr>
        <w:t xml:space="preserve"> surveillance purposes. The Program uses a modified C2 EARS algorithm</w:t>
      </w:r>
      <w:r w:rsidRPr="0016505F">
        <w:rPr>
          <w:szCs w:val="28"/>
        </w:rPr>
        <w:t xml:space="preserve"> applied to separately categorized time series of patient visit records using categories chosen to capture predefined syndromes and sub-syndromes of public health interest</w:t>
      </w:r>
      <w:r>
        <w:rPr>
          <w:szCs w:val="28"/>
        </w:rPr>
        <w:t xml:space="preserve"> to assess for the presence of statistical anomalies (</w:t>
      </w:r>
      <w:r w:rsidRPr="0016505F">
        <w:rPr>
          <w:szCs w:val="28"/>
        </w:rPr>
        <w:t>statistically significant increases in patient visits</w:t>
      </w:r>
      <w:r>
        <w:rPr>
          <w:szCs w:val="28"/>
        </w:rPr>
        <w:t xml:space="preserve">). When an anomaly is found, it is </w:t>
      </w:r>
      <w:r w:rsidRPr="00956A47">
        <w:rPr>
          <w:szCs w:val="28"/>
        </w:rPr>
        <w:t>review</w:t>
      </w:r>
      <w:r>
        <w:rPr>
          <w:szCs w:val="28"/>
        </w:rPr>
        <w:t>ed</w:t>
      </w:r>
      <w:r w:rsidRPr="00956A47">
        <w:rPr>
          <w:szCs w:val="28"/>
        </w:rPr>
        <w:t>, prioritiz</w:t>
      </w:r>
      <w:r>
        <w:rPr>
          <w:szCs w:val="28"/>
        </w:rPr>
        <w:t>ed</w:t>
      </w:r>
      <w:r w:rsidRPr="00956A47">
        <w:rPr>
          <w:szCs w:val="28"/>
        </w:rPr>
        <w:t>, characteriz</w:t>
      </w:r>
      <w:r>
        <w:rPr>
          <w:szCs w:val="28"/>
        </w:rPr>
        <w:t>ed</w:t>
      </w:r>
      <w:r w:rsidRPr="00956A47">
        <w:rPr>
          <w:szCs w:val="28"/>
        </w:rPr>
        <w:t xml:space="preserve">, and </w:t>
      </w:r>
      <w:r>
        <w:rPr>
          <w:szCs w:val="28"/>
        </w:rPr>
        <w:t>if appropriate reported</w:t>
      </w:r>
      <w:r w:rsidRPr="00956A47">
        <w:rPr>
          <w:szCs w:val="28"/>
        </w:rPr>
        <w:t>.</w:t>
      </w:r>
      <w:r>
        <w:rPr>
          <w:szCs w:val="28"/>
        </w:rPr>
        <w:t xml:space="preserve"> Reports containing aggregate data are sent to the CDC Emergency Operations Center and involved public health jurisdictions to provide </w:t>
      </w:r>
      <w:r w:rsidRPr="00CF1485">
        <w:rPr>
          <w:szCs w:val="28"/>
        </w:rPr>
        <w:t xml:space="preserve">public health situation awareness throughout the course of </w:t>
      </w:r>
      <w:r>
        <w:rPr>
          <w:szCs w:val="28"/>
        </w:rPr>
        <w:t>high profile events</w:t>
      </w:r>
      <w:r w:rsidRPr="00CF1485">
        <w:rPr>
          <w:szCs w:val="28"/>
        </w:rPr>
        <w:t xml:space="preserve"> and </w:t>
      </w:r>
      <w:r>
        <w:rPr>
          <w:szCs w:val="28"/>
        </w:rPr>
        <w:t xml:space="preserve">public health emergencies and to VA and </w:t>
      </w:r>
      <w:proofErr w:type="spellStart"/>
      <w:proofErr w:type="gramStart"/>
      <w:r>
        <w:rPr>
          <w:szCs w:val="28"/>
        </w:rPr>
        <w:t>DoD</w:t>
      </w:r>
      <w:proofErr w:type="spellEnd"/>
      <w:proofErr w:type="gramEnd"/>
      <w:r>
        <w:rPr>
          <w:szCs w:val="28"/>
        </w:rPr>
        <w:t xml:space="preserve"> if there is an anomaly involving their data that is considered</w:t>
      </w:r>
      <w:r w:rsidRPr="00CF1485">
        <w:rPr>
          <w:szCs w:val="28"/>
        </w:rPr>
        <w:t xml:space="preserve"> to be of potential public health importance</w:t>
      </w:r>
      <w:r>
        <w:rPr>
          <w:szCs w:val="28"/>
        </w:rPr>
        <w:t xml:space="preserve"> by the Program.</w:t>
      </w:r>
    </w:p>
    <w:p w14:paraId="56C8175A" w14:textId="77777777" w:rsidR="008D75A7" w:rsidRDefault="008D75A7" w:rsidP="008D75A7">
      <w:pPr>
        <w:tabs>
          <w:tab w:val="left" w:pos="3240"/>
        </w:tabs>
        <w:spacing w:after="0"/>
        <w:rPr>
          <w:szCs w:val="28"/>
        </w:rPr>
      </w:pPr>
    </w:p>
    <w:p w14:paraId="5534C9F6" w14:textId="77777777" w:rsidR="008D75A7" w:rsidRPr="006E3D32" w:rsidRDefault="008D75A7" w:rsidP="008D75A7">
      <w:pPr>
        <w:tabs>
          <w:tab w:val="left" w:pos="3240"/>
        </w:tabs>
        <w:spacing w:after="0"/>
        <w:rPr>
          <w:szCs w:val="28"/>
        </w:rPr>
      </w:pPr>
    </w:p>
    <w:p w14:paraId="6534BC47" w14:textId="77777777" w:rsidR="008D75A7" w:rsidRDefault="008D75A7" w:rsidP="008D75A7">
      <w:pPr>
        <w:tabs>
          <w:tab w:val="left" w:pos="3240"/>
        </w:tabs>
        <w:spacing w:after="0"/>
        <w:rPr>
          <w:b/>
          <w:szCs w:val="28"/>
        </w:rPr>
      </w:pPr>
      <w:proofErr w:type="gramStart"/>
      <w:r>
        <w:rPr>
          <w:b/>
          <w:szCs w:val="28"/>
        </w:rPr>
        <w:t xml:space="preserve">17  </w:t>
      </w:r>
      <w:r w:rsidRPr="00BC705D">
        <w:rPr>
          <w:b/>
          <w:szCs w:val="28"/>
        </w:rPr>
        <w:t>Reason</w:t>
      </w:r>
      <w:proofErr w:type="gramEnd"/>
      <w:r w:rsidRPr="00BC705D">
        <w:rPr>
          <w:b/>
          <w:szCs w:val="28"/>
        </w:rPr>
        <w:t>(s) Display of OMB Expiration Date is Inappropriate</w:t>
      </w:r>
    </w:p>
    <w:p w14:paraId="3327EECC" w14:textId="77777777" w:rsidR="008D75A7" w:rsidRPr="00BC705D" w:rsidRDefault="008D75A7" w:rsidP="008D75A7">
      <w:pPr>
        <w:tabs>
          <w:tab w:val="left" w:pos="3240"/>
        </w:tabs>
        <w:spacing w:after="0"/>
        <w:rPr>
          <w:b/>
          <w:szCs w:val="28"/>
        </w:rPr>
      </w:pPr>
    </w:p>
    <w:p w14:paraId="1E00DD61" w14:textId="77777777" w:rsidR="008D75A7" w:rsidRDefault="008D75A7" w:rsidP="008D75A7">
      <w:pPr>
        <w:rPr>
          <w:szCs w:val="28"/>
          <w:u w:val="single"/>
        </w:rPr>
      </w:pPr>
      <w:r w:rsidRPr="001C15AA">
        <w:rPr>
          <w:szCs w:val="28"/>
          <w:u w:val="single"/>
        </w:rPr>
        <w:t>Recruitment</w:t>
      </w:r>
    </w:p>
    <w:p w14:paraId="2239A0D7" w14:textId="77777777" w:rsidR="008D75A7" w:rsidRPr="008B11D2" w:rsidRDefault="008D75A7" w:rsidP="008D75A7">
      <w:pPr>
        <w:rPr>
          <w:szCs w:val="28"/>
        </w:rPr>
      </w:pPr>
      <w:r w:rsidRPr="008B11D2">
        <w:rPr>
          <w:szCs w:val="28"/>
        </w:rPr>
        <w:t xml:space="preserve">There is no collection instrument used in this process. </w:t>
      </w:r>
    </w:p>
    <w:p w14:paraId="17DC2057" w14:textId="77777777" w:rsidR="008D75A7" w:rsidRPr="001C15AA" w:rsidRDefault="008D75A7" w:rsidP="008D75A7">
      <w:pPr>
        <w:rPr>
          <w:szCs w:val="28"/>
          <w:u w:val="single"/>
        </w:rPr>
      </w:pPr>
      <w:r w:rsidRPr="001C15AA">
        <w:rPr>
          <w:szCs w:val="28"/>
          <w:u w:val="single"/>
        </w:rPr>
        <w:t>Web Application Access</w:t>
      </w:r>
    </w:p>
    <w:p w14:paraId="72D160FA" w14:textId="77777777" w:rsidR="008D75A7" w:rsidRDefault="008D75A7" w:rsidP="008D75A7">
      <w:pPr>
        <w:tabs>
          <w:tab w:val="left" w:pos="3240"/>
        </w:tabs>
        <w:rPr>
          <w:szCs w:val="28"/>
        </w:rPr>
      </w:pPr>
      <w:r w:rsidRPr="007E28C5">
        <w:rPr>
          <w:szCs w:val="28"/>
        </w:rPr>
        <w:t xml:space="preserve">It would be inappropriate to display an OMB expiration date on the information collection instrument used to request access to the </w:t>
      </w:r>
      <w:proofErr w:type="spellStart"/>
      <w:r w:rsidRPr="007E28C5">
        <w:rPr>
          <w:szCs w:val="28"/>
        </w:rPr>
        <w:t>BioSense</w:t>
      </w:r>
      <w:proofErr w:type="spellEnd"/>
      <w:r w:rsidRPr="007E28C5">
        <w:rPr>
          <w:szCs w:val="28"/>
        </w:rPr>
        <w:t xml:space="preserve"> </w:t>
      </w:r>
      <w:r>
        <w:rPr>
          <w:szCs w:val="28"/>
        </w:rPr>
        <w:t>2.0 a</w:t>
      </w:r>
      <w:r w:rsidRPr="007E28C5">
        <w:rPr>
          <w:szCs w:val="28"/>
        </w:rPr>
        <w:t xml:space="preserve">pplication.  The information collection site is a submenu </w:t>
      </w:r>
      <w:r>
        <w:rPr>
          <w:szCs w:val="28"/>
        </w:rPr>
        <w:t xml:space="preserve">of </w:t>
      </w:r>
      <w:r w:rsidRPr="00235AD4">
        <w:rPr>
          <w:szCs w:val="28"/>
        </w:rPr>
        <w:t xml:space="preserve">the </w:t>
      </w:r>
      <w:proofErr w:type="spellStart"/>
      <w:r w:rsidRPr="00235AD4">
        <w:rPr>
          <w:szCs w:val="28"/>
        </w:rPr>
        <w:t>BioSense</w:t>
      </w:r>
      <w:proofErr w:type="spellEnd"/>
      <w:r w:rsidRPr="00235AD4">
        <w:rPr>
          <w:szCs w:val="28"/>
        </w:rPr>
        <w:t xml:space="preserve"> 2.0 cloud-enabled, web-based platform that </w:t>
      </w:r>
      <w:r>
        <w:rPr>
          <w:szCs w:val="28"/>
        </w:rPr>
        <w:t xml:space="preserve">is not exclusive to sharing data with CDC. This is where people who desire access to the application can apply regardless of whether or not they are sharing data with CDC’s </w:t>
      </w:r>
      <w:proofErr w:type="spellStart"/>
      <w:r>
        <w:rPr>
          <w:szCs w:val="28"/>
        </w:rPr>
        <w:t>BioSense</w:t>
      </w:r>
      <w:proofErr w:type="spellEnd"/>
      <w:r>
        <w:rPr>
          <w:szCs w:val="28"/>
        </w:rPr>
        <w:t xml:space="preserve"> Program.</w:t>
      </w:r>
      <w:r w:rsidRPr="00C47326">
        <w:rPr>
          <w:szCs w:val="28"/>
        </w:rPr>
        <w:t xml:space="preserve"> (</w:t>
      </w:r>
      <w:r w:rsidRPr="00C47326">
        <w:rPr>
          <w:b/>
          <w:szCs w:val="28"/>
        </w:rPr>
        <w:t xml:space="preserve">Attachment </w:t>
      </w:r>
      <w:r>
        <w:rPr>
          <w:b/>
          <w:szCs w:val="28"/>
        </w:rPr>
        <w:t>3</w:t>
      </w:r>
      <w:r w:rsidRPr="00C47326">
        <w:rPr>
          <w:szCs w:val="28"/>
        </w:rPr>
        <w:t>)</w:t>
      </w:r>
    </w:p>
    <w:p w14:paraId="65823993" w14:textId="77777777" w:rsidR="008D75A7" w:rsidRPr="007E28C5" w:rsidRDefault="008D75A7" w:rsidP="008D75A7">
      <w:pPr>
        <w:tabs>
          <w:tab w:val="left" w:pos="3240"/>
        </w:tabs>
        <w:rPr>
          <w:szCs w:val="28"/>
        </w:rPr>
      </w:pPr>
      <w:r w:rsidRPr="007E28C5">
        <w:rPr>
          <w:szCs w:val="28"/>
          <w:u w:val="single"/>
        </w:rPr>
        <w:t>Data Collection</w:t>
      </w:r>
    </w:p>
    <w:p w14:paraId="4FE7A5AD" w14:textId="77777777" w:rsidR="008D75A7" w:rsidRDefault="008D75A7" w:rsidP="008D75A7">
      <w:pPr>
        <w:tabs>
          <w:tab w:val="left" w:pos="2520"/>
          <w:tab w:val="left" w:pos="3240"/>
        </w:tabs>
        <w:spacing w:after="0"/>
        <w:rPr>
          <w:szCs w:val="28"/>
        </w:rPr>
      </w:pPr>
      <w:r>
        <w:rPr>
          <w:szCs w:val="28"/>
        </w:rPr>
        <w:t xml:space="preserve">It would be inappropriate to display an OMB expiration date on the information collection instrument used to voluntarily allow data sharing. The information collection instrument is a submenu of the </w:t>
      </w:r>
      <w:proofErr w:type="spellStart"/>
      <w:r>
        <w:rPr>
          <w:szCs w:val="28"/>
        </w:rPr>
        <w:t>BioSense</w:t>
      </w:r>
      <w:proofErr w:type="spellEnd"/>
      <w:r>
        <w:rPr>
          <w:szCs w:val="28"/>
        </w:rPr>
        <w:t xml:space="preserve"> 2.0 </w:t>
      </w:r>
      <w:r w:rsidRPr="00235AD4">
        <w:rPr>
          <w:szCs w:val="28"/>
        </w:rPr>
        <w:t xml:space="preserve">cloud-enabled, web-based platform </w:t>
      </w:r>
      <w:r>
        <w:rPr>
          <w:szCs w:val="28"/>
        </w:rPr>
        <w:t xml:space="preserve">that is not exclusive to sharing with CDC. This submenu allows for the selection of sharing with any other public health jurisdictions participating in </w:t>
      </w:r>
      <w:proofErr w:type="spellStart"/>
      <w:r>
        <w:rPr>
          <w:szCs w:val="28"/>
        </w:rPr>
        <w:t>BioSense</w:t>
      </w:r>
      <w:proofErr w:type="spellEnd"/>
      <w:r>
        <w:rPr>
          <w:szCs w:val="28"/>
        </w:rPr>
        <w:t xml:space="preserve"> 2.0 with or without inclusion of CDC’s </w:t>
      </w:r>
      <w:proofErr w:type="spellStart"/>
      <w:r>
        <w:rPr>
          <w:szCs w:val="28"/>
        </w:rPr>
        <w:t>BioSense</w:t>
      </w:r>
      <w:proofErr w:type="spellEnd"/>
      <w:r>
        <w:rPr>
          <w:szCs w:val="28"/>
        </w:rPr>
        <w:t xml:space="preserve"> Program.  </w:t>
      </w:r>
      <w:r w:rsidRPr="00C47326">
        <w:rPr>
          <w:szCs w:val="28"/>
        </w:rPr>
        <w:t>(</w:t>
      </w:r>
      <w:r w:rsidRPr="00C47326">
        <w:rPr>
          <w:b/>
          <w:szCs w:val="28"/>
        </w:rPr>
        <w:t xml:space="preserve">Attachment </w:t>
      </w:r>
      <w:r>
        <w:rPr>
          <w:b/>
          <w:szCs w:val="28"/>
        </w:rPr>
        <w:t>5</w:t>
      </w:r>
      <w:r w:rsidRPr="00C47326">
        <w:rPr>
          <w:szCs w:val="28"/>
        </w:rPr>
        <w:t>)</w:t>
      </w:r>
    </w:p>
    <w:p w14:paraId="04CBBF8F" w14:textId="77777777" w:rsidR="008D75A7" w:rsidRDefault="008D75A7" w:rsidP="008D75A7">
      <w:pPr>
        <w:tabs>
          <w:tab w:val="left" w:pos="3240"/>
        </w:tabs>
        <w:spacing w:after="0"/>
        <w:rPr>
          <w:szCs w:val="28"/>
        </w:rPr>
      </w:pPr>
    </w:p>
    <w:p w14:paraId="17807F08" w14:textId="77777777" w:rsidR="008D75A7" w:rsidRPr="00BB29F8" w:rsidRDefault="008D75A7" w:rsidP="008D75A7">
      <w:pPr>
        <w:tabs>
          <w:tab w:val="left" w:pos="3240"/>
        </w:tabs>
        <w:spacing w:after="0"/>
        <w:rPr>
          <w:szCs w:val="28"/>
        </w:rPr>
      </w:pPr>
    </w:p>
    <w:p w14:paraId="37962495" w14:textId="77777777" w:rsidR="008D75A7" w:rsidRDefault="008D75A7" w:rsidP="008D75A7">
      <w:pPr>
        <w:tabs>
          <w:tab w:val="left" w:pos="3240"/>
        </w:tabs>
        <w:spacing w:after="0"/>
        <w:rPr>
          <w:b/>
          <w:szCs w:val="28"/>
        </w:rPr>
      </w:pPr>
      <w:proofErr w:type="gramStart"/>
      <w:r>
        <w:rPr>
          <w:b/>
          <w:szCs w:val="28"/>
        </w:rPr>
        <w:t xml:space="preserve">18  </w:t>
      </w:r>
      <w:r w:rsidRPr="00A569C1">
        <w:rPr>
          <w:b/>
          <w:szCs w:val="28"/>
        </w:rPr>
        <w:t>Exception</w:t>
      </w:r>
      <w:proofErr w:type="gramEnd"/>
      <w:r w:rsidRPr="00A569C1">
        <w:rPr>
          <w:b/>
          <w:szCs w:val="28"/>
        </w:rPr>
        <w:t xml:space="preserve"> to Certification for Paperwork Reduction Act Submissions</w:t>
      </w:r>
      <w:r w:rsidRPr="00BC705D">
        <w:rPr>
          <w:b/>
          <w:szCs w:val="28"/>
        </w:rPr>
        <w:t xml:space="preserve"> </w:t>
      </w:r>
    </w:p>
    <w:p w14:paraId="16063755" w14:textId="77777777" w:rsidR="008D75A7" w:rsidRDefault="008D75A7" w:rsidP="008D75A7">
      <w:pPr>
        <w:tabs>
          <w:tab w:val="left" w:pos="3240"/>
        </w:tabs>
        <w:spacing w:after="0"/>
        <w:rPr>
          <w:b/>
          <w:szCs w:val="28"/>
        </w:rPr>
      </w:pPr>
    </w:p>
    <w:p w14:paraId="07856B22" w14:textId="77777777" w:rsidR="008D75A7" w:rsidRDefault="008D75A7" w:rsidP="008D75A7">
      <w:pPr>
        <w:tabs>
          <w:tab w:val="left" w:pos="3240"/>
        </w:tabs>
        <w:rPr>
          <w:szCs w:val="28"/>
          <w:u w:val="single"/>
        </w:rPr>
      </w:pPr>
      <w:r w:rsidRPr="00E15D9B">
        <w:rPr>
          <w:szCs w:val="28"/>
          <w:u w:val="single"/>
        </w:rPr>
        <w:t>Recruitment</w:t>
      </w:r>
    </w:p>
    <w:p w14:paraId="246BB41F" w14:textId="77777777" w:rsidR="008D75A7" w:rsidRPr="00E15D9B" w:rsidRDefault="008D75A7" w:rsidP="008D75A7">
      <w:pPr>
        <w:tabs>
          <w:tab w:val="left" w:pos="3240"/>
        </w:tabs>
        <w:rPr>
          <w:szCs w:val="28"/>
        </w:rPr>
      </w:pPr>
      <w:r>
        <w:rPr>
          <w:szCs w:val="28"/>
        </w:rPr>
        <w:t>There are no exceptions to the certification</w:t>
      </w:r>
    </w:p>
    <w:p w14:paraId="52E9C8A6" w14:textId="77777777" w:rsidR="008D75A7" w:rsidRDefault="008D75A7" w:rsidP="008D75A7">
      <w:pPr>
        <w:tabs>
          <w:tab w:val="left" w:pos="3240"/>
        </w:tabs>
        <w:rPr>
          <w:szCs w:val="28"/>
          <w:u w:val="single"/>
        </w:rPr>
      </w:pPr>
      <w:r w:rsidRPr="00E15D9B">
        <w:rPr>
          <w:szCs w:val="28"/>
          <w:u w:val="single"/>
        </w:rPr>
        <w:t>Web Application Access</w:t>
      </w:r>
    </w:p>
    <w:p w14:paraId="6DC37BC4" w14:textId="77777777" w:rsidR="008D75A7" w:rsidRPr="00E15D9B" w:rsidRDefault="008D75A7" w:rsidP="008D75A7">
      <w:pPr>
        <w:tabs>
          <w:tab w:val="left" w:pos="3240"/>
        </w:tabs>
        <w:rPr>
          <w:szCs w:val="28"/>
        </w:rPr>
      </w:pPr>
      <w:r>
        <w:rPr>
          <w:szCs w:val="28"/>
        </w:rPr>
        <w:t>There are no exceptions to the certification</w:t>
      </w:r>
    </w:p>
    <w:p w14:paraId="7F700AE1" w14:textId="77777777" w:rsidR="008D75A7" w:rsidRPr="00E15D9B" w:rsidRDefault="008D75A7" w:rsidP="008D75A7">
      <w:pPr>
        <w:tabs>
          <w:tab w:val="left" w:pos="3240"/>
        </w:tabs>
        <w:rPr>
          <w:szCs w:val="28"/>
          <w:u w:val="single"/>
        </w:rPr>
      </w:pPr>
      <w:r w:rsidRPr="00E15D9B">
        <w:rPr>
          <w:szCs w:val="28"/>
          <w:u w:val="single"/>
        </w:rPr>
        <w:t>Data Collection</w:t>
      </w:r>
    </w:p>
    <w:p w14:paraId="78AE82E3" w14:textId="1E91FC83" w:rsidR="00E15D9B" w:rsidRPr="008D75A7" w:rsidRDefault="008D75A7" w:rsidP="009F763C">
      <w:pPr>
        <w:tabs>
          <w:tab w:val="left" w:pos="3240"/>
        </w:tabs>
      </w:pPr>
      <w:r>
        <w:rPr>
          <w:szCs w:val="28"/>
        </w:rPr>
        <w:t>There are no exceptions to the certification</w:t>
      </w:r>
    </w:p>
    <w:sectPr w:rsidR="00E15D9B" w:rsidRPr="008D75A7" w:rsidSect="004007FA">
      <w:footerReference w:type="default" r:id="rId21"/>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E82E8" w14:textId="77777777" w:rsidR="009B6FE5" w:rsidRDefault="009B6FE5" w:rsidP="001C15AA">
      <w:pPr>
        <w:spacing w:after="0" w:line="240" w:lineRule="auto"/>
      </w:pPr>
      <w:r>
        <w:separator/>
      </w:r>
    </w:p>
  </w:endnote>
  <w:endnote w:type="continuationSeparator" w:id="0">
    <w:p w14:paraId="78AE82E9" w14:textId="77777777" w:rsidR="009B6FE5" w:rsidRDefault="009B6FE5" w:rsidP="001C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931543"/>
      <w:docPartObj>
        <w:docPartGallery w:val="Page Numbers (Bottom of Page)"/>
        <w:docPartUnique/>
      </w:docPartObj>
    </w:sdtPr>
    <w:sdtEndPr/>
    <w:sdtContent>
      <w:sdt>
        <w:sdtPr>
          <w:id w:val="860082579"/>
          <w:docPartObj>
            <w:docPartGallery w:val="Page Numbers (Top of Page)"/>
            <w:docPartUnique/>
          </w:docPartObj>
        </w:sdtPr>
        <w:sdtEndPr/>
        <w:sdtContent>
          <w:p w14:paraId="78AE82EA" w14:textId="77777777" w:rsidR="009B6FE5" w:rsidRDefault="009B6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06E5">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06E5">
              <w:rPr>
                <w:b/>
                <w:bCs/>
                <w:noProof/>
              </w:rPr>
              <w:t>21</w:t>
            </w:r>
            <w:r>
              <w:rPr>
                <w:b/>
                <w:bCs/>
                <w:sz w:val="24"/>
                <w:szCs w:val="24"/>
              </w:rPr>
              <w:fldChar w:fldCharType="end"/>
            </w:r>
          </w:p>
        </w:sdtContent>
      </w:sdt>
    </w:sdtContent>
  </w:sdt>
  <w:p w14:paraId="78AE82EB" w14:textId="77777777" w:rsidR="009B6FE5" w:rsidRDefault="009B6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E82E6" w14:textId="77777777" w:rsidR="009B6FE5" w:rsidRDefault="009B6FE5" w:rsidP="001C15AA">
      <w:pPr>
        <w:spacing w:after="0" w:line="240" w:lineRule="auto"/>
      </w:pPr>
      <w:r>
        <w:separator/>
      </w:r>
    </w:p>
  </w:footnote>
  <w:footnote w:type="continuationSeparator" w:id="0">
    <w:p w14:paraId="78AE82E7" w14:textId="77777777" w:rsidR="009B6FE5" w:rsidRDefault="009B6FE5" w:rsidP="001C1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69A3"/>
    <w:multiLevelType w:val="hybridMultilevel"/>
    <w:tmpl w:val="7B780658"/>
    <w:lvl w:ilvl="0" w:tplc="DBD2BE10">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007DF4"/>
    <w:multiLevelType w:val="hybridMultilevel"/>
    <w:tmpl w:val="77906A76"/>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FD050B8"/>
    <w:multiLevelType w:val="hybridMultilevel"/>
    <w:tmpl w:val="DE32E16A"/>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11A87B70"/>
    <w:multiLevelType w:val="hybridMultilevel"/>
    <w:tmpl w:val="D7987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142614E">
      <w:start w:val="1"/>
      <w:numFmt w:val="decimal"/>
      <w:lvlText w:val="%4"/>
      <w:lvlJc w:val="left"/>
      <w:pPr>
        <w:ind w:left="2880" w:hanging="360"/>
      </w:pPr>
      <w:rPr>
        <w:rFonts w:hint="default"/>
      </w:rPr>
    </w:lvl>
    <w:lvl w:ilvl="4" w:tplc="1EE48148">
      <w:start w:val="1"/>
      <w:numFmt w:val="decimal"/>
      <w:lvlText w:val="%5"/>
      <w:lvlJc w:val="left"/>
      <w:pPr>
        <w:ind w:left="3600" w:hanging="360"/>
      </w:pPr>
      <w:rPr>
        <w:rFonts w:hint="default"/>
      </w:rPr>
    </w:lvl>
    <w:lvl w:ilvl="5" w:tplc="D82EE2D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751C7"/>
    <w:multiLevelType w:val="hybridMultilevel"/>
    <w:tmpl w:val="F8DE0A68"/>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16D94559"/>
    <w:multiLevelType w:val="hybridMultilevel"/>
    <w:tmpl w:val="7ADE1794"/>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1C906A68"/>
    <w:multiLevelType w:val="hybridMultilevel"/>
    <w:tmpl w:val="D478C0B8"/>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1F8D0A85"/>
    <w:multiLevelType w:val="hybridMultilevel"/>
    <w:tmpl w:val="88CA2E00"/>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24AE6E45"/>
    <w:multiLevelType w:val="hybridMultilevel"/>
    <w:tmpl w:val="416AF900"/>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27C73FF0"/>
    <w:multiLevelType w:val="hybridMultilevel"/>
    <w:tmpl w:val="5944DCF2"/>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28521205"/>
    <w:multiLevelType w:val="hybridMultilevel"/>
    <w:tmpl w:val="67B88A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AFD62D5"/>
    <w:multiLevelType w:val="hybridMultilevel"/>
    <w:tmpl w:val="9A925EEA"/>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2D5C64CF"/>
    <w:multiLevelType w:val="hybridMultilevel"/>
    <w:tmpl w:val="318E59C4"/>
    <w:lvl w:ilvl="0" w:tplc="04090019">
      <w:start w:val="1"/>
      <w:numFmt w:val="lowerLetter"/>
      <w:lvlText w:val="%1."/>
      <w:lvlJc w:val="left"/>
      <w:pPr>
        <w:ind w:left="3960" w:hanging="360"/>
      </w:pPr>
    </w:lvl>
    <w:lvl w:ilvl="1" w:tplc="04090001">
      <w:start w:val="1"/>
      <w:numFmt w:val="bullet"/>
      <w:lvlText w:val=""/>
      <w:lvlJc w:val="left"/>
      <w:pPr>
        <w:ind w:left="4680" w:hanging="360"/>
      </w:pPr>
      <w:rPr>
        <w:rFonts w:ascii="Symbol" w:hAnsi="Symbol" w:hint="default"/>
      </w:r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2EBE796E"/>
    <w:multiLevelType w:val="multilevel"/>
    <w:tmpl w:val="CCDE0D0E"/>
    <w:lvl w:ilvl="0">
      <w:start w:val="1"/>
      <w:numFmt w:val="decimal"/>
      <w:lvlText w:val="%1"/>
      <w:lvlJc w:val="left"/>
      <w:pPr>
        <w:ind w:left="372" w:hanging="372"/>
      </w:pPr>
      <w:rPr>
        <w:rFonts w:hint="default"/>
      </w:rPr>
    </w:lvl>
    <w:lvl w:ilvl="1">
      <w:start w:val="1"/>
      <w:numFmt w:val="decimal"/>
      <w:lvlText w:val="%1.%2"/>
      <w:lvlJc w:val="left"/>
      <w:pPr>
        <w:ind w:left="2892" w:hanging="372"/>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
    <w:nsid w:val="37C073B1"/>
    <w:multiLevelType w:val="hybridMultilevel"/>
    <w:tmpl w:val="513E0D00"/>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nsid w:val="40071BFE"/>
    <w:multiLevelType w:val="hybridMultilevel"/>
    <w:tmpl w:val="279C0BD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nsid w:val="40C918A1"/>
    <w:multiLevelType w:val="hybridMultilevel"/>
    <w:tmpl w:val="14F07A7A"/>
    <w:lvl w:ilvl="0" w:tplc="04090019">
      <w:start w:val="1"/>
      <w:numFmt w:val="lowerLetter"/>
      <w:lvlText w:val="%1."/>
      <w:lvlJc w:val="left"/>
      <w:pPr>
        <w:ind w:left="3960" w:hanging="360"/>
      </w:pPr>
    </w:lvl>
    <w:lvl w:ilvl="1" w:tplc="04090001">
      <w:start w:val="1"/>
      <w:numFmt w:val="bullet"/>
      <w:lvlText w:val=""/>
      <w:lvlJc w:val="left"/>
      <w:pPr>
        <w:ind w:left="4680" w:hanging="360"/>
      </w:pPr>
      <w:rPr>
        <w:rFonts w:ascii="Symbol" w:hAnsi="Symbol" w:hint="default"/>
      </w:rPr>
    </w:lvl>
    <w:lvl w:ilvl="2" w:tplc="04090001">
      <w:start w:val="1"/>
      <w:numFmt w:val="bullet"/>
      <w:lvlText w:val=""/>
      <w:lvlJc w:val="left"/>
      <w:pPr>
        <w:ind w:left="5400" w:hanging="180"/>
      </w:pPr>
      <w:rPr>
        <w:rFonts w:ascii="Symbol" w:hAnsi="Symbol" w:hint="default"/>
      </w:r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nsid w:val="44233466"/>
    <w:multiLevelType w:val="hybridMultilevel"/>
    <w:tmpl w:val="EFB0CCA0"/>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nsid w:val="480D5037"/>
    <w:multiLevelType w:val="multilevel"/>
    <w:tmpl w:val="940AB98A"/>
    <w:lvl w:ilvl="0">
      <w:start w:val="1"/>
      <w:numFmt w:val="decimal"/>
      <w:lvlText w:val="%1"/>
      <w:lvlJc w:val="left"/>
      <w:pPr>
        <w:ind w:left="372" w:hanging="372"/>
      </w:pPr>
      <w:rPr>
        <w:rFonts w:hint="default"/>
      </w:rPr>
    </w:lvl>
    <w:lvl w:ilvl="1">
      <w:start w:val="1"/>
      <w:numFmt w:val="decimal"/>
      <w:lvlText w:val="%1.%2"/>
      <w:lvlJc w:val="left"/>
      <w:pPr>
        <w:ind w:left="2892" w:hanging="372"/>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9">
    <w:nsid w:val="487334F4"/>
    <w:multiLevelType w:val="hybridMultilevel"/>
    <w:tmpl w:val="4D169388"/>
    <w:lvl w:ilvl="0" w:tplc="04090019">
      <w:start w:val="1"/>
      <w:numFmt w:val="lowerLetter"/>
      <w:lvlText w:val="%1."/>
      <w:lvlJc w:val="left"/>
      <w:pPr>
        <w:ind w:left="3960" w:hanging="360"/>
      </w:pPr>
    </w:lvl>
    <w:lvl w:ilvl="1" w:tplc="04090001">
      <w:start w:val="1"/>
      <w:numFmt w:val="bullet"/>
      <w:lvlText w:val=""/>
      <w:lvlJc w:val="left"/>
      <w:pPr>
        <w:ind w:left="4680" w:hanging="360"/>
      </w:pPr>
      <w:rPr>
        <w:rFonts w:ascii="Symbol" w:hAnsi="Symbol" w:hint="default"/>
      </w:rPr>
    </w:lvl>
    <w:lvl w:ilvl="2" w:tplc="04090001">
      <w:start w:val="1"/>
      <w:numFmt w:val="bullet"/>
      <w:lvlText w:val=""/>
      <w:lvlJc w:val="left"/>
      <w:pPr>
        <w:ind w:left="5400" w:hanging="180"/>
      </w:pPr>
      <w:rPr>
        <w:rFonts w:ascii="Symbol" w:hAnsi="Symbol" w:hint="default"/>
      </w:r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nsid w:val="4F2C0233"/>
    <w:multiLevelType w:val="multilevel"/>
    <w:tmpl w:val="940AB98A"/>
    <w:lvl w:ilvl="0">
      <w:start w:val="1"/>
      <w:numFmt w:val="decimal"/>
      <w:lvlText w:val="%1"/>
      <w:lvlJc w:val="left"/>
      <w:pPr>
        <w:ind w:left="372" w:hanging="372"/>
      </w:pPr>
      <w:rPr>
        <w:rFonts w:hint="default"/>
      </w:rPr>
    </w:lvl>
    <w:lvl w:ilvl="1">
      <w:start w:val="1"/>
      <w:numFmt w:val="decimal"/>
      <w:lvlText w:val="%1.%2"/>
      <w:lvlJc w:val="left"/>
      <w:pPr>
        <w:ind w:left="2892" w:hanging="372"/>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1">
    <w:nsid w:val="4FE12262"/>
    <w:multiLevelType w:val="hybridMultilevel"/>
    <w:tmpl w:val="687E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01684B"/>
    <w:multiLevelType w:val="hybridMultilevel"/>
    <w:tmpl w:val="EFB0CCA0"/>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nsid w:val="59177E8E"/>
    <w:multiLevelType w:val="hybridMultilevel"/>
    <w:tmpl w:val="BEC28850"/>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nsid w:val="5DF256DA"/>
    <w:multiLevelType w:val="hybridMultilevel"/>
    <w:tmpl w:val="535A0E1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nsid w:val="63EA555C"/>
    <w:multiLevelType w:val="multilevel"/>
    <w:tmpl w:val="2982DD2E"/>
    <w:lvl w:ilvl="0">
      <w:start w:val="1"/>
      <w:numFmt w:val="decimal"/>
      <w:lvlText w:val="%1"/>
      <w:lvlJc w:val="left"/>
      <w:pPr>
        <w:ind w:left="372" w:hanging="372"/>
      </w:pPr>
      <w:rPr>
        <w:rFonts w:hint="default"/>
      </w:rPr>
    </w:lvl>
    <w:lvl w:ilvl="1">
      <w:start w:val="3"/>
      <w:numFmt w:val="decimal"/>
      <w:lvlText w:val="%1.%2"/>
      <w:lvlJc w:val="left"/>
      <w:pPr>
        <w:ind w:left="2892" w:hanging="372"/>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6">
    <w:nsid w:val="655E2037"/>
    <w:multiLevelType w:val="hybridMultilevel"/>
    <w:tmpl w:val="3A9AB870"/>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nsid w:val="66E70A61"/>
    <w:multiLevelType w:val="hybridMultilevel"/>
    <w:tmpl w:val="D76E1DD4"/>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nsid w:val="69720F82"/>
    <w:multiLevelType w:val="hybridMultilevel"/>
    <w:tmpl w:val="5944DCF2"/>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nsid w:val="6E684908"/>
    <w:multiLevelType w:val="hybridMultilevel"/>
    <w:tmpl w:val="0D561178"/>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nsid w:val="74856FA2"/>
    <w:multiLevelType w:val="hybridMultilevel"/>
    <w:tmpl w:val="BC98BE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8867B46"/>
    <w:multiLevelType w:val="hybridMultilevel"/>
    <w:tmpl w:val="1272F3FA"/>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nsid w:val="7A4452B2"/>
    <w:multiLevelType w:val="hybridMultilevel"/>
    <w:tmpl w:val="8E5265FC"/>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nsid w:val="7E072F9B"/>
    <w:multiLevelType w:val="hybridMultilevel"/>
    <w:tmpl w:val="1FCC1D94"/>
    <w:lvl w:ilvl="0" w:tplc="04090019">
      <w:start w:val="1"/>
      <w:numFmt w:val="lowerLetter"/>
      <w:lvlText w:val="%1."/>
      <w:lvlJc w:val="left"/>
      <w:pPr>
        <w:ind w:left="3960" w:hanging="360"/>
      </w:pPr>
    </w:lvl>
    <w:lvl w:ilvl="1" w:tplc="04090001">
      <w:start w:val="1"/>
      <w:numFmt w:val="bullet"/>
      <w:lvlText w:val=""/>
      <w:lvlJc w:val="left"/>
      <w:pPr>
        <w:ind w:left="4680" w:hanging="360"/>
      </w:pPr>
      <w:rPr>
        <w:rFonts w:ascii="Symbol" w:hAnsi="Symbol" w:hint="default"/>
      </w:r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0"/>
  </w:num>
  <w:num w:numId="3">
    <w:abstractNumId w:val="13"/>
  </w:num>
  <w:num w:numId="4">
    <w:abstractNumId w:val="18"/>
  </w:num>
  <w:num w:numId="5">
    <w:abstractNumId w:val="20"/>
  </w:num>
  <w:num w:numId="6">
    <w:abstractNumId w:val="25"/>
  </w:num>
  <w:num w:numId="7">
    <w:abstractNumId w:val="7"/>
  </w:num>
  <w:num w:numId="8">
    <w:abstractNumId w:val="23"/>
  </w:num>
  <w:num w:numId="9">
    <w:abstractNumId w:val="11"/>
  </w:num>
  <w:num w:numId="10">
    <w:abstractNumId w:val="6"/>
  </w:num>
  <w:num w:numId="11">
    <w:abstractNumId w:val="2"/>
  </w:num>
  <w:num w:numId="12">
    <w:abstractNumId w:val="24"/>
  </w:num>
  <w:num w:numId="13">
    <w:abstractNumId w:val="15"/>
  </w:num>
  <w:num w:numId="14">
    <w:abstractNumId w:val="8"/>
  </w:num>
  <w:num w:numId="15">
    <w:abstractNumId w:val="33"/>
  </w:num>
  <w:num w:numId="16">
    <w:abstractNumId w:val="16"/>
  </w:num>
  <w:num w:numId="17">
    <w:abstractNumId w:val="9"/>
  </w:num>
  <w:num w:numId="18">
    <w:abstractNumId w:val="28"/>
  </w:num>
  <w:num w:numId="19">
    <w:abstractNumId w:val="5"/>
  </w:num>
  <w:num w:numId="20">
    <w:abstractNumId w:val="32"/>
  </w:num>
  <w:num w:numId="21">
    <w:abstractNumId w:val="12"/>
  </w:num>
  <w:num w:numId="22">
    <w:abstractNumId w:val="19"/>
  </w:num>
  <w:num w:numId="23">
    <w:abstractNumId w:val="31"/>
  </w:num>
  <w:num w:numId="24">
    <w:abstractNumId w:val="4"/>
  </w:num>
  <w:num w:numId="25">
    <w:abstractNumId w:val="26"/>
  </w:num>
  <w:num w:numId="26">
    <w:abstractNumId w:val="29"/>
  </w:num>
  <w:num w:numId="27">
    <w:abstractNumId w:val="1"/>
  </w:num>
  <w:num w:numId="28">
    <w:abstractNumId w:val="17"/>
  </w:num>
  <w:num w:numId="29">
    <w:abstractNumId w:val="22"/>
  </w:num>
  <w:num w:numId="30">
    <w:abstractNumId w:val="14"/>
  </w:num>
  <w:num w:numId="31">
    <w:abstractNumId w:val="2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81"/>
    <w:rsid w:val="00001C8F"/>
    <w:rsid w:val="0000457D"/>
    <w:rsid w:val="00005561"/>
    <w:rsid w:val="000120FC"/>
    <w:rsid w:val="00012737"/>
    <w:rsid w:val="00017AFC"/>
    <w:rsid w:val="000248C3"/>
    <w:rsid w:val="00024C8E"/>
    <w:rsid w:val="0003296F"/>
    <w:rsid w:val="000359F6"/>
    <w:rsid w:val="00056952"/>
    <w:rsid w:val="00085C14"/>
    <w:rsid w:val="0009064A"/>
    <w:rsid w:val="000911B8"/>
    <w:rsid w:val="0009127E"/>
    <w:rsid w:val="000A2E41"/>
    <w:rsid w:val="000A465E"/>
    <w:rsid w:val="000D1A81"/>
    <w:rsid w:val="000D21D3"/>
    <w:rsid w:val="000D4C58"/>
    <w:rsid w:val="000E7AA8"/>
    <w:rsid w:val="000E7FDD"/>
    <w:rsid w:val="000F06AD"/>
    <w:rsid w:val="000F3565"/>
    <w:rsid w:val="00105974"/>
    <w:rsid w:val="00112E2C"/>
    <w:rsid w:val="001309F9"/>
    <w:rsid w:val="00131560"/>
    <w:rsid w:val="00133E23"/>
    <w:rsid w:val="00144C1D"/>
    <w:rsid w:val="001473BB"/>
    <w:rsid w:val="0015396F"/>
    <w:rsid w:val="00157FA8"/>
    <w:rsid w:val="0016505F"/>
    <w:rsid w:val="00185245"/>
    <w:rsid w:val="00187824"/>
    <w:rsid w:val="001911CC"/>
    <w:rsid w:val="00191EE7"/>
    <w:rsid w:val="00192530"/>
    <w:rsid w:val="00196CB7"/>
    <w:rsid w:val="001B5553"/>
    <w:rsid w:val="001C15AA"/>
    <w:rsid w:val="001D1148"/>
    <w:rsid w:val="001D6DA9"/>
    <w:rsid w:val="001F4388"/>
    <w:rsid w:val="001F6589"/>
    <w:rsid w:val="002007C9"/>
    <w:rsid w:val="002104ED"/>
    <w:rsid w:val="00235AD4"/>
    <w:rsid w:val="0024109B"/>
    <w:rsid w:val="002448F8"/>
    <w:rsid w:val="00245597"/>
    <w:rsid w:val="00254D00"/>
    <w:rsid w:val="002609D0"/>
    <w:rsid w:val="0028205D"/>
    <w:rsid w:val="0028269B"/>
    <w:rsid w:val="002865A4"/>
    <w:rsid w:val="0028694A"/>
    <w:rsid w:val="0029529B"/>
    <w:rsid w:val="002978F3"/>
    <w:rsid w:val="002C740F"/>
    <w:rsid w:val="002F4A41"/>
    <w:rsid w:val="002F6D93"/>
    <w:rsid w:val="00307673"/>
    <w:rsid w:val="00317E35"/>
    <w:rsid w:val="00325296"/>
    <w:rsid w:val="00337218"/>
    <w:rsid w:val="0035684F"/>
    <w:rsid w:val="00362284"/>
    <w:rsid w:val="00372FEE"/>
    <w:rsid w:val="00375459"/>
    <w:rsid w:val="003764CC"/>
    <w:rsid w:val="00376C3B"/>
    <w:rsid w:val="00382456"/>
    <w:rsid w:val="003824BB"/>
    <w:rsid w:val="00383DFB"/>
    <w:rsid w:val="003B5531"/>
    <w:rsid w:val="003B57AD"/>
    <w:rsid w:val="003C1205"/>
    <w:rsid w:val="003D64E5"/>
    <w:rsid w:val="003E0FDB"/>
    <w:rsid w:val="003E1377"/>
    <w:rsid w:val="003E2AB3"/>
    <w:rsid w:val="003F0577"/>
    <w:rsid w:val="003F3885"/>
    <w:rsid w:val="003F4DBA"/>
    <w:rsid w:val="003F66D0"/>
    <w:rsid w:val="003F735E"/>
    <w:rsid w:val="004007FA"/>
    <w:rsid w:val="00403202"/>
    <w:rsid w:val="00410136"/>
    <w:rsid w:val="00425495"/>
    <w:rsid w:val="004409B6"/>
    <w:rsid w:val="00442B0E"/>
    <w:rsid w:val="004443C1"/>
    <w:rsid w:val="004638CB"/>
    <w:rsid w:val="004653FB"/>
    <w:rsid w:val="00465D3D"/>
    <w:rsid w:val="00465EA1"/>
    <w:rsid w:val="00472F87"/>
    <w:rsid w:val="004775E5"/>
    <w:rsid w:val="004822FE"/>
    <w:rsid w:val="00486A60"/>
    <w:rsid w:val="004906E5"/>
    <w:rsid w:val="004938EC"/>
    <w:rsid w:val="004A2B2B"/>
    <w:rsid w:val="004B3311"/>
    <w:rsid w:val="004D6798"/>
    <w:rsid w:val="004D6D4E"/>
    <w:rsid w:val="004D71A0"/>
    <w:rsid w:val="004F21C3"/>
    <w:rsid w:val="004F609F"/>
    <w:rsid w:val="00512439"/>
    <w:rsid w:val="00512454"/>
    <w:rsid w:val="005161E6"/>
    <w:rsid w:val="00521AAE"/>
    <w:rsid w:val="00537431"/>
    <w:rsid w:val="00541723"/>
    <w:rsid w:val="005519A9"/>
    <w:rsid w:val="005529C2"/>
    <w:rsid w:val="00554FA6"/>
    <w:rsid w:val="00557D1F"/>
    <w:rsid w:val="00563AA8"/>
    <w:rsid w:val="005727AB"/>
    <w:rsid w:val="005732E7"/>
    <w:rsid w:val="00575364"/>
    <w:rsid w:val="0058378F"/>
    <w:rsid w:val="005861A6"/>
    <w:rsid w:val="005927E9"/>
    <w:rsid w:val="005A1CC8"/>
    <w:rsid w:val="005A5CA9"/>
    <w:rsid w:val="005A7432"/>
    <w:rsid w:val="005B1779"/>
    <w:rsid w:val="005C221D"/>
    <w:rsid w:val="005D5E7B"/>
    <w:rsid w:val="005E062E"/>
    <w:rsid w:val="005E1DB6"/>
    <w:rsid w:val="005E6C55"/>
    <w:rsid w:val="005E7372"/>
    <w:rsid w:val="005F3B46"/>
    <w:rsid w:val="005F5036"/>
    <w:rsid w:val="00600606"/>
    <w:rsid w:val="00602640"/>
    <w:rsid w:val="0060338F"/>
    <w:rsid w:val="006227FB"/>
    <w:rsid w:val="00634A89"/>
    <w:rsid w:val="006367A7"/>
    <w:rsid w:val="0064370F"/>
    <w:rsid w:val="00647622"/>
    <w:rsid w:val="00650D09"/>
    <w:rsid w:val="00650E7A"/>
    <w:rsid w:val="00650FBC"/>
    <w:rsid w:val="006579E9"/>
    <w:rsid w:val="006646A3"/>
    <w:rsid w:val="00665094"/>
    <w:rsid w:val="006800B9"/>
    <w:rsid w:val="006A38F4"/>
    <w:rsid w:val="006B1206"/>
    <w:rsid w:val="006B425D"/>
    <w:rsid w:val="006C47BB"/>
    <w:rsid w:val="006C4B3D"/>
    <w:rsid w:val="006D1025"/>
    <w:rsid w:val="006D281A"/>
    <w:rsid w:val="006E3D32"/>
    <w:rsid w:val="006F1926"/>
    <w:rsid w:val="006F5FB5"/>
    <w:rsid w:val="00701A62"/>
    <w:rsid w:val="00715EE4"/>
    <w:rsid w:val="00721EA1"/>
    <w:rsid w:val="00723507"/>
    <w:rsid w:val="00724FF2"/>
    <w:rsid w:val="00741E0A"/>
    <w:rsid w:val="00750F3A"/>
    <w:rsid w:val="00754F82"/>
    <w:rsid w:val="007579A3"/>
    <w:rsid w:val="0078568D"/>
    <w:rsid w:val="007858ED"/>
    <w:rsid w:val="0079678D"/>
    <w:rsid w:val="007B62CB"/>
    <w:rsid w:val="007C0D44"/>
    <w:rsid w:val="007C2062"/>
    <w:rsid w:val="007D4700"/>
    <w:rsid w:val="007D698D"/>
    <w:rsid w:val="007E28C5"/>
    <w:rsid w:val="007E59FE"/>
    <w:rsid w:val="00805188"/>
    <w:rsid w:val="00813706"/>
    <w:rsid w:val="0081513A"/>
    <w:rsid w:val="00820A48"/>
    <w:rsid w:val="0082581B"/>
    <w:rsid w:val="008517A4"/>
    <w:rsid w:val="008537DD"/>
    <w:rsid w:val="00864A8D"/>
    <w:rsid w:val="00867C9D"/>
    <w:rsid w:val="0087346C"/>
    <w:rsid w:val="00875BF0"/>
    <w:rsid w:val="00876634"/>
    <w:rsid w:val="00876E35"/>
    <w:rsid w:val="008843D2"/>
    <w:rsid w:val="00890352"/>
    <w:rsid w:val="0089341F"/>
    <w:rsid w:val="008A3B3F"/>
    <w:rsid w:val="008A6A8D"/>
    <w:rsid w:val="008B11D2"/>
    <w:rsid w:val="008C152F"/>
    <w:rsid w:val="008C2221"/>
    <w:rsid w:val="008C35BE"/>
    <w:rsid w:val="008C3C9A"/>
    <w:rsid w:val="008D42C0"/>
    <w:rsid w:val="008D75A7"/>
    <w:rsid w:val="008F1715"/>
    <w:rsid w:val="009028D8"/>
    <w:rsid w:val="00907DAE"/>
    <w:rsid w:val="00913148"/>
    <w:rsid w:val="00940256"/>
    <w:rsid w:val="00956A47"/>
    <w:rsid w:val="00960571"/>
    <w:rsid w:val="00964ADC"/>
    <w:rsid w:val="00966622"/>
    <w:rsid w:val="009A7921"/>
    <w:rsid w:val="009B3C76"/>
    <w:rsid w:val="009B6FE5"/>
    <w:rsid w:val="009C0329"/>
    <w:rsid w:val="009C2086"/>
    <w:rsid w:val="009C4F56"/>
    <w:rsid w:val="009D0CF7"/>
    <w:rsid w:val="009E33F8"/>
    <w:rsid w:val="009F2593"/>
    <w:rsid w:val="009F6D61"/>
    <w:rsid w:val="009F763C"/>
    <w:rsid w:val="00A225E1"/>
    <w:rsid w:val="00A32E86"/>
    <w:rsid w:val="00A41D9F"/>
    <w:rsid w:val="00A420BE"/>
    <w:rsid w:val="00A42135"/>
    <w:rsid w:val="00A4526E"/>
    <w:rsid w:val="00A45801"/>
    <w:rsid w:val="00A569C1"/>
    <w:rsid w:val="00A570F5"/>
    <w:rsid w:val="00A57EA4"/>
    <w:rsid w:val="00A67A66"/>
    <w:rsid w:val="00A67DB4"/>
    <w:rsid w:val="00A80F9C"/>
    <w:rsid w:val="00A94FE4"/>
    <w:rsid w:val="00A95582"/>
    <w:rsid w:val="00A97B73"/>
    <w:rsid w:val="00AA0762"/>
    <w:rsid w:val="00AA7BB1"/>
    <w:rsid w:val="00AC203B"/>
    <w:rsid w:val="00AD1106"/>
    <w:rsid w:val="00AD144E"/>
    <w:rsid w:val="00B019C4"/>
    <w:rsid w:val="00B1139B"/>
    <w:rsid w:val="00B22AFA"/>
    <w:rsid w:val="00B239AA"/>
    <w:rsid w:val="00B554A7"/>
    <w:rsid w:val="00B563BE"/>
    <w:rsid w:val="00B62A67"/>
    <w:rsid w:val="00B6748D"/>
    <w:rsid w:val="00B97779"/>
    <w:rsid w:val="00BA1A36"/>
    <w:rsid w:val="00BA6ACA"/>
    <w:rsid w:val="00BB29F8"/>
    <w:rsid w:val="00BC705D"/>
    <w:rsid w:val="00BD192E"/>
    <w:rsid w:val="00BD26D9"/>
    <w:rsid w:val="00BE59B3"/>
    <w:rsid w:val="00BE6304"/>
    <w:rsid w:val="00BE667B"/>
    <w:rsid w:val="00BF293A"/>
    <w:rsid w:val="00BF3092"/>
    <w:rsid w:val="00C117BD"/>
    <w:rsid w:val="00C129C5"/>
    <w:rsid w:val="00C17075"/>
    <w:rsid w:val="00C21BCA"/>
    <w:rsid w:val="00C30C17"/>
    <w:rsid w:val="00C31452"/>
    <w:rsid w:val="00C34828"/>
    <w:rsid w:val="00C47326"/>
    <w:rsid w:val="00C52DFB"/>
    <w:rsid w:val="00C54B56"/>
    <w:rsid w:val="00C55F94"/>
    <w:rsid w:val="00C81469"/>
    <w:rsid w:val="00C82CF3"/>
    <w:rsid w:val="00C9605D"/>
    <w:rsid w:val="00CA3B85"/>
    <w:rsid w:val="00CB76E2"/>
    <w:rsid w:val="00CC21FC"/>
    <w:rsid w:val="00CC65F9"/>
    <w:rsid w:val="00CC6749"/>
    <w:rsid w:val="00CD316A"/>
    <w:rsid w:val="00CD5E51"/>
    <w:rsid w:val="00CD7F6B"/>
    <w:rsid w:val="00CE4C5E"/>
    <w:rsid w:val="00CF1485"/>
    <w:rsid w:val="00D13B14"/>
    <w:rsid w:val="00D17C37"/>
    <w:rsid w:val="00D31577"/>
    <w:rsid w:val="00D34F06"/>
    <w:rsid w:val="00D426EE"/>
    <w:rsid w:val="00D4296F"/>
    <w:rsid w:val="00D508D5"/>
    <w:rsid w:val="00D54712"/>
    <w:rsid w:val="00D56BC3"/>
    <w:rsid w:val="00D621C9"/>
    <w:rsid w:val="00D67B2D"/>
    <w:rsid w:val="00D76380"/>
    <w:rsid w:val="00D85B9A"/>
    <w:rsid w:val="00D86A9E"/>
    <w:rsid w:val="00D87928"/>
    <w:rsid w:val="00D96B37"/>
    <w:rsid w:val="00DA21C7"/>
    <w:rsid w:val="00DA53F7"/>
    <w:rsid w:val="00DA6331"/>
    <w:rsid w:val="00DB26DF"/>
    <w:rsid w:val="00DD4D42"/>
    <w:rsid w:val="00DE3CF4"/>
    <w:rsid w:val="00DE4061"/>
    <w:rsid w:val="00DE4E0C"/>
    <w:rsid w:val="00DF0836"/>
    <w:rsid w:val="00DF1952"/>
    <w:rsid w:val="00E15D9B"/>
    <w:rsid w:val="00E16926"/>
    <w:rsid w:val="00E33894"/>
    <w:rsid w:val="00E4182F"/>
    <w:rsid w:val="00E63205"/>
    <w:rsid w:val="00E63D50"/>
    <w:rsid w:val="00E64C63"/>
    <w:rsid w:val="00E65DF2"/>
    <w:rsid w:val="00E75788"/>
    <w:rsid w:val="00E8050D"/>
    <w:rsid w:val="00E82BC0"/>
    <w:rsid w:val="00E8601F"/>
    <w:rsid w:val="00E9331F"/>
    <w:rsid w:val="00E93D07"/>
    <w:rsid w:val="00E96E47"/>
    <w:rsid w:val="00EA10C5"/>
    <w:rsid w:val="00EA19DF"/>
    <w:rsid w:val="00EC1867"/>
    <w:rsid w:val="00ED63D3"/>
    <w:rsid w:val="00ED687F"/>
    <w:rsid w:val="00EE4B3E"/>
    <w:rsid w:val="00EF66B3"/>
    <w:rsid w:val="00F01FB8"/>
    <w:rsid w:val="00F03B02"/>
    <w:rsid w:val="00F207C9"/>
    <w:rsid w:val="00F25349"/>
    <w:rsid w:val="00F257A3"/>
    <w:rsid w:val="00F33C9C"/>
    <w:rsid w:val="00F33EE6"/>
    <w:rsid w:val="00F5527B"/>
    <w:rsid w:val="00F6531E"/>
    <w:rsid w:val="00F665D5"/>
    <w:rsid w:val="00F71A76"/>
    <w:rsid w:val="00F7237E"/>
    <w:rsid w:val="00F82703"/>
    <w:rsid w:val="00F8315B"/>
    <w:rsid w:val="00F90059"/>
    <w:rsid w:val="00F95A38"/>
    <w:rsid w:val="00F962EF"/>
    <w:rsid w:val="00F96AAA"/>
    <w:rsid w:val="00FA1BD1"/>
    <w:rsid w:val="00FA7B14"/>
    <w:rsid w:val="00FB229C"/>
    <w:rsid w:val="00FB4111"/>
    <w:rsid w:val="00FD2D16"/>
    <w:rsid w:val="00FD41EF"/>
    <w:rsid w:val="00FD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81"/>
    <w:pPr>
      <w:ind w:left="720"/>
      <w:contextualSpacing/>
    </w:pPr>
  </w:style>
  <w:style w:type="character" w:styleId="Hyperlink">
    <w:name w:val="Hyperlink"/>
    <w:basedOn w:val="DefaultParagraphFont"/>
    <w:rsid w:val="00EA19DF"/>
    <w:rPr>
      <w:color w:val="0000FF"/>
      <w:u w:val="single"/>
    </w:rPr>
  </w:style>
  <w:style w:type="character" w:styleId="CommentReference">
    <w:name w:val="annotation reference"/>
    <w:basedOn w:val="DefaultParagraphFont"/>
    <w:semiHidden/>
    <w:unhideWhenUsed/>
    <w:rsid w:val="00001C8F"/>
    <w:rPr>
      <w:sz w:val="16"/>
      <w:szCs w:val="16"/>
    </w:rPr>
  </w:style>
  <w:style w:type="paragraph" w:styleId="CommentText">
    <w:name w:val="annotation text"/>
    <w:basedOn w:val="Normal"/>
    <w:link w:val="CommentTextChar"/>
    <w:unhideWhenUsed/>
    <w:rsid w:val="00001C8F"/>
    <w:pPr>
      <w:spacing w:line="240" w:lineRule="auto"/>
    </w:pPr>
    <w:rPr>
      <w:sz w:val="20"/>
      <w:szCs w:val="20"/>
    </w:rPr>
  </w:style>
  <w:style w:type="character" w:customStyle="1" w:styleId="CommentTextChar">
    <w:name w:val="Comment Text Char"/>
    <w:basedOn w:val="DefaultParagraphFont"/>
    <w:link w:val="CommentText"/>
    <w:rsid w:val="00001C8F"/>
    <w:rPr>
      <w:sz w:val="20"/>
      <w:szCs w:val="20"/>
    </w:rPr>
  </w:style>
  <w:style w:type="paragraph" w:styleId="CommentSubject">
    <w:name w:val="annotation subject"/>
    <w:basedOn w:val="CommentText"/>
    <w:next w:val="CommentText"/>
    <w:link w:val="CommentSubjectChar"/>
    <w:uiPriority w:val="99"/>
    <w:semiHidden/>
    <w:unhideWhenUsed/>
    <w:rsid w:val="00001C8F"/>
    <w:rPr>
      <w:b/>
      <w:bCs/>
    </w:rPr>
  </w:style>
  <w:style w:type="character" w:customStyle="1" w:styleId="CommentSubjectChar">
    <w:name w:val="Comment Subject Char"/>
    <w:basedOn w:val="CommentTextChar"/>
    <w:link w:val="CommentSubject"/>
    <w:uiPriority w:val="99"/>
    <w:semiHidden/>
    <w:rsid w:val="00001C8F"/>
    <w:rPr>
      <w:b/>
      <w:bCs/>
      <w:sz w:val="20"/>
      <w:szCs w:val="20"/>
    </w:rPr>
  </w:style>
  <w:style w:type="paragraph" w:styleId="BalloonText">
    <w:name w:val="Balloon Text"/>
    <w:basedOn w:val="Normal"/>
    <w:link w:val="BalloonTextChar"/>
    <w:uiPriority w:val="99"/>
    <w:semiHidden/>
    <w:unhideWhenUsed/>
    <w:rsid w:val="0000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8F"/>
    <w:rPr>
      <w:rFonts w:ascii="Tahoma" w:hAnsi="Tahoma" w:cs="Tahoma"/>
      <w:sz w:val="16"/>
      <w:szCs w:val="16"/>
    </w:rPr>
  </w:style>
  <w:style w:type="paragraph" w:styleId="Header">
    <w:name w:val="header"/>
    <w:basedOn w:val="Normal"/>
    <w:link w:val="HeaderChar"/>
    <w:uiPriority w:val="99"/>
    <w:unhideWhenUsed/>
    <w:rsid w:val="001C1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AA"/>
  </w:style>
  <w:style w:type="paragraph" w:styleId="Footer">
    <w:name w:val="footer"/>
    <w:basedOn w:val="Normal"/>
    <w:link w:val="FooterChar"/>
    <w:uiPriority w:val="99"/>
    <w:unhideWhenUsed/>
    <w:rsid w:val="001C1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AA"/>
  </w:style>
  <w:style w:type="table" w:styleId="TableGrid">
    <w:name w:val="Table Grid"/>
    <w:basedOn w:val="TableNormal"/>
    <w:uiPriority w:val="59"/>
    <w:rsid w:val="00EC1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325289983msonormal">
    <w:name w:val="yiv1325289983msonormal"/>
    <w:basedOn w:val="Normal"/>
    <w:rsid w:val="00E860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81"/>
    <w:pPr>
      <w:ind w:left="720"/>
      <w:contextualSpacing/>
    </w:pPr>
  </w:style>
  <w:style w:type="character" w:styleId="Hyperlink">
    <w:name w:val="Hyperlink"/>
    <w:basedOn w:val="DefaultParagraphFont"/>
    <w:rsid w:val="00EA19DF"/>
    <w:rPr>
      <w:color w:val="0000FF"/>
      <w:u w:val="single"/>
    </w:rPr>
  </w:style>
  <w:style w:type="character" w:styleId="CommentReference">
    <w:name w:val="annotation reference"/>
    <w:basedOn w:val="DefaultParagraphFont"/>
    <w:semiHidden/>
    <w:unhideWhenUsed/>
    <w:rsid w:val="00001C8F"/>
    <w:rPr>
      <w:sz w:val="16"/>
      <w:szCs w:val="16"/>
    </w:rPr>
  </w:style>
  <w:style w:type="paragraph" w:styleId="CommentText">
    <w:name w:val="annotation text"/>
    <w:basedOn w:val="Normal"/>
    <w:link w:val="CommentTextChar"/>
    <w:unhideWhenUsed/>
    <w:rsid w:val="00001C8F"/>
    <w:pPr>
      <w:spacing w:line="240" w:lineRule="auto"/>
    </w:pPr>
    <w:rPr>
      <w:sz w:val="20"/>
      <w:szCs w:val="20"/>
    </w:rPr>
  </w:style>
  <w:style w:type="character" w:customStyle="1" w:styleId="CommentTextChar">
    <w:name w:val="Comment Text Char"/>
    <w:basedOn w:val="DefaultParagraphFont"/>
    <w:link w:val="CommentText"/>
    <w:rsid w:val="00001C8F"/>
    <w:rPr>
      <w:sz w:val="20"/>
      <w:szCs w:val="20"/>
    </w:rPr>
  </w:style>
  <w:style w:type="paragraph" w:styleId="CommentSubject">
    <w:name w:val="annotation subject"/>
    <w:basedOn w:val="CommentText"/>
    <w:next w:val="CommentText"/>
    <w:link w:val="CommentSubjectChar"/>
    <w:uiPriority w:val="99"/>
    <w:semiHidden/>
    <w:unhideWhenUsed/>
    <w:rsid w:val="00001C8F"/>
    <w:rPr>
      <w:b/>
      <w:bCs/>
    </w:rPr>
  </w:style>
  <w:style w:type="character" w:customStyle="1" w:styleId="CommentSubjectChar">
    <w:name w:val="Comment Subject Char"/>
    <w:basedOn w:val="CommentTextChar"/>
    <w:link w:val="CommentSubject"/>
    <w:uiPriority w:val="99"/>
    <w:semiHidden/>
    <w:rsid w:val="00001C8F"/>
    <w:rPr>
      <w:b/>
      <w:bCs/>
      <w:sz w:val="20"/>
      <w:szCs w:val="20"/>
    </w:rPr>
  </w:style>
  <w:style w:type="paragraph" w:styleId="BalloonText">
    <w:name w:val="Balloon Text"/>
    <w:basedOn w:val="Normal"/>
    <w:link w:val="BalloonTextChar"/>
    <w:uiPriority w:val="99"/>
    <w:semiHidden/>
    <w:unhideWhenUsed/>
    <w:rsid w:val="0000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8F"/>
    <w:rPr>
      <w:rFonts w:ascii="Tahoma" w:hAnsi="Tahoma" w:cs="Tahoma"/>
      <w:sz w:val="16"/>
      <w:szCs w:val="16"/>
    </w:rPr>
  </w:style>
  <w:style w:type="paragraph" w:styleId="Header">
    <w:name w:val="header"/>
    <w:basedOn w:val="Normal"/>
    <w:link w:val="HeaderChar"/>
    <w:uiPriority w:val="99"/>
    <w:unhideWhenUsed/>
    <w:rsid w:val="001C1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AA"/>
  </w:style>
  <w:style w:type="paragraph" w:styleId="Footer">
    <w:name w:val="footer"/>
    <w:basedOn w:val="Normal"/>
    <w:link w:val="FooterChar"/>
    <w:uiPriority w:val="99"/>
    <w:unhideWhenUsed/>
    <w:rsid w:val="001C1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AA"/>
  </w:style>
  <w:style w:type="table" w:styleId="TableGrid">
    <w:name w:val="Table Grid"/>
    <w:basedOn w:val="TableNormal"/>
    <w:uiPriority w:val="59"/>
    <w:rsid w:val="00EC1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325289983msonormal">
    <w:name w:val="yiv1325289983msonormal"/>
    <w:basedOn w:val="Normal"/>
    <w:rsid w:val="00E86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80823">
      <w:bodyDiv w:val="1"/>
      <w:marLeft w:val="0"/>
      <w:marRight w:val="0"/>
      <w:marTop w:val="0"/>
      <w:marBottom w:val="0"/>
      <w:divBdr>
        <w:top w:val="none" w:sz="0" w:space="0" w:color="auto"/>
        <w:left w:val="none" w:sz="0" w:space="0" w:color="auto"/>
        <w:bottom w:val="none" w:sz="0" w:space="0" w:color="auto"/>
        <w:right w:val="none" w:sz="0" w:space="0" w:color="auto"/>
      </w:divBdr>
    </w:div>
    <w:div w:id="430053725">
      <w:bodyDiv w:val="1"/>
      <w:marLeft w:val="0"/>
      <w:marRight w:val="0"/>
      <w:marTop w:val="0"/>
      <w:marBottom w:val="0"/>
      <w:divBdr>
        <w:top w:val="none" w:sz="0" w:space="0" w:color="auto"/>
        <w:left w:val="none" w:sz="0" w:space="0" w:color="auto"/>
        <w:bottom w:val="none" w:sz="0" w:space="0" w:color="auto"/>
        <w:right w:val="none" w:sz="0" w:space="0" w:color="auto"/>
      </w:divBdr>
    </w:div>
    <w:div w:id="482503841">
      <w:bodyDiv w:val="1"/>
      <w:marLeft w:val="0"/>
      <w:marRight w:val="0"/>
      <w:marTop w:val="0"/>
      <w:marBottom w:val="0"/>
      <w:divBdr>
        <w:top w:val="none" w:sz="0" w:space="0" w:color="auto"/>
        <w:left w:val="none" w:sz="0" w:space="0" w:color="auto"/>
        <w:bottom w:val="none" w:sz="0" w:space="0" w:color="auto"/>
        <w:right w:val="none" w:sz="0" w:space="0" w:color="auto"/>
      </w:divBdr>
    </w:div>
    <w:div w:id="683825059">
      <w:bodyDiv w:val="1"/>
      <w:marLeft w:val="0"/>
      <w:marRight w:val="0"/>
      <w:marTop w:val="0"/>
      <w:marBottom w:val="0"/>
      <w:divBdr>
        <w:top w:val="none" w:sz="0" w:space="0" w:color="auto"/>
        <w:left w:val="none" w:sz="0" w:space="0" w:color="auto"/>
        <w:bottom w:val="none" w:sz="0" w:space="0" w:color="auto"/>
        <w:right w:val="none" w:sz="0" w:space="0" w:color="auto"/>
      </w:divBdr>
    </w:div>
    <w:div w:id="1902131529">
      <w:bodyDiv w:val="1"/>
      <w:marLeft w:val="0"/>
      <w:marRight w:val="0"/>
      <w:marTop w:val="0"/>
      <w:marBottom w:val="0"/>
      <w:divBdr>
        <w:top w:val="none" w:sz="0" w:space="0" w:color="auto"/>
        <w:left w:val="none" w:sz="0" w:space="0" w:color="auto"/>
        <w:bottom w:val="none" w:sz="0" w:space="0" w:color="auto"/>
        <w:right w:val="none" w:sz="0" w:space="0" w:color="auto"/>
      </w:divBdr>
      <w:divsChild>
        <w:div w:id="1543320729">
          <w:marLeft w:val="0"/>
          <w:marRight w:val="0"/>
          <w:marTop w:val="0"/>
          <w:marBottom w:val="0"/>
          <w:divBdr>
            <w:top w:val="none" w:sz="0" w:space="0" w:color="auto"/>
            <w:left w:val="none" w:sz="0" w:space="0" w:color="auto"/>
            <w:bottom w:val="none" w:sz="0" w:space="0" w:color="auto"/>
            <w:right w:val="none" w:sz="0" w:space="0" w:color="auto"/>
          </w:divBdr>
          <w:divsChild>
            <w:div w:id="939726095">
              <w:marLeft w:val="0"/>
              <w:marRight w:val="0"/>
              <w:marTop w:val="0"/>
              <w:marBottom w:val="0"/>
              <w:divBdr>
                <w:top w:val="none" w:sz="0" w:space="0" w:color="auto"/>
                <w:left w:val="none" w:sz="0" w:space="0" w:color="auto"/>
                <w:bottom w:val="none" w:sz="0" w:space="0" w:color="auto"/>
                <w:right w:val="none" w:sz="0" w:space="0" w:color="auto"/>
              </w:divBdr>
              <w:divsChild>
                <w:div w:id="79566270">
                  <w:marLeft w:val="0"/>
                  <w:marRight w:val="0"/>
                  <w:marTop w:val="0"/>
                  <w:marBottom w:val="0"/>
                  <w:divBdr>
                    <w:top w:val="none" w:sz="0" w:space="0" w:color="auto"/>
                    <w:left w:val="none" w:sz="0" w:space="0" w:color="auto"/>
                    <w:bottom w:val="none" w:sz="0" w:space="0" w:color="auto"/>
                    <w:right w:val="none" w:sz="0" w:space="0" w:color="auto"/>
                  </w:divBdr>
                  <w:divsChild>
                    <w:div w:id="759760860">
                      <w:marLeft w:val="0"/>
                      <w:marRight w:val="0"/>
                      <w:marTop w:val="0"/>
                      <w:marBottom w:val="0"/>
                      <w:divBdr>
                        <w:top w:val="none" w:sz="0" w:space="0" w:color="auto"/>
                        <w:left w:val="none" w:sz="0" w:space="0" w:color="auto"/>
                        <w:bottom w:val="none" w:sz="0" w:space="0" w:color="auto"/>
                        <w:right w:val="none" w:sz="0" w:space="0" w:color="auto"/>
                      </w:divBdr>
                      <w:divsChild>
                        <w:div w:id="14791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biosen.se" TargetMode="External"/><Relationship Id="rId18" Type="http://schemas.openxmlformats.org/officeDocument/2006/relationships/hyperlink" Target="mailto:info@biosen.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biosen.se" TargetMode="External"/><Relationship Id="rId2" Type="http://schemas.openxmlformats.org/officeDocument/2006/relationships/customXml" Target="../customXml/item2.xml"/><Relationship Id="rId16" Type="http://schemas.openxmlformats.org/officeDocument/2006/relationships/hyperlink" Target="mailto:info@biosen.se" TargetMode="External"/><Relationship Id="rId20" Type="http://schemas.openxmlformats.org/officeDocument/2006/relationships/hyperlink" Target="http://www.biosenseredesig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owto.gov/tech-solutions/cloud-computin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nfo@biosen.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src.nist.gov/publications/PubsSP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355036f-8ed4-4ec2-949d-7294eef79177">OMB/PRA</Document_x0020_Type>
    <Date_x0020_Received xmlns="5355036f-8ed4-4ec2-949d-7294eef79177" xsi:nil="true"/>
    <For_x0020_Budget_x0020_Formulation_x003a__x0020_Fiscal_x0020_Years xmlns="5355036f-8ed4-4ec2-949d-7294eef79177" xsi:nil="true"/>
    <Requesting_x0020_Office xmlns="5355036f-8ed4-4ec2-949d-7294eef79177" xsi:nil="true"/>
    <For_x0020_Budget_x0020_Formulation_x003a__x0020_Submission xmlns="5355036f-8ed4-4ec2-949d-7294eef79177" xsi:nil="true"/>
    <Request_x0020_Title xmlns="5355036f-8ed4-4ec2-949d-7294eef79177">BioSense ICR (0920-0824)</Request_x0020_Title>
    <Due_x0020_Date xmlns="5355036f-8ed4-4ec2-949d-7294eef79177" xsi:nil="true"/>
    <_dlc_DocId xmlns="61e0aa89-821a-4b43-b623-2509ea82b111">7DAU5SSH7P55-581-148</_dlc_DocId>
    <_dlc_DocIdUrl xmlns="61e0aa89-821a-4b43-b623-2509ea82b111">
      <Url>http://esp.cdc.gov/sites/osels/PHSIPO/PO/_layouts/DocIdRedir.aspx?ID=7DAU5SSH7P55-581-148</Url>
      <Description>7DAU5SSH7P55-581-148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6020A9217BDD4E9204EC36317BFE71" ma:contentTypeVersion="10" ma:contentTypeDescription="Create a new document." ma:contentTypeScope="" ma:versionID="66242a36599f5bb6d0ac90d52fde50fa">
  <xsd:schema xmlns:xsd="http://www.w3.org/2001/XMLSchema" xmlns:xs="http://www.w3.org/2001/XMLSchema" xmlns:p="http://schemas.microsoft.com/office/2006/metadata/properties" xmlns:ns2="5355036f-8ed4-4ec2-949d-7294eef79177" xmlns:ns4="61e0aa89-821a-4b43-b623-2509ea82b111" targetNamespace="http://schemas.microsoft.com/office/2006/metadata/properties" ma:root="true" ma:fieldsID="9845e3da49011782e4689e8d10c77cdd" ns2:_="" ns4:_="">
    <xsd:import namespace="5355036f-8ed4-4ec2-949d-7294eef79177"/>
    <xsd:import namespace="61e0aa89-821a-4b43-b623-2509ea82b111"/>
    <xsd:element name="properties">
      <xsd:complexType>
        <xsd:sequence>
          <xsd:element name="documentManagement">
            <xsd:complexType>
              <xsd:all>
                <xsd:element ref="ns2:Requesting_x0020_Office" minOccurs="0"/>
                <xsd:element ref="ns2:Request_x0020_Title" minOccurs="0"/>
                <xsd:element ref="ns2:Due_x0020_Date" minOccurs="0"/>
                <xsd:element ref="ns2:Date_x0020_Received" minOccurs="0"/>
                <xsd:element ref="ns2:Document_x0020_Type"/>
                <xsd:element ref="ns4:_dlc_DocId" minOccurs="0"/>
                <xsd:element ref="ns4:_dlc_DocIdUrl" minOccurs="0"/>
                <xsd:element ref="ns4:_dlc_DocIdPersistId" minOccurs="0"/>
                <xsd:element ref="ns2:For_x0020_Budget_x0020_Formulation_x003a__x0020_Fiscal_x0020_Years" minOccurs="0"/>
                <xsd:element ref="ns2:For_x0020_Budget_x0020_Formulation_x003a__x0020_Submi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5036f-8ed4-4ec2-949d-7294eef79177" elementFormDefault="qualified">
    <xsd:import namespace="http://schemas.microsoft.com/office/2006/documentManagement/types"/>
    <xsd:import namespace="http://schemas.microsoft.com/office/infopath/2007/PartnerControls"/>
    <xsd:element name="Requesting_x0020_Office" ma:index="8" nillable="true" ma:displayName="Requesting Office" ma:internalName="Requesting_x0020_Office">
      <xsd:simpleType>
        <xsd:restriction base="dms:Text">
          <xsd:maxLength value="255"/>
        </xsd:restriction>
      </xsd:simpleType>
    </xsd:element>
    <xsd:element name="Request_x0020_Title" ma:index="9" nillable="true" ma:displayName="Request Title" ma:internalName="Request_x0020_Title">
      <xsd:simpleType>
        <xsd:restriction base="dms:Text">
          <xsd:maxLength value="255"/>
        </xsd:restriction>
      </xsd:simpleType>
    </xsd:element>
    <xsd:element name="Due_x0020_Date" ma:index="10" nillable="true" ma:displayName="Due Date" ma:format="DateTime" ma:internalName="Due_x0020_Date">
      <xsd:simpleType>
        <xsd:restriction base="dms:DateTime"/>
      </xsd:simpleType>
    </xsd:element>
    <xsd:element name="Date_x0020_Received" ma:index="11" nillable="true" ma:displayName="Date Received" ma:format="DateOnly" ma:internalName="Date_x0020_Received">
      <xsd:simpleType>
        <xsd:restriction base="dms:DateTime"/>
      </xsd:simpleType>
    </xsd:element>
    <xsd:element name="Document_x0020_Type" ma:index="13" ma:displayName="Document Type" ma:format="Dropdown" ma:internalName="Document_x0020_Type">
      <xsd:simpleType>
        <xsd:restriction base="dms:Choice">
          <xsd:enumeration value="Data Requests"/>
          <xsd:enumeration value="Budget Formulation"/>
          <xsd:enumeration value="Impact Statements"/>
          <xsd:enumeration value="Fact Sheets"/>
          <xsd:enumeration value="OMB/PRA"/>
        </xsd:restriction>
      </xsd:simpleType>
    </xsd:element>
    <xsd:element name="For_x0020_Budget_x0020_Formulation_x003a__x0020_Fiscal_x0020_Years" ma:index="17" nillable="true" ma:displayName="For Budget Formulation: Fiscal Years" ma:format="Dropdown" ma:internalName="For_x0020_Budget_x0020_Formulation_x003a__x0020_Fiscal_x0020_Years">
      <xsd:simpleType>
        <xsd:restriction base="dms:Choice">
          <xsd:enumeration value="FY 2011"/>
          <xsd:enumeration value="FY 2012"/>
          <xsd:enumeration value="FY 2013"/>
          <xsd:enumeration value="FY 2014"/>
          <xsd:enumeration value="FY 2015"/>
        </xsd:restriction>
      </xsd:simpleType>
    </xsd:element>
    <xsd:element name="For_x0020_Budget_x0020_Formulation_x003a__x0020_Submission" ma:index="18" nillable="true" ma:displayName="For Budget Formulation: Submission" ma:format="Dropdown" ma:internalName="For_x0020_Budget_x0020_Formulation_x003a__x0020_Submission">
      <xsd:simpleType>
        <xsd:restriction base="dms:Choice">
          <xsd:enumeration value="HHS"/>
          <xsd:enumeration value="OMBJ"/>
          <xsd:enumeration value="CJ"/>
          <xsd:enumeration value="House Mark"/>
          <xsd:enumeration value="Senate Mark"/>
          <xsd:enumeration value="Ceiling Allocations"/>
        </xsd:restriction>
      </xsd:simple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4DCB8-4EA6-449A-A827-93986EDC35BC}">
  <ds:schemaRefs>
    <ds:schemaRef ds:uri="http://schemas.microsoft.com/sharepoint/v3/contenttype/forms"/>
  </ds:schemaRefs>
</ds:datastoreItem>
</file>

<file path=customXml/itemProps2.xml><?xml version="1.0" encoding="utf-8"?>
<ds:datastoreItem xmlns:ds="http://schemas.openxmlformats.org/officeDocument/2006/customXml" ds:itemID="{B35B671A-FB79-4446-8CDC-AF22394BBA2A}">
  <ds:schemaRefs>
    <ds:schemaRef ds:uri="http://schemas.microsoft.com/office/2006/documentManagement/types"/>
    <ds:schemaRef ds:uri="5355036f-8ed4-4ec2-949d-7294eef79177"/>
    <ds:schemaRef ds:uri="http://purl.org/dc/term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1e0aa89-821a-4b43-b623-2509ea82b111"/>
  </ds:schemaRefs>
</ds:datastoreItem>
</file>

<file path=customXml/itemProps3.xml><?xml version="1.0" encoding="utf-8"?>
<ds:datastoreItem xmlns:ds="http://schemas.openxmlformats.org/officeDocument/2006/customXml" ds:itemID="{60E22EFE-C56B-49F3-A63C-1F64C49E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5036f-8ed4-4ec2-949d-7294eef79177"/>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8E8E6-2A9B-44BF-A608-A43F1902A752}">
  <ds:schemaRefs>
    <ds:schemaRef ds:uri="http://schemas.microsoft.com/sharepoint/events"/>
  </ds:schemaRefs>
</ds:datastoreItem>
</file>

<file path=customXml/itemProps5.xml><?xml version="1.0" encoding="utf-8"?>
<ds:datastoreItem xmlns:ds="http://schemas.openxmlformats.org/officeDocument/2006/customXml" ds:itemID="{9B1D6D4F-5682-434E-AFC3-CAD503E2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8023</Words>
  <Characters>45735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BioSense ICR (0920-0824)</vt:lpstr>
    </vt:vector>
  </TitlesOfParts>
  <Company>Centers for Disease Control and Prevention</Company>
  <LinksUpToDate>false</LinksUpToDate>
  <CharactersWithSpaces>53651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BioSense ICR (0920-0824)</dc:title>
  <dc:creator>Sherry Burrer</dc:creator>
  <cp:lastModifiedBy>CDC User</cp:lastModifiedBy>
  <cp:revision>5</cp:revision>
  <cp:lastPrinted>2012-08-22T12:12:00Z</cp:lastPrinted>
  <dcterms:created xsi:type="dcterms:W3CDTF">2012-08-15T19:32:00Z</dcterms:created>
  <dcterms:modified xsi:type="dcterms:W3CDTF">2012-08-22T12:14:00Z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0x010100316020A9217BDD4E9204EC36317BFE71</vt:lpwstr>
  </property>
  <property fmtid="{D5CDD505-2E9C-101B-9397-08002B2CF9AE}" pid="3" name="_dlc_DocIdItemGuid">
    <vt:lpwstr>e860b3c5-512c-4bdd-85d1-8eed48ae430d</vt:lpwstr>
  </property>
</Properties>
</file>