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A4" w:rsidRPr="00C41E37" w:rsidRDefault="00060AA4" w:rsidP="00060AA4">
      <w:pPr>
        <w:spacing w:after="0" w:line="240" w:lineRule="auto"/>
        <w:rPr>
          <w:rFonts w:asciiTheme="majorHAnsi" w:hAnsiTheme="majorHAnsi" w:cs="Times New Roman"/>
          <w:b/>
        </w:rPr>
      </w:pPr>
      <w:bookmarkStart w:id="0" w:name="_GoBack"/>
      <w:bookmarkEnd w:id="0"/>
      <w:r w:rsidRPr="00C41E37">
        <w:rPr>
          <w:rFonts w:asciiTheme="majorHAnsi" w:hAnsiTheme="majorHAnsi" w:cs="Times New Roman"/>
          <w:b/>
        </w:rPr>
        <w:t xml:space="preserve">From: </w:t>
      </w:r>
      <w:r w:rsidR="00FD5357" w:rsidRPr="00C41E37">
        <w:rPr>
          <w:rFonts w:asciiTheme="majorHAnsi" w:hAnsiTheme="majorHAnsi" w:cs="Times New Roman"/>
        </w:rPr>
        <w:t>DHHS/CMS/OA/CCIIO/</w:t>
      </w:r>
      <w:r w:rsidR="00010CDC" w:rsidRPr="00C41E37">
        <w:rPr>
          <w:rFonts w:asciiTheme="majorHAnsi" w:hAnsiTheme="majorHAnsi" w:cs="Times New Roman"/>
        </w:rPr>
        <w:t xml:space="preserve">Consumer Support Group </w:t>
      </w:r>
    </w:p>
    <w:p w:rsidR="00060AA4" w:rsidRPr="00C41E37" w:rsidRDefault="00060AA4" w:rsidP="00060AA4">
      <w:pPr>
        <w:spacing w:after="0" w:line="240" w:lineRule="auto"/>
        <w:rPr>
          <w:rFonts w:asciiTheme="majorHAnsi" w:hAnsiTheme="majorHAnsi" w:cs="Times New Roman"/>
          <w:b/>
        </w:rPr>
      </w:pPr>
      <w:r w:rsidRPr="00C41E37">
        <w:rPr>
          <w:rFonts w:asciiTheme="majorHAnsi" w:hAnsiTheme="majorHAnsi" w:cs="Times New Roman"/>
          <w:b/>
        </w:rPr>
        <w:t xml:space="preserve">To: </w:t>
      </w:r>
      <w:r w:rsidR="001A6A7D" w:rsidRPr="00C41E37">
        <w:rPr>
          <w:rFonts w:asciiTheme="majorHAnsi" w:hAnsiTheme="majorHAnsi" w:cs="Times New Roman"/>
        </w:rPr>
        <w:t>Office of Management and Budget</w:t>
      </w:r>
    </w:p>
    <w:p w:rsidR="00010CDC" w:rsidRPr="00C41E37" w:rsidRDefault="00060AA4" w:rsidP="00010CDC">
      <w:pPr>
        <w:rPr>
          <w:rFonts w:asciiTheme="majorHAnsi" w:hAnsiTheme="majorHAnsi"/>
          <w:b/>
        </w:rPr>
      </w:pPr>
      <w:r w:rsidRPr="00C41E37">
        <w:rPr>
          <w:rFonts w:asciiTheme="majorHAnsi" w:hAnsiTheme="majorHAnsi" w:cs="Times New Roman"/>
          <w:b/>
        </w:rPr>
        <w:t xml:space="preserve">Re: </w:t>
      </w:r>
      <w:r w:rsidR="003C7A68" w:rsidRPr="00C41E37">
        <w:rPr>
          <w:rFonts w:asciiTheme="majorHAnsi" w:hAnsiTheme="majorHAnsi" w:cs="Times New Roman"/>
        </w:rPr>
        <w:t xml:space="preserve">Proposed Revision to Notice of Action: </w:t>
      </w:r>
      <w:r w:rsidR="00010CDC" w:rsidRPr="00C41E37">
        <w:rPr>
          <w:rFonts w:asciiTheme="majorHAnsi" w:hAnsiTheme="majorHAnsi" w:cs="Times New Roman"/>
        </w:rPr>
        <w:t>Information Collection Requi</w:t>
      </w:r>
      <w:r w:rsidR="004E7991">
        <w:rPr>
          <w:rFonts w:asciiTheme="majorHAnsi" w:hAnsiTheme="majorHAnsi" w:cs="Times New Roman"/>
        </w:rPr>
        <w:t xml:space="preserve">rements In Summary of Benefits </w:t>
      </w:r>
      <w:r w:rsidR="00010CDC" w:rsidRPr="00C41E37">
        <w:rPr>
          <w:rFonts w:asciiTheme="majorHAnsi" w:hAnsiTheme="majorHAnsi" w:cs="Times New Roman"/>
        </w:rPr>
        <w:t xml:space="preserve">and Coverage Final Rule </w:t>
      </w:r>
      <w:r w:rsidR="003C7A68" w:rsidRPr="00C41E37">
        <w:rPr>
          <w:rFonts w:asciiTheme="majorHAnsi" w:hAnsiTheme="majorHAnsi" w:cs="Times New Roman"/>
        </w:rPr>
        <w:t>(</w:t>
      </w:r>
      <w:r w:rsidR="001A6A7D" w:rsidRPr="00C41E37">
        <w:rPr>
          <w:rFonts w:asciiTheme="majorHAnsi" w:hAnsiTheme="majorHAnsi" w:cs="Times New Roman"/>
        </w:rPr>
        <w:t>OMB Control Number</w:t>
      </w:r>
      <w:r w:rsidR="00DA6A47" w:rsidRPr="00C41E37">
        <w:rPr>
          <w:rFonts w:asciiTheme="majorHAnsi" w:hAnsiTheme="majorHAnsi" w:cs="Times New Roman"/>
        </w:rPr>
        <w:t>s 1545-2229; 1210</w:t>
      </w:r>
      <w:r w:rsidR="00DA6A47" w:rsidRPr="00525ED1">
        <w:rPr>
          <w:rFonts w:asciiTheme="majorHAnsi" w:hAnsiTheme="majorHAnsi" w:cs="Times New Roman"/>
        </w:rPr>
        <w:t>-0147;</w:t>
      </w:r>
      <w:r w:rsidR="001A6A7D" w:rsidRPr="00525ED1">
        <w:rPr>
          <w:rFonts w:asciiTheme="majorHAnsi" w:hAnsiTheme="majorHAnsi" w:cs="Times New Roman"/>
        </w:rPr>
        <w:t xml:space="preserve"> </w:t>
      </w:r>
      <w:r w:rsidR="00010CDC" w:rsidRPr="00525ED1">
        <w:rPr>
          <w:rFonts w:asciiTheme="majorHAnsi" w:hAnsiTheme="majorHAnsi" w:cs="Times New Roman"/>
        </w:rPr>
        <w:t>0938-1146</w:t>
      </w:r>
      <w:r w:rsidR="00525ED1" w:rsidRPr="00525ED1">
        <w:rPr>
          <w:rFonts w:asciiTheme="majorHAnsi" w:hAnsiTheme="majorHAnsi" w:cs="Times New Roman"/>
        </w:rPr>
        <w:t>;</w:t>
      </w:r>
      <w:r w:rsidR="00525ED1" w:rsidRPr="00525ED1">
        <w:rPr>
          <w:rFonts w:asciiTheme="majorHAnsi" w:hAnsiTheme="majorHAnsi"/>
        </w:rPr>
        <w:t xml:space="preserve"> 0938-1086)</w:t>
      </w:r>
      <w:r w:rsidR="00010CDC" w:rsidRPr="00C41E37">
        <w:rPr>
          <w:rFonts w:asciiTheme="majorHAnsi" w:hAnsiTheme="majorHAnsi"/>
          <w:b/>
        </w:rPr>
        <w:t xml:space="preserve"> </w:t>
      </w:r>
    </w:p>
    <w:p w:rsidR="00060AA4" w:rsidRPr="00C41E37" w:rsidRDefault="00060AA4" w:rsidP="00060AA4">
      <w:pPr>
        <w:spacing w:after="0" w:line="240" w:lineRule="auto"/>
        <w:rPr>
          <w:rFonts w:asciiTheme="majorHAnsi" w:hAnsiTheme="majorHAnsi" w:cs="Times New Roman"/>
          <w:b/>
        </w:rPr>
      </w:pPr>
    </w:p>
    <w:p w:rsidR="008E1B5D" w:rsidRPr="00C41E37" w:rsidRDefault="003C7A68" w:rsidP="00060AA4">
      <w:pPr>
        <w:spacing w:after="0" w:line="240" w:lineRule="auto"/>
        <w:rPr>
          <w:rFonts w:asciiTheme="majorHAnsi" w:hAnsiTheme="majorHAnsi" w:cs="Times New Roman"/>
        </w:rPr>
      </w:pPr>
      <w:r w:rsidRPr="00C41E37">
        <w:rPr>
          <w:rFonts w:asciiTheme="majorHAnsi" w:hAnsiTheme="majorHAnsi" w:cs="Times New Roman"/>
          <w:b/>
        </w:rPr>
        <w:t xml:space="preserve">Date: </w:t>
      </w:r>
      <w:r w:rsidR="00010CDC" w:rsidRPr="00C41E37">
        <w:rPr>
          <w:rFonts w:asciiTheme="majorHAnsi" w:hAnsiTheme="majorHAnsi" w:cs="Times New Roman"/>
        </w:rPr>
        <w:t>9</w:t>
      </w:r>
      <w:r w:rsidR="00552B56" w:rsidRPr="00C41E37">
        <w:rPr>
          <w:rFonts w:asciiTheme="majorHAnsi" w:hAnsiTheme="majorHAnsi" w:cs="Times New Roman"/>
        </w:rPr>
        <w:t xml:space="preserve"> </w:t>
      </w:r>
      <w:r w:rsidR="00010CDC" w:rsidRPr="00C41E37">
        <w:rPr>
          <w:rFonts w:asciiTheme="majorHAnsi" w:hAnsiTheme="majorHAnsi" w:cs="Times New Roman"/>
        </w:rPr>
        <w:t>August 2012</w:t>
      </w:r>
    </w:p>
    <w:p w:rsidR="00D468C0" w:rsidRPr="00C41E37" w:rsidRDefault="00B526B0" w:rsidP="00060AA4">
      <w:pPr>
        <w:spacing w:after="0" w:line="240" w:lineRule="auto"/>
        <w:rPr>
          <w:rFonts w:asciiTheme="majorHAnsi" w:hAnsiTheme="majorHAnsi" w:cs="Times New Roman"/>
        </w:rPr>
      </w:pPr>
      <w:r>
        <w:rPr>
          <w:rFonts w:asciiTheme="majorHAnsi" w:hAnsiTheme="majorHAnsi" w:cs="Times New Roman"/>
        </w:rPr>
        <w:pict>
          <v:rect id="_x0000_i1025" style="width:0;height:1.5pt" o:hralign="center" o:hrstd="t" o:hr="t" fillcolor="#aca899" stroked="f"/>
        </w:pict>
      </w:r>
    </w:p>
    <w:p w:rsidR="008E1B5D" w:rsidRPr="00C41E37" w:rsidRDefault="008E1B5D" w:rsidP="008E1B5D">
      <w:pPr>
        <w:spacing w:after="0"/>
        <w:rPr>
          <w:rFonts w:asciiTheme="majorHAnsi" w:hAnsiTheme="majorHAnsi" w:cs="Times New Roman"/>
        </w:rPr>
      </w:pPr>
    </w:p>
    <w:p w:rsidR="00DA6A47" w:rsidRPr="00C41E37" w:rsidRDefault="00357196" w:rsidP="00DA6A47">
      <w:pPr>
        <w:spacing w:after="0"/>
        <w:rPr>
          <w:rFonts w:asciiTheme="majorHAnsi" w:hAnsiTheme="majorHAnsi"/>
          <w:iCs/>
        </w:rPr>
      </w:pPr>
      <w:r w:rsidRPr="00C41E37">
        <w:rPr>
          <w:rFonts w:asciiTheme="majorHAnsi" w:hAnsiTheme="majorHAnsi" w:cs="Times New Roman"/>
          <w:b/>
        </w:rPr>
        <w:t>Summary</w:t>
      </w:r>
      <w:r w:rsidRPr="00C41E37">
        <w:rPr>
          <w:rFonts w:asciiTheme="majorHAnsi" w:hAnsiTheme="majorHAnsi" w:cs="Times New Roman"/>
        </w:rPr>
        <w:br/>
      </w:r>
      <w:r w:rsidR="00010CDC" w:rsidRPr="00C41E37">
        <w:rPr>
          <w:rFonts w:asciiTheme="majorHAnsi" w:hAnsiTheme="majorHAnsi" w:cs="Times New Roman"/>
        </w:rPr>
        <w:t>On</w:t>
      </w:r>
      <w:r w:rsidR="008E1B5D" w:rsidRPr="00C41E37">
        <w:rPr>
          <w:rFonts w:asciiTheme="majorHAnsi" w:hAnsiTheme="majorHAnsi" w:cs="Times New Roman"/>
        </w:rPr>
        <w:t xml:space="preserve"> </w:t>
      </w:r>
      <w:r w:rsidR="00010CDC" w:rsidRPr="00C41E37">
        <w:rPr>
          <w:rFonts w:asciiTheme="majorHAnsi" w:hAnsiTheme="majorHAnsi" w:cs="Times New Roman"/>
        </w:rPr>
        <w:t>February 14, 2012</w:t>
      </w:r>
      <w:r w:rsidR="008E1B5D" w:rsidRPr="00C41E37">
        <w:rPr>
          <w:rFonts w:asciiTheme="majorHAnsi" w:hAnsiTheme="majorHAnsi" w:cs="Times New Roman"/>
        </w:rPr>
        <w:t xml:space="preserve"> </w:t>
      </w:r>
      <w:r w:rsidR="00066D95" w:rsidRPr="00C41E37">
        <w:rPr>
          <w:rFonts w:asciiTheme="majorHAnsi" w:hAnsiTheme="majorHAnsi" w:cs="Times New Roman"/>
        </w:rPr>
        <w:t>the Departments of Health and Human Services (HHS),  Labor and the Treasury</w:t>
      </w:r>
      <w:r w:rsidR="008E1B5D" w:rsidRPr="00C41E37">
        <w:rPr>
          <w:rFonts w:asciiTheme="majorHAnsi" w:hAnsiTheme="majorHAnsi" w:cs="Times New Roman"/>
        </w:rPr>
        <w:t xml:space="preserve"> </w:t>
      </w:r>
      <w:r w:rsidR="00066D95" w:rsidRPr="00C41E37">
        <w:rPr>
          <w:rFonts w:asciiTheme="majorHAnsi" w:hAnsiTheme="majorHAnsi" w:cs="Times New Roman"/>
        </w:rPr>
        <w:t xml:space="preserve">(the Departments) </w:t>
      </w:r>
      <w:r w:rsidR="008E1B5D" w:rsidRPr="00C41E37">
        <w:rPr>
          <w:rFonts w:asciiTheme="majorHAnsi" w:hAnsiTheme="majorHAnsi" w:cs="Times New Roman"/>
        </w:rPr>
        <w:t>released</w:t>
      </w:r>
      <w:r w:rsidR="00D2004A" w:rsidRPr="00C41E37">
        <w:rPr>
          <w:rFonts w:asciiTheme="majorHAnsi" w:hAnsiTheme="majorHAnsi" w:cs="Times New Roman"/>
        </w:rPr>
        <w:t xml:space="preserve"> the</w:t>
      </w:r>
      <w:r w:rsidR="008E1B5D" w:rsidRPr="00C41E37">
        <w:rPr>
          <w:rFonts w:asciiTheme="majorHAnsi" w:hAnsiTheme="majorHAnsi" w:cs="Times New Roman"/>
        </w:rPr>
        <w:t xml:space="preserve"> </w:t>
      </w:r>
      <w:r w:rsidR="00010CDC" w:rsidRPr="00C41E37">
        <w:rPr>
          <w:rFonts w:asciiTheme="majorHAnsi" w:hAnsiTheme="majorHAnsi" w:cs="Times New Roman"/>
        </w:rPr>
        <w:t xml:space="preserve">Summary of Benefits and Coverage and Uniform Glossary final regulations (77 Fed Reg. 8668). </w:t>
      </w:r>
      <w:r w:rsidR="00DA6A47" w:rsidRPr="00C41E37">
        <w:rPr>
          <w:rFonts w:asciiTheme="majorHAnsi" w:hAnsiTheme="majorHAnsi"/>
          <w:iCs/>
        </w:rPr>
        <w:t xml:space="preserve"> Under these final regulations, group health plans and health insurance issuers offering individual and group coverage must create and provide consumers with the summary of benefits and coverage (SBC) and provide consumers with the uniform glossary of medical and insurance terms.</w:t>
      </w:r>
      <w:r w:rsidR="009137BD" w:rsidRPr="00C41E37">
        <w:rPr>
          <w:rFonts w:asciiTheme="majorHAnsi" w:hAnsiTheme="majorHAnsi"/>
          <w:iCs/>
        </w:rPr>
        <w:t xml:space="preserve"> These final regulations become effective on September 23, 2012 for individual market issuers. </w:t>
      </w:r>
      <w:r w:rsidR="00DA6A47" w:rsidRPr="00C41E37">
        <w:rPr>
          <w:rFonts w:asciiTheme="majorHAnsi" w:hAnsiTheme="majorHAnsi"/>
          <w:iCs/>
        </w:rPr>
        <w:t xml:space="preserve">  </w:t>
      </w:r>
      <w:r w:rsidR="00066D95" w:rsidRPr="00C41E37">
        <w:rPr>
          <w:rFonts w:asciiTheme="majorHAnsi" w:hAnsiTheme="majorHAnsi"/>
          <w:iCs/>
        </w:rPr>
        <w:t xml:space="preserve">The forms and instructions required to comply with these requirements were authorized under OMB Control numbers </w:t>
      </w:r>
      <w:r w:rsidR="00066D95" w:rsidRPr="00C41E37">
        <w:rPr>
          <w:rFonts w:asciiTheme="majorHAnsi" w:hAnsiTheme="majorHAnsi" w:cs="Times New Roman"/>
        </w:rPr>
        <w:t>1545-2229; 1210-0147; 0938-1146</w:t>
      </w:r>
      <w:r w:rsidR="004E7991">
        <w:rPr>
          <w:rFonts w:asciiTheme="majorHAnsi" w:hAnsiTheme="majorHAnsi" w:cs="Times New Roman"/>
        </w:rPr>
        <w:t>; 0938-1086)</w:t>
      </w:r>
      <w:r w:rsidR="00066D95" w:rsidRPr="00C41E37">
        <w:rPr>
          <w:rFonts w:asciiTheme="majorHAnsi" w:hAnsiTheme="majorHAnsi" w:cs="Times New Roman"/>
        </w:rPr>
        <w:t>.</w:t>
      </w:r>
    </w:p>
    <w:p w:rsidR="00DA6A47" w:rsidRPr="00C41E37" w:rsidRDefault="00DA6A47" w:rsidP="00DA6A47">
      <w:pPr>
        <w:spacing w:after="0"/>
        <w:rPr>
          <w:rFonts w:asciiTheme="majorHAnsi" w:hAnsiTheme="majorHAnsi"/>
          <w:iCs/>
        </w:rPr>
      </w:pPr>
    </w:p>
    <w:p w:rsidR="00010CDC" w:rsidRPr="00C41E37" w:rsidRDefault="00010CDC" w:rsidP="00DA6A47">
      <w:pPr>
        <w:spacing w:after="0"/>
        <w:rPr>
          <w:rFonts w:asciiTheme="majorHAnsi" w:hAnsiTheme="majorHAnsi"/>
          <w:iCs/>
        </w:rPr>
      </w:pPr>
      <w:r w:rsidRPr="00C41E37">
        <w:rPr>
          <w:rFonts w:asciiTheme="majorHAnsi" w:hAnsiTheme="majorHAnsi"/>
        </w:rPr>
        <w:t xml:space="preserve">Section 147.200(a)(1) requires a group health plan and a health insurance issuer to provide a written summary of benefits and coverage for each benefit package to entities and individuals at specified points in the enrollment process. </w:t>
      </w:r>
      <w:r w:rsidR="00DA6A47" w:rsidRPr="00C41E37">
        <w:rPr>
          <w:rFonts w:asciiTheme="majorHAnsi" w:hAnsiTheme="majorHAnsi"/>
          <w:iCs/>
        </w:rPr>
        <w:t xml:space="preserve"> </w:t>
      </w:r>
      <w:r w:rsidRPr="00C41E37">
        <w:rPr>
          <w:rFonts w:asciiTheme="majorHAnsi" w:hAnsiTheme="majorHAnsi"/>
        </w:rPr>
        <w:t>As specified in §147.200(a)(2), a plan or issuer will populate the SBC 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identifying information for the plan or coverage and contact information for questions and for obtaining a copy of the plan document or the insurance policy, certificate, or contract of insurance (such as a telephone number for customer service and an Internet address for obtaining a copy of the plan document or the insurance policy, certificate, or contract of insurance); (7) for plans and issuers that maintain one or more networks of providers, an Internet address (or similar contact information) for obtaining a list of network providers; (8) for plans and issuers that provide prescription drug coverage through a formulary, an Internet address (or similar contact information) for obtaining information on prescription drug coverage; and (9) an Internet address (or similar contact information) where a consumer may review and obtain the uniform glossary.</w:t>
      </w:r>
    </w:p>
    <w:p w:rsidR="00DA6A47" w:rsidRPr="00C41E37" w:rsidRDefault="00DA6A47" w:rsidP="00DA6A47">
      <w:pPr>
        <w:spacing w:after="0"/>
        <w:rPr>
          <w:rFonts w:asciiTheme="majorHAnsi" w:hAnsiTheme="majorHAnsi"/>
        </w:rPr>
      </w:pPr>
    </w:p>
    <w:p w:rsidR="00DA6A47" w:rsidRPr="00C41E37" w:rsidRDefault="00DA6A47" w:rsidP="00DA6A47">
      <w:pPr>
        <w:spacing w:after="0"/>
        <w:rPr>
          <w:rFonts w:asciiTheme="majorHAnsi" w:hAnsiTheme="majorHAnsi"/>
        </w:rPr>
      </w:pPr>
      <w:r w:rsidRPr="00C41E37">
        <w:rPr>
          <w:rFonts w:asciiTheme="majorHAnsi" w:hAnsiTheme="majorHAnsi"/>
        </w:rPr>
        <w:t>The final regulations also set forth a deemed compliance provision for issuers offering individual market coverage.  Under these provisions, individual market issuers that submit all the data elements required by the SBC regulations and g</w:t>
      </w:r>
      <w:r w:rsidR="00B60861">
        <w:rPr>
          <w:rFonts w:asciiTheme="majorHAnsi" w:hAnsiTheme="majorHAnsi"/>
        </w:rPr>
        <w:t>uidance to HealthC</w:t>
      </w:r>
      <w:r w:rsidRPr="00C41E37">
        <w:rPr>
          <w:rFonts w:asciiTheme="majorHAnsi" w:hAnsiTheme="majorHAnsi"/>
        </w:rPr>
        <w:t xml:space="preserve">are.gov will be deemed compliant with the requirement to provide electronic versions of the pre-applicant version of the SBC. </w:t>
      </w:r>
    </w:p>
    <w:p w:rsidR="009137BD" w:rsidRPr="00C41E37" w:rsidRDefault="009137BD" w:rsidP="009137BD">
      <w:pPr>
        <w:spacing w:after="240"/>
        <w:rPr>
          <w:rFonts w:asciiTheme="majorHAnsi" w:hAnsiTheme="majorHAnsi"/>
        </w:rPr>
      </w:pPr>
      <w:r w:rsidRPr="00C41E37">
        <w:rPr>
          <w:rFonts w:asciiTheme="majorHAnsi" w:hAnsiTheme="majorHAnsi"/>
        </w:rPr>
        <w:br/>
      </w:r>
      <w:r w:rsidR="00066D95" w:rsidRPr="00C41E37">
        <w:rPr>
          <w:rFonts w:asciiTheme="majorHAnsi" w:hAnsiTheme="majorHAnsi"/>
        </w:rPr>
        <w:t>Healthcare.gov was established pursuant  s</w:t>
      </w:r>
      <w:r w:rsidRPr="00C41E37">
        <w:rPr>
          <w:rFonts w:asciiTheme="majorHAnsi" w:hAnsiTheme="majorHAnsi"/>
        </w:rPr>
        <w:t>ection 1103(a), as amended by section 10102(b) of the</w:t>
      </w:r>
      <w:r w:rsidR="00066D95" w:rsidRPr="00C41E37">
        <w:rPr>
          <w:rFonts w:asciiTheme="majorHAnsi" w:hAnsiTheme="majorHAnsi"/>
        </w:rPr>
        <w:t xml:space="preserve"> Patient </w:t>
      </w:r>
      <w:r w:rsidR="00066D95" w:rsidRPr="00C41E37">
        <w:rPr>
          <w:rFonts w:asciiTheme="majorHAnsi" w:hAnsiTheme="majorHAnsi"/>
        </w:rPr>
        <w:lastRenderedPageBreak/>
        <w:t>Protection and Affordable Care Act</w:t>
      </w:r>
      <w:r w:rsidRPr="00C41E37">
        <w:rPr>
          <w:rFonts w:asciiTheme="majorHAnsi" w:hAnsiTheme="majorHAnsi"/>
        </w:rPr>
        <w:t>,</w:t>
      </w:r>
      <w:r w:rsidR="00066D95" w:rsidRPr="00C41E37">
        <w:rPr>
          <w:rFonts w:asciiTheme="majorHAnsi" w:hAnsiTheme="majorHAnsi"/>
        </w:rPr>
        <w:t xml:space="preserve"> which </w:t>
      </w:r>
      <w:r w:rsidRPr="00C41E37">
        <w:rPr>
          <w:rFonts w:asciiTheme="majorHAnsi" w:hAnsiTheme="majorHAnsi"/>
        </w:rPr>
        <w:t xml:space="preserve"> requires the establishment of an internet website </w:t>
      </w:r>
      <w:r w:rsidR="00B60861">
        <w:rPr>
          <w:rFonts w:asciiTheme="majorHAnsi" w:hAnsiTheme="majorHAnsi"/>
        </w:rPr>
        <w:t>(HealthC</w:t>
      </w:r>
      <w:r w:rsidRPr="00C41E37">
        <w:rPr>
          <w:rFonts w:asciiTheme="majorHAnsi" w:hAnsiTheme="majorHAnsi"/>
        </w:rPr>
        <w:t>are.</w:t>
      </w:r>
      <w:r w:rsidR="00B60861">
        <w:rPr>
          <w:rFonts w:asciiTheme="majorHAnsi" w:hAnsiTheme="majorHAnsi"/>
        </w:rPr>
        <w:t>gov</w:t>
      </w:r>
      <w:r w:rsidRPr="00C41E37">
        <w:rPr>
          <w:rFonts w:asciiTheme="majorHAnsi" w:hAnsiTheme="majorHAnsi"/>
        </w:rPr>
        <w:t>) through which individuals and small businesses can obtain information about the insurance coverage options that may be available to them in their State.</w:t>
      </w:r>
      <w:r w:rsidR="00066D95" w:rsidRPr="00C41E37">
        <w:rPr>
          <w:rFonts w:asciiTheme="majorHAnsi" w:hAnsiTheme="majorHAnsi"/>
        </w:rPr>
        <w:t xml:space="preserve"> HHS</w:t>
      </w:r>
      <w:r w:rsidRPr="00C41E37">
        <w:rPr>
          <w:rFonts w:asciiTheme="majorHAnsi" w:hAnsiTheme="majorHAnsi"/>
        </w:rPr>
        <w:t xml:space="preserve"> issued an interim final rule effective May 10, 2010 in order to implement this mandate.  This interim final rule adopts the categories of information that will be collected and displayed as web portal content, and the data we will require from issuers and request from States, associations, and high risk pools in order to create this content.</w:t>
      </w:r>
    </w:p>
    <w:p w:rsidR="009137BD" w:rsidRPr="00C41E37" w:rsidRDefault="009137BD" w:rsidP="009137BD">
      <w:pPr>
        <w:numPr>
          <w:ilvl w:val="0"/>
          <w:numId w:val="11"/>
        </w:numPr>
        <w:spacing w:after="0" w:line="240" w:lineRule="auto"/>
        <w:rPr>
          <w:rFonts w:asciiTheme="majorHAnsi" w:eastAsia="Times New Roman" w:hAnsiTheme="majorHAnsi"/>
        </w:rPr>
      </w:pPr>
      <w:r w:rsidRPr="00C41E37">
        <w:rPr>
          <w:rFonts w:asciiTheme="majorHAnsi" w:eastAsia="Times New Roman" w:hAnsiTheme="majorHAnsi"/>
        </w:rPr>
        <w:t>Current</w:t>
      </w:r>
      <w:r w:rsidR="00B60861">
        <w:rPr>
          <w:rFonts w:asciiTheme="majorHAnsi" w:eastAsia="Times New Roman" w:hAnsiTheme="majorHAnsi"/>
        </w:rPr>
        <w:t xml:space="preserve"> HealthC</w:t>
      </w:r>
      <w:r w:rsidR="00066D95" w:rsidRPr="00C41E37">
        <w:rPr>
          <w:rFonts w:asciiTheme="majorHAnsi" w:eastAsia="Times New Roman" w:hAnsiTheme="majorHAnsi"/>
        </w:rPr>
        <w:t>are.gov</w:t>
      </w:r>
      <w:r w:rsidRPr="00C41E37">
        <w:rPr>
          <w:rFonts w:asciiTheme="majorHAnsi" w:eastAsia="Times New Roman" w:hAnsiTheme="majorHAnsi"/>
        </w:rPr>
        <w:t xml:space="preserve"> PRA underwent full 60/30 comment periods and is in effect until October 31, 2012</w:t>
      </w:r>
      <w:r w:rsidR="004E7991">
        <w:rPr>
          <w:rFonts w:asciiTheme="majorHAnsi" w:eastAsia="Times New Roman" w:hAnsiTheme="majorHAnsi"/>
        </w:rPr>
        <w:t xml:space="preserve"> (</w:t>
      </w:r>
      <w:r w:rsidR="00525ED1">
        <w:rPr>
          <w:rFonts w:asciiTheme="majorHAnsi" w:eastAsia="Times New Roman" w:hAnsiTheme="majorHAnsi"/>
        </w:rPr>
        <w:t xml:space="preserve">OMB Control Number </w:t>
      </w:r>
      <w:r w:rsidR="00525ED1" w:rsidRPr="00525ED1">
        <w:rPr>
          <w:rFonts w:asciiTheme="majorHAnsi" w:hAnsiTheme="majorHAnsi"/>
        </w:rPr>
        <w:t>0938-1086</w:t>
      </w:r>
      <w:r w:rsidR="00525ED1">
        <w:rPr>
          <w:rFonts w:asciiTheme="majorHAnsi" w:hAnsiTheme="majorHAnsi"/>
        </w:rPr>
        <w:t>).</w:t>
      </w:r>
    </w:p>
    <w:p w:rsidR="009137BD" w:rsidRPr="00C41E37" w:rsidRDefault="009137BD" w:rsidP="009137BD">
      <w:pPr>
        <w:numPr>
          <w:ilvl w:val="0"/>
          <w:numId w:val="11"/>
        </w:numPr>
        <w:spacing w:after="0" w:line="240" w:lineRule="auto"/>
        <w:rPr>
          <w:rFonts w:asciiTheme="majorHAnsi" w:eastAsia="Times New Roman" w:hAnsiTheme="majorHAnsi"/>
        </w:rPr>
      </w:pPr>
      <w:r w:rsidRPr="00C41E37">
        <w:rPr>
          <w:rFonts w:asciiTheme="majorHAnsi" w:eastAsia="Times New Roman" w:hAnsiTheme="majorHAnsi"/>
        </w:rPr>
        <w:t>Data refreshes generally require three weeks from the start of data collection to refresh for the web site, even for familiar collection instruments</w:t>
      </w:r>
    </w:p>
    <w:p w:rsidR="009137BD" w:rsidRPr="00C41E37" w:rsidRDefault="009137BD" w:rsidP="009137BD">
      <w:pPr>
        <w:numPr>
          <w:ilvl w:val="0"/>
          <w:numId w:val="11"/>
        </w:numPr>
        <w:spacing w:after="0" w:line="240" w:lineRule="auto"/>
        <w:rPr>
          <w:rFonts w:asciiTheme="majorHAnsi" w:eastAsia="Times New Roman" w:hAnsiTheme="majorHAnsi"/>
        </w:rPr>
      </w:pPr>
      <w:r w:rsidRPr="00C41E37">
        <w:rPr>
          <w:rFonts w:asciiTheme="majorHAnsi" w:eastAsia="Times New Roman" w:hAnsiTheme="majorHAnsi"/>
        </w:rPr>
        <w:t>Issuers were informed that the tentative open window for submission will take place on August 27, 2012.</w:t>
      </w:r>
    </w:p>
    <w:p w:rsidR="008E1B5D" w:rsidRPr="00C41E37" w:rsidRDefault="008E1B5D" w:rsidP="00DA6A47">
      <w:pPr>
        <w:spacing w:after="0"/>
        <w:rPr>
          <w:rFonts w:asciiTheme="majorHAnsi" w:hAnsiTheme="majorHAnsi"/>
          <w:iCs/>
        </w:rPr>
      </w:pPr>
    </w:p>
    <w:p w:rsidR="00066D95" w:rsidRPr="00C41E37" w:rsidRDefault="009137BD" w:rsidP="00357196">
      <w:pPr>
        <w:spacing w:after="0"/>
        <w:rPr>
          <w:rFonts w:asciiTheme="majorHAnsi" w:hAnsiTheme="majorHAnsi" w:cs="Times New Roman"/>
        </w:rPr>
      </w:pPr>
      <w:r w:rsidRPr="00C41E37">
        <w:rPr>
          <w:rFonts w:asciiTheme="majorHAnsi" w:hAnsiTheme="majorHAnsi" w:cs="Times New Roman"/>
        </w:rPr>
        <w:t>To effectuate the</w:t>
      </w:r>
      <w:r w:rsidR="00066D95" w:rsidRPr="00C41E37">
        <w:rPr>
          <w:rFonts w:asciiTheme="majorHAnsi" w:hAnsiTheme="majorHAnsi" w:cs="Times New Roman"/>
        </w:rPr>
        <w:t xml:space="preserve"> SBC </w:t>
      </w:r>
      <w:r w:rsidRPr="00C41E37">
        <w:rPr>
          <w:rFonts w:asciiTheme="majorHAnsi" w:hAnsiTheme="majorHAnsi" w:cs="Times New Roman"/>
        </w:rPr>
        <w:t xml:space="preserve"> deemed compliance provision (45 C.F.R. 147.200(a)(4)</w:t>
      </w:r>
      <w:r w:rsidR="002F03FA" w:rsidRPr="00C41E37">
        <w:rPr>
          <w:rFonts w:asciiTheme="majorHAnsi" w:hAnsiTheme="majorHAnsi" w:cs="Times New Roman"/>
        </w:rPr>
        <w:t>(iii)</w:t>
      </w:r>
      <w:r w:rsidRPr="00C41E37">
        <w:rPr>
          <w:rFonts w:asciiTheme="majorHAnsi" w:hAnsiTheme="majorHAnsi" w:cs="Times New Roman"/>
        </w:rPr>
        <w:t>(C)</w:t>
      </w:r>
      <w:r w:rsidR="00066D95" w:rsidRPr="00C41E37">
        <w:rPr>
          <w:rFonts w:asciiTheme="majorHAnsi" w:hAnsiTheme="majorHAnsi" w:cs="Times New Roman"/>
        </w:rPr>
        <w:t>, HHS will need to amend this PRA to include a collection tool, to allow HealthCare.gov to collect all data elements required to complete the SBC for individual market issuers and post to HealthCare.gov</w:t>
      </w:r>
    </w:p>
    <w:p w:rsidR="00357196" w:rsidRPr="00C41E37" w:rsidRDefault="007E2C88" w:rsidP="00357196">
      <w:pPr>
        <w:spacing w:after="0"/>
        <w:rPr>
          <w:rFonts w:asciiTheme="majorHAnsi" w:hAnsiTheme="majorHAnsi" w:cs="Times New Roman"/>
        </w:rPr>
      </w:pPr>
      <w:r w:rsidRPr="00C41E37">
        <w:rPr>
          <w:rFonts w:asciiTheme="majorHAnsi" w:hAnsiTheme="majorHAnsi" w:cs="Times New Roman"/>
        </w:rPr>
        <w:br/>
        <w:t xml:space="preserve">We do not anticipate </w:t>
      </w:r>
      <w:r w:rsidR="00357196" w:rsidRPr="00C41E37">
        <w:rPr>
          <w:rFonts w:asciiTheme="majorHAnsi" w:hAnsiTheme="majorHAnsi" w:cs="Times New Roman"/>
        </w:rPr>
        <w:t xml:space="preserve">that this amendment will result in </w:t>
      </w:r>
      <w:r w:rsidRPr="00C41E37">
        <w:rPr>
          <w:rFonts w:asciiTheme="majorHAnsi" w:hAnsiTheme="majorHAnsi" w:cs="Times New Roman"/>
        </w:rPr>
        <w:t xml:space="preserve">a significant change in the burden </w:t>
      </w:r>
      <w:r w:rsidR="00357196" w:rsidRPr="00C41E37">
        <w:rPr>
          <w:rFonts w:asciiTheme="majorHAnsi" w:hAnsiTheme="majorHAnsi" w:cs="Times New Roman"/>
        </w:rPr>
        <w:t xml:space="preserve">to respondents.  We are requesting that the PRA revision for this amendment be approved and issued by </w:t>
      </w:r>
      <w:r w:rsidR="009137BD" w:rsidRPr="00C41E37">
        <w:rPr>
          <w:rFonts w:asciiTheme="majorHAnsi" w:hAnsiTheme="majorHAnsi" w:cs="Times New Roman"/>
        </w:rPr>
        <w:t>August 17</w:t>
      </w:r>
      <w:r w:rsidR="00357196" w:rsidRPr="00C41E37">
        <w:rPr>
          <w:rFonts w:asciiTheme="majorHAnsi" w:hAnsiTheme="majorHAnsi" w:cs="Times New Roman"/>
        </w:rPr>
        <w:t xml:space="preserve">, so </w:t>
      </w:r>
      <w:r w:rsidR="009137BD" w:rsidRPr="00C41E37">
        <w:rPr>
          <w:rFonts w:asciiTheme="majorHAnsi" w:hAnsiTheme="majorHAnsi" w:cs="Times New Roman"/>
        </w:rPr>
        <w:t xml:space="preserve">HealthCare.gov can open the submission widow for issuers on August 27, 2102. </w:t>
      </w:r>
      <w:r w:rsidR="00357196" w:rsidRPr="00C41E37">
        <w:rPr>
          <w:rFonts w:asciiTheme="majorHAnsi" w:hAnsiTheme="majorHAnsi" w:cs="Times New Roman"/>
        </w:rPr>
        <w:t xml:space="preserve"> This will </w:t>
      </w:r>
      <w:r w:rsidR="009137BD" w:rsidRPr="00C41E37">
        <w:rPr>
          <w:rFonts w:asciiTheme="majorHAnsi" w:hAnsiTheme="majorHAnsi" w:cs="Times New Roman"/>
        </w:rPr>
        <w:t>provide issuers with sufficient time to submit data to HealthCare.gov so that the SBCs can be displayed on HealthCare.gov on September 23, 2012.</w:t>
      </w:r>
      <w:r w:rsidR="00357196" w:rsidRPr="00C41E37">
        <w:rPr>
          <w:rFonts w:asciiTheme="majorHAnsi" w:hAnsiTheme="majorHAnsi" w:cs="Times New Roman"/>
        </w:rPr>
        <w:t xml:space="preserve"> </w:t>
      </w:r>
    </w:p>
    <w:p w:rsidR="007E2C88" w:rsidRPr="00C41E37" w:rsidRDefault="007E2C88" w:rsidP="008E1B5D">
      <w:pPr>
        <w:rPr>
          <w:rFonts w:asciiTheme="majorHAnsi" w:hAnsiTheme="majorHAnsi" w:cs="Times New Roman"/>
        </w:rPr>
      </w:pPr>
    </w:p>
    <w:p w:rsidR="007E2C88" w:rsidRPr="00C41E37" w:rsidRDefault="007E2C88" w:rsidP="00357196">
      <w:pPr>
        <w:spacing w:after="0"/>
        <w:rPr>
          <w:rFonts w:asciiTheme="majorHAnsi" w:hAnsiTheme="majorHAnsi" w:cs="Times New Roman"/>
          <w:b/>
        </w:rPr>
      </w:pPr>
      <w:r w:rsidRPr="00C41E37">
        <w:rPr>
          <w:rFonts w:asciiTheme="majorHAnsi" w:hAnsiTheme="majorHAnsi" w:cs="Times New Roman"/>
          <w:b/>
        </w:rPr>
        <w:t>Amendments</w:t>
      </w:r>
    </w:p>
    <w:p w:rsidR="00341457" w:rsidRPr="00C41E37" w:rsidRDefault="007E2C88" w:rsidP="008E1B5D">
      <w:pPr>
        <w:rPr>
          <w:rFonts w:asciiTheme="majorHAnsi" w:hAnsiTheme="majorHAnsi" w:cs="Times New Roman"/>
        </w:rPr>
      </w:pPr>
      <w:r w:rsidRPr="00C41E37">
        <w:rPr>
          <w:rFonts w:asciiTheme="majorHAnsi" w:hAnsiTheme="majorHAnsi" w:cs="Times New Roman"/>
        </w:rPr>
        <w:t>A</w:t>
      </w:r>
      <w:r w:rsidR="00341457" w:rsidRPr="00C41E37">
        <w:rPr>
          <w:rFonts w:asciiTheme="majorHAnsi" w:hAnsiTheme="majorHAnsi" w:cs="Times New Roman"/>
        </w:rPr>
        <w:t xml:space="preserve">mendments are needed </w:t>
      </w:r>
      <w:r w:rsidR="00066D95" w:rsidRPr="00C41E37">
        <w:rPr>
          <w:rFonts w:asciiTheme="majorHAnsi" w:hAnsiTheme="majorHAnsi" w:cs="Times New Roman"/>
        </w:rPr>
        <w:t>to inclu</w:t>
      </w:r>
      <w:r w:rsidR="00B60861">
        <w:rPr>
          <w:rFonts w:asciiTheme="majorHAnsi" w:hAnsiTheme="majorHAnsi" w:cs="Times New Roman"/>
        </w:rPr>
        <w:t>de a collection tool to enable HealthC</w:t>
      </w:r>
      <w:r w:rsidR="00066D95" w:rsidRPr="00C41E37">
        <w:rPr>
          <w:rFonts w:asciiTheme="majorHAnsi" w:hAnsiTheme="majorHAnsi" w:cs="Times New Roman"/>
        </w:rPr>
        <w:t xml:space="preserve">are.gov to collect the full SBC data elements from individual market issuers. </w:t>
      </w:r>
      <w:r w:rsidR="00876FE1" w:rsidRPr="00C41E37">
        <w:rPr>
          <w:rFonts w:asciiTheme="majorHAnsi" w:hAnsiTheme="majorHAnsi" w:cs="Times New Roman"/>
        </w:rPr>
        <w:t xml:space="preserve"> </w:t>
      </w:r>
    </w:p>
    <w:p w:rsidR="00357196" w:rsidRPr="00C41E37" w:rsidRDefault="002F03FA" w:rsidP="002F03FA">
      <w:pPr>
        <w:spacing w:after="0"/>
        <w:rPr>
          <w:rFonts w:asciiTheme="majorHAnsi" w:hAnsiTheme="majorHAnsi" w:cs="Times New Roman"/>
        </w:rPr>
      </w:pPr>
      <w:r w:rsidRPr="00C41E37">
        <w:rPr>
          <w:rFonts w:asciiTheme="majorHAnsi" w:hAnsiTheme="majorHAnsi" w:cs="Times New Roman"/>
        </w:rPr>
        <w:t xml:space="preserve">This amendment will incorporate an updated collection tool so that individual market issuers can submit the full SBC data to </w:t>
      </w:r>
      <w:r w:rsidR="00B60861">
        <w:rPr>
          <w:rFonts w:asciiTheme="majorHAnsi" w:hAnsiTheme="majorHAnsi" w:cs="Times New Roman"/>
        </w:rPr>
        <w:t>HealthC</w:t>
      </w:r>
      <w:r w:rsidRPr="00C41E37">
        <w:rPr>
          <w:rFonts w:asciiTheme="majorHAnsi" w:hAnsiTheme="majorHAnsi" w:cs="Times New Roman"/>
        </w:rPr>
        <w:t>are.gov, as authorized under the final regulations and accompanying PRA, required to be deemed compliant with the requirement to provide the electronic version of the pre-applicant SBC.  The collection tool is attached (Appendix  A).</w:t>
      </w:r>
    </w:p>
    <w:p w:rsidR="003D5738" w:rsidRPr="00C41E37" w:rsidRDefault="003D5738" w:rsidP="003D5738">
      <w:pPr>
        <w:spacing w:after="0" w:line="240" w:lineRule="auto"/>
        <w:rPr>
          <w:rFonts w:asciiTheme="majorHAnsi" w:hAnsiTheme="majorHAnsi" w:cs="Times New Roman"/>
          <w:i/>
          <w:u w:val="single"/>
        </w:rPr>
      </w:pPr>
    </w:p>
    <w:p w:rsidR="003D5738" w:rsidRPr="00C41E37" w:rsidRDefault="003D5738" w:rsidP="003D5738">
      <w:pPr>
        <w:spacing w:after="0" w:line="240" w:lineRule="auto"/>
        <w:rPr>
          <w:rFonts w:asciiTheme="majorHAnsi" w:hAnsiTheme="majorHAnsi" w:cs="Times New Roman"/>
          <w:u w:val="single"/>
        </w:rPr>
      </w:pPr>
    </w:p>
    <w:p w:rsidR="001A6A7D" w:rsidRPr="00C41E37" w:rsidRDefault="001A6A7D" w:rsidP="008E1B5D">
      <w:pPr>
        <w:spacing w:after="0"/>
        <w:rPr>
          <w:rFonts w:asciiTheme="majorHAnsi" w:hAnsiTheme="majorHAnsi" w:cs="Times New Roman"/>
        </w:rPr>
      </w:pPr>
    </w:p>
    <w:p w:rsidR="00357196" w:rsidRPr="00C41E37" w:rsidRDefault="00357196" w:rsidP="00357196">
      <w:pPr>
        <w:spacing w:after="0"/>
        <w:rPr>
          <w:rFonts w:asciiTheme="majorHAnsi" w:hAnsiTheme="majorHAnsi" w:cs="Times New Roman"/>
          <w:b/>
        </w:rPr>
      </w:pPr>
    </w:p>
    <w:p w:rsidR="00357196" w:rsidRPr="00C41E37" w:rsidRDefault="00357196" w:rsidP="00357196">
      <w:pPr>
        <w:spacing w:after="0"/>
        <w:rPr>
          <w:rFonts w:asciiTheme="majorHAnsi" w:hAnsiTheme="majorHAnsi" w:cs="Times New Roman"/>
          <w:b/>
        </w:rPr>
      </w:pPr>
    </w:p>
    <w:p w:rsidR="00357196" w:rsidRPr="00C41E37" w:rsidRDefault="00357196" w:rsidP="00357196">
      <w:pPr>
        <w:spacing w:after="0"/>
        <w:rPr>
          <w:rFonts w:asciiTheme="majorHAnsi" w:hAnsiTheme="majorHAnsi" w:cs="Times New Roman"/>
          <w:b/>
        </w:rPr>
      </w:pPr>
    </w:p>
    <w:p w:rsidR="006056FA" w:rsidRPr="00C41E37" w:rsidRDefault="006056FA" w:rsidP="00357196">
      <w:pPr>
        <w:spacing w:after="0"/>
        <w:rPr>
          <w:rFonts w:asciiTheme="majorHAnsi" w:hAnsiTheme="majorHAnsi" w:cs="Times New Roman"/>
          <w:b/>
        </w:rPr>
      </w:pPr>
    </w:p>
    <w:p w:rsidR="00357196" w:rsidRPr="00C41E37" w:rsidRDefault="00357196" w:rsidP="00357196">
      <w:pPr>
        <w:spacing w:after="0"/>
        <w:rPr>
          <w:rFonts w:asciiTheme="majorHAnsi" w:hAnsiTheme="majorHAnsi" w:cs="Times New Roman"/>
          <w:b/>
        </w:rPr>
      </w:pPr>
      <w:r w:rsidRPr="00C41E37">
        <w:rPr>
          <w:rFonts w:asciiTheme="majorHAnsi" w:hAnsiTheme="majorHAnsi" w:cs="Times New Roman"/>
          <w:b/>
        </w:rPr>
        <w:t>Anticipated Burden Impact</w:t>
      </w:r>
    </w:p>
    <w:p w:rsidR="002F03FA" w:rsidRPr="00C41E37" w:rsidRDefault="002F03FA" w:rsidP="002F03FA">
      <w:pPr>
        <w:autoSpaceDE w:val="0"/>
        <w:autoSpaceDN w:val="0"/>
        <w:adjustRightInd w:val="0"/>
        <w:rPr>
          <w:rFonts w:asciiTheme="majorHAnsi" w:hAnsiTheme="majorHAnsi" w:cs="Times New Roman"/>
        </w:rPr>
      </w:pPr>
    </w:p>
    <w:p w:rsidR="002F03FA" w:rsidRPr="00C41E37" w:rsidRDefault="002F03FA" w:rsidP="002F03FA">
      <w:pPr>
        <w:autoSpaceDE w:val="0"/>
        <w:autoSpaceDN w:val="0"/>
        <w:adjustRightInd w:val="0"/>
        <w:rPr>
          <w:rFonts w:asciiTheme="majorHAnsi" w:hAnsiTheme="majorHAnsi"/>
        </w:rPr>
      </w:pPr>
      <w:r w:rsidRPr="00C41E37">
        <w:rPr>
          <w:rFonts w:asciiTheme="majorHAnsi" w:hAnsiTheme="majorHAnsi"/>
        </w:rPr>
        <w:t xml:space="preserve">The most significant change in this amendment is the addition of data elements necessary to complete the SBC for deeming purposes.  Individual health insurance issuers already provide most SBC content elements </w:t>
      </w:r>
      <w:r w:rsidRPr="00C41E37">
        <w:rPr>
          <w:rFonts w:asciiTheme="majorHAnsi" w:hAnsiTheme="majorHAnsi"/>
        </w:rPr>
        <w:lastRenderedPageBreak/>
        <w:t xml:space="preserve">to HealthCare.gov, excluding coverage examples data and some additional details around cost sharing and covered benefits. </w:t>
      </w:r>
    </w:p>
    <w:p w:rsidR="00394595" w:rsidRPr="00C41E37" w:rsidRDefault="002F03FA" w:rsidP="00C41E37">
      <w:pPr>
        <w:autoSpaceDE w:val="0"/>
        <w:autoSpaceDN w:val="0"/>
        <w:adjustRightInd w:val="0"/>
        <w:rPr>
          <w:rFonts w:asciiTheme="majorHAnsi" w:hAnsiTheme="majorHAnsi"/>
        </w:rPr>
      </w:pPr>
      <w:r w:rsidRPr="00C41E37">
        <w:rPr>
          <w:rFonts w:asciiTheme="majorHAnsi" w:hAnsiTheme="majorHAnsi"/>
        </w:rPr>
        <w:t>Accordingly, the additional burden associated with the requirements under §147.200(a)(4)(iii)(C) is the time and effort it would take each of the 220 issuers in the individual market to enter these additional additional data elements into the collection tool. We estimate that it will take these issuers about 220 hours at a cost of about $6,600.</w:t>
      </w:r>
      <w:r w:rsidR="00C41E37">
        <w:rPr>
          <w:rFonts w:asciiTheme="majorHAnsi" w:hAnsiTheme="majorHAnsi"/>
        </w:rPr>
        <w:t xml:space="preserve"> </w:t>
      </w:r>
      <w:r w:rsidRPr="00C41E37">
        <w:rPr>
          <w:rFonts w:asciiTheme="majorHAnsi" w:hAnsiTheme="majorHAnsi"/>
        </w:rPr>
        <w:t>In deriving these figures, we used the following hourly labor rates and estimated the time to complete each task: $ 30.78/hr and 0.5 hr/issuer for clerical staff to enter data into an Excel spreadsheet</w:t>
      </w:r>
      <w:r w:rsidR="00C41E37" w:rsidRPr="00C41E37">
        <w:rPr>
          <w:rFonts w:asciiTheme="majorHAnsi" w:hAnsiTheme="majorHAnsi"/>
        </w:rPr>
        <w:t>.</w:t>
      </w:r>
      <w:r w:rsidRPr="00C41E37">
        <w:rPr>
          <w:rFonts w:asciiTheme="majorHAnsi" w:hAnsiTheme="majorHAnsi"/>
        </w:rPr>
        <w:t xml:space="preserve"> </w:t>
      </w:r>
    </w:p>
    <w:p w:rsidR="003C7A68" w:rsidRPr="00C41E37" w:rsidRDefault="003C7A68" w:rsidP="008E1B5D">
      <w:pPr>
        <w:spacing w:after="0"/>
        <w:rPr>
          <w:rFonts w:asciiTheme="majorHAnsi" w:hAnsiTheme="majorHAnsi" w:cs="Times New Roman"/>
        </w:rPr>
      </w:pPr>
    </w:p>
    <w:p w:rsidR="003C7A68" w:rsidRPr="00C41E37" w:rsidRDefault="003C7A68" w:rsidP="008E1B5D">
      <w:pPr>
        <w:spacing w:after="0"/>
        <w:rPr>
          <w:rFonts w:asciiTheme="majorHAnsi" w:hAnsiTheme="majorHAnsi" w:cs="Times New Roman"/>
        </w:rPr>
      </w:pPr>
    </w:p>
    <w:sectPr w:rsidR="003C7A68" w:rsidRPr="00C41E37" w:rsidSect="001260C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B0" w:rsidRDefault="00B526B0" w:rsidP="00361B99">
      <w:pPr>
        <w:spacing w:after="0" w:line="240" w:lineRule="auto"/>
      </w:pPr>
      <w:r>
        <w:separator/>
      </w:r>
    </w:p>
  </w:endnote>
  <w:endnote w:type="continuationSeparator" w:id="0">
    <w:p w:rsidR="00B526B0" w:rsidRDefault="00B526B0"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FA" w:rsidRPr="00CF0EE4" w:rsidRDefault="002F03FA"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B0" w:rsidRDefault="00B526B0" w:rsidP="00361B99">
      <w:pPr>
        <w:spacing w:after="0" w:line="240" w:lineRule="auto"/>
      </w:pPr>
      <w:r>
        <w:separator/>
      </w:r>
    </w:p>
  </w:footnote>
  <w:footnote w:type="continuationSeparator" w:id="0">
    <w:p w:rsidR="00B526B0" w:rsidRDefault="00B526B0" w:rsidP="0036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2308D"/>
    <w:multiLevelType w:val="hybridMultilevel"/>
    <w:tmpl w:val="919A26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0307"/>
    <w:rsid w:val="0000488B"/>
    <w:rsid w:val="00010CDC"/>
    <w:rsid w:val="000576B9"/>
    <w:rsid w:val="00060AA4"/>
    <w:rsid w:val="00066D95"/>
    <w:rsid w:val="000A086C"/>
    <w:rsid w:val="000B2E0B"/>
    <w:rsid w:val="000B3AFB"/>
    <w:rsid w:val="000C52BA"/>
    <w:rsid w:val="00100492"/>
    <w:rsid w:val="00124192"/>
    <w:rsid w:val="001260C1"/>
    <w:rsid w:val="00137616"/>
    <w:rsid w:val="001820E1"/>
    <w:rsid w:val="001A6016"/>
    <w:rsid w:val="001A6A7D"/>
    <w:rsid w:val="001F6CF2"/>
    <w:rsid w:val="002113DB"/>
    <w:rsid w:val="00211992"/>
    <w:rsid w:val="00255877"/>
    <w:rsid w:val="00281749"/>
    <w:rsid w:val="002E642E"/>
    <w:rsid w:val="002F03FA"/>
    <w:rsid w:val="002F1954"/>
    <w:rsid w:val="0031430C"/>
    <w:rsid w:val="003376B6"/>
    <w:rsid w:val="00341457"/>
    <w:rsid w:val="00357196"/>
    <w:rsid w:val="00361B99"/>
    <w:rsid w:val="00394595"/>
    <w:rsid w:val="003A0307"/>
    <w:rsid w:val="003A341B"/>
    <w:rsid w:val="003C7A68"/>
    <w:rsid w:val="003D5738"/>
    <w:rsid w:val="003E7E2A"/>
    <w:rsid w:val="003F3890"/>
    <w:rsid w:val="004116CE"/>
    <w:rsid w:val="00431DF8"/>
    <w:rsid w:val="00440DFD"/>
    <w:rsid w:val="0045004C"/>
    <w:rsid w:val="00461C79"/>
    <w:rsid w:val="00494CE9"/>
    <w:rsid w:val="00496047"/>
    <w:rsid w:val="004E7991"/>
    <w:rsid w:val="004F3211"/>
    <w:rsid w:val="005170A0"/>
    <w:rsid w:val="00525ED1"/>
    <w:rsid w:val="00545A83"/>
    <w:rsid w:val="00552B56"/>
    <w:rsid w:val="005A774F"/>
    <w:rsid w:val="005B1BDE"/>
    <w:rsid w:val="005B5321"/>
    <w:rsid w:val="005E327F"/>
    <w:rsid w:val="005E79D9"/>
    <w:rsid w:val="006056FA"/>
    <w:rsid w:val="00613BFE"/>
    <w:rsid w:val="00614EFD"/>
    <w:rsid w:val="00630DD1"/>
    <w:rsid w:val="00652417"/>
    <w:rsid w:val="00687050"/>
    <w:rsid w:val="00693232"/>
    <w:rsid w:val="006C329B"/>
    <w:rsid w:val="006E622E"/>
    <w:rsid w:val="00706112"/>
    <w:rsid w:val="00711D6C"/>
    <w:rsid w:val="0072227D"/>
    <w:rsid w:val="00733DE1"/>
    <w:rsid w:val="007360A4"/>
    <w:rsid w:val="007771A0"/>
    <w:rsid w:val="00780E5B"/>
    <w:rsid w:val="007824A8"/>
    <w:rsid w:val="007A7275"/>
    <w:rsid w:val="007B292D"/>
    <w:rsid w:val="007E2C88"/>
    <w:rsid w:val="0085099F"/>
    <w:rsid w:val="00865D12"/>
    <w:rsid w:val="00876FE1"/>
    <w:rsid w:val="00880ECF"/>
    <w:rsid w:val="00881285"/>
    <w:rsid w:val="008A0694"/>
    <w:rsid w:val="008C5902"/>
    <w:rsid w:val="008D66C5"/>
    <w:rsid w:val="008E1B5D"/>
    <w:rsid w:val="009017C0"/>
    <w:rsid w:val="009137BD"/>
    <w:rsid w:val="0098597E"/>
    <w:rsid w:val="009B1FD0"/>
    <w:rsid w:val="00A1443E"/>
    <w:rsid w:val="00A17662"/>
    <w:rsid w:val="00A24EF4"/>
    <w:rsid w:val="00A46FEF"/>
    <w:rsid w:val="00A6269B"/>
    <w:rsid w:val="00A67B63"/>
    <w:rsid w:val="00A9537A"/>
    <w:rsid w:val="00AA232F"/>
    <w:rsid w:val="00AA3D25"/>
    <w:rsid w:val="00AD221B"/>
    <w:rsid w:val="00AD34AC"/>
    <w:rsid w:val="00AD51C7"/>
    <w:rsid w:val="00AF2AF8"/>
    <w:rsid w:val="00B526B0"/>
    <w:rsid w:val="00B56D1B"/>
    <w:rsid w:val="00B60861"/>
    <w:rsid w:val="00B936FC"/>
    <w:rsid w:val="00BB1C0D"/>
    <w:rsid w:val="00BE3D03"/>
    <w:rsid w:val="00C31E7E"/>
    <w:rsid w:val="00C41004"/>
    <w:rsid w:val="00C41E37"/>
    <w:rsid w:val="00CC652D"/>
    <w:rsid w:val="00D2004A"/>
    <w:rsid w:val="00D468C0"/>
    <w:rsid w:val="00DA657A"/>
    <w:rsid w:val="00DA6A47"/>
    <w:rsid w:val="00DC23F8"/>
    <w:rsid w:val="00DD2B57"/>
    <w:rsid w:val="00DE4991"/>
    <w:rsid w:val="00ED6C77"/>
    <w:rsid w:val="00F06BAB"/>
    <w:rsid w:val="00F22747"/>
    <w:rsid w:val="00F50E04"/>
    <w:rsid w:val="00F53477"/>
    <w:rsid w:val="00F71953"/>
    <w:rsid w:val="00F927E1"/>
    <w:rsid w:val="00FA0628"/>
    <w:rsid w:val="00FC36C5"/>
    <w:rsid w:val="00FD5357"/>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04153239">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WNPIII</cp:lastModifiedBy>
  <cp:revision>2</cp:revision>
  <cp:lastPrinted>2011-10-12T14:13:00Z</cp:lastPrinted>
  <dcterms:created xsi:type="dcterms:W3CDTF">2012-08-13T14:35:00Z</dcterms:created>
  <dcterms:modified xsi:type="dcterms:W3CDTF">2012-08-13T14:35:00Z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152891084</vt:i4>
  </property>
  <property fmtid="{D5CDD505-2E9C-101B-9397-08002B2CF9AE}" pid="3" name="_NewReviewCycle">
    <vt:lpwstr/>
  </property>
  <property fmtid="{D5CDD505-2E9C-101B-9397-08002B2CF9AE}" pid="4" name="_EmailSubject">
    <vt:lpwstr>ACTION NEEDED: HealthCare.Gov PRA 30-day comment period</vt:lpwstr>
  </property>
  <property fmtid="{D5CDD505-2E9C-101B-9397-08002B2CF9AE}" pid="5" name="_AuthorEmail">
    <vt:lpwstr>jennifer.libster@cms.hhs.gov</vt:lpwstr>
  </property>
  <property fmtid="{D5CDD505-2E9C-101B-9397-08002B2CF9AE}" pid="6" name="_AuthorEmailDisplayName">
    <vt:lpwstr>Libster, Jennifer M. (CMS/CCIIO)</vt:lpwstr>
  </property>
  <property fmtid="{D5CDD505-2E9C-101B-9397-08002B2CF9AE}" pid="7" name="_PreviousAdHocReviewCycleID">
    <vt:i4>2041038790</vt:i4>
  </property>
  <property fmtid="{D5CDD505-2E9C-101B-9397-08002B2CF9AE}" pid="8" name="_ReviewingToolsShownOnce">
    <vt:lpwstr/>
  </property>
</Properties>
</file>