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79" w:rsidRPr="00F117FD" w:rsidRDefault="00771479" w:rsidP="00364CDC">
      <w:pPr>
        <w:jc w:val="center"/>
      </w:pPr>
      <w:r w:rsidRPr="00F117FD">
        <w:t>Supporting Statement for Paperwork Reduction Act Submissions</w:t>
      </w:r>
    </w:p>
    <w:p w:rsidR="00771479" w:rsidRPr="00F117FD" w:rsidRDefault="00771479" w:rsidP="00364CDC">
      <w:pPr>
        <w:jc w:val="center"/>
      </w:pPr>
    </w:p>
    <w:p w:rsidR="00771479" w:rsidRPr="00F117FD" w:rsidRDefault="00771479" w:rsidP="00275719">
      <w:pPr>
        <w:jc w:val="center"/>
      </w:pPr>
      <w:bookmarkStart w:id="0" w:name="OLE_LINK1"/>
      <w:bookmarkStart w:id="1" w:name="OLE_LINK2"/>
      <w:r w:rsidRPr="00F117FD">
        <w:t>Application for Registration (DEA Form 224)</w:t>
      </w:r>
    </w:p>
    <w:p w:rsidR="00771479" w:rsidRPr="00F117FD" w:rsidRDefault="00771479" w:rsidP="00275719">
      <w:pPr>
        <w:jc w:val="center"/>
      </w:pPr>
      <w:r w:rsidRPr="00F117FD">
        <w:t>Application for Registration Renewal (DEA Form 224a)</w:t>
      </w:r>
    </w:p>
    <w:p w:rsidR="00771479" w:rsidRPr="00F117FD" w:rsidRDefault="00771479" w:rsidP="00275719">
      <w:pPr>
        <w:jc w:val="center"/>
      </w:pPr>
      <w:r w:rsidRPr="00F117FD">
        <w:t>Affidavit for Chain Renewal (DEA Form 224b)</w:t>
      </w:r>
    </w:p>
    <w:p w:rsidR="00771479" w:rsidRDefault="00771479" w:rsidP="00275719">
      <w:pPr>
        <w:jc w:val="center"/>
      </w:pPr>
      <w:r w:rsidRPr="00F117FD">
        <w:t>Application for Modification of Registration for Online Pharmacies (DEA Form 224c)</w:t>
      </w:r>
    </w:p>
    <w:p w:rsidR="00771479" w:rsidRDefault="00771479" w:rsidP="00275719">
      <w:pPr>
        <w:jc w:val="center"/>
      </w:pPr>
    </w:p>
    <w:bookmarkEnd w:id="0"/>
    <w:bookmarkEnd w:id="1"/>
    <w:p w:rsidR="00771479" w:rsidRPr="00F117FD" w:rsidRDefault="00771479" w:rsidP="00275719">
      <w:pPr>
        <w:jc w:val="center"/>
      </w:pPr>
      <w:r>
        <w:t>OMB Number 1117-0014</w:t>
      </w:r>
    </w:p>
    <w:p w:rsidR="00771479" w:rsidRPr="00F117FD" w:rsidRDefault="00771479" w:rsidP="005038D3"/>
    <w:p w:rsidR="00771479" w:rsidRPr="00F117FD" w:rsidRDefault="00771479" w:rsidP="005038D3">
      <w:r w:rsidRPr="00F117FD">
        <w:t>Part A.  Justification</w:t>
      </w:r>
    </w:p>
    <w:p w:rsidR="00771479" w:rsidRPr="00F117FD" w:rsidRDefault="00771479" w:rsidP="005038D3"/>
    <w:p w:rsidR="00771479" w:rsidRPr="00F117FD" w:rsidRDefault="00771479" w:rsidP="005038D3">
      <w:r w:rsidRPr="00F117FD">
        <w:t xml:space="preserve">1. Necessity of Information: </w:t>
      </w:r>
    </w:p>
    <w:p w:rsidR="00771479" w:rsidRPr="00F117FD" w:rsidRDefault="00771479" w:rsidP="005038D3"/>
    <w:p w:rsidR="00771479" w:rsidRDefault="00EE79B0" w:rsidP="005038D3">
      <w:r w:rsidRPr="00EE79B0">
        <w:rPr>
          <w:u w:val="single"/>
        </w:rPr>
        <w:t>Purpose of collection:</w:t>
      </w:r>
      <w:r>
        <w:t xml:space="preserve">  </w:t>
      </w:r>
      <w:r w:rsidR="00771479" w:rsidRPr="00F117FD">
        <w:t>All firms and individuals who administer, dispense</w:t>
      </w:r>
      <w:r w:rsidR="000B1722">
        <w:t>,</w:t>
      </w:r>
      <w:r w:rsidR="00771479" w:rsidRPr="00F117FD">
        <w:t xml:space="preserve"> prescribe </w:t>
      </w:r>
      <w:r w:rsidR="000B1722">
        <w:t>and/or procure</w:t>
      </w:r>
      <w:r w:rsidR="000B1722" w:rsidRPr="00F117FD">
        <w:t xml:space="preserve"> </w:t>
      </w:r>
      <w:r w:rsidR="00771479" w:rsidRPr="00F117FD">
        <w:t>controlled substances must register with DEA under the Controlled Substances Act</w:t>
      </w:r>
      <w:r w:rsidR="00771479">
        <w:t xml:space="preserve"> (21 U.S.C. 822; </w:t>
      </w:r>
      <w:r w:rsidR="00771479" w:rsidRPr="00F117FD">
        <w:t>21 CFR 1301.11).  Registration is needed for control measures over legal handlers of controlled substances and is used to monitor their activities.  DEA-registered pharmacies that fall within the definition of an online pharmacy (21</w:t>
      </w:r>
      <w:r w:rsidR="002254A7">
        <w:t> </w:t>
      </w:r>
      <w:r w:rsidR="00771479" w:rsidRPr="00F117FD">
        <w:t>U.S.C.</w:t>
      </w:r>
      <w:r w:rsidR="002254A7">
        <w:t> </w:t>
      </w:r>
      <w:r w:rsidR="00771479" w:rsidRPr="00F117FD">
        <w:t>802(52)) must apply for a modified registration authorizing the pharmacy to dispense controlled substances by means of the Internet (21</w:t>
      </w:r>
      <w:r w:rsidR="002254A7">
        <w:t> </w:t>
      </w:r>
      <w:r w:rsidR="00771479" w:rsidRPr="00F117FD">
        <w:t>U.S.C.</w:t>
      </w:r>
      <w:r w:rsidR="002254A7">
        <w:t> </w:t>
      </w:r>
      <w:r w:rsidR="00771479" w:rsidRPr="00F117FD">
        <w:t>823(f)).</w:t>
      </w:r>
    </w:p>
    <w:p w:rsidR="00B96BC9" w:rsidRDefault="00B96BC9" w:rsidP="005038D3"/>
    <w:p w:rsidR="00771479" w:rsidRPr="00F117FD" w:rsidRDefault="00771479" w:rsidP="00364CDC">
      <w:r w:rsidRPr="00F117FD">
        <w:t xml:space="preserve">2. Needs and Uses: </w:t>
      </w:r>
    </w:p>
    <w:p w:rsidR="00771479" w:rsidRPr="00F117FD" w:rsidRDefault="00771479" w:rsidP="00364CDC"/>
    <w:p w:rsidR="009B6B11" w:rsidRDefault="00934ADD" w:rsidP="009B6B11">
      <w:r w:rsidRPr="00934ADD">
        <w:rPr>
          <w:u w:val="single"/>
        </w:rPr>
        <w:t>Intended uses:</w:t>
      </w:r>
      <w:r>
        <w:t xml:space="preserve">  </w:t>
      </w:r>
      <w:r w:rsidR="009B6B11">
        <w:t>Registration is needed for control measures over legal handlers of controlled substances and is used to monitor their activities.  DEA-registered pharmacies that fall within the definition of an online pharmacy (21 U.S.C. 802(52)) must apply for a modified registration authorizing the pharmacy to dispense controlled substances by means of the Internet (21 U.S.C. 823(f)).</w:t>
      </w:r>
    </w:p>
    <w:p w:rsidR="009B6B11" w:rsidRDefault="009B6B11" w:rsidP="00364CDC"/>
    <w:p w:rsidR="00771479" w:rsidRDefault="00771479" w:rsidP="00364CDC">
      <w:r w:rsidRPr="00F117FD">
        <w:t xml:space="preserve">DEA Form 224 is used by applicants seeking to become registered to </w:t>
      </w:r>
      <w:r>
        <w:t xml:space="preserve">administer, </w:t>
      </w:r>
      <w:r w:rsidRPr="00F117FD">
        <w:t>dispense</w:t>
      </w:r>
      <w:r>
        <w:t xml:space="preserve">, </w:t>
      </w:r>
      <w:r w:rsidR="00F8461A">
        <w:t xml:space="preserve">or </w:t>
      </w:r>
      <w:r>
        <w:t>prescribe</w:t>
      </w:r>
      <w:r w:rsidR="00EE1558">
        <w:t xml:space="preserve"> </w:t>
      </w:r>
      <w:r w:rsidRPr="00F117FD">
        <w:t>any controlled substances.  DEA Form 224a is used for renewal of such registrations on a triennial basis.  DEA Form 224b is an affidavit used for the renewal of chain registrants, primarily retail pharmacies, on a triennial basis.  DEA Form 224c is used to apply for a modification of registration allowing online pharmacies to dispense controlled substances by means of the Internet.  The information submitted is used to identify persons seeking registration and provide information to determine whether registration would be consistent with the public interest.</w:t>
      </w:r>
    </w:p>
    <w:p w:rsidR="009B6B11" w:rsidRDefault="009B6B11" w:rsidP="009B6B11">
      <w:pPr>
        <w:rPr>
          <w:noProof/>
        </w:rPr>
      </w:pPr>
    </w:p>
    <w:p w:rsidR="00771479" w:rsidRPr="00F117FD" w:rsidRDefault="00771479" w:rsidP="00364CDC">
      <w:bookmarkStart w:id="2" w:name="OLE_LINK28"/>
      <w:bookmarkStart w:id="3" w:name="OLE_LINK29"/>
      <w:bookmarkStart w:id="4" w:name="OLE_LINK21"/>
      <w:bookmarkStart w:id="5" w:name="OLE_LINK22"/>
      <w:r w:rsidRPr="00F117FD">
        <w:t xml:space="preserve">3. Use of Technology: </w:t>
      </w:r>
    </w:p>
    <w:p w:rsidR="00771479" w:rsidRPr="00F117FD" w:rsidRDefault="00771479" w:rsidP="00364CDC"/>
    <w:bookmarkEnd w:id="2"/>
    <w:bookmarkEnd w:id="3"/>
    <w:p w:rsidR="00771479" w:rsidRDefault="00771479" w:rsidP="00364CDC">
      <w:r w:rsidRPr="00F117FD">
        <w:t>DEA has a system which permits fully electronic registration using a credit card.  Currently, the referenced forms are available on the DEA Diversion Control Program website (http://www.DEAdiversion.usdoj.gov).  Applicants complete the form online and submit electronically, along with credit card payment.</w:t>
      </w:r>
    </w:p>
    <w:bookmarkEnd w:id="4"/>
    <w:bookmarkEnd w:id="5"/>
    <w:p w:rsidR="00771479" w:rsidRDefault="00771479" w:rsidP="00364CDC"/>
    <w:p w:rsidR="00771479" w:rsidRDefault="00771479" w:rsidP="00364CDC">
      <w:r w:rsidRPr="00F117FD">
        <w:lastRenderedPageBreak/>
        <w:t xml:space="preserve">Aside from these activities, DEA currently permits chain registrants (primarily retail pharmacies) to register through the use of an affidavit and a computerized listing of all registrants.  Currently, </w:t>
      </w:r>
      <w:r>
        <w:t xml:space="preserve">68 </w:t>
      </w:r>
      <w:r w:rsidRPr="00F117FD">
        <w:t xml:space="preserve">chains participate in this program, holding registrations for </w:t>
      </w:r>
      <w:r>
        <w:t>36,</w:t>
      </w:r>
      <w:r w:rsidR="00F06352">
        <w:t xml:space="preserve">660 </w:t>
      </w:r>
      <w:r w:rsidRPr="00F117FD">
        <w:t>individual registrants.</w:t>
      </w:r>
      <w:r>
        <w:t xml:space="preserve">  During calendar year 201</w:t>
      </w:r>
      <w:r w:rsidR="00F06352">
        <w:t>1</w:t>
      </w:r>
      <w:r>
        <w:t xml:space="preserve">, the year for which estimates were calculated, </w:t>
      </w:r>
      <w:r w:rsidR="00F06352">
        <w:t xml:space="preserve">32 </w:t>
      </w:r>
      <w:r>
        <w:t xml:space="preserve">chains registered </w:t>
      </w:r>
      <w:r w:rsidR="00F06352">
        <w:t>6,472</w:t>
      </w:r>
      <w:r>
        <w:t xml:space="preserve"> individual locations.</w:t>
      </w:r>
    </w:p>
    <w:p w:rsidR="00771479" w:rsidRDefault="00771479" w:rsidP="00364CDC">
      <w:pPr>
        <w:rPr>
          <w:color w:val="000000"/>
        </w:rPr>
      </w:pPr>
    </w:p>
    <w:p w:rsidR="00771479" w:rsidRDefault="00771479" w:rsidP="00364CDC">
      <w:pPr>
        <w:rPr>
          <w:color w:val="000000"/>
        </w:rPr>
      </w:pPr>
      <w:r w:rsidRPr="00F117FD">
        <w:rPr>
          <w:color w:val="000000"/>
        </w:rPr>
        <w:t>Registrants applying to modify their pharmacy registrations to operate as online pharmacies apply via the onli</w:t>
      </w:r>
      <w:r>
        <w:rPr>
          <w:color w:val="000000"/>
        </w:rPr>
        <w:t>ne application (DEA Form 224c).</w:t>
      </w:r>
    </w:p>
    <w:p w:rsidR="00771479" w:rsidRDefault="00771479" w:rsidP="00364CDC">
      <w:pPr>
        <w:rPr>
          <w:color w:val="000000"/>
        </w:rPr>
      </w:pPr>
    </w:p>
    <w:p w:rsidR="00771479" w:rsidRPr="00F117FD" w:rsidRDefault="00771479" w:rsidP="00364CDC">
      <w:pPr>
        <w:rPr>
          <w:color w:val="000000"/>
        </w:rPr>
      </w:pPr>
      <w:r>
        <w:rPr>
          <w:color w:val="000000"/>
        </w:rPr>
        <w:t>In calendar year 201</w:t>
      </w:r>
      <w:r w:rsidR="00F06352">
        <w:rPr>
          <w:color w:val="000000"/>
        </w:rPr>
        <w:t>1</w:t>
      </w:r>
      <w:r>
        <w:rPr>
          <w:color w:val="000000"/>
        </w:rPr>
        <w:t xml:space="preserve">, the </w:t>
      </w:r>
      <w:proofErr w:type="gramStart"/>
      <w:r>
        <w:rPr>
          <w:color w:val="000000"/>
        </w:rPr>
        <w:t>year for which estimates are calculated, approximately 85% of all applications were</w:t>
      </w:r>
      <w:proofErr w:type="gramEnd"/>
      <w:r>
        <w:rPr>
          <w:color w:val="000000"/>
        </w:rPr>
        <w:t xml:space="preserve"> received electronically.</w:t>
      </w:r>
    </w:p>
    <w:p w:rsidR="00771479" w:rsidRPr="00F117FD" w:rsidRDefault="00771479" w:rsidP="00364CDC">
      <w:pPr>
        <w:rPr>
          <w:color w:val="000000"/>
        </w:rPr>
      </w:pPr>
    </w:p>
    <w:p w:rsidR="00771479" w:rsidRPr="00F117FD" w:rsidRDefault="00771479" w:rsidP="00364CDC">
      <w:pPr>
        <w:rPr>
          <w:color w:val="000000"/>
        </w:rPr>
      </w:pPr>
    </w:p>
    <w:p w:rsidR="00771479" w:rsidRPr="00F117FD" w:rsidRDefault="00771479" w:rsidP="00364CDC">
      <w:pPr>
        <w:rPr>
          <w:color w:val="000000"/>
        </w:rPr>
      </w:pPr>
      <w:r w:rsidRPr="00F117FD">
        <w:rPr>
          <w:color w:val="000000"/>
        </w:rPr>
        <w:t xml:space="preserve">4. Efforts to Identify Duplication: </w:t>
      </w:r>
    </w:p>
    <w:p w:rsidR="00771479" w:rsidRPr="00F117FD" w:rsidRDefault="00771479" w:rsidP="00364CDC">
      <w:pPr>
        <w:rPr>
          <w:color w:val="000000"/>
        </w:rPr>
      </w:pPr>
    </w:p>
    <w:p w:rsidR="00771479" w:rsidRPr="00F117FD" w:rsidRDefault="00771479" w:rsidP="00364CDC">
      <w:r w:rsidRPr="00F117FD">
        <w:t xml:space="preserve">The </w:t>
      </w:r>
      <w:r>
        <w:t>F</w:t>
      </w:r>
      <w:r w:rsidRPr="00F117FD">
        <w:t>ederal requirement of registration to handle controlled substances is unique to DEA.  The information provided is specific to the applicant's use of controlled substances and is not available from other sources.</w:t>
      </w:r>
    </w:p>
    <w:p w:rsidR="00771479" w:rsidRPr="00F117FD" w:rsidRDefault="00771479" w:rsidP="00364CDC"/>
    <w:p w:rsidR="00771479" w:rsidRPr="00F117FD" w:rsidRDefault="00771479" w:rsidP="00364CDC"/>
    <w:p w:rsidR="00771479" w:rsidRPr="00F117FD" w:rsidRDefault="00771479" w:rsidP="00364CDC">
      <w:r w:rsidRPr="00F117FD">
        <w:t>5. Methods to Minimize Burden on Small Businesses:</w:t>
      </w:r>
    </w:p>
    <w:p w:rsidR="00771479" w:rsidRPr="00F117FD" w:rsidRDefault="00771479" w:rsidP="00364CDC"/>
    <w:p w:rsidR="00771479" w:rsidRPr="00F117FD" w:rsidRDefault="00771479" w:rsidP="00364CDC">
      <w:r w:rsidRPr="00F117FD">
        <w:t xml:space="preserve">Although many of the registrants affected may be classified as small businesses according to the Small Business Administration, the information collected is maintained as a normal course of business.  Therefore, this collection does not have a significant </w:t>
      </w:r>
      <w:r>
        <w:t xml:space="preserve">economic </w:t>
      </w:r>
      <w:r w:rsidRPr="00F117FD">
        <w:t>impact upon small entities within the meaning and intent of the Regulatory Flexibility Act, 5 U.S.C. 601 et seq.</w:t>
      </w:r>
    </w:p>
    <w:p w:rsidR="00771479" w:rsidRPr="00F117FD" w:rsidRDefault="00771479" w:rsidP="00364CDC"/>
    <w:p w:rsidR="00771479" w:rsidRPr="00F117FD" w:rsidRDefault="00771479" w:rsidP="00364CDC">
      <w:r w:rsidRPr="00F117FD">
        <w:t xml:space="preserve">6. Consequences of Less Frequent Collection: </w:t>
      </w:r>
    </w:p>
    <w:p w:rsidR="00771479" w:rsidRPr="00F117FD" w:rsidRDefault="00771479" w:rsidP="00364CDC"/>
    <w:p w:rsidR="00771479" w:rsidRPr="00F117FD" w:rsidRDefault="00771479" w:rsidP="00B5274C">
      <w:r w:rsidRPr="00F117FD">
        <w:t>The Controlled Substances Act requires that registration for these activities be issued on a triennial basis.</w:t>
      </w:r>
      <w:r>
        <w:t xml:space="preserve">  </w:t>
      </w:r>
      <w:r w:rsidRPr="00F117FD">
        <w:t>The Ryan Haight Online Pharmacy Consumer Protection Act of 2008 requires all pharmacies that plan to conduct business as an online pharmacy to obtain a modified registration.</w:t>
      </w:r>
    </w:p>
    <w:p w:rsidR="00771479" w:rsidRPr="00F117FD" w:rsidRDefault="00771479" w:rsidP="00364CDC"/>
    <w:p w:rsidR="00771479" w:rsidRPr="00F117FD" w:rsidRDefault="00771479" w:rsidP="00364CDC">
      <w:r w:rsidRPr="00F117FD">
        <w:t xml:space="preserve">7. Special Circumstances Influencing Collection: </w:t>
      </w:r>
    </w:p>
    <w:p w:rsidR="00771479" w:rsidRPr="00F117FD" w:rsidRDefault="00771479" w:rsidP="00364CDC"/>
    <w:p w:rsidR="00771479" w:rsidRPr="00F117FD" w:rsidRDefault="00771479" w:rsidP="00364CDC">
      <w:r w:rsidRPr="00F117FD">
        <w:t>Changes to the online pharmacy’s Internet site address or any information submitted under 21</w:t>
      </w:r>
      <w:r>
        <w:t> </w:t>
      </w:r>
      <w:r w:rsidRPr="00F117FD">
        <w:t>CFR</w:t>
      </w:r>
      <w:r>
        <w:t> </w:t>
      </w:r>
      <w:r w:rsidRPr="00F117FD">
        <w:t>1304.40 must be reported to DEA at least 30 days in advance.  There are no other special circumstances applicable to this information collection.</w:t>
      </w:r>
    </w:p>
    <w:p w:rsidR="00771479" w:rsidRPr="00F117FD" w:rsidRDefault="00771479" w:rsidP="00364CDC"/>
    <w:p w:rsidR="00771479" w:rsidRPr="00F117FD" w:rsidRDefault="00771479" w:rsidP="00364CDC">
      <w:r w:rsidRPr="00F117FD">
        <w:t xml:space="preserve">8. Reasons for Inconsistencies with 5 CFR 1320.6: </w:t>
      </w:r>
    </w:p>
    <w:p w:rsidR="00771479" w:rsidRPr="00F117FD" w:rsidRDefault="00771479" w:rsidP="00364CDC"/>
    <w:p w:rsidR="00771479" w:rsidRPr="00F117FD" w:rsidRDefault="00771479" w:rsidP="00156A7C">
      <w:pPr>
        <w:autoSpaceDE w:val="0"/>
        <w:autoSpaceDN w:val="0"/>
        <w:adjustRightInd w:val="0"/>
      </w:pPr>
      <w:r w:rsidRPr="00F117FD">
        <w:t>There are no circumstances that require the collection of data that would be inconsistent with the guidelines set forth in 5</w:t>
      </w:r>
      <w:r w:rsidR="005C4B64">
        <w:t> </w:t>
      </w:r>
      <w:r w:rsidRPr="00F117FD">
        <w:t>CFR</w:t>
      </w:r>
      <w:r w:rsidR="005C4B64">
        <w:t> </w:t>
      </w:r>
      <w:r w:rsidRPr="00F117FD">
        <w:t>1320.6.  DEA meets regularly with the affected industry to discuss policies, programs and regulations.  These meetings provide an open forum to discuss matters of mutual concern, including application and registration procedures, with representatives of those from whom the information is obtained.</w:t>
      </w:r>
    </w:p>
    <w:p w:rsidR="00771479" w:rsidRPr="00F117FD" w:rsidRDefault="00771479" w:rsidP="00455755"/>
    <w:p w:rsidR="00771479" w:rsidRPr="00F117FD" w:rsidRDefault="00771479" w:rsidP="00364CDC">
      <w:r w:rsidRPr="00F117FD">
        <w:t xml:space="preserve">9. Payment or Gift to Claimants: </w:t>
      </w:r>
    </w:p>
    <w:p w:rsidR="00771479" w:rsidRPr="00F117FD" w:rsidRDefault="00771479" w:rsidP="00364CDC"/>
    <w:p w:rsidR="00771479" w:rsidRPr="00F117FD" w:rsidRDefault="00771479" w:rsidP="00364CDC">
      <w:r w:rsidRPr="00F117FD">
        <w:t>There are no payments or gifts to respondents.</w:t>
      </w:r>
    </w:p>
    <w:p w:rsidR="00771479" w:rsidRPr="00F117FD" w:rsidRDefault="00771479" w:rsidP="00364CDC"/>
    <w:p w:rsidR="00771479" w:rsidRPr="00F117FD" w:rsidRDefault="00771479" w:rsidP="00364CDC">
      <w:r w:rsidRPr="00F117FD">
        <w:t xml:space="preserve">10. Assurance of Confidentiality: </w:t>
      </w:r>
    </w:p>
    <w:p w:rsidR="00771479" w:rsidRPr="00F117FD" w:rsidRDefault="00771479" w:rsidP="00364CDC"/>
    <w:p w:rsidR="00721BDA" w:rsidRDefault="00EE79B0" w:rsidP="003270F2">
      <w:r w:rsidRPr="00EE79B0">
        <w:rPr>
          <w:u w:val="single"/>
        </w:rPr>
        <w:t>Opportunities for consent:</w:t>
      </w:r>
      <w:r>
        <w:t xml:space="preserve">  </w:t>
      </w:r>
      <w:r w:rsidR="00721BDA">
        <w:t xml:space="preserve">Applicants and registrants must register with DEA in order to handle controlled substances and List I chemicals.  Failure to </w:t>
      </w:r>
      <w:r w:rsidR="00981F6C">
        <w:t xml:space="preserve">provide the requested information </w:t>
      </w:r>
      <w:r w:rsidR="00721BDA">
        <w:t xml:space="preserve">precludes </w:t>
      </w:r>
      <w:r w:rsidR="00981F6C">
        <w:t>processing of the application</w:t>
      </w:r>
      <w:r w:rsidR="00721BDA">
        <w:t xml:space="preserve">.  The parameters for consent and the use and sharing of the information collected </w:t>
      </w:r>
      <w:r w:rsidR="00121133">
        <w:t xml:space="preserve">are </w:t>
      </w:r>
      <w:r w:rsidR="00721BDA">
        <w:t>conveyed to applicants and registrants whether they are using the online forms or paper forms.</w:t>
      </w:r>
    </w:p>
    <w:p w:rsidR="001739E6" w:rsidRDefault="001739E6" w:rsidP="003270F2"/>
    <w:p w:rsidR="001739E6" w:rsidRDefault="004F6DB3" w:rsidP="001739E6">
      <w:r>
        <w:t>Each form in the information collection states the purposes for which DEA will use the information</w:t>
      </w:r>
      <w:r w:rsidR="00121133">
        <w:t xml:space="preserve"> and </w:t>
      </w:r>
      <w:r w:rsidR="006F5A34">
        <w:t xml:space="preserve">whether </w:t>
      </w:r>
      <w:r w:rsidR="00121133">
        <w:t>disclosure of the information is voluntary</w:t>
      </w:r>
      <w:r w:rsidR="006F5A34">
        <w:t xml:space="preserve"> or mandatory</w:t>
      </w:r>
      <w:r>
        <w:t xml:space="preserve">.  Each form in the information collection </w:t>
      </w:r>
      <w:r w:rsidR="00287A11">
        <w:t xml:space="preserve">also states that </w:t>
      </w:r>
      <w:r w:rsidR="001739E6">
        <w:t>DEA will disclose th</w:t>
      </w:r>
      <w:r w:rsidR="00287A11">
        <w:t xml:space="preserve">e </w:t>
      </w:r>
      <w:r w:rsidR="001739E6">
        <w:t xml:space="preserve">information without prior </w:t>
      </w:r>
      <w:r w:rsidR="004F1E67">
        <w:t xml:space="preserve">written </w:t>
      </w:r>
      <w:r w:rsidR="001739E6">
        <w:t xml:space="preserve">consent only when DEA has </w:t>
      </w:r>
      <w:r w:rsidR="00287A11">
        <w:t xml:space="preserve">legal </w:t>
      </w:r>
      <w:r w:rsidR="001739E6">
        <w:t>authority to do so.</w:t>
      </w:r>
    </w:p>
    <w:p w:rsidR="00721BDA" w:rsidRDefault="00721BDA" w:rsidP="003270F2"/>
    <w:p w:rsidR="00771479" w:rsidRDefault="00771479" w:rsidP="003270F2">
      <w:bookmarkStart w:id="6" w:name="OLE_LINK32"/>
      <w:bookmarkStart w:id="7" w:name="OLE_LINK33"/>
      <w:r>
        <w:t xml:space="preserve">Information requested in this collection may be considered confidential business information if marked as such </w:t>
      </w:r>
      <w:r w:rsidR="008D29FC">
        <w:t xml:space="preserve">pursuant to </w:t>
      </w:r>
      <w:r>
        <w:t xml:space="preserve">28 CFR 16.8(c) and Exemption 4 of the Freedom of Information Act (FOIA).  </w:t>
      </w:r>
      <w:bookmarkEnd w:id="6"/>
      <w:bookmarkEnd w:id="7"/>
      <w:r>
        <w:t>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business information per 28 CFR 16.8(c) and Exemption 4 of FOIA, DEA will give written notice to the submitter to allow an opportunity to object within a reasonable time prior to any disclosure by DEA.</w:t>
      </w:r>
    </w:p>
    <w:p w:rsidR="00B73A0E" w:rsidRDefault="00B73A0E" w:rsidP="00B73A0E">
      <w:bookmarkStart w:id="8" w:name="OLE_LINK30"/>
      <w:bookmarkStart w:id="9" w:name="OLE_LINK31"/>
      <w:bookmarkStart w:id="10" w:name="OLE_LINK34"/>
      <w:bookmarkStart w:id="11" w:name="OLE_LINK35"/>
      <w:bookmarkStart w:id="12" w:name="OLE_LINK36"/>
      <w:bookmarkStart w:id="13" w:name="OLE_LINK37"/>
    </w:p>
    <w:bookmarkEnd w:id="8"/>
    <w:bookmarkEnd w:id="9"/>
    <w:bookmarkEnd w:id="10"/>
    <w:bookmarkEnd w:id="11"/>
    <w:bookmarkEnd w:id="12"/>
    <w:bookmarkEnd w:id="13"/>
    <w:p w:rsidR="00003BFE" w:rsidRDefault="00EE79B0" w:rsidP="00364CDC">
      <w:r w:rsidRPr="00EE79B0">
        <w:rPr>
          <w:u w:val="single"/>
        </w:rPr>
        <w:t>System of Records Notice:</w:t>
      </w:r>
      <w:r>
        <w:t xml:space="preserve">  </w:t>
      </w:r>
      <w:r w:rsidR="00003BFE">
        <w:t xml:space="preserve">The System of Records Notice for this information collection </w:t>
      </w:r>
      <w:r w:rsidR="002C76E0">
        <w:t xml:space="preserve">is </w:t>
      </w:r>
      <w:r w:rsidR="00003BFE">
        <w:t xml:space="preserve">the Controlled Substances Act Registration Records (DEA-005).  The publication of the complete notice may be found at 52 FR 47208, December 11, 1987; </w:t>
      </w:r>
      <w:r w:rsidR="00B17D3E">
        <w:t xml:space="preserve">modified at </w:t>
      </w:r>
      <w:r w:rsidR="00003BFE">
        <w:t xml:space="preserve">66 FR 8425, January 31, 2001; </w:t>
      </w:r>
      <w:r w:rsidR="00B17D3E">
        <w:t xml:space="preserve">modified at </w:t>
      </w:r>
      <w:r w:rsidR="00003BFE">
        <w:t>72 FR 3410, January 25, 2007</w:t>
      </w:r>
      <w:r w:rsidR="00B17D3E">
        <w:t>.</w:t>
      </w:r>
    </w:p>
    <w:p w:rsidR="009D2DAC" w:rsidRDefault="009D2DAC" w:rsidP="00364CDC"/>
    <w:p w:rsidR="00771479" w:rsidRPr="00F117FD" w:rsidRDefault="00771479" w:rsidP="00364CDC">
      <w:r w:rsidRPr="00F117FD">
        <w:t xml:space="preserve">11. Justification for Sensitive Questions: </w:t>
      </w:r>
    </w:p>
    <w:p w:rsidR="00771479" w:rsidRPr="00F117FD" w:rsidRDefault="00771479" w:rsidP="00364CDC"/>
    <w:p w:rsidR="00771479" w:rsidRPr="00F117FD" w:rsidRDefault="00771479" w:rsidP="00364CDC">
      <w:r w:rsidRPr="00F117FD">
        <w:t>Questions of a sensitive nature are not included in this information collection.</w:t>
      </w:r>
    </w:p>
    <w:p w:rsidR="00771479" w:rsidRPr="00F117FD" w:rsidRDefault="00771479" w:rsidP="00364CDC"/>
    <w:p w:rsidR="00771479" w:rsidRPr="00F117FD" w:rsidRDefault="00771479" w:rsidP="001358D7">
      <w:r w:rsidRPr="00F117FD">
        <w:t>12. Estimate of Hour Burden:</w:t>
      </w:r>
    </w:p>
    <w:p w:rsidR="00771479" w:rsidRPr="00F117FD" w:rsidRDefault="00771479" w:rsidP="001358D7"/>
    <w:p w:rsidR="00771479" w:rsidRDefault="00771479" w:rsidP="009304DC">
      <w:r w:rsidRPr="00F117FD">
        <w:t>DEA Form 224 is submitted on an as</w:t>
      </w:r>
      <w:r w:rsidRPr="00F117FD">
        <w:noBreakHyphen/>
        <w:t>needed basis by persons seeking to become registered.  DEA Form 224a is submitted on a triennial basis thereafter.  DEA Form 224b is submitted triennially for renewals of chain (retail pharmacy) registrants. DEA Form 224c is submitted when a pharmacy applies for a modification of registration to conduct business as an online pharmacy as set forth in 21 U.S.C. 802(52).</w:t>
      </w:r>
    </w:p>
    <w:p w:rsidR="001F5F1F" w:rsidRDefault="001F5F1F" w:rsidP="009304DC"/>
    <w:p w:rsidR="001F5F1F" w:rsidRDefault="001F5F1F" w:rsidP="009304DC"/>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2144"/>
        <w:gridCol w:w="2394"/>
        <w:gridCol w:w="2394"/>
      </w:tblGrid>
      <w:tr w:rsidR="001F5F1F" w:rsidRPr="00183FE3" w:rsidTr="001F5F1F">
        <w:tc>
          <w:tcPr>
            <w:tcW w:w="2644" w:type="dxa"/>
          </w:tcPr>
          <w:p w:rsidR="001F5F1F" w:rsidRPr="00F71B4B" w:rsidRDefault="001F5F1F" w:rsidP="00976613">
            <w:pPr>
              <w:rPr>
                <w:rFonts w:ascii="Arial" w:eastAsia="SimSun" w:hAnsi="Arial"/>
                <w:sz w:val="20"/>
                <w:szCs w:val="20"/>
              </w:rPr>
            </w:pPr>
            <w:bookmarkStart w:id="14" w:name="OLE_LINK11"/>
            <w:bookmarkStart w:id="15" w:name="OLE_LINK12"/>
          </w:p>
        </w:tc>
        <w:tc>
          <w:tcPr>
            <w:tcW w:w="2144" w:type="dxa"/>
          </w:tcPr>
          <w:p w:rsidR="001F5F1F" w:rsidRPr="00F71B4B" w:rsidRDefault="001F5F1F" w:rsidP="00976613">
            <w:pPr>
              <w:rPr>
                <w:rFonts w:ascii="Arial" w:eastAsia="SimSun" w:hAnsi="Arial" w:cs="Arial"/>
                <w:b/>
                <w:bCs/>
                <w:sz w:val="20"/>
                <w:szCs w:val="20"/>
              </w:rPr>
            </w:pPr>
            <w:r w:rsidRPr="00F71B4B">
              <w:rPr>
                <w:rFonts w:ascii="Arial" w:eastAsia="SimSun" w:hAnsi="Arial" w:cs="Arial"/>
                <w:b/>
                <w:bCs/>
                <w:sz w:val="20"/>
                <w:szCs w:val="20"/>
              </w:rPr>
              <w:t xml:space="preserve">Number of Annual </w:t>
            </w:r>
            <w:r w:rsidRPr="00F71B4B">
              <w:rPr>
                <w:rFonts w:ascii="Arial" w:eastAsia="SimSun" w:hAnsi="Arial" w:cs="Arial"/>
                <w:b/>
                <w:bCs/>
                <w:sz w:val="20"/>
                <w:szCs w:val="20"/>
              </w:rPr>
              <w:lastRenderedPageBreak/>
              <w:t>Respondents</w:t>
            </w:r>
          </w:p>
        </w:tc>
        <w:tc>
          <w:tcPr>
            <w:tcW w:w="2394" w:type="dxa"/>
          </w:tcPr>
          <w:p w:rsidR="001F5F1F" w:rsidRPr="00F71B4B" w:rsidRDefault="001F5F1F" w:rsidP="00976613">
            <w:pPr>
              <w:rPr>
                <w:rFonts w:ascii="Arial" w:eastAsia="SimSun" w:hAnsi="Arial" w:cs="Arial"/>
                <w:b/>
                <w:bCs/>
                <w:sz w:val="20"/>
                <w:szCs w:val="20"/>
              </w:rPr>
            </w:pPr>
            <w:r w:rsidRPr="00F71B4B">
              <w:rPr>
                <w:rFonts w:ascii="Arial" w:eastAsia="SimSun" w:hAnsi="Arial" w:cs="Arial"/>
                <w:b/>
                <w:bCs/>
                <w:sz w:val="20"/>
                <w:szCs w:val="20"/>
              </w:rPr>
              <w:lastRenderedPageBreak/>
              <w:t xml:space="preserve">Average Time per </w:t>
            </w:r>
            <w:r w:rsidRPr="00F71B4B">
              <w:rPr>
                <w:rFonts w:ascii="Arial" w:eastAsia="SimSun" w:hAnsi="Arial" w:cs="Arial"/>
                <w:b/>
                <w:bCs/>
                <w:sz w:val="20"/>
                <w:szCs w:val="20"/>
              </w:rPr>
              <w:lastRenderedPageBreak/>
              <w:t>Response</w:t>
            </w:r>
          </w:p>
        </w:tc>
        <w:tc>
          <w:tcPr>
            <w:tcW w:w="2394" w:type="dxa"/>
          </w:tcPr>
          <w:p w:rsidR="001F5F1F" w:rsidRPr="00F71B4B" w:rsidRDefault="001F5F1F" w:rsidP="00976613">
            <w:pPr>
              <w:rPr>
                <w:rFonts w:ascii="Arial" w:eastAsia="SimSun" w:hAnsi="Arial" w:cs="Arial"/>
                <w:b/>
                <w:bCs/>
                <w:sz w:val="20"/>
                <w:szCs w:val="20"/>
              </w:rPr>
            </w:pPr>
            <w:r w:rsidRPr="00F71B4B">
              <w:rPr>
                <w:rFonts w:ascii="Arial" w:eastAsia="SimSun" w:hAnsi="Arial" w:cs="Arial"/>
                <w:b/>
                <w:bCs/>
                <w:sz w:val="20"/>
                <w:szCs w:val="20"/>
              </w:rPr>
              <w:lastRenderedPageBreak/>
              <w:t>Total</w:t>
            </w:r>
            <w:r>
              <w:rPr>
                <w:rFonts w:ascii="Arial" w:eastAsia="SimSun" w:hAnsi="Arial" w:cs="Arial"/>
                <w:b/>
                <w:bCs/>
                <w:sz w:val="20"/>
                <w:szCs w:val="20"/>
              </w:rPr>
              <w:t xml:space="preserve"> </w:t>
            </w:r>
            <w:r w:rsidRPr="00F71B4B">
              <w:rPr>
                <w:rFonts w:ascii="Arial" w:eastAsia="SimSun" w:hAnsi="Arial" w:cs="Arial"/>
                <w:b/>
                <w:bCs/>
                <w:sz w:val="20"/>
                <w:szCs w:val="20"/>
              </w:rPr>
              <w:t>Annual Hours</w:t>
            </w:r>
          </w:p>
        </w:tc>
      </w:tr>
      <w:tr w:rsidR="001F5F1F" w:rsidRPr="00183FE3" w:rsidTr="001F5F1F">
        <w:tc>
          <w:tcPr>
            <w:tcW w:w="264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lastRenderedPageBreak/>
              <w:t>DEA-224 (paper)</w:t>
            </w:r>
          </w:p>
        </w:tc>
        <w:tc>
          <w:tcPr>
            <w:tcW w:w="2144" w:type="dxa"/>
          </w:tcPr>
          <w:p w:rsidR="001F5F1F" w:rsidRPr="00E764D0" w:rsidRDefault="001F5F1F" w:rsidP="00976613">
            <w:pPr>
              <w:rPr>
                <w:rFonts w:ascii="Arial" w:eastAsia="SimSun" w:hAnsi="Arial" w:cs="Arial"/>
                <w:sz w:val="20"/>
                <w:szCs w:val="20"/>
              </w:rPr>
            </w:pPr>
            <w:r w:rsidRPr="00E764D0">
              <w:rPr>
                <w:rFonts w:ascii="Arial" w:eastAsia="SimSun" w:hAnsi="Arial" w:cs="Arial"/>
                <w:sz w:val="20"/>
                <w:szCs w:val="20"/>
              </w:rPr>
              <w:t>5,867</w:t>
            </w:r>
          </w:p>
        </w:tc>
        <w:tc>
          <w:tcPr>
            <w:tcW w:w="239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0.2 hours (12 minutes)</w:t>
            </w:r>
          </w:p>
        </w:tc>
        <w:tc>
          <w:tcPr>
            <w:tcW w:w="2394" w:type="dxa"/>
          </w:tcPr>
          <w:p w:rsidR="001F5F1F" w:rsidRPr="00E764D0" w:rsidRDefault="001F5F1F" w:rsidP="00976613">
            <w:pPr>
              <w:rPr>
                <w:rFonts w:ascii="Arial" w:eastAsia="SimSun" w:hAnsi="Arial" w:cs="Arial"/>
                <w:sz w:val="20"/>
                <w:szCs w:val="20"/>
              </w:rPr>
            </w:pPr>
            <w:r w:rsidRPr="00E764D0">
              <w:rPr>
                <w:rFonts w:ascii="Arial" w:eastAsia="SimSun" w:hAnsi="Arial" w:cs="Arial"/>
                <w:sz w:val="20"/>
                <w:szCs w:val="20"/>
              </w:rPr>
              <w:t>1,173.4</w:t>
            </w:r>
          </w:p>
        </w:tc>
      </w:tr>
      <w:tr w:rsidR="001F5F1F" w:rsidRPr="00183FE3" w:rsidTr="001F5F1F">
        <w:tc>
          <w:tcPr>
            <w:tcW w:w="264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DEA-224 (electronic)</w:t>
            </w:r>
          </w:p>
        </w:tc>
        <w:tc>
          <w:tcPr>
            <w:tcW w:w="2144" w:type="dxa"/>
          </w:tcPr>
          <w:p w:rsidR="001F5F1F" w:rsidRPr="00E764D0" w:rsidRDefault="001F5F1F" w:rsidP="00976613">
            <w:pPr>
              <w:rPr>
                <w:rFonts w:ascii="Arial" w:eastAsia="SimSun" w:hAnsi="Arial" w:cs="Arial"/>
                <w:sz w:val="20"/>
                <w:szCs w:val="20"/>
              </w:rPr>
            </w:pPr>
            <w:r w:rsidRPr="00E764D0">
              <w:rPr>
                <w:rFonts w:ascii="Arial" w:eastAsia="SimSun" w:hAnsi="Arial" w:cs="Arial"/>
                <w:sz w:val="20"/>
                <w:szCs w:val="20"/>
              </w:rPr>
              <w:t>79,057</w:t>
            </w:r>
          </w:p>
        </w:tc>
        <w:tc>
          <w:tcPr>
            <w:tcW w:w="239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0.13 hours (8 minutes)</w:t>
            </w:r>
          </w:p>
        </w:tc>
        <w:tc>
          <w:tcPr>
            <w:tcW w:w="2394" w:type="dxa"/>
          </w:tcPr>
          <w:p w:rsidR="001F5F1F" w:rsidRPr="00E764D0" w:rsidRDefault="001F5F1F" w:rsidP="00976613">
            <w:pPr>
              <w:rPr>
                <w:rFonts w:ascii="Arial" w:eastAsia="SimSun" w:hAnsi="Arial" w:cs="Arial"/>
                <w:sz w:val="20"/>
                <w:szCs w:val="20"/>
              </w:rPr>
            </w:pPr>
            <w:r w:rsidRPr="00E764D0">
              <w:rPr>
                <w:rFonts w:ascii="Arial" w:eastAsia="SimSun" w:hAnsi="Arial" w:cs="Arial"/>
                <w:sz w:val="20"/>
                <w:szCs w:val="20"/>
              </w:rPr>
              <w:t>10,540.9</w:t>
            </w:r>
          </w:p>
        </w:tc>
      </w:tr>
      <w:tr w:rsidR="001F5F1F" w:rsidRPr="00183FE3" w:rsidTr="001F5F1F">
        <w:tc>
          <w:tcPr>
            <w:tcW w:w="264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DEA-224a (paper)</w:t>
            </w:r>
          </w:p>
        </w:tc>
        <w:tc>
          <w:tcPr>
            <w:tcW w:w="2144" w:type="dxa"/>
          </w:tcPr>
          <w:p w:rsidR="001F5F1F" w:rsidRPr="00E764D0" w:rsidRDefault="001F5F1F" w:rsidP="00976613">
            <w:pPr>
              <w:rPr>
                <w:rFonts w:ascii="Arial" w:eastAsia="SimSun" w:hAnsi="Arial" w:cs="Arial"/>
                <w:sz w:val="20"/>
                <w:szCs w:val="20"/>
              </w:rPr>
            </w:pPr>
            <w:r w:rsidRPr="00E764D0">
              <w:rPr>
                <w:rFonts w:ascii="Arial" w:eastAsia="SimSun" w:hAnsi="Arial" w:cs="Arial"/>
                <w:sz w:val="20"/>
                <w:szCs w:val="20"/>
              </w:rPr>
              <w:t>66,200</w:t>
            </w:r>
          </w:p>
        </w:tc>
        <w:tc>
          <w:tcPr>
            <w:tcW w:w="239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0.2 hours (12 minutes)</w:t>
            </w:r>
          </w:p>
        </w:tc>
        <w:tc>
          <w:tcPr>
            <w:tcW w:w="2394" w:type="dxa"/>
          </w:tcPr>
          <w:p w:rsidR="001F5F1F" w:rsidRPr="00E764D0" w:rsidRDefault="001F5F1F" w:rsidP="00976613">
            <w:pPr>
              <w:rPr>
                <w:rFonts w:ascii="Arial" w:eastAsia="SimSun" w:hAnsi="Arial" w:cs="Arial"/>
                <w:sz w:val="20"/>
                <w:szCs w:val="20"/>
              </w:rPr>
            </w:pPr>
            <w:r w:rsidRPr="00E764D0">
              <w:rPr>
                <w:rFonts w:ascii="Arial" w:eastAsia="SimSun" w:hAnsi="Arial" w:cs="Arial"/>
                <w:sz w:val="20"/>
                <w:szCs w:val="20"/>
              </w:rPr>
              <w:t>13,240</w:t>
            </w:r>
          </w:p>
        </w:tc>
      </w:tr>
      <w:tr w:rsidR="001F5F1F" w:rsidRPr="00183FE3" w:rsidTr="001F5F1F">
        <w:tc>
          <w:tcPr>
            <w:tcW w:w="264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DEA-224a (electronic</w:t>
            </w:r>
          </w:p>
        </w:tc>
        <w:tc>
          <w:tcPr>
            <w:tcW w:w="2144" w:type="dxa"/>
          </w:tcPr>
          <w:p w:rsidR="001F5F1F" w:rsidRPr="00E764D0" w:rsidRDefault="001F5F1F" w:rsidP="00976613">
            <w:pPr>
              <w:rPr>
                <w:rFonts w:ascii="Arial" w:eastAsia="SimSun" w:hAnsi="Arial" w:cs="Arial"/>
                <w:sz w:val="20"/>
                <w:szCs w:val="20"/>
              </w:rPr>
            </w:pPr>
            <w:r w:rsidRPr="00E764D0">
              <w:rPr>
                <w:rFonts w:ascii="Arial" w:eastAsia="SimSun" w:hAnsi="Arial" w:cs="Arial"/>
                <w:sz w:val="20"/>
                <w:szCs w:val="20"/>
              </w:rPr>
              <w:t>323,758</w:t>
            </w:r>
          </w:p>
        </w:tc>
        <w:tc>
          <w:tcPr>
            <w:tcW w:w="239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0.07 hours (4 minutes)</w:t>
            </w:r>
          </w:p>
        </w:tc>
        <w:tc>
          <w:tcPr>
            <w:tcW w:w="2394" w:type="dxa"/>
          </w:tcPr>
          <w:p w:rsidR="001F5F1F" w:rsidRPr="00E764D0" w:rsidRDefault="001F5F1F" w:rsidP="00976613">
            <w:pPr>
              <w:rPr>
                <w:rFonts w:ascii="Arial" w:eastAsia="SimSun" w:hAnsi="Arial" w:cs="Arial"/>
                <w:sz w:val="20"/>
                <w:szCs w:val="20"/>
              </w:rPr>
            </w:pPr>
            <w:r w:rsidRPr="00E764D0">
              <w:rPr>
                <w:rFonts w:ascii="Arial" w:eastAsia="SimSun" w:hAnsi="Arial" w:cs="Arial"/>
                <w:sz w:val="20"/>
                <w:szCs w:val="20"/>
              </w:rPr>
              <w:t>21,583.8</w:t>
            </w:r>
          </w:p>
        </w:tc>
      </w:tr>
      <w:tr w:rsidR="001F5F1F" w:rsidRPr="00183FE3" w:rsidTr="001F5F1F">
        <w:tc>
          <w:tcPr>
            <w:tcW w:w="264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DEA-224b (chain renewal)*</w:t>
            </w:r>
          </w:p>
        </w:tc>
        <w:tc>
          <w:tcPr>
            <w:tcW w:w="214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32</w:t>
            </w:r>
          </w:p>
        </w:tc>
        <w:tc>
          <w:tcPr>
            <w:tcW w:w="239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5 hours</w:t>
            </w:r>
          </w:p>
        </w:tc>
        <w:tc>
          <w:tcPr>
            <w:tcW w:w="2394" w:type="dxa"/>
          </w:tcPr>
          <w:p w:rsidR="001F5F1F" w:rsidRPr="00355FD2" w:rsidRDefault="001F5F1F" w:rsidP="00E764D0">
            <w:pPr>
              <w:rPr>
                <w:rFonts w:ascii="Arial" w:eastAsia="SimSun" w:hAnsi="Arial" w:cs="Arial"/>
                <w:sz w:val="20"/>
                <w:szCs w:val="20"/>
              </w:rPr>
            </w:pPr>
            <w:r w:rsidRPr="00355FD2">
              <w:rPr>
                <w:rFonts w:ascii="Arial" w:eastAsia="SimSun" w:hAnsi="Arial" w:cs="Arial"/>
                <w:sz w:val="20"/>
                <w:szCs w:val="20"/>
              </w:rPr>
              <w:t>1</w:t>
            </w:r>
            <w:r w:rsidR="00E764D0">
              <w:rPr>
                <w:rFonts w:ascii="Arial" w:eastAsia="SimSun" w:hAnsi="Arial" w:cs="Arial"/>
                <w:sz w:val="20"/>
                <w:szCs w:val="20"/>
              </w:rPr>
              <w:t>6</w:t>
            </w:r>
            <w:r w:rsidRPr="00355FD2">
              <w:rPr>
                <w:rFonts w:ascii="Arial" w:eastAsia="SimSun" w:hAnsi="Arial" w:cs="Arial"/>
                <w:sz w:val="20"/>
                <w:szCs w:val="20"/>
              </w:rPr>
              <w:t>0</w:t>
            </w:r>
          </w:p>
        </w:tc>
      </w:tr>
      <w:tr w:rsidR="001F5F1F" w:rsidRPr="00183FE3" w:rsidTr="001F5F1F">
        <w:tc>
          <w:tcPr>
            <w:tcW w:w="264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DEA-224c</w:t>
            </w:r>
          </w:p>
        </w:tc>
        <w:tc>
          <w:tcPr>
            <w:tcW w:w="214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0</w:t>
            </w:r>
          </w:p>
        </w:tc>
        <w:tc>
          <w:tcPr>
            <w:tcW w:w="239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0.25 hours (15 minutes)</w:t>
            </w:r>
          </w:p>
        </w:tc>
        <w:tc>
          <w:tcPr>
            <w:tcW w:w="239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0</w:t>
            </w:r>
          </w:p>
        </w:tc>
      </w:tr>
      <w:tr w:rsidR="001F5F1F" w:rsidRPr="00183FE3" w:rsidTr="001F5F1F">
        <w:tc>
          <w:tcPr>
            <w:tcW w:w="264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Total</w:t>
            </w:r>
          </w:p>
        </w:tc>
        <w:tc>
          <w:tcPr>
            <w:tcW w:w="2144" w:type="dxa"/>
          </w:tcPr>
          <w:p w:rsidR="001F5F1F" w:rsidRPr="00355FD2" w:rsidRDefault="001F5F1F" w:rsidP="00976613">
            <w:pPr>
              <w:rPr>
                <w:rFonts w:ascii="Arial" w:eastAsia="SimSun" w:hAnsi="Arial" w:cs="Arial"/>
                <w:sz w:val="20"/>
                <w:szCs w:val="20"/>
              </w:rPr>
            </w:pPr>
            <w:r w:rsidRPr="00355FD2">
              <w:rPr>
                <w:rFonts w:ascii="Arial" w:eastAsia="SimSun" w:hAnsi="Arial" w:cs="Arial"/>
                <w:sz w:val="20"/>
                <w:szCs w:val="20"/>
              </w:rPr>
              <w:t>474,914</w:t>
            </w:r>
          </w:p>
        </w:tc>
        <w:tc>
          <w:tcPr>
            <w:tcW w:w="2394" w:type="dxa"/>
          </w:tcPr>
          <w:p w:rsidR="001F5F1F" w:rsidRPr="00355FD2" w:rsidRDefault="001F5F1F" w:rsidP="00976613">
            <w:pPr>
              <w:rPr>
                <w:rFonts w:ascii="Arial" w:eastAsia="SimSun" w:hAnsi="Arial"/>
                <w:sz w:val="20"/>
                <w:szCs w:val="20"/>
              </w:rPr>
            </w:pPr>
          </w:p>
        </w:tc>
        <w:tc>
          <w:tcPr>
            <w:tcW w:w="2394" w:type="dxa"/>
          </w:tcPr>
          <w:p w:rsidR="001F5F1F" w:rsidRPr="00355FD2" w:rsidRDefault="001F5F1F" w:rsidP="00E764D0">
            <w:pPr>
              <w:rPr>
                <w:rFonts w:ascii="Arial" w:eastAsia="SimSun" w:hAnsi="Arial" w:cs="Arial"/>
                <w:sz w:val="20"/>
                <w:szCs w:val="20"/>
              </w:rPr>
            </w:pPr>
            <w:r w:rsidRPr="00355FD2">
              <w:rPr>
                <w:rFonts w:ascii="Arial" w:eastAsia="SimSun" w:hAnsi="Arial" w:cs="Arial"/>
                <w:sz w:val="20"/>
                <w:szCs w:val="20"/>
              </w:rPr>
              <w:t>46,6</w:t>
            </w:r>
            <w:r w:rsidR="00E764D0">
              <w:rPr>
                <w:rFonts w:ascii="Arial" w:eastAsia="SimSun" w:hAnsi="Arial" w:cs="Arial"/>
                <w:sz w:val="20"/>
                <w:szCs w:val="20"/>
              </w:rPr>
              <w:t>9</w:t>
            </w:r>
            <w:r w:rsidRPr="00355FD2">
              <w:rPr>
                <w:rFonts w:ascii="Arial" w:eastAsia="SimSun" w:hAnsi="Arial" w:cs="Arial"/>
                <w:sz w:val="20"/>
                <w:szCs w:val="20"/>
              </w:rPr>
              <w:t>8.1</w:t>
            </w:r>
          </w:p>
        </w:tc>
      </w:tr>
    </w:tbl>
    <w:p w:rsidR="001F5F1F" w:rsidRPr="00355FD2" w:rsidRDefault="001F5F1F" w:rsidP="001F5F1F">
      <w:bookmarkStart w:id="16" w:name="OLE_LINK13"/>
      <w:bookmarkStart w:id="17" w:name="OLE_LINK14"/>
      <w:bookmarkEnd w:id="14"/>
      <w:bookmarkEnd w:id="15"/>
      <w:r w:rsidRPr="00355FD2">
        <w:t>* In total, 64 chain pharmacies represent 36,660 individual pharmacy registrants.  Pharmacies register for a three-year registration period.  In calendar year 2011, the year for which estimates are calculated, 32 chains registered 6,472 individual pharmacies.</w:t>
      </w:r>
    </w:p>
    <w:bookmarkEnd w:id="16"/>
    <w:bookmarkEnd w:id="17"/>
    <w:p w:rsidR="00771479" w:rsidRDefault="00771479" w:rsidP="00AA21D0"/>
    <w:p w:rsidR="001F5F1F" w:rsidRPr="001F5F1F" w:rsidRDefault="001F5F1F" w:rsidP="001F5F1F">
      <w:r w:rsidRPr="001F5F1F">
        <w:t>Total registration applications received on paper:  72,067</w:t>
      </w:r>
    </w:p>
    <w:p w:rsidR="001F5F1F" w:rsidRPr="001F5F1F" w:rsidRDefault="001F5F1F" w:rsidP="001F5F1F"/>
    <w:p w:rsidR="001F5F1F" w:rsidRPr="001F5F1F" w:rsidRDefault="001F5F1F" w:rsidP="001F5F1F">
      <w:r w:rsidRPr="001F5F1F">
        <w:t>Total registration applications received electronically:  409,287 (includes 6,472 chain locations)</w:t>
      </w:r>
    </w:p>
    <w:p w:rsidR="001F5F1F" w:rsidRPr="001F5F1F" w:rsidRDefault="001F5F1F" w:rsidP="001F5F1F"/>
    <w:p w:rsidR="001F5F1F" w:rsidRPr="001F5F1F" w:rsidRDefault="001F5F1F" w:rsidP="001F5F1F">
      <w:r w:rsidRPr="001F5F1F">
        <w:t>Percentage of applications received electronically:  8</w:t>
      </w:r>
      <w:r w:rsidR="00F06352">
        <w:t>5</w:t>
      </w:r>
      <w:r w:rsidRPr="001F5F1F">
        <w:t>%</w:t>
      </w:r>
    </w:p>
    <w:p w:rsidR="00771479" w:rsidRDefault="00771479" w:rsidP="00AA21D0"/>
    <w:p w:rsidR="00771479" w:rsidRDefault="00771479" w:rsidP="00AA21D0">
      <w:r>
        <w:t>Estimates are based on the population of the regulated industry participating in this business activity.  DEA assumes that a general and operations manager (SOC 11-1021, 2010 Standard Occupational Classification) (http://www.bls.gov/soc/2010/soc_alph.htm) will complete the form on behalf of the applicant or registrant.  The median hourly wage for that position according to the Bureau of Labor Statistics’ 2010 National Industry-Specific Occupational Employment and Wage Estimates, NAICS 446110 –Pharmacies and Drug Stores (</w:t>
      </w:r>
      <w:r w:rsidRPr="00640A36">
        <w:t>http://www.bls.gov/oes/current/naics</w:t>
      </w:r>
      <w:r>
        <w:t>5_446110.htm) is $36.33. Thus the labor cost of this information collection is $1,6</w:t>
      </w:r>
      <w:r w:rsidR="003654FF">
        <w:t>96,542</w:t>
      </w:r>
      <w:r>
        <w:t xml:space="preserve"> annually.</w:t>
      </w:r>
    </w:p>
    <w:p w:rsidR="00771479" w:rsidRDefault="00771479" w:rsidP="003D11B4"/>
    <w:p w:rsidR="00771479" w:rsidRPr="00F117FD" w:rsidRDefault="00771479" w:rsidP="009304DC">
      <w:r w:rsidRPr="00F117FD">
        <w:t xml:space="preserve">13. Estimate of Cost Burden:  </w:t>
      </w:r>
    </w:p>
    <w:p w:rsidR="00771479" w:rsidRPr="00F117FD" w:rsidRDefault="00771479" w:rsidP="009304DC"/>
    <w:p w:rsidR="001F5F1F" w:rsidRPr="003654FF" w:rsidRDefault="001F5F1F" w:rsidP="001F5F1F">
      <w:pPr>
        <w:pStyle w:val="a"/>
        <w:tabs>
          <w:tab w:val="left" w:pos="-1440"/>
        </w:tabs>
        <w:ind w:left="0" w:firstLine="0"/>
      </w:pPr>
      <w:r w:rsidRPr="001F5F1F">
        <w:t>Note</w:t>
      </w:r>
      <w:proofErr w:type="gramStart"/>
      <w:r w:rsidRPr="001F5F1F">
        <w:t>,</w:t>
      </w:r>
      <w:proofErr w:type="gramEnd"/>
      <w:r w:rsidRPr="001F5F1F">
        <w:t xml:space="preserve"> there were </w:t>
      </w:r>
      <w:r w:rsidRPr="003654FF">
        <w:t xml:space="preserve">33,820 </w:t>
      </w:r>
      <w:r w:rsidRPr="001F5F1F">
        <w:t>respondents who were exempt from paying the fee during calendar year 2011 because they are affiliated with a Federal, State, or local government agency (21 CFR 1301.21</w:t>
      </w:r>
      <w:r w:rsidR="003654FF">
        <w:t>).</w:t>
      </w:r>
    </w:p>
    <w:p w:rsidR="001F5F1F" w:rsidRPr="001F5F1F" w:rsidRDefault="001F5F1F" w:rsidP="001F5F1F">
      <w:pPr>
        <w:pStyle w:val="a"/>
        <w:tabs>
          <w:tab w:val="left" w:pos="-1440"/>
        </w:tabs>
        <w:ind w:left="0" w:firstLine="0"/>
      </w:pPr>
    </w:p>
    <w:p w:rsidR="001F5F1F" w:rsidRPr="001F5F1F" w:rsidRDefault="001F5F1F" w:rsidP="001F5F1F">
      <w:r w:rsidRPr="001F5F1F">
        <w:t>Three-year Cost to Respondents:</w:t>
      </w:r>
    </w:p>
    <w:p w:rsidR="001F5F1F" w:rsidRPr="001F5F1F" w:rsidRDefault="001F5F1F" w:rsidP="001F5F1F"/>
    <w:p w:rsidR="001F5F1F" w:rsidRPr="001F5F1F" w:rsidRDefault="001F5F1F" w:rsidP="001F5F1F">
      <w:r w:rsidRPr="001F5F1F">
        <w:t>481,354 total registrations – 33,820 fee exempt registrants = 447,534 fee-paying registrants</w:t>
      </w:r>
    </w:p>
    <w:p w:rsidR="001F5F1F" w:rsidRPr="001F5F1F" w:rsidRDefault="001F5F1F" w:rsidP="001F5F1F"/>
    <w:p w:rsidR="001F5F1F" w:rsidRPr="001F5F1F" w:rsidRDefault="001F5F1F" w:rsidP="001F5F1F">
      <w:bookmarkStart w:id="18" w:name="OLE_LINK5"/>
      <w:bookmarkStart w:id="19" w:name="OLE_LINK6"/>
      <w:r w:rsidRPr="001F5F1F">
        <w:t>447,534 Fee paying registrants @ $731 per applicant = $327,147,354 for three-year registration</w:t>
      </w:r>
    </w:p>
    <w:bookmarkEnd w:id="18"/>
    <w:bookmarkEnd w:id="19"/>
    <w:p w:rsidR="001F5F1F" w:rsidRPr="001F5F1F" w:rsidRDefault="001F5F1F" w:rsidP="001F5F1F"/>
    <w:p w:rsidR="001F5F1F" w:rsidRPr="001F5F1F" w:rsidRDefault="001F5F1F" w:rsidP="001F5F1F">
      <w:r w:rsidRPr="001F5F1F">
        <w:t>Note that each registration is for three years and the $731 registration fee is for a three-year period.</w:t>
      </w:r>
    </w:p>
    <w:p w:rsidR="001F5F1F" w:rsidRPr="001F5F1F" w:rsidRDefault="001F5F1F" w:rsidP="001F5F1F"/>
    <w:p w:rsidR="001F5F1F" w:rsidRPr="001F5F1F" w:rsidRDefault="001F5F1F" w:rsidP="001F5F1F">
      <w:r w:rsidRPr="001F5F1F">
        <w:t>Mailing cost (DEA Forms 224 and 224a paper): 72,067 @ $0.45 per response = $32,430.15</w:t>
      </w:r>
    </w:p>
    <w:p w:rsidR="001F5F1F" w:rsidRPr="001F5F1F" w:rsidRDefault="001F5F1F" w:rsidP="001F5F1F"/>
    <w:p w:rsidR="001F5F1F" w:rsidRPr="001F5F1F" w:rsidRDefault="001F5F1F" w:rsidP="001F5F1F">
      <w:r w:rsidRPr="001F5F1F">
        <w:t>Total Cost:</w:t>
      </w:r>
      <w:r w:rsidRPr="001F5F1F">
        <w:tab/>
      </w:r>
      <w:r w:rsidRPr="001F5F1F">
        <w:tab/>
      </w:r>
      <w:r w:rsidRPr="001F5F1F">
        <w:tab/>
      </w:r>
      <w:r w:rsidRPr="001F5F1F">
        <w:tab/>
      </w:r>
      <w:r w:rsidRPr="001F5F1F">
        <w:tab/>
      </w:r>
      <w:r w:rsidRPr="001F5F1F">
        <w:tab/>
      </w:r>
      <w:r w:rsidRPr="001F5F1F">
        <w:tab/>
        <w:t>$327,179,784.15</w:t>
      </w:r>
    </w:p>
    <w:p w:rsidR="00771479" w:rsidRDefault="00771479" w:rsidP="009E3063"/>
    <w:p w:rsidR="00771479" w:rsidRDefault="00771479" w:rsidP="009E3063">
      <w:r>
        <w:lastRenderedPageBreak/>
        <w:t>As this information collection is calculated on an annual basis, the three-year fee can be calculated as an annual fee equivalent.  Thus, the $</w:t>
      </w:r>
      <w:r w:rsidR="00DE7F41">
        <w:t>731</w:t>
      </w:r>
      <w:r>
        <w:t xml:space="preserve"> three-year fee equates to a $</w:t>
      </w:r>
      <w:r w:rsidR="00DE7F41">
        <w:t>244</w:t>
      </w:r>
      <w:r>
        <w:t xml:space="preserve"> annual fee equivalent.</w:t>
      </w:r>
    </w:p>
    <w:p w:rsidR="00771479" w:rsidRDefault="00771479" w:rsidP="00A76E51"/>
    <w:p w:rsidR="001F5F1F" w:rsidRPr="001F5F1F" w:rsidRDefault="001F5F1F" w:rsidP="001F5F1F">
      <w:r w:rsidRPr="00357FBB">
        <w:t xml:space="preserve">447,534 </w:t>
      </w:r>
      <w:r w:rsidRPr="001F5F1F">
        <w:t xml:space="preserve">Fee paying registrants @ $244 annual fee equivalent per applicant = </w:t>
      </w:r>
      <w:bookmarkStart w:id="20" w:name="OLE_LINK9"/>
      <w:bookmarkStart w:id="21" w:name="OLE_LINK10"/>
      <w:r w:rsidRPr="001F5F1F">
        <w:t>$109,198,296</w:t>
      </w:r>
      <w:bookmarkEnd w:id="20"/>
      <w:bookmarkEnd w:id="21"/>
      <w:r w:rsidRPr="001F5F1F">
        <w:t xml:space="preserve"> annual fee equivalent per registration</w:t>
      </w:r>
    </w:p>
    <w:p w:rsidR="001F5F1F" w:rsidRPr="001F5F1F" w:rsidRDefault="001F5F1F" w:rsidP="001F5F1F"/>
    <w:p w:rsidR="001F5F1F" w:rsidRPr="001F5F1F" w:rsidRDefault="001F5F1F" w:rsidP="001F5F1F">
      <w:pPr>
        <w:pStyle w:val="a"/>
        <w:tabs>
          <w:tab w:val="left" w:pos="-1440"/>
          <w:tab w:val="decimal" w:pos="810"/>
        </w:tabs>
        <w:ind w:left="0" w:firstLine="0"/>
      </w:pPr>
    </w:p>
    <w:p w:rsidR="001F5F1F" w:rsidRPr="001F5F1F" w:rsidRDefault="001F5F1F" w:rsidP="001F5F1F">
      <w:bookmarkStart w:id="22" w:name="OLE_LINK7"/>
      <w:bookmarkStart w:id="23" w:name="OLE_LINK8"/>
      <w:r w:rsidRPr="001F5F1F">
        <w:t>Mailing cost (DEA Forms 224 and 224a paper): 72,067 @ $0.45 per response = $32,430.15</w:t>
      </w:r>
    </w:p>
    <w:p w:rsidR="001F5F1F" w:rsidRPr="001F5F1F" w:rsidRDefault="001F5F1F" w:rsidP="001F5F1F"/>
    <w:p w:rsidR="001F5F1F" w:rsidRPr="001F5F1F" w:rsidRDefault="001F5F1F" w:rsidP="001F5F1F"/>
    <w:p w:rsidR="001F5F1F" w:rsidRPr="001F5F1F" w:rsidRDefault="001F5F1F" w:rsidP="001F5F1F">
      <w:r w:rsidRPr="001F5F1F">
        <w:t>Annual cost using fee equivalent:</w:t>
      </w:r>
      <w:r w:rsidRPr="001F5F1F">
        <w:tab/>
      </w:r>
      <w:r w:rsidRPr="001F5F1F">
        <w:tab/>
      </w:r>
      <w:r w:rsidRPr="001F5F1F">
        <w:tab/>
      </w:r>
      <w:r w:rsidRPr="001F5F1F">
        <w:tab/>
        <w:t>$1</w:t>
      </w:r>
      <w:bookmarkEnd w:id="22"/>
      <w:bookmarkEnd w:id="23"/>
      <w:r w:rsidRPr="001F5F1F">
        <w:t>09,230,72</w:t>
      </w:r>
      <w:r w:rsidR="00357FBB">
        <w:t>6</w:t>
      </w:r>
      <w:r w:rsidRPr="001F5F1F">
        <w:t>.15</w:t>
      </w:r>
    </w:p>
    <w:p w:rsidR="00771479" w:rsidRDefault="00771479" w:rsidP="009304DC"/>
    <w:p w:rsidR="00DE7F41" w:rsidRDefault="00DE7F41" w:rsidP="009304DC"/>
    <w:p w:rsidR="00771479" w:rsidRPr="00F117FD" w:rsidRDefault="00771479" w:rsidP="009304DC">
      <w:r w:rsidRPr="00F117FD">
        <w:t>14. Estimated Annualized Cost to Federal Government:</w:t>
      </w:r>
    </w:p>
    <w:p w:rsidR="00771479" w:rsidRPr="00F117FD" w:rsidRDefault="00771479" w:rsidP="00A74C21">
      <w:bookmarkStart w:id="24" w:name="OLE_LINK17"/>
      <w:bookmarkStart w:id="25" w:name="OLE_LINK18"/>
    </w:p>
    <w:bookmarkEnd w:id="24"/>
    <w:bookmarkEnd w:id="25"/>
    <w:p w:rsidR="00771479" w:rsidRPr="008929A7" w:rsidRDefault="00771479" w:rsidP="008929A7">
      <w:pPr>
        <w:rPr>
          <w:color w:val="000000"/>
        </w:rPr>
      </w:pPr>
      <w:r w:rsidRPr="008929A7">
        <w:rPr>
          <w:color w:val="000000"/>
        </w:rPr>
        <w:t>Estimated Annual Production Cost to Government:</w:t>
      </w:r>
    </w:p>
    <w:p w:rsidR="00771479" w:rsidRPr="008929A7" w:rsidRDefault="00771479" w:rsidP="008929A7">
      <w:pPr>
        <w:rPr>
          <w:color w:val="000000"/>
        </w:rPr>
      </w:pPr>
    </w:p>
    <w:p w:rsidR="00771479" w:rsidRPr="008929A7" w:rsidRDefault="00771479" w:rsidP="008929A7">
      <w:pPr>
        <w:rPr>
          <w:color w:val="000000"/>
        </w:rPr>
      </w:pPr>
      <w:r w:rsidRPr="008929A7">
        <w:rPr>
          <w:color w:val="000000"/>
        </w:rPr>
        <w:t>Government Employees:</w:t>
      </w:r>
      <w:r>
        <w:rPr>
          <w:color w:val="000000"/>
        </w:rPr>
        <w:tab/>
      </w:r>
      <w:r>
        <w:rPr>
          <w:color w:val="000000"/>
        </w:rPr>
        <w:tab/>
      </w:r>
      <w:r>
        <w:rPr>
          <w:color w:val="000000"/>
        </w:rPr>
        <w:tab/>
      </w:r>
      <w:r>
        <w:rPr>
          <w:color w:val="000000"/>
        </w:rPr>
        <w:tab/>
      </w:r>
      <w:r>
        <w:rPr>
          <w:color w:val="000000"/>
        </w:rPr>
        <w:tab/>
      </w:r>
      <w:r w:rsidRPr="008929A7">
        <w:rPr>
          <w:color w:val="000000"/>
        </w:rPr>
        <w:t>$959.89</w:t>
      </w:r>
    </w:p>
    <w:p w:rsidR="00771479" w:rsidRPr="008929A7" w:rsidRDefault="00771479" w:rsidP="008929A7">
      <w:pPr>
        <w:rPr>
          <w:color w:val="000000"/>
        </w:rPr>
      </w:pPr>
      <w:r w:rsidRPr="008929A7">
        <w:rPr>
          <w:color w:val="000000"/>
        </w:rPr>
        <w:t>Contract Employees:</w:t>
      </w:r>
      <w:r>
        <w:rPr>
          <w:color w:val="000000"/>
        </w:rPr>
        <w:tab/>
      </w:r>
      <w:r>
        <w:rPr>
          <w:color w:val="000000"/>
        </w:rPr>
        <w:tab/>
      </w:r>
      <w:r>
        <w:rPr>
          <w:color w:val="000000"/>
        </w:rPr>
        <w:tab/>
      </w:r>
      <w:r>
        <w:rPr>
          <w:color w:val="000000"/>
        </w:rPr>
        <w:tab/>
      </w:r>
      <w:r>
        <w:rPr>
          <w:color w:val="000000"/>
        </w:rPr>
        <w:tab/>
      </w:r>
      <w:r>
        <w:rPr>
          <w:color w:val="000000"/>
        </w:rPr>
        <w:tab/>
      </w:r>
      <w:r w:rsidRPr="008929A7">
        <w:rPr>
          <w:color w:val="000000"/>
        </w:rPr>
        <w:t>$86,030.40</w:t>
      </w:r>
    </w:p>
    <w:p w:rsidR="00771479" w:rsidRPr="008929A7" w:rsidRDefault="00771479" w:rsidP="008929A7">
      <w:pPr>
        <w:rPr>
          <w:color w:val="000000"/>
        </w:rPr>
      </w:pPr>
      <w:r w:rsidRPr="008929A7">
        <w:rPr>
          <w:color w:val="000000"/>
        </w:rPr>
        <w:t>Cost of Paper: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929A7">
        <w:rPr>
          <w:color w:val="000000"/>
        </w:rPr>
        <w:t>$6,896.68</w:t>
      </w:r>
    </w:p>
    <w:p w:rsidR="00771479" w:rsidRPr="008929A7" w:rsidRDefault="00771479" w:rsidP="008929A7">
      <w:pPr>
        <w:rPr>
          <w:color w:val="000000"/>
        </w:rPr>
      </w:pPr>
      <w:r w:rsidRPr="008929A7">
        <w:rPr>
          <w:color w:val="000000"/>
        </w:rPr>
        <w:t>Mailing (Postage):</w:t>
      </w:r>
      <w:r>
        <w:rPr>
          <w:color w:val="000000"/>
        </w:rPr>
        <w:tab/>
      </w:r>
      <w:r>
        <w:rPr>
          <w:color w:val="000000"/>
        </w:rPr>
        <w:tab/>
      </w:r>
      <w:r>
        <w:rPr>
          <w:color w:val="000000"/>
        </w:rPr>
        <w:tab/>
      </w:r>
      <w:r>
        <w:rPr>
          <w:color w:val="000000"/>
        </w:rPr>
        <w:tab/>
      </w:r>
      <w:r>
        <w:rPr>
          <w:color w:val="000000"/>
        </w:rPr>
        <w:tab/>
      </w:r>
      <w:r>
        <w:rPr>
          <w:color w:val="000000"/>
        </w:rPr>
        <w:tab/>
      </w:r>
      <w:r w:rsidRPr="008929A7">
        <w:rPr>
          <w:color w:val="000000"/>
        </w:rPr>
        <w:t xml:space="preserve">$151,726.08 </w:t>
      </w:r>
    </w:p>
    <w:p w:rsidR="00771479" w:rsidRPr="008929A7" w:rsidRDefault="00771479" w:rsidP="008929A7">
      <w:pPr>
        <w:rPr>
          <w:color w:val="000000"/>
        </w:rPr>
      </w:pPr>
      <w:r w:rsidRPr="008929A7">
        <w:rPr>
          <w:color w:val="000000"/>
        </w:rPr>
        <w:t>Custom Envelopes</w:t>
      </w:r>
      <w:r>
        <w:rPr>
          <w:color w:val="000000"/>
        </w:rPr>
        <w:t>:</w:t>
      </w:r>
      <w:r>
        <w:rPr>
          <w:color w:val="000000"/>
        </w:rPr>
        <w:tab/>
      </w:r>
      <w:r>
        <w:rPr>
          <w:color w:val="000000"/>
        </w:rPr>
        <w:tab/>
      </w:r>
      <w:r>
        <w:rPr>
          <w:color w:val="000000"/>
        </w:rPr>
        <w:tab/>
      </w:r>
      <w:r>
        <w:rPr>
          <w:color w:val="000000"/>
        </w:rPr>
        <w:tab/>
      </w:r>
      <w:r>
        <w:rPr>
          <w:color w:val="000000"/>
        </w:rPr>
        <w:tab/>
      </w:r>
      <w:r>
        <w:rPr>
          <w:color w:val="000000"/>
        </w:rPr>
        <w:tab/>
      </w:r>
      <w:r w:rsidRPr="008929A7">
        <w:rPr>
          <w:color w:val="000000"/>
        </w:rPr>
        <w:t>$7,655.31</w:t>
      </w:r>
    </w:p>
    <w:p w:rsidR="00771479" w:rsidRPr="008929A7" w:rsidRDefault="00771479" w:rsidP="008929A7">
      <w:pPr>
        <w:rPr>
          <w:color w:val="000000"/>
        </w:rPr>
      </w:pPr>
      <w:r w:rsidRPr="008929A7">
        <w:rPr>
          <w:color w:val="000000"/>
        </w:rPr>
        <w:t>Equipment Maintenance:</w:t>
      </w:r>
      <w:r>
        <w:rPr>
          <w:color w:val="000000"/>
        </w:rPr>
        <w:tab/>
      </w:r>
      <w:r>
        <w:rPr>
          <w:color w:val="000000"/>
        </w:rPr>
        <w:tab/>
      </w:r>
      <w:r>
        <w:rPr>
          <w:color w:val="000000"/>
        </w:rPr>
        <w:tab/>
      </w:r>
      <w:r>
        <w:rPr>
          <w:color w:val="000000"/>
        </w:rPr>
        <w:tab/>
      </w:r>
      <w:r>
        <w:rPr>
          <w:color w:val="000000"/>
        </w:rPr>
        <w:tab/>
      </w:r>
      <w:r w:rsidRPr="008929A7">
        <w:rPr>
          <w:color w:val="000000"/>
        </w:rPr>
        <w:t>$52,872.00</w:t>
      </w:r>
    </w:p>
    <w:p w:rsidR="00771479" w:rsidRPr="008929A7" w:rsidRDefault="00771479" w:rsidP="008929A7">
      <w:pPr>
        <w:rPr>
          <w:color w:val="000000"/>
        </w:rPr>
      </w:pPr>
      <w:r w:rsidRPr="008929A7">
        <w:rPr>
          <w:color w:val="000000"/>
        </w:rPr>
        <w:t>Equipment/10 years:</w:t>
      </w:r>
      <w:r>
        <w:rPr>
          <w:color w:val="000000"/>
        </w:rPr>
        <w:tab/>
      </w:r>
      <w:r>
        <w:rPr>
          <w:color w:val="000000"/>
        </w:rPr>
        <w:tab/>
      </w:r>
      <w:r>
        <w:rPr>
          <w:color w:val="000000"/>
        </w:rPr>
        <w:tab/>
      </w:r>
      <w:r>
        <w:rPr>
          <w:color w:val="000000"/>
        </w:rPr>
        <w:tab/>
      </w:r>
      <w:r>
        <w:rPr>
          <w:color w:val="000000"/>
        </w:rPr>
        <w:tab/>
      </w:r>
      <w:r>
        <w:rPr>
          <w:color w:val="000000"/>
        </w:rPr>
        <w:tab/>
      </w:r>
      <w:r w:rsidRPr="008929A7">
        <w:rPr>
          <w:color w:val="000000"/>
        </w:rPr>
        <w:t>$57,377.00</w:t>
      </w:r>
    </w:p>
    <w:p w:rsidR="00771479" w:rsidRPr="008929A7" w:rsidRDefault="00771479" w:rsidP="008929A7">
      <w:pPr>
        <w:rPr>
          <w:color w:val="000000"/>
        </w:rPr>
      </w:pPr>
      <w:r w:rsidRPr="008929A7">
        <w:rPr>
          <w:color w:val="000000"/>
        </w:rPr>
        <w:t>Per Print Charges:</w:t>
      </w:r>
      <w:r>
        <w:rPr>
          <w:color w:val="000000"/>
        </w:rPr>
        <w:tab/>
      </w:r>
      <w:r>
        <w:rPr>
          <w:color w:val="000000"/>
        </w:rPr>
        <w:tab/>
      </w:r>
      <w:r>
        <w:rPr>
          <w:color w:val="000000"/>
        </w:rPr>
        <w:tab/>
      </w:r>
      <w:r>
        <w:rPr>
          <w:color w:val="000000"/>
        </w:rPr>
        <w:tab/>
      </w:r>
      <w:r>
        <w:rPr>
          <w:color w:val="000000"/>
        </w:rPr>
        <w:tab/>
      </w:r>
      <w:r>
        <w:rPr>
          <w:color w:val="000000"/>
        </w:rPr>
        <w:tab/>
        <w:t>$</w:t>
      </w:r>
      <w:r w:rsidRPr="008929A7">
        <w:rPr>
          <w:color w:val="000000"/>
        </w:rPr>
        <w:t>9,103.00</w:t>
      </w:r>
    </w:p>
    <w:p w:rsidR="00771479" w:rsidRPr="008929A7" w:rsidRDefault="00771479" w:rsidP="008929A7">
      <w:pPr>
        <w:rPr>
          <w:color w:val="000000"/>
        </w:rPr>
      </w:pPr>
    </w:p>
    <w:p w:rsidR="00771479" w:rsidRPr="008929A7" w:rsidRDefault="00771479" w:rsidP="008929A7">
      <w:pPr>
        <w:rPr>
          <w:color w:val="000000"/>
        </w:rPr>
      </w:pPr>
      <w:r w:rsidRPr="008929A7">
        <w:rPr>
          <w:color w:val="000000"/>
        </w:rPr>
        <w:t>Total:</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929A7">
        <w:rPr>
          <w:color w:val="000000"/>
        </w:rPr>
        <w:t>$372,620.36</w:t>
      </w:r>
      <w:r w:rsidRPr="008929A7">
        <w:rPr>
          <w:color w:val="000000"/>
        </w:rPr>
        <w:tab/>
      </w:r>
    </w:p>
    <w:p w:rsidR="00771479" w:rsidRPr="008929A7" w:rsidRDefault="00771479" w:rsidP="008929A7">
      <w:pPr>
        <w:rPr>
          <w:color w:val="000000"/>
        </w:rPr>
      </w:pPr>
    </w:p>
    <w:p w:rsidR="00771479" w:rsidRPr="008929A7" w:rsidRDefault="00771479" w:rsidP="008929A7">
      <w:pPr>
        <w:rPr>
          <w:color w:val="000000"/>
        </w:rPr>
      </w:pPr>
      <w:r w:rsidRPr="008929A7">
        <w:rPr>
          <w:color w:val="000000"/>
        </w:rPr>
        <w:t>Estimated Annual Labor Cost to Government:</w:t>
      </w:r>
    </w:p>
    <w:p w:rsidR="00771479" w:rsidRPr="008929A7" w:rsidRDefault="00771479" w:rsidP="008929A7">
      <w:pPr>
        <w:rPr>
          <w:color w:val="000000"/>
        </w:rPr>
      </w:pPr>
    </w:p>
    <w:p w:rsidR="00771479" w:rsidRPr="008929A7" w:rsidRDefault="00771479" w:rsidP="008929A7">
      <w:pPr>
        <w:rPr>
          <w:color w:val="000000"/>
        </w:rPr>
      </w:pPr>
      <w:r>
        <w:rPr>
          <w:color w:val="000000"/>
        </w:rPr>
        <w:t xml:space="preserve">Section Chief </w:t>
      </w:r>
      <w:r w:rsidRPr="008929A7">
        <w:rPr>
          <w:color w:val="000000"/>
        </w:rPr>
        <w:t>– GS-301-</w:t>
      </w:r>
      <w:r>
        <w:rPr>
          <w:color w:val="000000"/>
        </w:rPr>
        <w:t>15 (90% of time)</w:t>
      </w:r>
      <w:r>
        <w:rPr>
          <w:color w:val="000000"/>
        </w:rPr>
        <w:tab/>
      </w:r>
      <w:r>
        <w:rPr>
          <w:color w:val="000000"/>
        </w:rPr>
        <w:tab/>
      </w:r>
      <w:r>
        <w:rPr>
          <w:color w:val="000000"/>
        </w:rPr>
        <w:tab/>
      </w:r>
      <w:r w:rsidRPr="008929A7">
        <w:rPr>
          <w:color w:val="000000"/>
        </w:rPr>
        <w:t>$126,233</w:t>
      </w:r>
    </w:p>
    <w:p w:rsidR="00771479" w:rsidRPr="008929A7" w:rsidRDefault="00771479" w:rsidP="008929A7">
      <w:pPr>
        <w:rPr>
          <w:color w:val="000000"/>
        </w:rPr>
      </w:pPr>
      <w:r w:rsidRPr="008929A7">
        <w:rPr>
          <w:color w:val="000000"/>
        </w:rPr>
        <w:t>Deputy Section Chief – GS</w:t>
      </w:r>
      <w:r>
        <w:rPr>
          <w:color w:val="000000"/>
        </w:rPr>
        <w:t>-</w:t>
      </w:r>
      <w:r w:rsidRPr="008929A7">
        <w:rPr>
          <w:color w:val="000000"/>
        </w:rPr>
        <w:t>1801-14 (50% of time)</w:t>
      </w:r>
      <w:r>
        <w:rPr>
          <w:color w:val="000000"/>
        </w:rPr>
        <w:tab/>
      </w:r>
      <w:r>
        <w:rPr>
          <w:color w:val="000000"/>
        </w:rPr>
        <w:tab/>
      </w:r>
      <w:r w:rsidRPr="008929A7">
        <w:rPr>
          <w:color w:val="000000"/>
        </w:rPr>
        <w:t>$59,664</w:t>
      </w:r>
    </w:p>
    <w:p w:rsidR="00771479" w:rsidRPr="008929A7" w:rsidRDefault="00771479" w:rsidP="008929A7">
      <w:pPr>
        <w:rPr>
          <w:color w:val="000000"/>
        </w:rPr>
      </w:pPr>
    </w:p>
    <w:p w:rsidR="00771479" w:rsidRPr="008929A7" w:rsidRDefault="00771479" w:rsidP="008929A7">
      <w:pPr>
        <w:rPr>
          <w:color w:val="000000"/>
        </w:rPr>
      </w:pPr>
      <w:r w:rsidRPr="008929A7">
        <w:rPr>
          <w:color w:val="000000"/>
        </w:rPr>
        <w:t xml:space="preserve">Project Manager </w:t>
      </w:r>
    </w:p>
    <w:p w:rsidR="00771479" w:rsidRPr="008929A7" w:rsidRDefault="00771479" w:rsidP="008929A7">
      <w:pPr>
        <w:rPr>
          <w:color w:val="000000"/>
        </w:rPr>
      </w:pPr>
      <w:r w:rsidRPr="008929A7">
        <w:rPr>
          <w:color w:val="000000"/>
        </w:rPr>
        <w:t xml:space="preserve">1 Unit Chief </w:t>
      </w:r>
      <w:r>
        <w:rPr>
          <w:color w:val="000000"/>
        </w:rPr>
        <w:t>–</w:t>
      </w:r>
      <w:r w:rsidRPr="008929A7">
        <w:rPr>
          <w:color w:val="000000"/>
        </w:rPr>
        <w:t xml:space="preserve"> GS</w:t>
      </w:r>
      <w:r>
        <w:rPr>
          <w:color w:val="000000"/>
        </w:rPr>
        <w:t>-</w:t>
      </w:r>
      <w:r w:rsidRPr="008929A7">
        <w:rPr>
          <w:color w:val="000000"/>
        </w:rPr>
        <w:t>343</w:t>
      </w:r>
      <w:r>
        <w:rPr>
          <w:color w:val="000000"/>
        </w:rPr>
        <w:t>-</w:t>
      </w:r>
      <w:r w:rsidRPr="008929A7">
        <w:rPr>
          <w:color w:val="000000"/>
        </w:rPr>
        <w:t>14 (90% of time)</w:t>
      </w:r>
      <w:r>
        <w:rPr>
          <w:color w:val="000000"/>
        </w:rPr>
        <w:tab/>
      </w:r>
      <w:r>
        <w:rPr>
          <w:color w:val="000000"/>
        </w:rPr>
        <w:tab/>
      </w:r>
      <w:r>
        <w:rPr>
          <w:color w:val="000000"/>
        </w:rPr>
        <w:tab/>
      </w:r>
      <w:r w:rsidRPr="008929A7">
        <w:rPr>
          <w:color w:val="000000"/>
        </w:rPr>
        <w:t>$107,314</w:t>
      </w:r>
    </w:p>
    <w:p w:rsidR="00771479" w:rsidRDefault="00771479" w:rsidP="008929A7">
      <w:pPr>
        <w:rPr>
          <w:color w:val="000000"/>
        </w:rPr>
      </w:pPr>
    </w:p>
    <w:p w:rsidR="00771479" w:rsidRPr="008929A7" w:rsidRDefault="00771479" w:rsidP="008929A7">
      <w:pPr>
        <w:rPr>
          <w:color w:val="000000"/>
        </w:rPr>
      </w:pPr>
      <w:r w:rsidRPr="008929A7">
        <w:rPr>
          <w:color w:val="000000"/>
        </w:rPr>
        <w:t>Review &amp; Notification</w:t>
      </w:r>
    </w:p>
    <w:p w:rsidR="00771479" w:rsidRDefault="00771479" w:rsidP="00C64176">
      <w:pPr>
        <w:rPr>
          <w:color w:val="000000"/>
        </w:rPr>
      </w:pPr>
      <w:r w:rsidRPr="008929A7">
        <w:rPr>
          <w:color w:val="000000"/>
        </w:rPr>
        <w:t>54 Registration Program Specialists - GS</w:t>
      </w:r>
      <w:r>
        <w:rPr>
          <w:color w:val="000000"/>
        </w:rPr>
        <w:t>-</w:t>
      </w:r>
      <w:r w:rsidRPr="008929A7">
        <w:rPr>
          <w:color w:val="000000"/>
        </w:rPr>
        <w:t>963</w:t>
      </w:r>
      <w:r>
        <w:rPr>
          <w:color w:val="000000"/>
        </w:rPr>
        <w:t>-</w:t>
      </w:r>
      <w:r w:rsidRPr="008929A7">
        <w:rPr>
          <w:color w:val="000000"/>
        </w:rPr>
        <w:t>9 (Field)</w:t>
      </w:r>
      <w:r>
        <w:rPr>
          <w:color w:val="000000"/>
        </w:rPr>
        <w:tab/>
        <w:t>$2,369,682</w:t>
      </w:r>
    </w:p>
    <w:p w:rsidR="00771479" w:rsidRPr="008929A7" w:rsidRDefault="00771479" w:rsidP="00C64176">
      <w:pPr>
        <w:ind w:firstLine="720"/>
        <w:rPr>
          <w:color w:val="000000"/>
        </w:rPr>
      </w:pPr>
      <w:r w:rsidRPr="008929A7">
        <w:rPr>
          <w:color w:val="000000"/>
        </w:rPr>
        <w:t>(75% of time)</w:t>
      </w:r>
      <w:r>
        <w:rPr>
          <w:color w:val="000000"/>
        </w:rPr>
        <w:tab/>
      </w:r>
    </w:p>
    <w:p w:rsidR="00771479" w:rsidRDefault="00771479" w:rsidP="008929A7">
      <w:pPr>
        <w:rPr>
          <w:color w:val="000000"/>
        </w:rPr>
      </w:pPr>
      <w:r w:rsidRPr="008929A7">
        <w:rPr>
          <w:color w:val="000000"/>
        </w:rPr>
        <w:t xml:space="preserve">6 Legal Instrument Examiners </w:t>
      </w:r>
      <w:r>
        <w:rPr>
          <w:color w:val="000000"/>
        </w:rPr>
        <w:t>–</w:t>
      </w:r>
      <w:r w:rsidRPr="008929A7">
        <w:rPr>
          <w:color w:val="000000"/>
        </w:rPr>
        <w:t xml:space="preserve"> GS</w:t>
      </w:r>
      <w:r>
        <w:rPr>
          <w:color w:val="000000"/>
        </w:rPr>
        <w:t>-</w:t>
      </w:r>
      <w:r w:rsidRPr="008929A7">
        <w:rPr>
          <w:color w:val="000000"/>
        </w:rPr>
        <w:t>963-9 (HQ)</w:t>
      </w:r>
      <w:r>
        <w:rPr>
          <w:color w:val="000000"/>
        </w:rPr>
        <w:tab/>
      </w:r>
      <w:r>
        <w:rPr>
          <w:color w:val="000000"/>
        </w:rPr>
        <w:tab/>
      </w:r>
      <w:r w:rsidRPr="008929A7">
        <w:rPr>
          <w:color w:val="000000"/>
        </w:rPr>
        <w:t>$263,298</w:t>
      </w:r>
    </w:p>
    <w:p w:rsidR="00771479" w:rsidRPr="008929A7" w:rsidRDefault="00771479" w:rsidP="008929A7">
      <w:pPr>
        <w:rPr>
          <w:color w:val="000000"/>
        </w:rPr>
      </w:pPr>
      <w:r>
        <w:rPr>
          <w:color w:val="000000"/>
        </w:rPr>
        <w:tab/>
        <w:t>(75% of time)</w:t>
      </w:r>
    </w:p>
    <w:p w:rsidR="00771479" w:rsidRDefault="00771479" w:rsidP="008929A7">
      <w:pPr>
        <w:rPr>
          <w:color w:val="000000"/>
        </w:rPr>
      </w:pPr>
      <w:r w:rsidRPr="008929A7">
        <w:rPr>
          <w:color w:val="000000"/>
        </w:rPr>
        <w:t xml:space="preserve">1 </w:t>
      </w:r>
      <w:r>
        <w:rPr>
          <w:color w:val="000000"/>
        </w:rPr>
        <w:t xml:space="preserve">sup </w:t>
      </w:r>
      <w:r w:rsidRPr="008929A7">
        <w:rPr>
          <w:color w:val="000000"/>
        </w:rPr>
        <w:t>Legal Instrument Examiner</w:t>
      </w:r>
      <w:r>
        <w:rPr>
          <w:color w:val="000000"/>
        </w:rPr>
        <w:t>–</w:t>
      </w:r>
      <w:r w:rsidRPr="008929A7">
        <w:rPr>
          <w:color w:val="000000"/>
        </w:rPr>
        <w:t xml:space="preserve"> GS</w:t>
      </w:r>
      <w:r>
        <w:rPr>
          <w:color w:val="000000"/>
        </w:rPr>
        <w:t>-</w:t>
      </w:r>
      <w:r w:rsidRPr="008929A7">
        <w:rPr>
          <w:color w:val="000000"/>
        </w:rPr>
        <w:t>963</w:t>
      </w:r>
      <w:r>
        <w:rPr>
          <w:color w:val="000000"/>
        </w:rPr>
        <w:t>-</w:t>
      </w:r>
      <w:r w:rsidRPr="008929A7">
        <w:rPr>
          <w:color w:val="000000"/>
        </w:rPr>
        <w:t>11 (HQ)</w:t>
      </w:r>
      <w:r>
        <w:rPr>
          <w:color w:val="000000"/>
        </w:rPr>
        <w:tab/>
      </w:r>
      <w:r w:rsidR="007366D5">
        <w:rPr>
          <w:color w:val="000000"/>
        </w:rPr>
        <w:tab/>
      </w:r>
      <w:r w:rsidRPr="008929A7">
        <w:rPr>
          <w:color w:val="000000"/>
        </w:rPr>
        <w:t>$56,635</w:t>
      </w:r>
    </w:p>
    <w:p w:rsidR="00771479" w:rsidRPr="008929A7" w:rsidRDefault="00771479" w:rsidP="00B34240">
      <w:pPr>
        <w:ind w:firstLine="720"/>
        <w:rPr>
          <w:color w:val="000000"/>
        </w:rPr>
      </w:pPr>
      <w:r>
        <w:rPr>
          <w:color w:val="000000"/>
        </w:rPr>
        <w:t>(80% of time)</w:t>
      </w:r>
    </w:p>
    <w:p w:rsidR="00771479" w:rsidRDefault="00771479" w:rsidP="008929A7">
      <w:pPr>
        <w:rPr>
          <w:color w:val="000000"/>
        </w:rPr>
      </w:pPr>
      <w:r w:rsidRPr="008929A7">
        <w:rPr>
          <w:color w:val="000000"/>
        </w:rPr>
        <w:t>461 Diversion Investigator</w:t>
      </w:r>
      <w:bookmarkStart w:id="26" w:name="OLE_LINK3"/>
      <w:bookmarkStart w:id="27" w:name="OLE_LINK4"/>
      <w:r w:rsidRPr="008929A7">
        <w:rPr>
          <w:color w:val="000000"/>
        </w:rPr>
        <w:t xml:space="preserve">s </w:t>
      </w:r>
      <w:r>
        <w:rPr>
          <w:color w:val="000000"/>
        </w:rPr>
        <w:t>–</w:t>
      </w:r>
      <w:bookmarkEnd w:id="26"/>
      <w:bookmarkEnd w:id="27"/>
      <w:r w:rsidRPr="008929A7">
        <w:rPr>
          <w:color w:val="000000"/>
        </w:rPr>
        <w:t>GS</w:t>
      </w:r>
      <w:r>
        <w:rPr>
          <w:color w:val="000000"/>
        </w:rPr>
        <w:t>-</w:t>
      </w:r>
      <w:r w:rsidRPr="008929A7">
        <w:rPr>
          <w:color w:val="000000"/>
        </w:rPr>
        <w:t>1801</w:t>
      </w:r>
      <w:r>
        <w:rPr>
          <w:color w:val="000000"/>
        </w:rPr>
        <w:t>-</w:t>
      </w:r>
      <w:r w:rsidRPr="008929A7">
        <w:rPr>
          <w:color w:val="000000"/>
        </w:rPr>
        <w:t>12 (Field)</w:t>
      </w:r>
      <w:r>
        <w:rPr>
          <w:color w:val="000000"/>
        </w:rPr>
        <w:tab/>
      </w:r>
      <w:r>
        <w:rPr>
          <w:color w:val="000000"/>
        </w:rPr>
        <w:tab/>
      </w:r>
      <w:r w:rsidRPr="008929A7">
        <w:rPr>
          <w:color w:val="000000"/>
        </w:rPr>
        <w:t>$1,956,023</w:t>
      </w:r>
    </w:p>
    <w:p w:rsidR="00771479" w:rsidRPr="008929A7" w:rsidRDefault="00771479" w:rsidP="00B34240">
      <w:pPr>
        <w:ind w:firstLine="720"/>
        <w:rPr>
          <w:color w:val="000000"/>
        </w:rPr>
      </w:pPr>
      <w:r>
        <w:rPr>
          <w:color w:val="000000"/>
        </w:rPr>
        <w:t>(5% of time)</w:t>
      </w:r>
    </w:p>
    <w:p w:rsidR="00771479" w:rsidRDefault="00771479" w:rsidP="008929A7">
      <w:pPr>
        <w:rPr>
          <w:color w:val="000000"/>
        </w:rPr>
      </w:pPr>
      <w:r w:rsidRPr="008929A7">
        <w:rPr>
          <w:color w:val="000000"/>
        </w:rPr>
        <w:lastRenderedPageBreak/>
        <w:t>7 Program Analyst</w:t>
      </w:r>
      <w:r>
        <w:rPr>
          <w:color w:val="000000"/>
        </w:rPr>
        <w:t xml:space="preserve">s – </w:t>
      </w:r>
      <w:r w:rsidRPr="008929A7">
        <w:rPr>
          <w:color w:val="000000"/>
        </w:rPr>
        <w:t>GS</w:t>
      </w:r>
      <w:r>
        <w:rPr>
          <w:color w:val="000000"/>
        </w:rPr>
        <w:t>-</w:t>
      </w:r>
      <w:r w:rsidRPr="008929A7">
        <w:rPr>
          <w:color w:val="000000"/>
        </w:rPr>
        <w:t>343</w:t>
      </w:r>
      <w:r>
        <w:rPr>
          <w:color w:val="000000"/>
        </w:rPr>
        <w:t>-</w:t>
      </w:r>
      <w:r w:rsidRPr="008929A7">
        <w:rPr>
          <w:color w:val="000000"/>
        </w:rPr>
        <w:t>13 (HQ)</w:t>
      </w:r>
      <w:r>
        <w:rPr>
          <w:color w:val="000000"/>
        </w:rPr>
        <w:tab/>
      </w:r>
      <w:r>
        <w:rPr>
          <w:color w:val="000000"/>
        </w:rPr>
        <w:tab/>
      </w:r>
      <w:r>
        <w:rPr>
          <w:color w:val="000000"/>
        </w:rPr>
        <w:tab/>
      </w:r>
      <w:r w:rsidRPr="008929A7">
        <w:rPr>
          <w:color w:val="000000"/>
        </w:rPr>
        <w:t>$459,116</w:t>
      </w:r>
    </w:p>
    <w:p w:rsidR="00771479" w:rsidRPr="008929A7" w:rsidRDefault="00771479" w:rsidP="00B34240">
      <w:pPr>
        <w:ind w:firstLine="720"/>
        <w:rPr>
          <w:color w:val="000000"/>
        </w:rPr>
      </w:pPr>
      <w:r>
        <w:rPr>
          <w:color w:val="000000"/>
        </w:rPr>
        <w:t>(65% of time)</w:t>
      </w:r>
    </w:p>
    <w:p w:rsidR="00771479" w:rsidRDefault="00771479" w:rsidP="008929A7">
      <w:pPr>
        <w:rPr>
          <w:color w:val="000000"/>
        </w:rPr>
      </w:pPr>
    </w:p>
    <w:p w:rsidR="00771479" w:rsidRDefault="00771479" w:rsidP="008929A7">
      <w:pPr>
        <w:rPr>
          <w:color w:val="000000"/>
        </w:rPr>
      </w:pPr>
      <w:r w:rsidRPr="008929A7">
        <w:rPr>
          <w:color w:val="000000"/>
        </w:rPr>
        <w:t>21 Government Contractor Call Center Employees,</w:t>
      </w:r>
      <w:r>
        <w:rPr>
          <w:color w:val="000000"/>
        </w:rPr>
        <w:tab/>
      </w:r>
      <w:r>
        <w:rPr>
          <w:color w:val="000000"/>
        </w:rPr>
        <w:tab/>
        <w:t>$1,618,578</w:t>
      </w:r>
    </w:p>
    <w:p w:rsidR="00771479" w:rsidRPr="008929A7" w:rsidRDefault="00771479" w:rsidP="00B34240">
      <w:pPr>
        <w:ind w:firstLine="720"/>
        <w:rPr>
          <w:color w:val="000000"/>
        </w:rPr>
      </w:pPr>
      <w:r w:rsidRPr="008929A7">
        <w:rPr>
          <w:color w:val="000000"/>
        </w:rPr>
        <w:t>3 Supervisors and 1 Task Manager</w:t>
      </w:r>
    </w:p>
    <w:p w:rsidR="00771479" w:rsidRPr="008929A7" w:rsidRDefault="00771479" w:rsidP="00B34240">
      <w:pPr>
        <w:ind w:firstLine="720"/>
        <w:rPr>
          <w:color w:val="000000"/>
        </w:rPr>
      </w:pPr>
      <w:r w:rsidRPr="008929A7">
        <w:rPr>
          <w:color w:val="000000"/>
        </w:rPr>
        <w:t>(85% of time for an average annual contract cost x 25)</w:t>
      </w:r>
    </w:p>
    <w:p w:rsidR="00771479" w:rsidRPr="008929A7" w:rsidRDefault="00771479" w:rsidP="008929A7">
      <w:pPr>
        <w:rPr>
          <w:color w:val="000000"/>
        </w:rPr>
      </w:pPr>
    </w:p>
    <w:p w:rsidR="00771479" w:rsidRPr="008929A7" w:rsidRDefault="00771479" w:rsidP="008929A7">
      <w:pPr>
        <w:rPr>
          <w:color w:val="000000"/>
        </w:rPr>
      </w:pPr>
      <w:r w:rsidRPr="008929A7">
        <w:rPr>
          <w:color w:val="000000"/>
        </w:rPr>
        <w:t>Fee Processing and Mail Room</w:t>
      </w:r>
    </w:p>
    <w:p w:rsidR="00771479" w:rsidRPr="008929A7" w:rsidRDefault="00771479" w:rsidP="008929A7">
      <w:pPr>
        <w:rPr>
          <w:color w:val="000000"/>
        </w:rPr>
      </w:pPr>
      <w:r>
        <w:rPr>
          <w:color w:val="000000"/>
        </w:rPr>
        <w:t xml:space="preserve">6 </w:t>
      </w:r>
      <w:r w:rsidRPr="008929A7">
        <w:rPr>
          <w:color w:val="000000"/>
        </w:rPr>
        <w:t>Government Contractor Employees (95% of time)</w:t>
      </w:r>
      <w:r>
        <w:rPr>
          <w:color w:val="000000"/>
        </w:rPr>
        <w:tab/>
      </w:r>
      <w:r w:rsidR="007366D5">
        <w:rPr>
          <w:color w:val="000000"/>
        </w:rPr>
        <w:tab/>
      </w:r>
      <w:r w:rsidRPr="008929A7">
        <w:rPr>
          <w:color w:val="000000"/>
        </w:rPr>
        <w:t>$479,950</w:t>
      </w:r>
    </w:p>
    <w:p w:rsidR="00771479" w:rsidRPr="008929A7" w:rsidRDefault="00771479" w:rsidP="00B34240">
      <w:pPr>
        <w:ind w:firstLine="720"/>
        <w:rPr>
          <w:color w:val="000000"/>
        </w:rPr>
      </w:pPr>
      <w:r w:rsidRPr="008929A7">
        <w:rPr>
          <w:color w:val="000000"/>
        </w:rPr>
        <w:t>(95% of average annual contract cost x 6)</w:t>
      </w:r>
    </w:p>
    <w:p w:rsidR="00771479" w:rsidRPr="008929A7" w:rsidRDefault="00771479" w:rsidP="008929A7">
      <w:pPr>
        <w:rPr>
          <w:color w:val="000000"/>
        </w:rPr>
      </w:pPr>
    </w:p>
    <w:p w:rsidR="00771479" w:rsidRPr="008929A7" w:rsidRDefault="00771479" w:rsidP="008929A7">
      <w:pPr>
        <w:rPr>
          <w:color w:val="000000"/>
        </w:rPr>
      </w:pPr>
      <w:r w:rsidRPr="008929A7">
        <w:rPr>
          <w:color w:val="000000"/>
        </w:rPr>
        <w:t>Scanning</w:t>
      </w:r>
    </w:p>
    <w:p w:rsidR="00771479" w:rsidRDefault="00771479" w:rsidP="008929A7">
      <w:pPr>
        <w:rPr>
          <w:color w:val="000000"/>
        </w:rPr>
      </w:pPr>
      <w:r w:rsidRPr="008929A7">
        <w:rPr>
          <w:color w:val="000000"/>
        </w:rPr>
        <w:t>1 Computer Assistant – GS-335-9(HQ)</w:t>
      </w:r>
      <w:r>
        <w:rPr>
          <w:color w:val="000000"/>
        </w:rPr>
        <w:tab/>
      </w:r>
      <w:r>
        <w:rPr>
          <w:color w:val="000000"/>
        </w:rPr>
        <w:tab/>
      </w:r>
      <w:r>
        <w:rPr>
          <w:color w:val="000000"/>
        </w:rPr>
        <w:tab/>
        <w:t>$60,403</w:t>
      </w:r>
    </w:p>
    <w:p w:rsidR="00771479" w:rsidRPr="008929A7" w:rsidRDefault="00771479" w:rsidP="00B34240">
      <w:pPr>
        <w:ind w:firstLine="720"/>
        <w:rPr>
          <w:color w:val="000000"/>
        </w:rPr>
      </w:pPr>
      <w:r>
        <w:rPr>
          <w:color w:val="000000"/>
        </w:rPr>
        <w:t>(95% of time)</w:t>
      </w:r>
    </w:p>
    <w:p w:rsidR="00771479" w:rsidRPr="008929A7" w:rsidRDefault="00771479" w:rsidP="008929A7">
      <w:pPr>
        <w:rPr>
          <w:color w:val="000000"/>
        </w:rPr>
      </w:pPr>
    </w:p>
    <w:p w:rsidR="00771479" w:rsidRPr="008929A7" w:rsidRDefault="00771479" w:rsidP="008929A7">
      <w:pPr>
        <w:rPr>
          <w:color w:val="000000"/>
        </w:rPr>
      </w:pPr>
      <w:r>
        <w:rPr>
          <w:color w:val="000000"/>
        </w:rPr>
        <w:t>Total labor costs:</w:t>
      </w:r>
      <w:r>
        <w:rPr>
          <w:color w:val="000000"/>
        </w:rPr>
        <w:tab/>
      </w:r>
      <w:r>
        <w:rPr>
          <w:color w:val="000000"/>
        </w:rPr>
        <w:tab/>
      </w:r>
      <w:r>
        <w:rPr>
          <w:color w:val="000000"/>
        </w:rPr>
        <w:tab/>
      </w:r>
      <w:r>
        <w:rPr>
          <w:color w:val="000000"/>
        </w:rPr>
        <w:tab/>
      </w:r>
      <w:r>
        <w:rPr>
          <w:color w:val="000000"/>
        </w:rPr>
        <w:tab/>
      </w:r>
      <w:r>
        <w:rPr>
          <w:color w:val="000000"/>
        </w:rPr>
        <w:tab/>
      </w:r>
      <w:r w:rsidRPr="008929A7">
        <w:rPr>
          <w:color w:val="000000"/>
        </w:rPr>
        <w:t>$7,556,896.00</w:t>
      </w:r>
    </w:p>
    <w:p w:rsidR="00771479" w:rsidRPr="008929A7" w:rsidRDefault="00771479" w:rsidP="008929A7">
      <w:pPr>
        <w:rPr>
          <w:color w:val="000000"/>
        </w:rPr>
      </w:pPr>
    </w:p>
    <w:p w:rsidR="00771479" w:rsidRPr="008929A7" w:rsidRDefault="00771479" w:rsidP="008929A7">
      <w:pPr>
        <w:rPr>
          <w:color w:val="000000"/>
        </w:rPr>
      </w:pPr>
      <w:r w:rsidRPr="008929A7">
        <w:rPr>
          <w:color w:val="000000"/>
        </w:rPr>
        <w:t>Grand Total:</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929A7">
        <w:rPr>
          <w:color w:val="000000"/>
        </w:rPr>
        <w:t>$7,929,516.36</w:t>
      </w:r>
    </w:p>
    <w:p w:rsidR="00771479" w:rsidRPr="008929A7" w:rsidRDefault="00771479" w:rsidP="008929A7">
      <w:pPr>
        <w:rPr>
          <w:color w:val="000000"/>
        </w:rPr>
      </w:pPr>
    </w:p>
    <w:p w:rsidR="00771479" w:rsidRPr="00F117FD" w:rsidRDefault="00771479" w:rsidP="00A74C21">
      <w:r>
        <w:rPr>
          <w:color w:val="000000"/>
        </w:rPr>
        <w:t>A</w:t>
      </w:r>
      <w:r w:rsidRPr="00F117FD">
        <w:rPr>
          <w:color w:val="000000"/>
        </w:rPr>
        <w:t>ll costs are recovered from registrants through registration fees, as required by the Departments of Commerce, Justice, and State, the Judiciary, and Related Agencies Appropriations Act of 1993.</w:t>
      </w:r>
    </w:p>
    <w:p w:rsidR="00771479" w:rsidRPr="00F117FD" w:rsidRDefault="00771479" w:rsidP="00A74C21"/>
    <w:p w:rsidR="00771479" w:rsidRPr="00F117FD" w:rsidRDefault="00771479" w:rsidP="00A74C21">
      <w:r w:rsidRPr="00F117FD">
        <w:t>15. Reasons for Change in Burden:</w:t>
      </w:r>
    </w:p>
    <w:p w:rsidR="00771479" w:rsidRPr="00F117FD" w:rsidRDefault="00771479" w:rsidP="00364CDC"/>
    <w:p w:rsidR="00771479" w:rsidRDefault="00771479" w:rsidP="00364CDC">
      <w:r w:rsidRPr="00F117FD">
        <w:t>Changes reflect population adjustments</w:t>
      </w:r>
      <w:r>
        <w:t xml:space="preserve"> and registrants’ and applicants’ greater use of online applications, which take less time to complete.  </w:t>
      </w:r>
      <w:r w:rsidR="00357FBB">
        <w:t xml:space="preserve">It is important to note that these estimates reflect calendar year 2011 numbers, whereas the previous renewal reflected calendar year 2010 numbers.  Although registrants are registered for a three-year cycle, the number of registrants is not evenly distributed between years of the cycle, as is evidenced by the changes in burden in this renewal of the information collection.  </w:t>
      </w:r>
      <w:r>
        <w:t>There have been no statutory or regulatory changes affecting this information collection.</w:t>
      </w:r>
      <w:r w:rsidR="00DE7F41">
        <w:t xml:space="preserve">  The table below summarizes the changes since the last renewal of this information collection.</w:t>
      </w:r>
    </w:p>
    <w:p w:rsidR="00DE7F41" w:rsidRDefault="00DE7F41" w:rsidP="00364CDC"/>
    <w:tbl>
      <w:tblPr>
        <w:tblStyle w:val="TableGrid"/>
        <w:tblW w:w="0" w:type="auto"/>
        <w:tblLook w:val="04A0" w:firstRow="1" w:lastRow="0" w:firstColumn="1" w:lastColumn="0" w:noHBand="0" w:noVBand="1"/>
      </w:tblPr>
      <w:tblGrid>
        <w:gridCol w:w="2394"/>
        <w:gridCol w:w="2394"/>
        <w:gridCol w:w="2394"/>
        <w:gridCol w:w="2394"/>
      </w:tblGrid>
      <w:tr w:rsidR="00DE7F41" w:rsidRPr="00DE7F41" w:rsidTr="00DE7F41">
        <w:tc>
          <w:tcPr>
            <w:tcW w:w="2394" w:type="dxa"/>
          </w:tcPr>
          <w:p w:rsidR="00DE7F41" w:rsidRPr="00DE7F41" w:rsidRDefault="00DE7F41" w:rsidP="00364CDC">
            <w:pPr>
              <w:rPr>
                <w:rFonts w:ascii="Arial" w:hAnsi="Arial" w:cs="Arial"/>
                <w:sz w:val="20"/>
                <w:szCs w:val="20"/>
              </w:rPr>
            </w:pPr>
          </w:p>
        </w:tc>
        <w:tc>
          <w:tcPr>
            <w:tcW w:w="2394" w:type="dxa"/>
          </w:tcPr>
          <w:p w:rsidR="00DE7F41" w:rsidRPr="007B13E9" w:rsidRDefault="007B13E9" w:rsidP="00A06461">
            <w:pPr>
              <w:rPr>
                <w:rFonts w:ascii="Arial" w:hAnsi="Arial" w:cs="Arial"/>
                <w:b/>
                <w:sz w:val="20"/>
                <w:szCs w:val="20"/>
              </w:rPr>
            </w:pPr>
            <w:r w:rsidRPr="007B13E9">
              <w:rPr>
                <w:rFonts w:ascii="Arial" w:hAnsi="Arial" w:cs="Arial"/>
                <w:b/>
                <w:sz w:val="20"/>
                <w:szCs w:val="20"/>
              </w:rPr>
              <w:t>20</w:t>
            </w:r>
            <w:r w:rsidR="00A06461">
              <w:rPr>
                <w:rFonts w:ascii="Arial" w:hAnsi="Arial" w:cs="Arial"/>
                <w:b/>
                <w:sz w:val="20"/>
                <w:szCs w:val="20"/>
              </w:rPr>
              <w:t>12</w:t>
            </w:r>
            <w:r w:rsidRPr="007B13E9">
              <w:rPr>
                <w:rFonts w:ascii="Arial" w:hAnsi="Arial" w:cs="Arial"/>
                <w:b/>
                <w:sz w:val="20"/>
                <w:szCs w:val="20"/>
              </w:rPr>
              <w:t xml:space="preserve"> Approved Burden</w:t>
            </w:r>
          </w:p>
        </w:tc>
        <w:tc>
          <w:tcPr>
            <w:tcW w:w="2394" w:type="dxa"/>
          </w:tcPr>
          <w:p w:rsidR="00DE7F41" w:rsidRPr="007B13E9" w:rsidRDefault="007B13E9" w:rsidP="00364CDC">
            <w:pPr>
              <w:rPr>
                <w:rFonts w:ascii="Arial" w:hAnsi="Arial" w:cs="Arial"/>
                <w:b/>
                <w:sz w:val="20"/>
                <w:szCs w:val="20"/>
              </w:rPr>
            </w:pPr>
            <w:r w:rsidRPr="007B13E9">
              <w:rPr>
                <w:rFonts w:ascii="Arial" w:hAnsi="Arial" w:cs="Arial"/>
                <w:b/>
                <w:sz w:val="20"/>
                <w:szCs w:val="20"/>
              </w:rPr>
              <w:t>2012 Requested Burden</w:t>
            </w:r>
          </w:p>
        </w:tc>
        <w:tc>
          <w:tcPr>
            <w:tcW w:w="2394" w:type="dxa"/>
          </w:tcPr>
          <w:p w:rsidR="00DE7F41" w:rsidRPr="007B13E9" w:rsidRDefault="007B13E9" w:rsidP="00364CDC">
            <w:pPr>
              <w:rPr>
                <w:rFonts w:ascii="Arial" w:hAnsi="Arial" w:cs="Arial"/>
                <w:b/>
                <w:sz w:val="20"/>
                <w:szCs w:val="20"/>
              </w:rPr>
            </w:pPr>
            <w:r w:rsidRPr="007B13E9">
              <w:rPr>
                <w:rFonts w:ascii="Arial" w:hAnsi="Arial" w:cs="Arial"/>
                <w:b/>
                <w:sz w:val="20"/>
                <w:szCs w:val="20"/>
              </w:rPr>
              <w:t>Difference</w:t>
            </w:r>
          </w:p>
        </w:tc>
      </w:tr>
      <w:tr w:rsidR="007B13E9" w:rsidRPr="00DE7F41" w:rsidTr="00DE7F41">
        <w:tc>
          <w:tcPr>
            <w:tcW w:w="2394" w:type="dxa"/>
          </w:tcPr>
          <w:p w:rsidR="007B13E9" w:rsidRDefault="001355F4" w:rsidP="001355F4">
            <w:pPr>
              <w:rPr>
                <w:rFonts w:ascii="Arial" w:hAnsi="Arial" w:cs="Arial"/>
                <w:sz w:val="20"/>
                <w:szCs w:val="20"/>
              </w:rPr>
            </w:pPr>
            <w:r>
              <w:rPr>
                <w:rFonts w:ascii="Arial" w:hAnsi="Arial" w:cs="Arial"/>
                <w:sz w:val="20"/>
                <w:szCs w:val="20"/>
              </w:rPr>
              <w:t>Annual r</w:t>
            </w:r>
            <w:r w:rsidR="007B13E9">
              <w:rPr>
                <w:rFonts w:ascii="Arial" w:hAnsi="Arial" w:cs="Arial"/>
                <w:sz w:val="20"/>
                <w:szCs w:val="20"/>
              </w:rPr>
              <w:t>espon</w:t>
            </w:r>
            <w:r>
              <w:rPr>
                <w:rFonts w:ascii="Arial" w:hAnsi="Arial" w:cs="Arial"/>
                <w:sz w:val="20"/>
                <w:szCs w:val="20"/>
              </w:rPr>
              <w:t>dents</w:t>
            </w:r>
          </w:p>
        </w:tc>
        <w:tc>
          <w:tcPr>
            <w:tcW w:w="2394" w:type="dxa"/>
          </w:tcPr>
          <w:p w:rsidR="007B13E9" w:rsidRPr="00DE7F41" w:rsidRDefault="00A06461" w:rsidP="00364CDC">
            <w:pPr>
              <w:rPr>
                <w:rFonts w:ascii="Arial" w:hAnsi="Arial" w:cs="Arial"/>
                <w:sz w:val="20"/>
                <w:szCs w:val="20"/>
              </w:rPr>
            </w:pPr>
            <w:r>
              <w:rPr>
                <w:rFonts w:ascii="Arial" w:hAnsi="Arial" w:cs="Arial"/>
                <w:sz w:val="20"/>
                <w:szCs w:val="20"/>
              </w:rPr>
              <w:t>458,136</w:t>
            </w:r>
          </w:p>
        </w:tc>
        <w:tc>
          <w:tcPr>
            <w:tcW w:w="2394" w:type="dxa"/>
          </w:tcPr>
          <w:p w:rsidR="007B13E9" w:rsidRDefault="00A06461" w:rsidP="00364CDC">
            <w:pPr>
              <w:rPr>
                <w:rFonts w:ascii="Arial" w:hAnsi="Arial" w:cs="Arial"/>
                <w:sz w:val="20"/>
                <w:szCs w:val="20"/>
              </w:rPr>
            </w:pPr>
            <w:r>
              <w:rPr>
                <w:rFonts w:ascii="Arial" w:hAnsi="Arial" w:cs="Arial"/>
                <w:sz w:val="20"/>
                <w:szCs w:val="20"/>
              </w:rPr>
              <w:t>474,914</w:t>
            </w:r>
          </w:p>
        </w:tc>
        <w:tc>
          <w:tcPr>
            <w:tcW w:w="2394" w:type="dxa"/>
          </w:tcPr>
          <w:p w:rsidR="007B13E9" w:rsidRDefault="00AE33E4" w:rsidP="00125E34">
            <w:pPr>
              <w:rPr>
                <w:rFonts w:ascii="Arial" w:hAnsi="Arial" w:cs="Arial"/>
                <w:sz w:val="20"/>
                <w:szCs w:val="20"/>
              </w:rPr>
            </w:pPr>
            <w:r>
              <w:rPr>
                <w:rFonts w:ascii="Arial" w:hAnsi="Arial" w:cs="Arial"/>
                <w:sz w:val="20"/>
                <w:szCs w:val="20"/>
              </w:rPr>
              <w:t>16,778</w:t>
            </w:r>
          </w:p>
        </w:tc>
      </w:tr>
      <w:tr w:rsidR="007B13E9" w:rsidRPr="00DE7F41" w:rsidTr="00DE7F41">
        <w:tc>
          <w:tcPr>
            <w:tcW w:w="2394" w:type="dxa"/>
          </w:tcPr>
          <w:p w:rsidR="007B13E9" w:rsidRPr="00DE7F41" w:rsidRDefault="001355F4" w:rsidP="001355F4">
            <w:pPr>
              <w:rPr>
                <w:rFonts w:ascii="Arial" w:hAnsi="Arial" w:cs="Arial"/>
                <w:sz w:val="20"/>
                <w:szCs w:val="20"/>
              </w:rPr>
            </w:pPr>
            <w:r>
              <w:rPr>
                <w:rFonts w:ascii="Arial" w:hAnsi="Arial" w:cs="Arial"/>
                <w:sz w:val="20"/>
                <w:szCs w:val="20"/>
              </w:rPr>
              <w:t>A</w:t>
            </w:r>
            <w:r w:rsidR="007B13E9">
              <w:rPr>
                <w:rFonts w:ascii="Arial" w:hAnsi="Arial" w:cs="Arial"/>
                <w:sz w:val="20"/>
                <w:szCs w:val="20"/>
              </w:rPr>
              <w:t>nnual burden hours</w:t>
            </w:r>
          </w:p>
        </w:tc>
        <w:tc>
          <w:tcPr>
            <w:tcW w:w="2394" w:type="dxa"/>
          </w:tcPr>
          <w:p w:rsidR="007B13E9" w:rsidRPr="00DE7F41" w:rsidRDefault="00A06461" w:rsidP="00364CDC">
            <w:pPr>
              <w:rPr>
                <w:rFonts w:ascii="Arial" w:hAnsi="Arial" w:cs="Arial"/>
                <w:sz w:val="20"/>
                <w:szCs w:val="20"/>
              </w:rPr>
            </w:pPr>
            <w:r>
              <w:rPr>
                <w:rFonts w:ascii="Arial" w:hAnsi="Arial" w:cs="Arial"/>
                <w:sz w:val="20"/>
                <w:szCs w:val="20"/>
              </w:rPr>
              <w:t>45,208.13</w:t>
            </w:r>
          </w:p>
        </w:tc>
        <w:tc>
          <w:tcPr>
            <w:tcW w:w="2394" w:type="dxa"/>
          </w:tcPr>
          <w:p w:rsidR="007B13E9" w:rsidRDefault="00AE33E4" w:rsidP="00364CDC">
            <w:pPr>
              <w:rPr>
                <w:rFonts w:ascii="Arial" w:hAnsi="Arial" w:cs="Arial"/>
                <w:sz w:val="20"/>
                <w:szCs w:val="20"/>
              </w:rPr>
            </w:pPr>
            <w:r>
              <w:rPr>
                <w:rFonts w:ascii="Arial" w:hAnsi="Arial" w:cs="Arial"/>
                <w:sz w:val="20"/>
                <w:szCs w:val="20"/>
              </w:rPr>
              <w:t>46,698.1</w:t>
            </w:r>
          </w:p>
        </w:tc>
        <w:tc>
          <w:tcPr>
            <w:tcW w:w="2394" w:type="dxa"/>
          </w:tcPr>
          <w:p w:rsidR="007B13E9" w:rsidRDefault="00AE33E4" w:rsidP="00125E34">
            <w:pPr>
              <w:rPr>
                <w:rFonts w:ascii="Arial" w:hAnsi="Arial" w:cs="Arial"/>
                <w:sz w:val="20"/>
                <w:szCs w:val="20"/>
              </w:rPr>
            </w:pPr>
            <w:r>
              <w:rPr>
                <w:rFonts w:ascii="Arial" w:hAnsi="Arial" w:cs="Arial"/>
                <w:sz w:val="20"/>
                <w:szCs w:val="20"/>
              </w:rPr>
              <w:t>1,489.97</w:t>
            </w:r>
          </w:p>
        </w:tc>
      </w:tr>
      <w:tr w:rsidR="007B13E9" w:rsidRPr="00DE7F41" w:rsidTr="00DE7F41">
        <w:tc>
          <w:tcPr>
            <w:tcW w:w="2394" w:type="dxa"/>
          </w:tcPr>
          <w:p w:rsidR="007B13E9" w:rsidRDefault="001355F4" w:rsidP="001355F4">
            <w:pPr>
              <w:rPr>
                <w:rFonts w:ascii="Arial" w:hAnsi="Arial" w:cs="Arial"/>
                <w:sz w:val="20"/>
                <w:szCs w:val="20"/>
              </w:rPr>
            </w:pPr>
            <w:r>
              <w:rPr>
                <w:rFonts w:ascii="Arial" w:hAnsi="Arial" w:cs="Arial"/>
                <w:sz w:val="20"/>
                <w:szCs w:val="20"/>
              </w:rPr>
              <w:t>A</w:t>
            </w:r>
            <w:r w:rsidR="007B13E9">
              <w:rPr>
                <w:rFonts w:ascii="Arial" w:hAnsi="Arial" w:cs="Arial"/>
                <w:sz w:val="20"/>
                <w:szCs w:val="20"/>
              </w:rPr>
              <w:t xml:space="preserve">nnual </w:t>
            </w:r>
            <w:r>
              <w:rPr>
                <w:rFonts w:ascii="Arial" w:hAnsi="Arial" w:cs="Arial"/>
                <w:sz w:val="20"/>
                <w:szCs w:val="20"/>
              </w:rPr>
              <w:t>c</w:t>
            </w:r>
            <w:r w:rsidR="007B13E9">
              <w:rPr>
                <w:rFonts w:ascii="Arial" w:hAnsi="Arial" w:cs="Arial"/>
                <w:sz w:val="20"/>
                <w:szCs w:val="20"/>
              </w:rPr>
              <w:t>ost</w:t>
            </w:r>
          </w:p>
        </w:tc>
        <w:tc>
          <w:tcPr>
            <w:tcW w:w="2394" w:type="dxa"/>
          </w:tcPr>
          <w:p w:rsidR="007B13E9" w:rsidRDefault="00A06461" w:rsidP="00364CDC">
            <w:pPr>
              <w:rPr>
                <w:rFonts w:ascii="Arial" w:hAnsi="Arial" w:cs="Arial"/>
                <w:sz w:val="20"/>
                <w:szCs w:val="20"/>
              </w:rPr>
            </w:pPr>
            <w:r>
              <w:rPr>
                <w:rFonts w:ascii="Arial" w:hAnsi="Arial" w:cs="Arial"/>
                <w:sz w:val="20"/>
                <w:szCs w:val="20"/>
              </w:rPr>
              <w:t>$110,637,849.95</w:t>
            </w:r>
          </w:p>
        </w:tc>
        <w:tc>
          <w:tcPr>
            <w:tcW w:w="2394" w:type="dxa"/>
          </w:tcPr>
          <w:p w:rsidR="007B13E9" w:rsidRPr="00A06461" w:rsidRDefault="00A06461" w:rsidP="00A06461">
            <w:pPr>
              <w:rPr>
                <w:rFonts w:ascii="Arial" w:hAnsi="Arial" w:cs="Arial"/>
                <w:sz w:val="20"/>
                <w:szCs w:val="20"/>
              </w:rPr>
            </w:pPr>
            <w:r w:rsidRPr="00A06461">
              <w:rPr>
                <w:rFonts w:ascii="Arial" w:hAnsi="Arial" w:cs="Arial"/>
                <w:sz w:val="20"/>
                <w:szCs w:val="20"/>
              </w:rPr>
              <w:t>$109,230,726.15</w:t>
            </w:r>
          </w:p>
        </w:tc>
        <w:tc>
          <w:tcPr>
            <w:tcW w:w="2394" w:type="dxa"/>
          </w:tcPr>
          <w:p w:rsidR="007B13E9" w:rsidRDefault="00A06461" w:rsidP="00A06461">
            <w:pPr>
              <w:rPr>
                <w:rFonts w:ascii="Arial" w:hAnsi="Arial" w:cs="Arial"/>
                <w:sz w:val="20"/>
                <w:szCs w:val="20"/>
              </w:rPr>
            </w:pPr>
            <w:r>
              <w:rPr>
                <w:rFonts w:ascii="Arial" w:hAnsi="Arial" w:cs="Arial"/>
                <w:sz w:val="20"/>
                <w:szCs w:val="20"/>
              </w:rPr>
              <w:t>($1,407,123.8)</w:t>
            </w:r>
          </w:p>
        </w:tc>
      </w:tr>
    </w:tbl>
    <w:p w:rsidR="00DE7F41" w:rsidRPr="00F117FD" w:rsidRDefault="00DE7F41" w:rsidP="00364CDC"/>
    <w:p w:rsidR="00771479" w:rsidRPr="00F117FD" w:rsidRDefault="00771479" w:rsidP="00364CDC"/>
    <w:p w:rsidR="00771479" w:rsidRPr="00F117FD" w:rsidRDefault="00771479" w:rsidP="00364CDC">
      <w:r w:rsidRPr="00F117FD">
        <w:t xml:space="preserve">16. Plans for Publication: </w:t>
      </w:r>
    </w:p>
    <w:p w:rsidR="00771479" w:rsidRPr="00F117FD" w:rsidRDefault="00771479" w:rsidP="00364CDC"/>
    <w:p w:rsidR="00771479" w:rsidRPr="00F117FD" w:rsidRDefault="00771479" w:rsidP="00364CDC">
      <w:r w:rsidRPr="00F117FD">
        <w:t xml:space="preserve">There are no plans to publish this information.  </w:t>
      </w:r>
    </w:p>
    <w:p w:rsidR="00771479" w:rsidRPr="00F117FD" w:rsidRDefault="00771479" w:rsidP="00364CDC"/>
    <w:p w:rsidR="00771479" w:rsidRPr="00F117FD" w:rsidRDefault="00771479" w:rsidP="00364CDC">
      <w:r w:rsidRPr="00F117FD">
        <w:t xml:space="preserve">17. Expiration Date Approval: </w:t>
      </w:r>
    </w:p>
    <w:p w:rsidR="00771479" w:rsidRPr="00F117FD" w:rsidRDefault="00771479" w:rsidP="00364CDC"/>
    <w:p w:rsidR="00771479" w:rsidRPr="00F117FD" w:rsidRDefault="00771479" w:rsidP="00364CDC">
      <w:r w:rsidRPr="00F117FD">
        <w:lastRenderedPageBreak/>
        <w:t>DEA is not requesting approval.</w:t>
      </w:r>
    </w:p>
    <w:p w:rsidR="00771479" w:rsidRPr="00F117FD" w:rsidRDefault="00771479" w:rsidP="00364CDC"/>
    <w:p w:rsidR="00771479" w:rsidRPr="00F117FD" w:rsidRDefault="00771479" w:rsidP="00364CDC">
      <w:r w:rsidRPr="00F117FD">
        <w:t xml:space="preserve">18. Exceptions to the Certification Statement: </w:t>
      </w:r>
    </w:p>
    <w:p w:rsidR="00771479" w:rsidRPr="00F117FD" w:rsidRDefault="00771479" w:rsidP="00364CDC"/>
    <w:p w:rsidR="00771479" w:rsidRPr="00F117FD" w:rsidRDefault="00771479" w:rsidP="00364CDC">
      <w:bookmarkStart w:id="28" w:name="_GoBack"/>
      <w:bookmarkEnd w:id="28"/>
      <w:r w:rsidRPr="00F117FD">
        <w:t>There are no exceptions to the certification requirement.</w:t>
      </w:r>
    </w:p>
    <w:p w:rsidR="00771479" w:rsidRPr="00F117FD" w:rsidRDefault="00771479" w:rsidP="00364CDC"/>
    <w:p w:rsidR="00771479" w:rsidRPr="00F117FD" w:rsidRDefault="00771479" w:rsidP="00364CDC">
      <w:r w:rsidRPr="00F117FD">
        <w:t>Part B.  Statistical Methods</w:t>
      </w:r>
    </w:p>
    <w:p w:rsidR="00771479" w:rsidRPr="00F117FD" w:rsidRDefault="00771479" w:rsidP="00364CDC">
      <w:r w:rsidRPr="00F117FD">
        <w:t>The Drug Enforcement Administration will not be employing statistical methods in this information collection.</w:t>
      </w:r>
    </w:p>
    <w:sectPr w:rsidR="00771479" w:rsidRPr="00F117FD" w:rsidSect="00F554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61" w:rsidRDefault="00A06461">
      <w:r>
        <w:separator/>
      </w:r>
    </w:p>
  </w:endnote>
  <w:endnote w:type="continuationSeparator" w:id="0">
    <w:p w:rsidR="00A06461" w:rsidRDefault="00A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61" w:rsidRDefault="00A06461">
      <w:r>
        <w:separator/>
      </w:r>
    </w:p>
  </w:footnote>
  <w:footnote w:type="continuationSeparator" w:id="0">
    <w:p w:rsidR="00A06461" w:rsidRDefault="00A06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E70549"/>
    <w:multiLevelType w:val="hybridMultilevel"/>
    <w:tmpl w:val="F136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2766EB8"/>
    <w:multiLevelType w:val="hybridMultilevel"/>
    <w:tmpl w:val="C6B25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FD82664"/>
    <w:multiLevelType w:val="hybridMultilevel"/>
    <w:tmpl w:val="05C25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58A4D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B4194"/>
    <w:multiLevelType w:val="hybridMultilevel"/>
    <w:tmpl w:val="0C62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5249A3"/>
    <w:multiLevelType w:val="hybridMultilevel"/>
    <w:tmpl w:val="7292A60C"/>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8"/>
  </w:num>
  <w:num w:numId="2">
    <w:abstractNumId w:val="22"/>
  </w:num>
  <w:num w:numId="3">
    <w:abstractNumId w:val="5"/>
  </w:num>
  <w:num w:numId="4">
    <w:abstractNumId w:val="20"/>
  </w:num>
  <w:num w:numId="5">
    <w:abstractNumId w:val="27"/>
  </w:num>
  <w:num w:numId="6">
    <w:abstractNumId w:val="15"/>
  </w:num>
  <w:num w:numId="7">
    <w:abstractNumId w:val="13"/>
  </w:num>
  <w:num w:numId="8">
    <w:abstractNumId w:val="34"/>
  </w:num>
  <w:num w:numId="9">
    <w:abstractNumId w:val="35"/>
  </w:num>
  <w:num w:numId="10">
    <w:abstractNumId w:val="9"/>
  </w:num>
  <w:num w:numId="11">
    <w:abstractNumId w:val="33"/>
  </w:num>
  <w:num w:numId="12">
    <w:abstractNumId w:val="21"/>
  </w:num>
  <w:num w:numId="13">
    <w:abstractNumId w:val="17"/>
  </w:num>
  <w:num w:numId="14">
    <w:abstractNumId w:val="0"/>
  </w:num>
  <w:num w:numId="15">
    <w:abstractNumId w:val="16"/>
  </w:num>
  <w:num w:numId="16">
    <w:abstractNumId w:val="12"/>
  </w:num>
  <w:num w:numId="17">
    <w:abstractNumId w:val="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26"/>
  </w:num>
  <w:num w:numId="22">
    <w:abstractNumId w:val="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2"/>
  </w:num>
  <w:num w:numId="27">
    <w:abstractNumId w:val="19"/>
  </w:num>
  <w:num w:numId="28">
    <w:abstractNumId w:val="18"/>
  </w:num>
  <w:num w:numId="29">
    <w:abstractNumId w:val="8"/>
  </w:num>
  <w:num w:numId="30">
    <w:abstractNumId w:val="32"/>
  </w:num>
  <w:num w:numId="31">
    <w:abstractNumId w:val="14"/>
  </w:num>
  <w:num w:numId="32">
    <w:abstractNumId w:val="10"/>
  </w:num>
  <w:num w:numId="33">
    <w:abstractNumId w:val="3"/>
  </w:num>
  <w:num w:numId="34">
    <w:abstractNumId w:val="29"/>
  </w:num>
  <w:num w:numId="35">
    <w:abstractNumId w:val="30"/>
  </w:num>
  <w:num w:numId="36">
    <w:abstractNumId w:val="6"/>
  </w:num>
  <w:num w:numId="37">
    <w:abstractNumId w:val="1"/>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3BFE"/>
    <w:rsid w:val="0001368B"/>
    <w:rsid w:val="00015C6C"/>
    <w:rsid w:val="000172EC"/>
    <w:rsid w:val="00022843"/>
    <w:rsid w:val="00023475"/>
    <w:rsid w:val="00027249"/>
    <w:rsid w:val="00050BEC"/>
    <w:rsid w:val="000511DD"/>
    <w:rsid w:val="0005740E"/>
    <w:rsid w:val="00065A6B"/>
    <w:rsid w:val="00065AA1"/>
    <w:rsid w:val="00070801"/>
    <w:rsid w:val="00075D28"/>
    <w:rsid w:val="00087171"/>
    <w:rsid w:val="00095B45"/>
    <w:rsid w:val="000A0554"/>
    <w:rsid w:val="000B10DF"/>
    <w:rsid w:val="000B1722"/>
    <w:rsid w:val="000C5C28"/>
    <w:rsid w:val="000D52A7"/>
    <w:rsid w:val="000E2E5C"/>
    <w:rsid w:val="000F7899"/>
    <w:rsid w:val="000F7DC7"/>
    <w:rsid w:val="00106D17"/>
    <w:rsid w:val="00107E08"/>
    <w:rsid w:val="001148CD"/>
    <w:rsid w:val="00121133"/>
    <w:rsid w:val="00125E34"/>
    <w:rsid w:val="0013097C"/>
    <w:rsid w:val="00132A5B"/>
    <w:rsid w:val="001355F4"/>
    <w:rsid w:val="001358D7"/>
    <w:rsid w:val="00145E1B"/>
    <w:rsid w:val="00151EBF"/>
    <w:rsid w:val="00153D60"/>
    <w:rsid w:val="00156A7C"/>
    <w:rsid w:val="00157AF9"/>
    <w:rsid w:val="001739E6"/>
    <w:rsid w:val="00182754"/>
    <w:rsid w:val="00183FE3"/>
    <w:rsid w:val="00185B82"/>
    <w:rsid w:val="0018614C"/>
    <w:rsid w:val="001871B7"/>
    <w:rsid w:val="00187B40"/>
    <w:rsid w:val="00193A2A"/>
    <w:rsid w:val="00196E8A"/>
    <w:rsid w:val="001C0719"/>
    <w:rsid w:val="001C08B0"/>
    <w:rsid w:val="001C4DDD"/>
    <w:rsid w:val="001C7FCC"/>
    <w:rsid w:val="001D57E4"/>
    <w:rsid w:val="001E24EB"/>
    <w:rsid w:val="001F103C"/>
    <w:rsid w:val="001F5F1F"/>
    <w:rsid w:val="00206FBD"/>
    <w:rsid w:val="00212C00"/>
    <w:rsid w:val="00214CE9"/>
    <w:rsid w:val="00216D97"/>
    <w:rsid w:val="00220B67"/>
    <w:rsid w:val="00220E7E"/>
    <w:rsid w:val="00221FD6"/>
    <w:rsid w:val="002254A7"/>
    <w:rsid w:val="0022604D"/>
    <w:rsid w:val="00231A4D"/>
    <w:rsid w:val="00233D45"/>
    <w:rsid w:val="00245D20"/>
    <w:rsid w:val="00255A01"/>
    <w:rsid w:val="00256C47"/>
    <w:rsid w:val="00260948"/>
    <w:rsid w:val="00273C96"/>
    <w:rsid w:val="00275719"/>
    <w:rsid w:val="00287A11"/>
    <w:rsid w:val="002917DF"/>
    <w:rsid w:val="00292A5D"/>
    <w:rsid w:val="002B77FD"/>
    <w:rsid w:val="002C76E0"/>
    <w:rsid w:val="002E516C"/>
    <w:rsid w:val="002F1156"/>
    <w:rsid w:val="002F272E"/>
    <w:rsid w:val="003062B2"/>
    <w:rsid w:val="00306D51"/>
    <w:rsid w:val="00310B09"/>
    <w:rsid w:val="0031260E"/>
    <w:rsid w:val="003270F2"/>
    <w:rsid w:val="00335B4A"/>
    <w:rsid w:val="00357FBB"/>
    <w:rsid w:val="00364CDC"/>
    <w:rsid w:val="003654FF"/>
    <w:rsid w:val="003745B3"/>
    <w:rsid w:val="00380EA5"/>
    <w:rsid w:val="003824C9"/>
    <w:rsid w:val="00382BB6"/>
    <w:rsid w:val="003851E0"/>
    <w:rsid w:val="0039157D"/>
    <w:rsid w:val="00392012"/>
    <w:rsid w:val="00395A9A"/>
    <w:rsid w:val="003A00B1"/>
    <w:rsid w:val="003A1779"/>
    <w:rsid w:val="003A27B7"/>
    <w:rsid w:val="003B0507"/>
    <w:rsid w:val="003B4B35"/>
    <w:rsid w:val="003B5EAC"/>
    <w:rsid w:val="003C3696"/>
    <w:rsid w:val="003D0831"/>
    <w:rsid w:val="003D11B4"/>
    <w:rsid w:val="003D515F"/>
    <w:rsid w:val="003F279B"/>
    <w:rsid w:val="003F7AE2"/>
    <w:rsid w:val="00403F2C"/>
    <w:rsid w:val="00406453"/>
    <w:rsid w:val="004107D0"/>
    <w:rsid w:val="00410863"/>
    <w:rsid w:val="004150F8"/>
    <w:rsid w:val="00435AEA"/>
    <w:rsid w:val="004422C2"/>
    <w:rsid w:val="00455755"/>
    <w:rsid w:val="004656F3"/>
    <w:rsid w:val="004732F5"/>
    <w:rsid w:val="00493CC5"/>
    <w:rsid w:val="004A1568"/>
    <w:rsid w:val="004A4023"/>
    <w:rsid w:val="004B7693"/>
    <w:rsid w:val="004C4B12"/>
    <w:rsid w:val="004F0B59"/>
    <w:rsid w:val="004F11DD"/>
    <w:rsid w:val="004F1E67"/>
    <w:rsid w:val="004F6DB3"/>
    <w:rsid w:val="00502931"/>
    <w:rsid w:val="005038D3"/>
    <w:rsid w:val="0052614C"/>
    <w:rsid w:val="00533C25"/>
    <w:rsid w:val="005621A8"/>
    <w:rsid w:val="005708BB"/>
    <w:rsid w:val="00577372"/>
    <w:rsid w:val="00590904"/>
    <w:rsid w:val="005A13A6"/>
    <w:rsid w:val="005A17C8"/>
    <w:rsid w:val="005B4911"/>
    <w:rsid w:val="005B67EB"/>
    <w:rsid w:val="005B7758"/>
    <w:rsid w:val="005C094A"/>
    <w:rsid w:val="005C4B64"/>
    <w:rsid w:val="005C4EA9"/>
    <w:rsid w:val="005D3F3C"/>
    <w:rsid w:val="005D5D9D"/>
    <w:rsid w:val="005D6B8B"/>
    <w:rsid w:val="005E2FFA"/>
    <w:rsid w:val="00610398"/>
    <w:rsid w:val="006224A6"/>
    <w:rsid w:val="0062322F"/>
    <w:rsid w:val="00626294"/>
    <w:rsid w:val="0063143C"/>
    <w:rsid w:val="0063449E"/>
    <w:rsid w:val="00640A36"/>
    <w:rsid w:val="00650F79"/>
    <w:rsid w:val="0065410D"/>
    <w:rsid w:val="00662CDA"/>
    <w:rsid w:val="00665CDF"/>
    <w:rsid w:val="00666907"/>
    <w:rsid w:val="00670012"/>
    <w:rsid w:val="0067399E"/>
    <w:rsid w:val="00680AF3"/>
    <w:rsid w:val="006812F2"/>
    <w:rsid w:val="00693589"/>
    <w:rsid w:val="006B2A40"/>
    <w:rsid w:val="006D55C0"/>
    <w:rsid w:val="006E2685"/>
    <w:rsid w:val="006E5072"/>
    <w:rsid w:val="006F0243"/>
    <w:rsid w:val="006F5A34"/>
    <w:rsid w:val="00700DA6"/>
    <w:rsid w:val="0071607D"/>
    <w:rsid w:val="00716D63"/>
    <w:rsid w:val="00721BDA"/>
    <w:rsid w:val="0072345B"/>
    <w:rsid w:val="007366D5"/>
    <w:rsid w:val="00741ABD"/>
    <w:rsid w:val="00745E28"/>
    <w:rsid w:val="00750FF3"/>
    <w:rsid w:val="00771479"/>
    <w:rsid w:val="00787598"/>
    <w:rsid w:val="00793FE8"/>
    <w:rsid w:val="007B13E9"/>
    <w:rsid w:val="007B20B9"/>
    <w:rsid w:val="007B598A"/>
    <w:rsid w:val="007B6879"/>
    <w:rsid w:val="007C695C"/>
    <w:rsid w:val="007D26A4"/>
    <w:rsid w:val="007E3B05"/>
    <w:rsid w:val="007F0550"/>
    <w:rsid w:val="007F5345"/>
    <w:rsid w:val="00801C74"/>
    <w:rsid w:val="00814CF0"/>
    <w:rsid w:val="00816FBA"/>
    <w:rsid w:val="0084225C"/>
    <w:rsid w:val="00842CCA"/>
    <w:rsid w:val="0084346A"/>
    <w:rsid w:val="00844858"/>
    <w:rsid w:val="00846141"/>
    <w:rsid w:val="00846306"/>
    <w:rsid w:val="00851120"/>
    <w:rsid w:val="00853E47"/>
    <w:rsid w:val="00857B26"/>
    <w:rsid w:val="00862E93"/>
    <w:rsid w:val="00867042"/>
    <w:rsid w:val="00874B3F"/>
    <w:rsid w:val="00881086"/>
    <w:rsid w:val="00885142"/>
    <w:rsid w:val="00886498"/>
    <w:rsid w:val="008929A7"/>
    <w:rsid w:val="008A3A83"/>
    <w:rsid w:val="008B5531"/>
    <w:rsid w:val="008B6917"/>
    <w:rsid w:val="008C5E33"/>
    <w:rsid w:val="008D242E"/>
    <w:rsid w:val="008D29FC"/>
    <w:rsid w:val="008F099D"/>
    <w:rsid w:val="00900173"/>
    <w:rsid w:val="00921409"/>
    <w:rsid w:val="00923609"/>
    <w:rsid w:val="009304DC"/>
    <w:rsid w:val="0093119D"/>
    <w:rsid w:val="00933B3B"/>
    <w:rsid w:val="00934ADD"/>
    <w:rsid w:val="00936101"/>
    <w:rsid w:val="00944FF9"/>
    <w:rsid w:val="00947EC2"/>
    <w:rsid w:val="00947EC5"/>
    <w:rsid w:val="009550F2"/>
    <w:rsid w:val="00961404"/>
    <w:rsid w:val="0096453B"/>
    <w:rsid w:val="0096754C"/>
    <w:rsid w:val="009720C2"/>
    <w:rsid w:val="00976613"/>
    <w:rsid w:val="00977C25"/>
    <w:rsid w:val="00981F6C"/>
    <w:rsid w:val="009946BA"/>
    <w:rsid w:val="009A32A9"/>
    <w:rsid w:val="009A75F8"/>
    <w:rsid w:val="009B5592"/>
    <w:rsid w:val="009B6492"/>
    <w:rsid w:val="009B6B11"/>
    <w:rsid w:val="009B7731"/>
    <w:rsid w:val="009D2DAC"/>
    <w:rsid w:val="009D3B7C"/>
    <w:rsid w:val="009E3063"/>
    <w:rsid w:val="009E7E3D"/>
    <w:rsid w:val="009F14CA"/>
    <w:rsid w:val="009F438F"/>
    <w:rsid w:val="009F4DC7"/>
    <w:rsid w:val="009F5D62"/>
    <w:rsid w:val="00A06461"/>
    <w:rsid w:val="00A1653D"/>
    <w:rsid w:val="00A34480"/>
    <w:rsid w:val="00A4125E"/>
    <w:rsid w:val="00A60203"/>
    <w:rsid w:val="00A61688"/>
    <w:rsid w:val="00A72B23"/>
    <w:rsid w:val="00A74C21"/>
    <w:rsid w:val="00A7508F"/>
    <w:rsid w:val="00A76E51"/>
    <w:rsid w:val="00A915C5"/>
    <w:rsid w:val="00AA174E"/>
    <w:rsid w:val="00AA21D0"/>
    <w:rsid w:val="00AB2C6B"/>
    <w:rsid w:val="00AB2F43"/>
    <w:rsid w:val="00AC12E3"/>
    <w:rsid w:val="00AC4BC1"/>
    <w:rsid w:val="00AC4C1F"/>
    <w:rsid w:val="00AE33E4"/>
    <w:rsid w:val="00AF0587"/>
    <w:rsid w:val="00AF19D8"/>
    <w:rsid w:val="00AF5E2A"/>
    <w:rsid w:val="00B0112E"/>
    <w:rsid w:val="00B13D40"/>
    <w:rsid w:val="00B145B5"/>
    <w:rsid w:val="00B15827"/>
    <w:rsid w:val="00B17D3E"/>
    <w:rsid w:val="00B20F91"/>
    <w:rsid w:val="00B21B57"/>
    <w:rsid w:val="00B223E9"/>
    <w:rsid w:val="00B34240"/>
    <w:rsid w:val="00B36E15"/>
    <w:rsid w:val="00B50895"/>
    <w:rsid w:val="00B5274C"/>
    <w:rsid w:val="00B60D92"/>
    <w:rsid w:val="00B674DF"/>
    <w:rsid w:val="00B73A0E"/>
    <w:rsid w:val="00B75398"/>
    <w:rsid w:val="00B815E9"/>
    <w:rsid w:val="00B81643"/>
    <w:rsid w:val="00B9487C"/>
    <w:rsid w:val="00B96BC9"/>
    <w:rsid w:val="00BA6E87"/>
    <w:rsid w:val="00BB53B0"/>
    <w:rsid w:val="00BB6967"/>
    <w:rsid w:val="00BC11FB"/>
    <w:rsid w:val="00BC5C86"/>
    <w:rsid w:val="00BD77C1"/>
    <w:rsid w:val="00BE2E7D"/>
    <w:rsid w:val="00BE5544"/>
    <w:rsid w:val="00BE761A"/>
    <w:rsid w:val="00BF21C2"/>
    <w:rsid w:val="00BF773A"/>
    <w:rsid w:val="00C16C34"/>
    <w:rsid w:val="00C238E5"/>
    <w:rsid w:val="00C42A4D"/>
    <w:rsid w:val="00C436A0"/>
    <w:rsid w:val="00C459C6"/>
    <w:rsid w:val="00C606FA"/>
    <w:rsid w:val="00C64176"/>
    <w:rsid w:val="00C65ABA"/>
    <w:rsid w:val="00C7070D"/>
    <w:rsid w:val="00C70976"/>
    <w:rsid w:val="00C72524"/>
    <w:rsid w:val="00C72F57"/>
    <w:rsid w:val="00C9547F"/>
    <w:rsid w:val="00CA34EF"/>
    <w:rsid w:val="00CA466C"/>
    <w:rsid w:val="00CB0099"/>
    <w:rsid w:val="00CC071D"/>
    <w:rsid w:val="00CC4576"/>
    <w:rsid w:val="00CC5ABA"/>
    <w:rsid w:val="00CC6474"/>
    <w:rsid w:val="00CD3484"/>
    <w:rsid w:val="00CD462E"/>
    <w:rsid w:val="00CD53DB"/>
    <w:rsid w:val="00CD56D3"/>
    <w:rsid w:val="00CD6ED6"/>
    <w:rsid w:val="00CE32CD"/>
    <w:rsid w:val="00CF0E2B"/>
    <w:rsid w:val="00CF4354"/>
    <w:rsid w:val="00D10C5C"/>
    <w:rsid w:val="00D306CD"/>
    <w:rsid w:val="00D46030"/>
    <w:rsid w:val="00D53744"/>
    <w:rsid w:val="00D658ED"/>
    <w:rsid w:val="00D77F8D"/>
    <w:rsid w:val="00D86746"/>
    <w:rsid w:val="00D86927"/>
    <w:rsid w:val="00D86E87"/>
    <w:rsid w:val="00D91F55"/>
    <w:rsid w:val="00D947E9"/>
    <w:rsid w:val="00D95FD8"/>
    <w:rsid w:val="00D96366"/>
    <w:rsid w:val="00DA3A4E"/>
    <w:rsid w:val="00DA66EF"/>
    <w:rsid w:val="00DD01AC"/>
    <w:rsid w:val="00DD27A7"/>
    <w:rsid w:val="00DE4EEB"/>
    <w:rsid w:val="00DE6907"/>
    <w:rsid w:val="00DE7F41"/>
    <w:rsid w:val="00DF3595"/>
    <w:rsid w:val="00DF4427"/>
    <w:rsid w:val="00DF5D0D"/>
    <w:rsid w:val="00DF70A4"/>
    <w:rsid w:val="00E1121B"/>
    <w:rsid w:val="00E15FDA"/>
    <w:rsid w:val="00E2099F"/>
    <w:rsid w:val="00E35817"/>
    <w:rsid w:val="00E40D13"/>
    <w:rsid w:val="00E6680E"/>
    <w:rsid w:val="00E6775D"/>
    <w:rsid w:val="00E67DF1"/>
    <w:rsid w:val="00E74546"/>
    <w:rsid w:val="00E764D0"/>
    <w:rsid w:val="00E76F31"/>
    <w:rsid w:val="00E858C4"/>
    <w:rsid w:val="00E91224"/>
    <w:rsid w:val="00E9682C"/>
    <w:rsid w:val="00E96C3A"/>
    <w:rsid w:val="00E97AF0"/>
    <w:rsid w:val="00EA0412"/>
    <w:rsid w:val="00EA1D94"/>
    <w:rsid w:val="00EA2DC4"/>
    <w:rsid w:val="00EA5179"/>
    <w:rsid w:val="00EB629D"/>
    <w:rsid w:val="00EB67FD"/>
    <w:rsid w:val="00EC01DA"/>
    <w:rsid w:val="00EC28C6"/>
    <w:rsid w:val="00EE1558"/>
    <w:rsid w:val="00EE223E"/>
    <w:rsid w:val="00EE79B0"/>
    <w:rsid w:val="00EF09C0"/>
    <w:rsid w:val="00EF128B"/>
    <w:rsid w:val="00F0238C"/>
    <w:rsid w:val="00F06352"/>
    <w:rsid w:val="00F1145F"/>
    <w:rsid w:val="00F117FD"/>
    <w:rsid w:val="00F13E79"/>
    <w:rsid w:val="00F210AA"/>
    <w:rsid w:val="00F554AF"/>
    <w:rsid w:val="00F56586"/>
    <w:rsid w:val="00F63376"/>
    <w:rsid w:val="00F641B8"/>
    <w:rsid w:val="00F71B4B"/>
    <w:rsid w:val="00F72397"/>
    <w:rsid w:val="00F73DE8"/>
    <w:rsid w:val="00F762D3"/>
    <w:rsid w:val="00F8461A"/>
    <w:rsid w:val="00F847E5"/>
    <w:rsid w:val="00F90349"/>
    <w:rsid w:val="00F95190"/>
    <w:rsid w:val="00FA2F3F"/>
    <w:rsid w:val="00FB3310"/>
    <w:rsid w:val="00FD29EA"/>
    <w:rsid w:val="00FD3D4C"/>
    <w:rsid w:val="00FF0891"/>
    <w:rsid w:val="00FF1A36"/>
    <w:rsid w:val="00FF5339"/>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98"/>
    <w:rPr>
      <w:sz w:val="24"/>
      <w:szCs w:val="24"/>
    </w:rPr>
  </w:style>
  <w:style w:type="paragraph" w:styleId="Heading6">
    <w:name w:val="heading 6"/>
    <w:basedOn w:val="Normal"/>
    <w:next w:val="Normal"/>
    <w:link w:val="Heading6Char"/>
    <w:uiPriority w:val="99"/>
    <w:qFormat/>
    <w:rsid w:val="00A74C21"/>
    <w:pPr>
      <w:spacing w:before="240" w:after="60" w:line="480" w:lineRule="auto"/>
      <w:outlineLvl w:val="5"/>
    </w:pPr>
    <w:rPr>
      <w:i/>
      <w:i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Pr>
      <w:rFonts w:ascii="Calibri" w:hAnsi="Calibri" w:cs="Calibri"/>
      <w:b/>
      <w:bCs/>
    </w:rPr>
  </w:style>
  <w:style w:type="paragraph" w:styleId="BalloonText">
    <w:name w:val="Balloon Text"/>
    <w:basedOn w:val="Normal"/>
    <w:link w:val="BalloonTextChar"/>
    <w:uiPriority w:val="99"/>
    <w:semiHidden/>
    <w:rsid w:val="001D57E4"/>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NormalWeb">
    <w:name w:val="Normal (Web)"/>
    <w:basedOn w:val="Normal"/>
    <w:uiPriority w:val="99"/>
    <w:rsid w:val="00193A2A"/>
    <w:pPr>
      <w:spacing w:before="100" w:beforeAutospacing="1" w:after="100" w:afterAutospacing="1"/>
    </w:pPr>
    <w:rPr>
      <w:rFonts w:eastAsia="SimSun"/>
      <w:color w:val="000000"/>
      <w:lang w:eastAsia="zh-CN"/>
    </w:rPr>
  </w:style>
  <w:style w:type="table" w:styleId="TableGrid">
    <w:name w:val="Table Grid"/>
    <w:basedOn w:val="TableNormal"/>
    <w:uiPriority w:val="99"/>
    <w:rsid w:val="00666907"/>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_"/>
    <w:basedOn w:val="Normal"/>
    <w:uiPriority w:val="99"/>
    <w:rsid w:val="00B5274C"/>
    <w:pPr>
      <w:widowControl w:val="0"/>
      <w:ind w:left="720" w:hanging="720"/>
    </w:pPr>
  </w:style>
  <w:style w:type="paragraph" w:styleId="Header">
    <w:name w:val="header"/>
    <w:basedOn w:val="Normal"/>
    <w:link w:val="HeaderChar"/>
    <w:uiPriority w:val="99"/>
    <w:rsid w:val="00F117FD"/>
    <w:pPr>
      <w:tabs>
        <w:tab w:val="center" w:pos="4320"/>
        <w:tab w:val="right" w:pos="8640"/>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F117FD"/>
    <w:pPr>
      <w:tabs>
        <w:tab w:val="center" w:pos="4320"/>
        <w:tab w:val="right" w:pos="8640"/>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F117FD"/>
  </w:style>
  <w:style w:type="paragraph" w:styleId="ListParagraph">
    <w:name w:val="List Paragraph"/>
    <w:basedOn w:val="Normal"/>
    <w:uiPriority w:val="99"/>
    <w:qFormat/>
    <w:rsid w:val="00183FE3"/>
    <w:pPr>
      <w:ind w:left="720"/>
    </w:pPr>
  </w:style>
  <w:style w:type="character" w:styleId="Hyperlink">
    <w:name w:val="Hyperlink"/>
    <w:basedOn w:val="DefaultParagraphFont"/>
    <w:uiPriority w:val="99"/>
    <w:rsid w:val="00640A36"/>
    <w:rPr>
      <w:color w:val="0000FF"/>
      <w:u w:val="single"/>
    </w:rPr>
  </w:style>
  <w:style w:type="paragraph" w:styleId="FootnoteText">
    <w:name w:val="footnote text"/>
    <w:basedOn w:val="Normal"/>
    <w:link w:val="FootnoteTextChar"/>
    <w:uiPriority w:val="99"/>
    <w:semiHidden/>
    <w:unhideWhenUsed/>
    <w:rsid w:val="00F762D3"/>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F762D3"/>
    <w:rPr>
      <w:rFonts w:ascii="Cambria" w:eastAsiaTheme="minorHAnsi" w:hAnsi="Cambria"/>
      <w:sz w:val="20"/>
      <w:szCs w:val="20"/>
    </w:rPr>
  </w:style>
  <w:style w:type="table" w:customStyle="1" w:styleId="Table">
    <w:name w:val="Table"/>
    <w:basedOn w:val="TableNormal"/>
    <w:uiPriority w:val="99"/>
    <w:rsid w:val="00F762D3"/>
    <w:pPr>
      <w:spacing w:before="80" w:after="80"/>
      <w:jc w:val="center"/>
    </w:pPr>
    <w:rPr>
      <w:rFonts w:ascii="Cambria" w:eastAsiaTheme="minorHAnsi" w:hAnsi="Cambria"/>
      <w:color w:val="000000" w:themeColor="text1"/>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character" w:styleId="FootnoteReference">
    <w:name w:val="footnote reference"/>
    <w:basedOn w:val="DefaultParagraphFont"/>
    <w:semiHidden/>
    <w:unhideWhenUsed/>
    <w:rsid w:val="00F762D3"/>
  </w:style>
  <w:style w:type="character" w:styleId="CommentReference">
    <w:name w:val="annotation reference"/>
    <w:basedOn w:val="DefaultParagraphFont"/>
    <w:uiPriority w:val="99"/>
    <w:semiHidden/>
    <w:unhideWhenUsed/>
    <w:rsid w:val="00BE5544"/>
    <w:rPr>
      <w:sz w:val="16"/>
      <w:szCs w:val="16"/>
    </w:rPr>
  </w:style>
  <w:style w:type="paragraph" w:styleId="CommentText">
    <w:name w:val="annotation text"/>
    <w:basedOn w:val="Normal"/>
    <w:link w:val="CommentTextChar"/>
    <w:uiPriority w:val="99"/>
    <w:semiHidden/>
    <w:unhideWhenUsed/>
    <w:rsid w:val="00BE5544"/>
    <w:rPr>
      <w:sz w:val="20"/>
      <w:szCs w:val="20"/>
    </w:rPr>
  </w:style>
  <w:style w:type="character" w:customStyle="1" w:styleId="CommentTextChar">
    <w:name w:val="Comment Text Char"/>
    <w:basedOn w:val="DefaultParagraphFont"/>
    <w:link w:val="CommentText"/>
    <w:uiPriority w:val="99"/>
    <w:semiHidden/>
    <w:rsid w:val="00BE5544"/>
    <w:rPr>
      <w:sz w:val="20"/>
      <w:szCs w:val="20"/>
    </w:rPr>
  </w:style>
  <w:style w:type="paragraph" w:styleId="CommentSubject">
    <w:name w:val="annotation subject"/>
    <w:basedOn w:val="CommentText"/>
    <w:next w:val="CommentText"/>
    <w:link w:val="CommentSubjectChar"/>
    <w:uiPriority w:val="99"/>
    <w:semiHidden/>
    <w:unhideWhenUsed/>
    <w:rsid w:val="00BE5544"/>
    <w:rPr>
      <w:b/>
      <w:bCs/>
    </w:rPr>
  </w:style>
  <w:style w:type="character" w:customStyle="1" w:styleId="CommentSubjectChar">
    <w:name w:val="Comment Subject Char"/>
    <w:basedOn w:val="CommentTextChar"/>
    <w:link w:val="CommentSubject"/>
    <w:uiPriority w:val="99"/>
    <w:semiHidden/>
    <w:rsid w:val="00BE5544"/>
    <w:rPr>
      <w:b/>
      <w:bCs/>
      <w:sz w:val="20"/>
      <w:szCs w:val="20"/>
    </w:rPr>
  </w:style>
  <w:style w:type="paragraph" w:customStyle="1" w:styleId="regulartext">
    <w:name w:val="regulartext"/>
    <w:basedOn w:val="Normal"/>
    <w:rsid w:val="00382BB6"/>
    <w:pPr>
      <w:spacing w:before="100" w:beforeAutospacing="1" w:after="100" w:afterAutospacing="1"/>
    </w:pPr>
    <w:rPr>
      <w:rFonts w:ascii="Arial" w:hAnsi="Arial" w:cs="Arial"/>
      <w:sz w:val="18"/>
      <w:szCs w:val="18"/>
    </w:rPr>
  </w:style>
  <w:style w:type="paragraph" w:customStyle="1" w:styleId="regulartextbold">
    <w:name w:val="regulartextbold"/>
    <w:basedOn w:val="Normal"/>
    <w:rsid w:val="00382BB6"/>
    <w:pPr>
      <w:spacing w:before="100" w:beforeAutospacing="1" w:after="100" w:afterAutospacing="1"/>
    </w:pPr>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98"/>
    <w:rPr>
      <w:sz w:val="24"/>
      <w:szCs w:val="24"/>
    </w:rPr>
  </w:style>
  <w:style w:type="paragraph" w:styleId="Heading6">
    <w:name w:val="heading 6"/>
    <w:basedOn w:val="Normal"/>
    <w:next w:val="Normal"/>
    <w:link w:val="Heading6Char"/>
    <w:uiPriority w:val="99"/>
    <w:qFormat/>
    <w:rsid w:val="00A74C21"/>
    <w:pPr>
      <w:spacing w:before="240" w:after="60" w:line="480" w:lineRule="auto"/>
      <w:outlineLvl w:val="5"/>
    </w:pPr>
    <w:rPr>
      <w:i/>
      <w:i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Pr>
      <w:rFonts w:ascii="Calibri" w:hAnsi="Calibri" w:cs="Calibri"/>
      <w:b/>
      <w:bCs/>
    </w:rPr>
  </w:style>
  <w:style w:type="paragraph" w:styleId="BalloonText">
    <w:name w:val="Balloon Text"/>
    <w:basedOn w:val="Normal"/>
    <w:link w:val="BalloonTextChar"/>
    <w:uiPriority w:val="99"/>
    <w:semiHidden/>
    <w:rsid w:val="001D57E4"/>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NormalWeb">
    <w:name w:val="Normal (Web)"/>
    <w:basedOn w:val="Normal"/>
    <w:uiPriority w:val="99"/>
    <w:rsid w:val="00193A2A"/>
    <w:pPr>
      <w:spacing w:before="100" w:beforeAutospacing="1" w:after="100" w:afterAutospacing="1"/>
    </w:pPr>
    <w:rPr>
      <w:rFonts w:eastAsia="SimSun"/>
      <w:color w:val="000000"/>
      <w:lang w:eastAsia="zh-CN"/>
    </w:rPr>
  </w:style>
  <w:style w:type="table" w:styleId="TableGrid">
    <w:name w:val="Table Grid"/>
    <w:basedOn w:val="TableNormal"/>
    <w:uiPriority w:val="99"/>
    <w:rsid w:val="00666907"/>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_"/>
    <w:basedOn w:val="Normal"/>
    <w:uiPriority w:val="99"/>
    <w:rsid w:val="00B5274C"/>
    <w:pPr>
      <w:widowControl w:val="0"/>
      <w:ind w:left="720" w:hanging="720"/>
    </w:pPr>
  </w:style>
  <w:style w:type="paragraph" w:styleId="Header">
    <w:name w:val="header"/>
    <w:basedOn w:val="Normal"/>
    <w:link w:val="HeaderChar"/>
    <w:uiPriority w:val="99"/>
    <w:rsid w:val="00F117FD"/>
    <w:pPr>
      <w:tabs>
        <w:tab w:val="center" w:pos="4320"/>
        <w:tab w:val="right" w:pos="8640"/>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F117FD"/>
    <w:pPr>
      <w:tabs>
        <w:tab w:val="center" w:pos="4320"/>
        <w:tab w:val="right" w:pos="8640"/>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F117FD"/>
  </w:style>
  <w:style w:type="paragraph" w:styleId="ListParagraph">
    <w:name w:val="List Paragraph"/>
    <w:basedOn w:val="Normal"/>
    <w:uiPriority w:val="99"/>
    <w:qFormat/>
    <w:rsid w:val="00183FE3"/>
    <w:pPr>
      <w:ind w:left="720"/>
    </w:pPr>
  </w:style>
  <w:style w:type="character" w:styleId="Hyperlink">
    <w:name w:val="Hyperlink"/>
    <w:basedOn w:val="DefaultParagraphFont"/>
    <w:uiPriority w:val="99"/>
    <w:rsid w:val="00640A36"/>
    <w:rPr>
      <w:color w:val="0000FF"/>
      <w:u w:val="single"/>
    </w:rPr>
  </w:style>
  <w:style w:type="paragraph" w:styleId="FootnoteText">
    <w:name w:val="footnote text"/>
    <w:basedOn w:val="Normal"/>
    <w:link w:val="FootnoteTextChar"/>
    <w:uiPriority w:val="99"/>
    <w:semiHidden/>
    <w:unhideWhenUsed/>
    <w:rsid w:val="00F762D3"/>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F762D3"/>
    <w:rPr>
      <w:rFonts w:ascii="Cambria" w:eastAsiaTheme="minorHAnsi" w:hAnsi="Cambria"/>
      <w:sz w:val="20"/>
      <w:szCs w:val="20"/>
    </w:rPr>
  </w:style>
  <w:style w:type="table" w:customStyle="1" w:styleId="Table">
    <w:name w:val="Table"/>
    <w:basedOn w:val="TableNormal"/>
    <w:uiPriority w:val="99"/>
    <w:rsid w:val="00F762D3"/>
    <w:pPr>
      <w:spacing w:before="80" w:after="80"/>
      <w:jc w:val="center"/>
    </w:pPr>
    <w:rPr>
      <w:rFonts w:ascii="Cambria" w:eastAsiaTheme="minorHAnsi" w:hAnsi="Cambria"/>
      <w:color w:val="000000" w:themeColor="text1"/>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character" w:styleId="FootnoteReference">
    <w:name w:val="footnote reference"/>
    <w:basedOn w:val="DefaultParagraphFont"/>
    <w:semiHidden/>
    <w:unhideWhenUsed/>
    <w:rsid w:val="00F762D3"/>
  </w:style>
  <w:style w:type="character" w:styleId="CommentReference">
    <w:name w:val="annotation reference"/>
    <w:basedOn w:val="DefaultParagraphFont"/>
    <w:uiPriority w:val="99"/>
    <w:semiHidden/>
    <w:unhideWhenUsed/>
    <w:rsid w:val="00BE5544"/>
    <w:rPr>
      <w:sz w:val="16"/>
      <w:szCs w:val="16"/>
    </w:rPr>
  </w:style>
  <w:style w:type="paragraph" w:styleId="CommentText">
    <w:name w:val="annotation text"/>
    <w:basedOn w:val="Normal"/>
    <w:link w:val="CommentTextChar"/>
    <w:uiPriority w:val="99"/>
    <w:semiHidden/>
    <w:unhideWhenUsed/>
    <w:rsid w:val="00BE5544"/>
    <w:rPr>
      <w:sz w:val="20"/>
      <w:szCs w:val="20"/>
    </w:rPr>
  </w:style>
  <w:style w:type="character" w:customStyle="1" w:styleId="CommentTextChar">
    <w:name w:val="Comment Text Char"/>
    <w:basedOn w:val="DefaultParagraphFont"/>
    <w:link w:val="CommentText"/>
    <w:uiPriority w:val="99"/>
    <w:semiHidden/>
    <w:rsid w:val="00BE5544"/>
    <w:rPr>
      <w:sz w:val="20"/>
      <w:szCs w:val="20"/>
    </w:rPr>
  </w:style>
  <w:style w:type="paragraph" w:styleId="CommentSubject">
    <w:name w:val="annotation subject"/>
    <w:basedOn w:val="CommentText"/>
    <w:next w:val="CommentText"/>
    <w:link w:val="CommentSubjectChar"/>
    <w:uiPriority w:val="99"/>
    <w:semiHidden/>
    <w:unhideWhenUsed/>
    <w:rsid w:val="00BE5544"/>
    <w:rPr>
      <w:b/>
      <w:bCs/>
    </w:rPr>
  </w:style>
  <w:style w:type="character" w:customStyle="1" w:styleId="CommentSubjectChar">
    <w:name w:val="Comment Subject Char"/>
    <w:basedOn w:val="CommentTextChar"/>
    <w:link w:val="CommentSubject"/>
    <w:uiPriority w:val="99"/>
    <w:semiHidden/>
    <w:rsid w:val="00BE5544"/>
    <w:rPr>
      <w:b/>
      <w:bCs/>
      <w:sz w:val="20"/>
      <w:szCs w:val="20"/>
    </w:rPr>
  </w:style>
  <w:style w:type="paragraph" w:customStyle="1" w:styleId="regulartext">
    <w:name w:val="regulartext"/>
    <w:basedOn w:val="Normal"/>
    <w:rsid w:val="00382BB6"/>
    <w:pPr>
      <w:spacing w:before="100" w:beforeAutospacing="1" w:after="100" w:afterAutospacing="1"/>
    </w:pPr>
    <w:rPr>
      <w:rFonts w:ascii="Arial" w:hAnsi="Arial" w:cs="Arial"/>
      <w:sz w:val="18"/>
      <w:szCs w:val="18"/>
    </w:rPr>
  </w:style>
  <w:style w:type="paragraph" w:customStyle="1" w:styleId="regulartextbold">
    <w:name w:val="regulartextbold"/>
    <w:basedOn w:val="Normal"/>
    <w:rsid w:val="00382BB6"/>
    <w:pPr>
      <w:spacing w:before="100" w:beforeAutospacing="1" w:after="100" w:afterAutospacing="1"/>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023">
      <w:bodyDiv w:val="1"/>
      <w:marLeft w:val="0"/>
      <w:marRight w:val="0"/>
      <w:marTop w:val="0"/>
      <w:marBottom w:val="0"/>
      <w:divBdr>
        <w:top w:val="none" w:sz="0" w:space="0" w:color="auto"/>
        <w:left w:val="none" w:sz="0" w:space="0" w:color="auto"/>
        <w:bottom w:val="none" w:sz="0" w:space="0" w:color="auto"/>
        <w:right w:val="none" w:sz="0" w:space="0" w:color="auto"/>
      </w:divBdr>
      <w:divsChild>
        <w:div w:id="929579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7924">
      <w:bodyDiv w:val="1"/>
      <w:marLeft w:val="0"/>
      <w:marRight w:val="0"/>
      <w:marTop w:val="0"/>
      <w:marBottom w:val="0"/>
      <w:divBdr>
        <w:top w:val="none" w:sz="0" w:space="0" w:color="auto"/>
        <w:left w:val="none" w:sz="0" w:space="0" w:color="auto"/>
        <w:bottom w:val="none" w:sz="0" w:space="0" w:color="auto"/>
        <w:right w:val="none" w:sz="0" w:space="0" w:color="auto"/>
      </w:divBdr>
    </w:div>
    <w:div w:id="316766072">
      <w:bodyDiv w:val="1"/>
      <w:marLeft w:val="0"/>
      <w:marRight w:val="0"/>
      <w:marTop w:val="0"/>
      <w:marBottom w:val="0"/>
      <w:divBdr>
        <w:top w:val="none" w:sz="0" w:space="0" w:color="auto"/>
        <w:left w:val="none" w:sz="0" w:space="0" w:color="auto"/>
        <w:bottom w:val="none" w:sz="0" w:space="0" w:color="auto"/>
        <w:right w:val="none" w:sz="0" w:space="0" w:color="auto"/>
      </w:divBdr>
    </w:div>
    <w:div w:id="417798166">
      <w:bodyDiv w:val="1"/>
      <w:marLeft w:val="0"/>
      <w:marRight w:val="0"/>
      <w:marTop w:val="0"/>
      <w:marBottom w:val="0"/>
      <w:divBdr>
        <w:top w:val="none" w:sz="0" w:space="0" w:color="auto"/>
        <w:left w:val="none" w:sz="0" w:space="0" w:color="auto"/>
        <w:bottom w:val="none" w:sz="0" w:space="0" w:color="auto"/>
        <w:right w:val="none" w:sz="0" w:space="0" w:color="auto"/>
      </w:divBdr>
    </w:div>
    <w:div w:id="590235521">
      <w:bodyDiv w:val="1"/>
      <w:marLeft w:val="0"/>
      <w:marRight w:val="0"/>
      <w:marTop w:val="0"/>
      <w:marBottom w:val="0"/>
      <w:divBdr>
        <w:top w:val="none" w:sz="0" w:space="0" w:color="auto"/>
        <w:left w:val="none" w:sz="0" w:space="0" w:color="auto"/>
        <w:bottom w:val="none" w:sz="0" w:space="0" w:color="auto"/>
        <w:right w:val="none" w:sz="0" w:space="0" w:color="auto"/>
      </w:divBdr>
    </w:div>
    <w:div w:id="599684835">
      <w:bodyDiv w:val="1"/>
      <w:marLeft w:val="0"/>
      <w:marRight w:val="0"/>
      <w:marTop w:val="0"/>
      <w:marBottom w:val="0"/>
      <w:divBdr>
        <w:top w:val="none" w:sz="0" w:space="0" w:color="auto"/>
        <w:left w:val="none" w:sz="0" w:space="0" w:color="auto"/>
        <w:bottom w:val="none" w:sz="0" w:space="0" w:color="auto"/>
        <w:right w:val="none" w:sz="0" w:space="0" w:color="auto"/>
      </w:divBdr>
    </w:div>
    <w:div w:id="626737769">
      <w:bodyDiv w:val="1"/>
      <w:marLeft w:val="0"/>
      <w:marRight w:val="0"/>
      <w:marTop w:val="0"/>
      <w:marBottom w:val="0"/>
      <w:divBdr>
        <w:top w:val="none" w:sz="0" w:space="0" w:color="auto"/>
        <w:left w:val="none" w:sz="0" w:space="0" w:color="auto"/>
        <w:bottom w:val="none" w:sz="0" w:space="0" w:color="auto"/>
        <w:right w:val="none" w:sz="0" w:space="0" w:color="auto"/>
      </w:divBdr>
    </w:div>
    <w:div w:id="664742628">
      <w:bodyDiv w:val="1"/>
      <w:marLeft w:val="0"/>
      <w:marRight w:val="0"/>
      <w:marTop w:val="0"/>
      <w:marBottom w:val="0"/>
      <w:divBdr>
        <w:top w:val="none" w:sz="0" w:space="0" w:color="auto"/>
        <w:left w:val="none" w:sz="0" w:space="0" w:color="auto"/>
        <w:bottom w:val="none" w:sz="0" w:space="0" w:color="auto"/>
        <w:right w:val="none" w:sz="0" w:space="0" w:color="auto"/>
      </w:divBdr>
    </w:div>
    <w:div w:id="1119883218">
      <w:marLeft w:val="0"/>
      <w:marRight w:val="0"/>
      <w:marTop w:val="0"/>
      <w:marBottom w:val="0"/>
      <w:divBdr>
        <w:top w:val="none" w:sz="0" w:space="0" w:color="auto"/>
        <w:left w:val="none" w:sz="0" w:space="0" w:color="auto"/>
        <w:bottom w:val="none" w:sz="0" w:space="0" w:color="auto"/>
        <w:right w:val="none" w:sz="0" w:space="0" w:color="auto"/>
      </w:divBdr>
    </w:div>
    <w:div w:id="1119883219">
      <w:marLeft w:val="0"/>
      <w:marRight w:val="0"/>
      <w:marTop w:val="0"/>
      <w:marBottom w:val="0"/>
      <w:divBdr>
        <w:top w:val="none" w:sz="0" w:space="0" w:color="auto"/>
        <w:left w:val="none" w:sz="0" w:space="0" w:color="auto"/>
        <w:bottom w:val="none" w:sz="0" w:space="0" w:color="auto"/>
        <w:right w:val="none" w:sz="0" w:space="0" w:color="auto"/>
      </w:divBdr>
    </w:div>
    <w:div w:id="1119883220">
      <w:marLeft w:val="0"/>
      <w:marRight w:val="0"/>
      <w:marTop w:val="0"/>
      <w:marBottom w:val="0"/>
      <w:divBdr>
        <w:top w:val="none" w:sz="0" w:space="0" w:color="auto"/>
        <w:left w:val="none" w:sz="0" w:space="0" w:color="auto"/>
        <w:bottom w:val="none" w:sz="0" w:space="0" w:color="auto"/>
        <w:right w:val="none" w:sz="0" w:space="0" w:color="auto"/>
      </w:divBdr>
    </w:div>
    <w:div w:id="1119883221">
      <w:marLeft w:val="0"/>
      <w:marRight w:val="0"/>
      <w:marTop w:val="0"/>
      <w:marBottom w:val="0"/>
      <w:divBdr>
        <w:top w:val="none" w:sz="0" w:space="0" w:color="auto"/>
        <w:left w:val="none" w:sz="0" w:space="0" w:color="auto"/>
        <w:bottom w:val="none" w:sz="0" w:space="0" w:color="auto"/>
        <w:right w:val="none" w:sz="0" w:space="0" w:color="auto"/>
      </w:divBdr>
    </w:div>
    <w:div w:id="1119883222">
      <w:marLeft w:val="0"/>
      <w:marRight w:val="0"/>
      <w:marTop w:val="0"/>
      <w:marBottom w:val="0"/>
      <w:divBdr>
        <w:top w:val="none" w:sz="0" w:space="0" w:color="auto"/>
        <w:left w:val="none" w:sz="0" w:space="0" w:color="auto"/>
        <w:bottom w:val="none" w:sz="0" w:space="0" w:color="auto"/>
        <w:right w:val="none" w:sz="0" w:space="0" w:color="auto"/>
      </w:divBdr>
    </w:div>
    <w:div w:id="1119883223">
      <w:marLeft w:val="0"/>
      <w:marRight w:val="0"/>
      <w:marTop w:val="0"/>
      <w:marBottom w:val="0"/>
      <w:divBdr>
        <w:top w:val="none" w:sz="0" w:space="0" w:color="auto"/>
        <w:left w:val="none" w:sz="0" w:space="0" w:color="auto"/>
        <w:bottom w:val="none" w:sz="0" w:space="0" w:color="auto"/>
        <w:right w:val="none" w:sz="0" w:space="0" w:color="auto"/>
      </w:divBdr>
    </w:div>
    <w:div w:id="1119883224">
      <w:marLeft w:val="0"/>
      <w:marRight w:val="0"/>
      <w:marTop w:val="0"/>
      <w:marBottom w:val="0"/>
      <w:divBdr>
        <w:top w:val="none" w:sz="0" w:space="0" w:color="auto"/>
        <w:left w:val="none" w:sz="0" w:space="0" w:color="auto"/>
        <w:bottom w:val="none" w:sz="0" w:space="0" w:color="auto"/>
        <w:right w:val="none" w:sz="0" w:space="0" w:color="auto"/>
      </w:divBdr>
    </w:div>
    <w:div w:id="1363439819">
      <w:bodyDiv w:val="1"/>
      <w:marLeft w:val="0"/>
      <w:marRight w:val="0"/>
      <w:marTop w:val="0"/>
      <w:marBottom w:val="0"/>
      <w:divBdr>
        <w:top w:val="none" w:sz="0" w:space="0" w:color="auto"/>
        <w:left w:val="none" w:sz="0" w:space="0" w:color="auto"/>
        <w:bottom w:val="none" w:sz="0" w:space="0" w:color="auto"/>
        <w:right w:val="none" w:sz="0" w:space="0" w:color="auto"/>
      </w:divBdr>
    </w:div>
    <w:div w:id="1446389529">
      <w:bodyDiv w:val="1"/>
      <w:marLeft w:val="0"/>
      <w:marRight w:val="0"/>
      <w:marTop w:val="0"/>
      <w:marBottom w:val="0"/>
      <w:divBdr>
        <w:top w:val="none" w:sz="0" w:space="0" w:color="auto"/>
        <w:left w:val="none" w:sz="0" w:space="0" w:color="auto"/>
        <w:bottom w:val="none" w:sz="0" w:space="0" w:color="auto"/>
        <w:right w:val="none" w:sz="0" w:space="0" w:color="auto"/>
      </w:divBdr>
    </w:div>
    <w:div w:id="1711103259">
      <w:bodyDiv w:val="1"/>
      <w:marLeft w:val="0"/>
      <w:marRight w:val="0"/>
      <w:marTop w:val="0"/>
      <w:marBottom w:val="0"/>
      <w:divBdr>
        <w:top w:val="none" w:sz="0" w:space="0" w:color="auto"/>
        <w:left w:val="none" w:sz="0" w:space="0" w:color="auto"/>
        <w:bottom w:val="none" w:sz="0" w:space="0" w:color="auto"/>
        <w:right w:val="none" w:sz="0" w:space="0" w:color="auto"/>
      </w:divBdr>
    </w:div>
    <w:div w:id="1868327493">
      <w:bodyDiv w:val="1"/>
      <w:marLeft w:val="0"/>
      <w:marRight w:val="0"/>
      <w:marTop w:val="0"/>
      <w:marBottom w:val="0"/>
      <w:divBdr>
        <w:top w:val="none" w:sz="0" w:space="0" w:color="auto"/>
        <w:left w:val="none" w:sz="0" w:space="0" w:color="auto"/>
        <w:bottom w:val="none" w:sz="0" w:space="0" w:color="auto"/>
        <w:right w:val="none" w:sz="0" w:space="0" w:color="auto"/>
      </w:divBdr>
    </w:div>
    <w:div w:id="2044666742">
      <w:bodyDiv w:val="1"/>
      <w:marLeft w:val="0"/>
      <w:marRight w:val="0"/>
      <w:marTop w:val="0"/>
      <w:marBottom w:val="0"/>
      <w:divBdr>
        <w:top w:val="none" w:sz="0" w:space="0" w:color="auto"/>
        <w:left w:val="none" w:sz="0" w:space="0" w:color="auto"/>
        <w:bottom w:val="none" w:sz="0" w:space="0" w:color="auto"/>
        <w:right w:val="none" w:sz="0" w:space="0" w:color="auto"/>
      </w:divBdr>
    </w:div>
    <w:div w:id="2073693962">
      <w:bodyDiv w:val="1"/>
      <w:marLeft w:val="0"/>
      <w:marRight w:val="0"/>
      <w:marTop w:val="0"/>
      <w:marBottom w:val="0"/>
      <w:divBdr>
        <w:top w:val="none" w:sz="0" w:space="0" w:color="auto"/>
        <w:left w:val="none" w:sz="0" w:space="0" w:color="auto"/>
        <w:bottom w:val="none" w:sz="0" w:space="0" w:color="auto"/>
        <w:right w:val="none" w:sz="0" w:space="0" w:color="auto"/>
      </w:divBdr>
    </w:div>
    <w:div w:id="21231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F5D1A-F93D-41AC-B33B-B02D51F8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1866</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DEA</dc:creator>
  <cp:keywords/>
  <dc:description/>
  <cp:lastModifiedBy>MAFerritto</cp:lastModifiedBy>
  <cp:revision>5</cp:revision>
  <cp:lastPrinted>2012-03-15T15:25:00Z</cp:lastPrinted>
  <dcterms:created xsi:type="dcterms:W3CDTF">2012-04-12T14:17:00Z</dcterms:created>
  <dcterms:modified xsi:type="dcterms:W3CDTF">2012-04-12T18:38:00Z</dcterms:modified>
</cp:coreProperties>
</file>