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E4C" w:rsidRPr="00057E88" w:rsidRDefault="00562E4C">
      <w:pPr>
        <w:widowControl/>
        <w:tabs>
          <w:tab w:val="center" w:pos="4680"/>
        </w:tabs>
        <w:jc w:val="both"/>
        <w:rPr>
          <w:rFonts w:ascii="Arial" w:hAnsi="Arial" w:cs="Arial"/>
          <w:b/>
          <w:bCs/>
          <w:sz w:val="22"/>
          <w:szCs w:val="22"/>
        </w:rPr>
      </w:pPr>
      <w:r w:rsidRPr="00057E88">
        <w:rPr>
          <w:rFonts w:ascii="Arial" w:hAnsi="Arial" w:cs="Arial"/>
          <w:sz w:val="22"/>
          <w:szCs w:val="22"/>
        </w:rPr>
        <w:tab/>
      </w:r>
      <w:r w:rsidRPr="00057E88">
        <w:rPr>
          <w:rFonts w:ascii="Arial" w:hAnsi="Arial" w:cs="Arial"/>
          <w:b/>
          <w:bCs/>
          <w:sz w:val="22"/>
          <w:szCs w:val="22"/>
        </w:rPr>
        <w:t>SUPPORTING STATEMENT FOR</w:t>
      </w:r>
      <w:r w:rsidR="005C36E9">
        <w:rPr>
          <w:rFonts w:ascii="Arial" w:hAnsi="Arial" w:cs="Arial"/>
          <w:b/>
          <w:bCs/>
          <w:sz w:val="22"/>
          <w:szCs w:val="22"/>
        </w:rPr>
        <w:t xml:space="preserve"> Three Year Extension of </w:t>
      </w:r>
    </w:p>
    <w:p w:rsidR="007C4490" w:rsidRDefault="00562E4C">
      <w:pPr>
        <w:widowControl/>
        <w:tabs>
          <w:tab w:val="center" w:pos="4680"/>
        </w:tabs>
        <w:jc w:val="center"/>
        <w:rPr>
          <w:rFonts w:ascii="Arial" w:hAnsi="Arial" w:cs="Arial"/>
          <w:b/>
          <w:bCs/>
          <w:sz w:val="22"/>
          <w:szCs w:val="22"/>
        </w:rPr>
      </w:pPr>
      <w:r w:rsidRPr="00057E88">
        <w:rPr>
          <w:rFonts w:ascii="Arial" w:hAnsi="Arial" w:cs="Arial"/>
          <w:b/>
          <w:bCs/>
          <w:sz w:val="22"/>
          <w:szCs w:val="22"/>
        </w:rPr>
        <w:t>PAPERWORK REDUCTION ACT SUBMISSION</w:t>
      </w:r>
      <w:r w:rsidR="007C4490">
        <w:rPr>
          <w:rFonts w:ascii="Arial" w:hAnsi="Arial" w:cs="Arial"/>
          <w:b/>
          <w:bCs/>
          <w:sz w:val="22"/>
          <w:szCs w:val="22"/>
        </w:rPr>
        <w:t xml:space="preserve"> FOR</w:t>
      </w:r>
    </w:p>
    <w:p w:rsidR="00562E4C" w:rsidRPr="00057E88" w:rsidRDefault="002B5F10">
      <w:pPr>
        <w:widowControl/>
        <w:tabs>
          <w:tab w:val="center" w:pos="4680"/>
        </w:tabs>
        <w:jc w:val="center"/>
        <w:rPr>
          <w:rFonts w:ascii="Arial" w:hAnsi="Arial" w:cs="Arial"/>
          <w:b/>
          <w:bCs/>
          <w:sz w:val="22"/>
          <w:szCs w:val="22"/>
        </w:rPr>
      </w:pPr>
      <w:r>
        <w:rPr>
          <w:rFonts w:ascii="Arial" w:hAnsi="Arial" w:cs="Arial"/>
          <w:b/>
          <w:bCs/>
          <w:sz w:val="22"/>
          <w:szCs w:val="22"/>
        </w:rPr>
        <w:t>APPLICATIONS,</w:t>
      </w:r>
      <w:r w:rsidR="007C4490">
        <w:rPr>
          <w:rFonts w:ascii="Arial" w:hAnsi="Arial" w:cs="Arial"/>
          <w:b/>
          <w:bCs/>
          <w:sz w:val="22"/>
          <w:szCs w:val="22"/>
        </w:rPr>
        <w:t xml:space="preserve"> GRANTS AND </w:t>
      </w:r>
      <w:r>
        <w:rPr>
          <w:rFonts w:ascii="Arial" w:hAnsi="Arial" w:cs="Arial"/>
          <w:b/>
          <w:bCs/>
          <w:sz w:val="22"/>
          <w:szCs w:val="22"/>
        </w:rPr>
        <w:t>ADMINISTRATION OF STC PROVISIONS</w:t>
      </w:r>
    </w:p>
    <w:p w:rsidR="00562E4C" w:rsidRPr="00057E88" w:rsidRDefault="00562E4C">
      <w:pPr>
        <w:widowControl/>
        <w:jc w:val="both"/>
        <w:rPr>
          <w:rFonts w:ascii="Arial" w:hAnsi="Arial" w:cs="Arial"/>
          <w:sz w:val="22"/>
          <w:szCs w:val="22"/>
        </w:rPr>
      </w:pPr>
    </w:p>
    <w:p w:rsidR="00562E4C" w:rsidRDefault="00562E4C" w:rsidP="00015E9C">
      <w:pPr>
        <w:widowControl/>
        <w:tabs>
          <w:tab w:val="left" w:pos="-1440"/>
        </w:tabs>
        <w:ind w:left="720" w:hanging="720"/>
        <w:rPr>
          <w:rFonts w:ascii="Arial" w:hAnsi="Arial" w:cs="Arial"/>
          <w:sz w:val="22"/>
          <w:szCs w:val="22"/>
          <w:u w:val="single"/>
        </w:rPr>
      </w:pPr>
      <w:r w:rsidRPr="00057E88">
        <w:rPr>
          <w:rFonts w:ascii="Arial" w:hAnsi="Arial" w:cs="Arial"/>
          <w:sz w:val="22"/>
          <w:szCs w:val="22"/>
        </w:rPr>
        <w:t>A.</w:t>
      </w:r>
      <w:r w:rsidRPr="00057E88">
        <w:rPr>
          <w:rFonts w:ascii="Arial" w:hAnsi="Arial" w:cs="Arial"/>
          <w:sz w:val="22"/>
          <w:szCs w:val="22"/>
        </w:rPr>
        <w:tab/>
      </w:r>
      <w:r w:rsidRPr="00057E88">
        <w:rPr>
          <w:rFonts w:ascii="Arial" w:hAnsi="Arial" w:cs="Arial"/>
          <w:sz w:val="22"/>
          <w:szCs w:val="22"/>
          <w:u w:val="single"/>
        </w:rPr>
        <w:t>Justification</w:t>
      </w:r>
    </w:p>
    <w:p w:rsidR="002B5F10" w:rsidRDefault="00F53F45" w:rsidP="00C31131">
      <w:pPr>
        <w:tabs>
          <w:tab w:val="left" w:pos="-1440"/>
        </w:tabs>
        <w:spacing w:after="120"/>
        <w:ind w:left="720"/>
        <w:rPr>
          <w:rFonts w:ascii="Arial" w:hAnsi="Arial" w:cs="Arial"/>
          <w:sz w:val="22"/>
          <w:szCs w:val="22"/>
        </w:rPr>
      </w:pPr>
      <w:r>
        <w:rPr>
          <w:rFonts w:ascii="Arial" w:hAnsi="Arial" w:cs="Arial"/>
          <w:sz w:val="22"/>
          <w:szCs w:val="22"/>
        </w:rPr>
        <w:t xml:space="preserve">PL-112-96 (The </w:t>
      </w:r>
      <w:r w:rsidRPr="007C4490">
        <w:rPr>
          <w:rFonts w:ascii="Arial" w:hAnsi="Arial" w:cs="Arial"/>
          <w:sz w:val="22"/>
          <w:szCs w:val="22"/>
        </w:rPr>
        <w:t>Middle Class Tax Relief and Job Creation Act of 2012</w:t>
      </w:r>
      <w:r w:rsidR="00194925">
        <w:rPr>
          <w:rFonts w:ascii="Arial" w:hAnsi="Arial" w:cs="Arial"/>
          <w:sz w:val="22"/>
          <w:szCs w:val="22"/>
        </w:rPr>
        <w:t>, referred to hereafter as “</w:t>
      </w:r>
      <w:r w:rsidR="00194925" w:rsidRPr="000902B7">
        <w:rPr>
          <w:rFonts w:ascii="Arial" w:hAnsi="Arial" w:cs="Arial"/>
          <w:sz w:val="22"/>
          <w:szCs w:val="22"/>
        </w:rPr>
        <w:t>MCTRJC</w:t>
      </w:r>
      <w:r w:rsidR="00194925">
        <w:rPr>
          <w:rFonts w:ascii="Arial" w:hAnsi="Arial" w:cs="Arial"/>
          <w:sz w:val="22"/>
          <w:szCs w:val="22"/>
        </w:rPr>
        <w:t>”</w:t>
      </w:r>
      <w:r w:rsidR="00B72DC0">
        <w:rPr>
          <w:rFonts w:ascii="Arial" w:hAnsi="Arial" w:cs="Arial"/>
          <w:sz w:val="22"/>
          <w:szCs w:val="22"/>
        </w:rPr>
        <w:t xml:space="preserve"> or “the act”</w:t>
      </w:r>
      <w:r>
        <w:rPr>
          <w:rFonts w:ascii="Arial" w:hAnsi="Arial" w:cs="Arial"/>
          <w:sz w:val="22"/>
          <w:szCs w:val="22"/>
        </w:rPr>
        <w:t xml:space="preserve">) contains </w:t>
      </w:r>
      <w:r w:rsidRPr="00F53F45">
        <w:rPr>
          <w:rFonts w:ascii="Arial" w:hAnsi="Arial" w:cs="Arial"/>
          <w:sz w:val="22"/>
          <w:szCs w:val="22"/>
        </w:rPr>
        <w:t>Subtitle D</w:t>
      </w:r>
      <w:r>
        <w:rPr>
          <w:rFonts w:ascii="Arial" w:hAnsi="Arial" w:cs="Arial"/>
          <w:sz w:val="22"/>
          <w:szCs w:val="22"/>
        </w:rPr>
        <w:t xml:space="preserve">, </w:t>
      </w:r>
      <w:r w:rsidRPr="00F53F45">
        <w:rPr>
          <w:rFonts w:ascii="Arial" w:hAnsi="Arial" w:cs="Arial"/>
          <w:sz w:val="22"/>
          <w:szCs w:val="22"/>
        </w:rPr>
        <w:t>Short-Time Compensation Program</w:t>
      </w:r>
      <w:r>
        <w:rPr>
          <w:rFonts w:ascii="Arial" w:hAnsi="Arial" w:cs="Arial"/>
          <w:sz w:val="22"/>
          <w:szCs w:val="22"/>
        </w:rPr>
        <w:t>, also known as the ‘‘Layoff Prevention Act of 2012’’.  The sections of the law under this subtitle concern</w:t>
      </w:r>
      <w:r w:rsidR="00C31131">
        <w:rPr>
          <w:rFonts w:ascii="Arial" w:hAnsi="Arial" w:cs="Arial"/>
          <w:sz w:val="22"/>
          <w:szCs w:val="22"/>
        </w:rPr>
        <w:t xml:space="preserve"> s</w:t>
      </w:r>
      <w:r>
        <w:rPr>
          <w:rFonts w:ascii="Arial" w:hAnsi="Arial" w:cs="Arial"/>
          <w:sz w:val="22"/>
          <w:szCs w:val="22"/>
        </w:rPr>
        <w:t xml:space="preserve">tates that currently </w:t>
      </w:r>
      <w:r w:rsidR="002B5F10">
        <w:rPr>
          <w:rFonts w:ascii="Arial" w:hAnsi="Arial" w:cs="Arial"/>
          <w:sz w:val="22"/>
          <w:szCs w:val="22"/>
        </w:rPr>
        <w:t xml:space="preserve">participate in, or </w:t>
      </w:r>
      <w:r>
        <w:rPr>
          <w:rFonts w:ascii="Arial" w:hAnsi="Arial" w:cs="Arial"/>
          <w:sz w:val="22"/>
          <w:szCs w:val="22"/>
        </w:rPr>
        <w:t xml:space="preserve">wish to </w:t>
      </w:r>
      <w:r w:rsidR="002B5F10">
        <w:rPr>
          <w:rFonts w:ascii="Arial" w:hAnsi="Arial" w:cs="Arial"/>
          <w:sz w:val="22"/>
          <w:szCs w:val="22"/>
        </w:rPr>
        <w:t>initiate a new program in</w:t>
      </w:r>
      <w:r>
        <w:rPr>
          <w:rFonts w:ascii="Arial" w:hAnsi="Arial" w:cs="Arial"/>
          <w:sz w:val="22"/>
          <w:szCs w:val="22"/>
        </w:rPr>
        <w:t>,</w:t>
      </w:r>
      <w:r w:rsidR="002B5F10">
        <w:rPr>
          <w:rFonts w:ascii="Arial" w:hAnsi="Arial" w:cs="Arial"/>
          <w:sz w:val="22"/>
          <w:szCs w:val="22"/>
        </w:rPr>
        <w:t xml:space="preserve"> a layoff aversion program known as short time compensation (STC) or </w:t>
      </w:r>
      <w:proofErr w:type="spellStart"/>
      <w:r w:rsidR="002B5F10">
        <w:rPr>
          <w:rFonts w:ascii="Arial" w:hAnsi="Arial" w:cs="Arial"/>
          <w:sz w:val="22"/>
          <w:szCs w:val="22"/>
        </w:rPr>
        <w:t>worksharing</w:t>
      </w:r>
      <w:proofErr w:type="spellEnd"/>
      <w:r w:rsidR="002B5F10">
        <w:rPr>
          <w:rFonts w:ascii="Arial" w:hAnsi="Arial" w:cs="Arial"/>
          <w:sz w:val="22"/>
          <w:szCs w:val="22"/>
        </w:rPr>
        <w:t xml:space="preserve">.  </w:t>
      </w:r>
    </w:p>
    <w:p w:rsidR="00C31131" w:rsidRPr="00C31131" w:rsidRDefault="00F53F45" w:rsidP="00C31131">
      <w:pPr>
        <w:tabs>
          <w:tab w:val="left" w:pos="-1440"/>
        </w:tabs>
        <w:spacing w:after="120"/>
        <w:ind w:left="720"/>
        <w:rPr>
          <w:rFonts w:ascii="Arial" w:hAnsi="Arial" w:cs="Arial"/>
          <w:sz w:val="22"/>
          <w:szCs w:val="22"/>
        </w:rPr>
      </w:pPr>
      <w:r>
        <w:rPr>
          <w:rFonts w:ascii="Arial" w:hAnsi="Arial" w:cs="Arial"/>
          <w:sz w:val="22"/>
          <w:szCs w:val="22"/>
        </w:rPr>
        <w:t xml:space="preserve">Section 2161 </w:t>
      </w:r>
      <w:r w:rsidR="00C31131">
        <w:rPr>
          <w:rFonts w:ascii="Arial" w:hAnsi="Arial" w:cs="Arial"/>
          <w:sz w:val="22"/>
          <w:szCs w:val="22"/>
        </w:rPr>
        <w:t xml:space="preserve">covers operational rules for current and prospective states, Section 2162 covers the </w:t>
      </w:r>
      <w:r w:rsidR="00C31131" w:rsidRPr="00C31131">
        <w:rPr>
          <w:rFonts w:ascii="Arial" w:hAnsi="Arial" w:cs="Arial"/>
          <w:sz w:val="22"/>
          <w:szCs w:val="22"/>
        </w:rPr>
        <w:t xml:space="preserve">temporary financing of </w:t>
      </w:r>
      <w:r w:rsidR="00C31131">
        <w:rPr>
          <w:rFonts w:ascii="Arial" w:hAnsi="Arial" w:cs="Arial"/>
          <w:sz w:val="22"/>
          <w:szCs w:val="22"/>
        </w:rPr>
        <w:t xml:space="preserve">STC </w:t>
      </w:r>
      <w:r w:rsidR="00C31131" w:rsidRPr="00C31131">
        <w:rPr>
          <w:rFonts w:ascii="Arial" w:hAnsi="Arial" w:cs="Arial"/>
          <w:sz w:val="22"/>
          <w:szCs w:val="22"/>
        </w:rPr>
        <w:t xml:space="preserve">payments </w:t>
      </w:r>
      <w:r w:rsidR="00C31131">
        <w:rPr>
          <w:rFonts w:ascii="Arial" w:hAnsi="Arial" w:cs="Arial"/>
          <w:sz w:val="22"/>
          <w:szCs w:val="22"/>
        </w:rPr>
        <w:t xml:space="preserve">by the Federal Government to </w:t>
      </w:r>
      <w:r w:rsidR="00C31131" w:rsidRPr="00C31131">
        <w:rPr>
          <w:rFonts w:ascii="Arial" w:hAnsi="Arial" w:cs="Arial"/>
          <w:sz w:val="22"/>
          <w:szCs w:val="22"/>
        </w:rPr>
        <w:t xml:space="preserve">states with programs </w:t>
      </w:r>
      <w:r w:rsidR="00C31131">
        <w:rPr>
          <w:rFonts w:ascii="Arial" w:hAnsi="Arial" w:cs="Arial"/>
          <w:sz w:val="22"/>
          <w:szCs w:val="22"/>
        </w:rPr>
        <w:t xml:space="preserve">currently in their law.  Section 2163 covers the </w:t>
      </w:r>
      <w:r w:rsidR="00C31131" w:rsidRPr="00C31131">
        <w:rPr>
          <w:rFonts w:ascii="Arial" w:hAnsi="Arial" w:cs="Arial"/>
          <w:sz w:val="22"/>
          <w:szCs w:val="22"/>
        </w:rPr>
        <w:t xml:space="preserve">temporary financing of </w:t>
      </w:r>
      <w:r w:rsidR="00C31131">
        <w:rPr>
          <w:rFonts w:ascii="Arial" w:hAnsi="Arial" w:cs="Arial"/>
          <w:sz w:val="22"/>
          <w:szCs w:val="22"/>
        </w:rPr>
        <w:t xml:space="preserve">STC </w:t>
      </w:r>
      <w:r w:rsidR="00C31131" w:rsidRPr="00C31131">
        <w:rPr>
          <w:rFonts w:ascii="Arial" w:hAnsi="Arial" w:cs="Arial"/>
          <w:sz w:val="22"/>
          <w:szCs w:val="22"/>
        </w:rPr>
        <w:t xml:space="preserve">payments </w:t>
      </w:r>
      <w:r w:rsidR="00C31131">
        <w:rPr>
          <w:rFonts w:ascii="Arial" w:hAnsi="Arial" w:cs="Arial"/>
          <w:sz w:val="22"/>
          <w:szCs w:val="22"/>
        </w:rPr>
        <w:t xml:space="preserve">by the Federal Government to </w:t>
      </w:r>
      <w:r w:rsidR="00C31131" w:rsidRPr="00C31131">
        <w:rPr>
          <w:rFonts w:ascii="Arial" w:hAnsi="Arial" w:cs="Arial"/>
          <w:sz w:val="22"/>
          <w:szCs w:val="22"/>
        </w:rPr>
        <w:t>states with</w:t>
      </w:r>
      <w:r w:rsidR="00C31131">
        <w:rPr>
          <w:rFonts w:ascii="Arial" w:hAnsi="Arial" w:cs="Arial"/>
          <w:sz w:val="22"/>
          <w:szCs w:val="22"/>
        </w:rPr>
        <w:t>out STC</w:t>
      </w:r>
      <w:r w:rsidR="00C31131" w:rsidRPr="00C31131">
        <w:rPr>
          <w:rFonts w:ascii="Arial" w:hAnsi="Arial" w:cs="Arial"/>
          <w:sz w:val="22"/>
          <w:szCs w:val="22"/>
        </w:rPr>
        <w:t xml:space="preserve"> programs</w:t>
      </w:r>
      <w:r w:rsidR="00C31131">
        <w:rPr>
          <w:rFonts w:ascii="Arial" w:hAnsi="Arial" w:cs="Arial"/>
          <w:sz w:val="22"/>
          <w:szCs w:val="22"/>
        </w:rPr>
        <w:t>, Section 2164 covers grants the Federal Government has responsibility for delivering and administering to states with STC</w:t>
      </w:r>
      <w:r w:rsidR="00C31131" w:rsidRPr="00C31131">
        <w:rPr>
          <w:rFonts w:ascii="Arial" w:hAnsi="Arial" w:cs="Arial"/>
          <w:sz w:val="22"/>
          <w:szCs w:val="22"/>
        </w:rPr>
        <w:t xml:space="preserve"> programs</w:t>
      </w:r>
      <w:r w:rsidR="00C31131">
        <w:rPr>
          <w:rFonts w:ascii="Arial" w:hAnsi="Arial" w:cs="Arial"/>
          <w:sz w:val="22"/>
          <w:szCs w:val="22"/>
        </w:rPr>
        <w:t xml:space="preserve"> </w:t>
      </w:r>
      <w:r w:rsidR="00C31131" w:rsidRPr="00C31131">
        <w:rPr>
          <w:rFonts w:ascii="Arial" w:hAnsi="Arial" w:cs="Arial"/>
          <w:sz w:val="22"/>
          <w:szCs w:val="22"/>
        </w:rPr>
        <w:t>for implementation or improved administration</w:t>
      </w:r>
      <w:r w:rsidR="00C31131">
        <w:rPr>
          <w:rFonts w:ascii="Arial" w:hAnsi="Arial" w:cs="Arial"/>
          <w:sz w:val="22"/>
          <w:szCs w:val="22"/>
        </w:rPr>
        <w:t xml:space="preserve"> of STC program.</w:t>
      </w:r>
    </w:p>
    <w:p w:rsidR="00194925" w:rsidRDefault="00C31131" w:rsidP="00015E9C">
      <w:pPr>
        <w:tabs>
          <w:tab w:val="left" w:pos="-1440"/>
        </w:tabs>
        <w:spacing w:after="120"/>
        <w:ind w:left="720"/>
        <w:rPr>
          <w:rFonts w:ascii="Arial" w:hAnsi="Arial" w:cs="Arial"/>
          <w:sz w:val="22"/>
          <w:szCs w:val="22"/>
        </w:rPr>
      </w:pPr>
      <w:r>
        <w:rPr>
          <w:rFonts w:ascii="Arial" w:hAnsi="Arial" w:cs="Arial"/>
          <w:sz w:val="22"/>
          <w:szCs w:val="22"/>
        </w:rPr>
        <w:t>Each of these sections of the law requires</w:t>
      </w:r>
      <w:r w:rsidR="00C21836">
        <w:rPr>
          <w:rFonts w:ascii="Arial" w:hAnsi="Arial" w:cs="Arial"/>
          <w:sz w:val="22"/>
          <w:szCs w:val="22"/>
        </w:rPr>
        <w:t>, to varying extents, applications,</w:t>
      </w:r>
      <w:r>
        <w:rPr>
          <w:rFonts w:ascii="Arial" w:hAnsi="Arial" w:cs="Arial"/>
          <w:sz w:val="22"/>
          <w:szCs w:val="22"/>
        </w:rPr>
        <w:t xml:space="preserve"> administrative processes</w:t>
      </w:r>
      <w:r w:rsidR="00C21836">
        <w:rPr>
          <w:rFonts w:ascii="Arial" w:hAnsi="Arial" w:cs="Arial"/>
          <w:sz w:val="22"/>
          <w:szCs w:val="22"/>
        </w:rPr>
        <w:t>, monitoring</w:t>
      </w:r>
      <w:r>
        <w:rPr>
          <w:rFonts w:ascii="Arial" w:hAnsi="Arial" w:cs="Arial"/>
          <w:sz w:val="22"/>
          <w:szCs w:val="22"/>
        </w:rPr>
        <w:t xml:space="preserve"> and reporting </w:t>
      </w:r>
      <w:r w:rsidR="00C21836">
        <w:rPr>
          <w:rFonts w:ascii="Arial" w:hAnsi="Arial" w:cs="Arial"/>
          <w:sz w:val="22"/>
          <w:szCs w:val="22"/>
        </w:rPr>
        <w:t xml:space="preserve">of data </w:t>
      </w:r>
      <w:r>
        <w:rPr>
          <w:rFonts w:ascii="Arial" w:hAnsi="Arial" w:cs="Arial"/>
          <w:sz w:val="22"/>
          <w:szCs w:val="22"/>
        </w:rPr>
        <w:t xml:space="preserve">between the state workforce agencies (SWAs) and </w:t>
      </w:r>
      <w:r w:rsidR="00194925">
        <w:rPr>
          <w:rFonts w:ascii="Arial" w:hAnsi="Arial" w:cs="Arial"/>
          <w:sz w:val="22"/>
          <w:szCs w:val="22"/>
        </w:rPr>
        <w:t>t</w:t>
      </w:r>
      <w:r w:rsidR="00F53F45">
        <w:rPr>
          <w:rFonts w:ascii="Arial" w:hAnsi="Arial" w:cs="Arial"/>
          <w:sz w:val="22"/>
          <w:szCs w:val="22"/>
        </w:rPr>
        <w:t>he Employment and Training Administration (ETA) of the US Department of Labor (DOL)</w:t>
      </w:r>
      <w:r w:rsidR="00194925">
        <w:rPr>
          <w:rFonts w:ascii="Arial" w:hAnsi="Arial" w:cs="Arial"/>
          <w:sz w:val="22"/>
          <w:szCs w:val="22"/>
        </w:rPr>
        <w:t xml:space="preserve">.  ETA </w:t>
      </w:r>
      <w:r w:rsidR="00F53F45">
        <w:rPr>
          <w:rFonts w:ascii="Arial" w:hAnsi="Arial" w:cs="Arial"/>
          <w:sz w:val="22"/>
          <w:szCs w:val="22"/>
        </w:rPr>
        <w:t xml:space="preserve">has principal oversight responsibility for the Unemployment Insurance (UI) program that </w:t>
      </w:r>
      <w:r w:rsidR="00194925">
        <w:rPr>
          <w:rFonts w:ascii="Arial" w:hAnsi="Arial" w:cs="Arial"/>
          <w:sz w:val="22"/>
          <w:szCs w:val="22"/>
        </w:rPr>
        <w:t xml:space="preserve">SWAs </w:t>
      </w:r>
      <w:r w:rsidR="00F53F45">
        <w:rPr>
          <w:rFonts w:ascii="Arial" w:hAnsi="Arial" w:cs="Arial"/>
          <w:sz w:val="22"/>
          <w:szCs w:val="22"/>
        </w:rPr>
        <w:t xml:space="preserve">operate.  As a result of the many changes to the </w:t>
      </w:r>
      <w:r w:rsidR="00C21836">
        <w:rPr>
          <w:rFonts w:ascii="Arial" w:hAnsi="Arial" w:cs="Arial"/>
          <w:sz w:val="22"/>
          <w:szCs w:val="22"/>
        </w:rPr>
        <w:t xml:space="preserve">funding and </w:t>
      </w:r>
      <w:r w:rsidR="00F53F45">
        <w:rPr>
          <w:rFonts w:ascii="Arial" w:hAnsi="Arial" w:cs="Arial"/>
          <w:sz w:val="22"/>
          <w:szCs w:val="22"/>
        </w:rPr>
        <w:t xml:space="preserve">administration of the UI system introduced in PL 112-96, ETA </w:t>
      </w:r>
      <w:r w:rsidR="000A3BF6">
        <w:rPr>
          <w:rFonts w:ascii="Arial" w:hAnsi="Arial" w:cs="Arial"/>
          <w:sz w:val="22"/>
          <w:szCs w:val="22"/>
        </w:rPr>
        <w:t xml:space="preserve">established an ICR, approved by OMB, </w:t>
      </w:r>
      <w:r w:rsidR="00F53F45">
        <w:rPr>
          <w:rFonts w:ascii="Arial" w:hAnsi="Arial" w:cs="Arial"/>
          <w:sz w:val="22"/>
          <w:szCs w:val="22"/>
        </w:rPr>
        <w:t xml:space="preserve">to </w:t>
      </w:r>
      <w:r w:rsidR="00194925">
        <w:rPr>
          <w:rFonts w:ascii="Arial" w:hAnsi="Arial" w:cs="Arial"/>
          <w:sz w:val="22"/>
          <w:szCs w:val="22"/>
        </w:rPr>
        <w:t xml:space="preserve">allow for additional reporting and data collection </w:t>
      </w:r>
      <w:r w:rsidR="00C21836">
        <w:rPr>
          <w:rFonts w:ascii="Arial" w:hAnsi="Arial" w:cs="Arial"/>
          <w:sz w:val="22"/>
          <w:szCs w:val="22"/>
        </w:rPr>
        <w:t xml:space="preserve">for proper oversight of state </w:t>
      </w:r>
      <w:r w:rsidR="00F53F45">
        <w:rPr>
          <w:rFonts w:ascii="Arial" w:hAnsi="Arial" w:cs="Arial"/>
          <w:sz w:val="22"/>
          <w:szCs w:val="22"/>
        </w:rPr>
        <w:t xml:space="preserve">STC </w:t>
      </w:r>
      <w:r w:rsidR="00C21836">
        <w:rPr>
          <w:rFonts w:ascii="Arial" w:hAnsi="Arial" w:cs="Arial"/>
          <w:sz w:val="22"/>
          <w:szCs w:val="22"/>
        </w:rPr>
        <w:t>programs</w:t>
      </w:r>
      <w:r w:rsidR="00194925">
        <w:rPr>
          <w:rFonts w:ascii="Arial" w:hAnsi="Arial" w:cs="Arial"/>
          <w:sz w:val="22"/>
          <w:szCs w:val="22"/>
        </w:rPr>
        <w:t xml:space="preserve">.  </w:t>
      </w:r>
    </w:p>
    <w:p w:rsidR="00F53F45" w:rsidRDefault="00194925" w:rsidP="00015E9C">
      <w:pPr>
        <w:tabs>
          <w:tab w:val="left" w:pos="-1440"/>
        </w:tabs>
        <w:spacing w:after="120"/>
        <w:ind w:left="720"/>
        <w:rPr>
          <w:rFonts w:ascii="Arial" w:hAnsi="Arial" w:cs="Arial"/>
          <w:sz w:val="22"/>
          <w:szCs w:val="22"/>
        </w:rPr>
      </w:pPr>
      <w:r>
        <w:rPr>
          <w:rFonts w:ascii="Arial" w:hAnsi="Arial" w:cs="Arial"/>
          <w:sz w:val="22"/>
          <w:szCs w:val="22"/>
        </w:rPr>
        <w:t>The principal changes track well with the sections of law and involve a</w:t>
      </w:r>
      <w:r w:rsidR="00F53F45">
        <w:rPr>
          <w:rFonts w:ascii="Arial" w:hAnsi="Arial" w:cs="Arial"/>
          <w:sz w:val="22"/>
          <w:szCs w:val="22"/>
        </w:rPr>
        <w:t>pplications</w:t>
      </w:r>
      <w:r>
        <w:rPr>
          <w:rFonts w:ascii="Arial" w:hAnsi="Arial" w:cs="Arial"/>
          <w:sz w:val="22"/>
          <w:szCs w:val="22"/>
        </w:rPr>
        <w:t>, g</w:t>
      </w:r>
      <w:r w:rsidR="00F53F45">
        <w:rPr>
          <w:rFonts w:ascii="Arial" w:hAnsi="Arial" w:cs="Arial"/>
          <w:sz w:val="22"/>
          <w:szCs w:val="22"/>
        </w:rPr>
        <w:t>rants</w:t>
      </w:r>
      <w:r>
        <w:rPr>
          <w:rFonts w:ascii="Arial" w:hAnsi="Arial" w:cs="Arial"/>
          <w:sz w:val="22"/>
          <w:szCs w:val="22"/>
        </w:rPr>
        <w:t xml:space="preserve"> and m</w:t>
      </w:r>
      <w:r w:rsidR="00F53F45">
        <w:rPr>
          <w:rFonts w:ascii="Arial" w:hAnsi="Arial" w:cs="Arial"/>
          <w:sz w:val="22"/>
          <w:szCs w:val="22"/>
        </w:rPr>
        <w:t>onitoring</w:t>
      </w:r>
      <w:r>
        <w:rPr>
          <w:rFonts w:ascii="Arial" w:hAnsi="Arial" w:cs="Arial"/>
          <w:sz w:val="22"/>
          <w:szCs w:val="22"/>
        </w:rPr>
        <w:t xml:space="preserve">.  </w:t>
      </w:r>
      <w:r w:rsidR="00C14FC5">
        <w:rPr>
          <w:rFonts w:ascii="Arial" w:hAnsi="Arial" w:cs="Arial"/>
          <w:sz w:val="22"/>
          <w:szCs w:val="22"/>
        </w:rPr>
        <w:t>N</w:t>
      </w:r>
      <w:r>
        <w:rPr>
          <w:rFonts w:ascii="Arial" w:hAnsi="Arial" w:cs="Arial"/>
          <w:sz w:val="22"/>
          <w:szCs w:val="22"/>
        </w:rPr>
        <w:t xml:space="preserve">eeded changes to existing administrative reporting </w:t>
      </w:r>
      <w:r w:rsidR="00C14FC5">
        <w:rPr>
          <w:rFonts w:ascii="Arial" w:hAnsi="Arial" w:cs="Arial"/>
          <w:sz w:val="22"/>
          <w:szCs w:val="22"/>
        </w:rPr>
        <w:t xml:space="preserve">were effected previously with changes made </w:t>
      </w:r>
      <w:r w:rsidR="00F53F45">
        <w:rPr>
          <w:rFonts w:ascii="Arial" w:hAnsi="Arial" w:cs="Arial"/>
          <w:sz w:val="22"/>
          <w:szCs w:val="22"/>
        </w:rPr>
        <w:t>to the STC-specific ETA 5159 report (1205-0010</w:t>
      </w:r>
      <w:r w:rsidR="00EF6A08">
        <w:rPr>
          <w:rFonts w:ascii="Arial" w:hAnsi="Arial" w:cs="Arial"/>
          <w:sz w:val="22"/>
          <w:szCs w:val="22"/>
        </w:rPr>
        <w:t xml:space="preserve">) </w:t>
      </w:r>
      <w:r w:rsidR="00F53F45">
        <w:rPr>
          <w:rFonts w:ascii="Arial" w:hAnsi="Arial" w:cs="Arial"/>
          <w:sz w:val="22"/>
          <w:szCs w:val="22"/>
        </w:rPr>
        <w:t>and ETA 2112 report (1205-0154</w:t>
      </w:r>
      <w:r w:rsidR="00EF6A08">
        <w:rPr>
          <w:rFonts w:ascii="Arial" w:hAnsi="Arial" w:cs="Arial"/>
          <w:sz w:val="22"/>
          <w:szCs w:val="22"/>
        </w:rPr>
        <w:t>).</w:t>
      </w:r>
    </w:p>
    <w:p w:rsidR="00562E4C" w:rsidRPr="00057E88" w:rsidRDefault="00562E4C" w:rsidP="00B528FD">
      <w:pPr>
        <w:widowControl/>
        <w:tabs>
          <w:tab w:val="left" w:pos="-1440"/>
        </w:tabs>
        <w:ind w:left="720" w:hanging="720"/>
        <w:rPr>
          <w:rFonts w:ascii="Arial" w:hAnsi="Arial" w:cs="Arial"/>
          <w:sz w:val="22"/>
          <w:szCs w:val="22"/>
        </w:rPr>
      </w:pPr>
      <w:r w:rsidRPr="00057E88">
        <w:rPr>
          <w:rFonts w:ascii="Arial" w:hAnsi="Arial" w:cs="Arial"/>
          <w:sz w:val="22"/>
          <w:szCs w:val="22"/>
        </w:rPr>
        <w:t>1.</w:t>
      </w:r>
      <w:r w:rsidRPr="00057E88">
        <w:rPr>
          <w:rFonts w:ascii="Arial" w:hAnsi="Arial" w:cs="Arial"/>
          <w:sz w:val="22"/>
          <w:szCs w:val="22"/>
        </w:rPr>
        <w:tab/>
      </w:r>
      <w:r w:rsidRPr="00057E88">
        <w:rPr>
          <w:rFonts w:ascii="Arial" w:hAnsi="Arial" w:cs="Arial"/>
          <w:sz w:val="22"/>
          <w:szCs w:val="22"/>
          <w:u w:val="single"/>
        </w:rPr>
        <w:t>Circumstances that make the collection necessary</w:t>
      </w:r>
      <w:r w:rsidRPr="00057E88">
        <w:rPr>
          <w:rFonts w:ascii="Arial" w:hAnsi="Arial" w:cs="Arial"/>
          <w:sz w:val="22"/>
          <w:szCs w:val="22"/>
        </w:rPr>
        <w:t xml:space="preserve">.  </w:t>
      </w:r>
      <w:r w:rsidR="00C21836" w:rsidRPr="00C21836">
        <w:rPr>
          <w:rFonts w:ascii="Arial" w:hAnsi="Arial" w:cs="Arial"/>
          <w:sz w:val="22"/>
          <w:szCs w:val="22"/>
        </w:rPr>
        <w:t xml:space="preserve">The enactment of </w:t>
      </w:r>
      <w:r w:rsidR="00C21836">
        <w:rPr>
          <w:rFonts w:ascii="Arial" w:hAnsi="Arial" w:cs="Arial"/>
          <w:sz w:val="22"/>
          <w:szCs w:val="22"/>
        </w:rPr>
        <w:t xml:space="preserve">the </w:t>
      </w:r>
      <w:r w:rsidR="00C21836" w:rsidRPr="00C21836">
        <w:rPr>
          <w:rFonts w:ascii="Arial" w:hAnsi="Arial" w:cs="Arial"/>
          <w:sz w:val="22"/>
          <w:szCs w:val="22"/>
        </w:rPr>
        <w:t>MCTRJC</w:t>
      </w:r>
      <w:r w:rsidR="00C21836">
        <w:rPr>
          <w:rFonts w:ascii="Arial" w:hAnsi="Arial" w:cs="Arial"/>
          <w:sz w:val="22"/>
          <w:szCs w:val="22"/>
        </w:rPr>
        <w:t xml:space="preserve"> </w:t>
      </w:r>
      <w:r w:rsidR="00C21836" w:rsidRPr="00C21836">
        <w:rPr>
          <w:rFonts w:ascii="Arial" w:hAnsi="Arial" w:cs="Arial"/>
          <w:sz w:val="22"/>
          <w:szCs w:val="22"/>
        </w:rPr>
        <w:t xml:space="preserve">contains Subtitle D, Short-Time Compensation Program, also known as the ‘‘Layoff Prevention Act of 2012’’.  The sections of the law under this subtitle concern states that currently participate in, or wish to initiate a new program in, a layoff aversion program known as short time compensation (STC) or </w:t>
      </w:r>
      <w:proofErr w:type="spellStart"/>
      <w:r w:rsidR="00C21836" w:rsidRPr="00C21836">
        <w:rPr>
          <w:rFonts w:ascii="Arial" w:hAnsi="Arial" w:cs="Arial"/>
          <w:sz w:val="22"/>
          <w:szCs w:val="22"/>
        </w:rPr>
        <w:t>worksharing</w:t>
      </w:r>
      <w:proofErr w:type="spellEnd"/>
      <w:r w:rsidR="00C21836" w:rsidRPr="00C21836">
        <w:rPr>
          <w:rFonts w:ascii="Arial" w:hAnsi="Arial" w:cs="Arial"/>
          <w:sz w:val="22"/>
          <w:szCs w:val="22"/>
        </w:rPr>
        <w:t xml:space="preserve">.  </w:t>
      </w:r>
      <w:r w:rsidR="00C21836">
        <w:rPr>
          <w:rFonts w:ascii="Arial" w:hAnsi="Arial" w:cs="Arial"/>
          <w:sz w:val="22"/>
          <w:szCs w:val="22"/>
        </w:rPr>
        <w:t xml:space="preserve">This legislation offers grants to cover state program activity and enhancements, as well as compelling new reporting elements.  ETA cannot administer the provisions of the </w:t>
      </w:r>
      <w:r w:rsidR="00C21836" w:rsidRPr="00C21836">
        <w:rPr>
          <w:rFonts w:ascii="Arial" w:hAnsi="Arial" w:cs="Arial"/>
          <w:sz w:val="22"/>
          <w:szCs w:val="22"/>
        </w:rPr>
        <w:t>MCTRJC</w:t>
      </w:r>
      <w:r w:rsidR="00C21836">
        <w:rPr>
          <w:rFonts w:ascii="Arial" w:hAnsi="Arial" w:cs="Arial"/>
          <w:sz w:val="22"/>
          <w:szCs w:val="22"/>
        </w:rPr>
        <w:t xml:space="preserve"> without collecting data describing state plans, state activities, state law changes and the use of Federal funds by states.  </w:t>
      </w:r>
    </w:p>
    <w:p w:rsidR="00562E4C" w:rsidRDefault="00562E4C" w:rsidP="00015E9C">
      <w:pPr>
        <w:widowControl/>
        <w:rPr>
          <w:rFonts w:ascii="Arial" w:hAnsi="Arial" w:cs="Arial"/>
          <w:sz w:val="22"/>
          <w:szCs w:val="22"/>
        </w:rPr>
      </w:pPr>
    </w:p>
    <w:p w:rsidR="00562E4C" w:rsidRPr="00057E88" w:rsidRDefault="00562E4C" w:rsidP="00015E9C">
      <w:pPr>
        <w:widowControl/>
        <w:tabs>
          <w:tab w:val="left" w:pos="-1440"/>
        </w:tabs>
        <w:ind w:left="720" w:hanging="720"/>
        <w:rPr>
          <w:rFonts w:ascii="Arial" w:hAnsi="Arial" w:cs="Arial"/>
          <w:sz w:val="22"/>
          <w:szCs w:val="22"/>
        </w:rPr>
      </w:pPr>
      <w:r w:rsidRPr="00057E88">
        <w:rPr>
          <w:rFonts w:ascii="Arial" w:hAnsi="Arial" w:cs="Arial"/>
          <w:sz w:val="22"/>
          <w:szCs w:val="22"/>
        </w:rPr>
        <w:t>2.</w:t>
      </w:r>
      <w:r w:rsidRPr="00057E88">
        <w:rPr>
          <w:rFonts w:ascii="Arial" w:hAnsi="Arial" w:cs="Arial"/>
          <w:sz w:val="22"/>
          <w:szCs w:val="22"/>
        </w:rPr>
        <w:tab/>
      </w:r>
      <w:r w:rsidRPr="00057E88">
        <w:rPr>
          <w:rFonts w:ascii="Arial" w:hAnsi="Arial" w:cs="Arial"/>
          <w:sz w:val="22"/>
          <w:szCs w:val="22"/>
          <w:u w:val="single"/>
        </w:rPr>
        <w:t>Use of Information.</w:t>
      </w:r>
      <w:r w:rsidRPr="00057E88">
        <w:rPr>
          <w:rFonts w:ascii="Arial" w:hAnsi="Arial" w:cs="Arial"/>
          <w:sz w:val="22"/>
          <w:szCs w:val="22"/>
        </w:rPr>
        <w:t xml:space="preserve">  The information collected </w:t>
      </w:r>
      <w:r w:rsidR="00B528FD">
        <w:rPr>
          <w:rFonts w:ascii="Arial" w:hAnsi="Arial" w:cs="Arial"/>
          <w:sz w:val="22"/>
          <w:szCs w:val="22"/>
        </w:rPr>
        <w:t xml:space="preserve">from state applications </w:t>
      </w:r>
      <w:r w:rsidR="00AB7476">
        <w:rPr>
          <w:rFonts w:ascii="Arial" w:hAnsi="Arial" w:cs="Arial"/>
          <w:sz w:val="22"/>
          <w:szCs w:val="22"/>
        </w:rPr>
        <w:t xml:space="preserve">is </w:t>
      </w:r>
      <w:r w:rsidR="00B528FD">
        <w:rPr>
          <w:rFonts w:ascii="Arial" w:hAnsi="Arial" w:cs="Arial"/>
          <w:sz w:val="22"/>
          <w:szCs w:val="22"/>
        </w:rPr>
        <w:t xml:space="preserve">used to </w:t>
      </w:r>
      <w:r w:rsidR="00B72DC0">
        <w:rPr>
          <w:rFonts w:ascii="Arial" w:hAnsi="Arial" w:cs="Arial"/>
          <w:sz w:val="22"/>
          <w:szCs w:val="22"/>
        </w:rPr>
        <w:t xml:space="preserve">evaluate state </w:t>
      </w:r>
      <w:r w:rsidR="00B528FD">
        <w:rPr>
          <w:rFonts w:ascii="Arial" w:hAnsi="Arial" w:cs="Arial"/>
          <w:sz w:val="22"/>
          <w:szCs w:val="22"/>
        </w:rPr>
        <w:t xml:space="preserve">suitability for </w:t>
      </w:r>
      <w:r w:rsidR="00B72DC0">
        <w:rPr>
          <w:rFonts w:ascii="Arial" w:hAnsi="Arial" w:cs="Arial"/>
          <w:sz w:val="22"/>
          <w:szCs w:val="22"/>
        </w:rPr>
        <w:t>reimbursement</w:t>
      </w:r>
      <w:r w:rsidR="00B528FD">
        <w:rPr>
          <w:rFonts w:ascii="Arial" w:hAnsi="Arial" w:cs="Arial"/>
          <w:sz w:val="22"/>
          <w:szCs w:val="22"/>
        </w:rPr>
        <w:t xml:space="preserve">.  The information collected from the </w:t>
      </w:r>
      <w:r w:rsidR="00B72DC0">
        <w:rPr>
          <w:rFonts w:ascii="Arial" w:hAnsi="Arial" w:cs="Arial"/>
          <w:sz w:val="22"/>
          <w:szCs w:val="22"/>
        </w:rPr>
        <w:t xml:space="preserve">monitoring </w:t>
      </w:r>
      <w:r w:rsidR="00B528FD">
        <w:rPr>
          <w:rFonts w:ascii="Arial" w:hAnsi="Arial" w:cs="Arial"/>
          <w:sz w:val="22"/>
          <w:szCs w:val="22"/>
        </w:rPr>
        <w:t xml:space="preserve">will be used to track initial program implementation and effectiveness.  </w:t>
      </w:r>
      <w:r w:rsidR="00B72DC0">
        <w:rPr>
          <w:rFonts w:ascii="Arial" w:hAnsi="Arial" w:cs="Arial"/>
          <w:sz w:val="22"/>
          <w:szCs w:val="22"/>
        </w:rPr>
        <w:t xml:space="preserve">The data on grant tracking </w:t>
      </w:r>
      <w:r w:rsidR="00AB7476">
        <w:rPr>
          <w:rFonts w:ascii="Arial" w:hAnsi="Arial" w:cs="Arial"/>
          <w:sz w:val="22"/>
          <w:szCs w:val="22"/>
        </w:rPr>
        <w:t xml:space="preserve">is </w:t>
      </w:r>
      <w:r w:rsidR="00B72DC0">
        <w:rPr>
          <w:rFonts w:ascii="Arial" w:hAnsi="Arial" w:cs="Arial"/>
          <w:sz w:val="22"/>
          <w:szCs w:val="22"/>
        </w:rPr>
        <w:t>used to ensure that proper financial data is provided to support reimbursement and oversight of program development and administration.</w:t>
      </w:r>
    </w:p>
    <w:p w:rsidR="00562E4C" w:rsidRPr="00057E88" w:rsidRDefault="00562E4C" w:rsidP="00015E9C">
      <w:pPr>
        <w:widowControl/>
        <w:rPr>
          <w:rFonts w:ascii="Arial" w:hAnsi="Arial" w:cs="Arial"/>
          <w:sz w:val="22"/>
          <w:szCs w:val="22"/>
        </w:rPr>
      </w:pPr>
    </w:p>
    <w:p w:rsidR="00562E4C" w:rsidRPr="00057E88" w:rsidRDefault="00562E4C" w:rsidP="00015E9C">
      <w:pPr>
        <w:widowControl/>
        <w:tabs>
          <w:tab w:val="left" w:pos="-1440"/>
        </w:tabs>
        <w:ind w:left="720" w:hanging="720"/>
        <w:rPr>
          <w:rFonts w:ascii="Arial" w:hAnsi="Arial" w:cs="Arial"/>
          <w:sz w:val="22"/>
          <w:szCs w:val="22"/>
        </w:rPr>
      </w:pPr>
      <w:r w:rsidRPr="00057E88">
        <w:rPr>
          <w:rFonts w:ascii="Arial" w:hAnsi="Arial" w:cs="Arial"/>
          <w:sz w:val="22"/>
          <w:szCs w:val="22"/>
        </w:rPr>
        <w:t>3.</w:t>
      </w:r>
      <w:r w:rsidRPr="00057E88">
        <w:rPr>
          <w:rFonts w:ascii="Arial" w:hAnsi="Arial" w:cs="Arial"/>
          <w:sz w:val="22"/>
          <w:szCs w:val="22"/>
        </w:rPr>
        <w:tab/>
      </w:r>
      <w:r w:rsidRPr="00057E88">
        <w:rPr>
          <w:rFonts w:ascii="Arial" w:hAnsi="Arial" w:cs="Arial"/>
          <w:sz w:val="22"/>
          <w:szCs w:val="22"/>
          <w:u w:val="single"/>
        </w:rPr>
        <w:t>Information Technology</w:t>
      </w:r>
      <w:r w:rsidR="00AB7476">
        <w:rPr>
          <w:rFonts w:ascii="Arial" w:hAnsi="Arial" w:cs="Arial"/>
          <w:sz w:val="22"/>
          <w:szCs w:val="22"/>
        </w:rPr>
        <w:t xml:space="preserve">. </w:t>
      </w:r>
      <w:r w:rsidR="00B72DC0">
        <w:rPr>
          <w:rFonts w:ascii="Arial" w:hAnsi="Arial" w:cs="Arial"/>
          <w:sz w:val="22"/>
          <w:szCs w:val="22"/>
        </w:rPr>
        <w:t>Many of the reporting elements requi</w:t>
      </w:r>
      <w:r w:rsidR="00AB7476">
        <w:rPr>
          <w:rFonts w:ascii="Arial" w:hAnsi="Arial" w:cs="Arial"/>
          <w:sz w:val="22"/>
          <w:szCs w:val="22"/>
        </w:rPr>
        <w:t xml:space="preserve">red here involve narratives and, as such, are not </w:t>
      </w:r>
      <w:r w:rsidR="00B72DC0">
        <w:rPr>
          <w:rFonts w:ascii="Arial" w:hAnsi="Arial" w:cs="Arial"/>
          <w:sz w:val="22"/>
          <w:szCs w:val="22"/>
        </w:rPr>
        <w:t>supported by substantial automation</w:t>
      </w:r>
      <w:r w:rsidR="007A6402">
        <w:rPr>
          <w:rFonts w:ascii="Arial" w:hAnsi="Arial" w:cs="Arial"/>
          <w:sz w:val="22"/>
          <w:szCs w:val="22"/>
        </w:rPr>
        <w:t xml:space="preserve">. </w:t>
      </w:r>
      <w:r w:rsidR="00AB7476">
        <w:rPr>
          <w:rFonts w:ascii="Arial" w:hAnsi="Arial" w:cs="Arial"/>
          <w:sz w:val="22"/>
          <w:szCs w:val="22"/>
        </w:rPr>
        <w:t xml:space="preserve">Thus far, </w:t>
      </w:r>
      <w:r w:rsidR="00B72DC0">
        <w:rPr>
          <w:rFonts w:ascii="Arial" w:hAnsi="Arial" w:cs="Arial"/>
          <w:sz w:val="22"/>
          <w:szCs w:val="22"/>
        </w:rPr>
        <w:t xml:space="preserve">all of the materials states provide </w:t>
      </w:r>
      <w:r w:rsidR="00AB7476">
        <w:rPr>
          <w:rFonts w:ascii="Arial" w:hAnsi="Arial" w:cs="Arial"/>
          <w:sz w:val="22"/>
          <w:szCs w:val="22"/>
        </w:rPr>
        <w:t xml:space="preserve">have been </w:t>
      </w:r>
      <w:r w:rsidR="00B72DC0">
        <w:rPr>
          <w:rFonts w:ascii="Arial" w:hAnsi="Arial" w:cs="Arial"/>
          <w:sz w:val="22"/>
          <w:szCs w:val="22"/>
        </w:rPr>
        <w:t>electronic and provided through email.</w:t>
      </w:r>
    </w:p>
    <w:p w:rsidR="00562E4C" w:rsidRPr="00057E88" w:rsidRDefault="00562E4C" w:rsidP="00015E9C">
      <w:pPr>
        <w:widowControl/>
        <w:rPr>
          <w:rFonts w:ascii="Arial" w:hAnsi="Arial" w:cs="Arial"/>
          <w:sz w:val="22"/>
          <w:szCs w:val="22"/>
        </w:rPr>
      </w:pPr>
    </w:p>
    <w:p w:rsidR="00562E4C" w:rsidRPr="00057E88" w:rsidRDefault="00562E4C" w:rsidP="00015E9C">
      <w:pPr>
        <w:widowControl/>
        <w:tabs>
          <w:tab w:val="left" w:pos="-1440"/>
        </w:tabs>
        <w:ind w:left="720" w:hanging="720"/>
        <w:rPr>
          <w:rFonts w:ascii="Arial" w:hAnsi="Arial" w:cs="Arial"/>
          <w:sz w:val="22"/>
          <w:szCs w:val="22"/>
        </w:rPr>
      </w:pPr>
      <w:r w:rsidRPr="00057E88">
        <w:rPr>
          <w:rFonts w:ascii="Arial" w:hAnsi="Arial" w:cs="Arial"/>
          <w:sz w:val="22"/>
          <w:szCs w:val="22"/>
        </w:rPr>
        <w:lastRenderedPageBreak/>
        <w:t>4.</w:t>
      </w:r>
      <w:r w:rsidRPr="00057E88">
        <w:rPr>
          <w:rFonts w:ascii="Arial" w:hAnsi="Arial" w:cs="Arial"/>
          <w:sz w:val="22"/>
          <w:szCs w:val="22"/>
        </w:rPr>
        <w:tab/>
      </w:r>
      <w:r w:rsidRPr="00057E88">
        <w:rPr>
          <w:rFonts w:ascii="Arial" w:hAnsi="Arial" w:cs="Arial"/>
          <w:sz w:val="22"/>
          <w:szCs w:val="22"/>
          <w:u w:val="single"/>
        </w:rPr>
        <w:t>Duplication</w:t>
      </w:r>
      <w:r w:rsidR="00683CEA">
        <w:rPr>
          <w:rFonts w:ascii="Arial" w:hAnsi="Arial" w:cs="Arial"/>
          <w:sz w:val="22"/>
          <w:szCs w:val="22"/>
        </w:rPr>
        <w:t>.  The</w:t>
      </w:r>
      <w:r w:rsidRPr="00057E88">
        <w:rPr>
          <w:rFonts w:ascii="Arial" w:hAnsi="Arial" w:cs="Arial"/>
          <w:sz w:val="22"/>
          <w:szCs w:val="22"/>
        </w:rPr>
        <w:t>s</w:t>
      </w:r>
      <w:r w:rsidR="00683CEA">
        <w:rPr>
          <w:rFonts w:ascii="Arial" w:hAnsi="Arial" w:cs="Arial"/>
          <w:sz w:val="22"/>
          <w:szCs w:val="22"/>
        </w:rPr>
        <w:t>e</w:t>
      </w:r>
      <w:r w:rsidRPr="00057E88">
        <w:rPr>
          <w:rFonts w:ascii="Arial" w:hAnsi="Arial" w:cs="Arial"/>
          <w:sz w:val="22"/>
          <w:szCs w:val="22"/>
        </w:rPr>
        <w:t xml:space="preserve"> data is not available from other sources</w:t>
      </w:r>
      <w:r w:rsidR="007A6402">
        <w:rPr>
          <w:rFonts w:ascii="Arial" w:hAnsi="Arial" w:cs="Arial"/>
          <w:sz w:val="22"/>
          <w:szCs w:val="22"/>
        </w:rPr>
        <w:t xml:space="preserve"> in any manner.  </w:t>
      </w:r>
    </w:p>
    <w:p w:rsidR="00562E4C" w:rsidRPr="00057E88" w:rsidRDefault="00562E4C" w:rsidP="00015E9C">
      <w:pPr>
        <w:widowControl/>
        <w:rPr>
          <w:rFonts w:ascii="Arial" w:hAnsi="Arial" w:cs="Arial"/>
          <w:sz w:val="22"/>
          <w:szCs w:val="22"/>
        </w:rPr>
      </w:pPr>
    </w:p>
    <w:p w:rsidR="00562E4C" w:rsidRPr="00057E88" w:rsidRDefault="00562E4C" w:rsidP="00015E9C">
      <w:pPr>
        <w:widowControl/>
        <w:tabs>
          <w:tab w:val="left" w:pos="-1440"/>
        </w:tabs>
        <w:ind w:left="720" w:hanging="720"/>
        <w:rPr>
          <w:rFonts w:ascii="Arial" w:hAnsi="Arial" w:cs="Arial"/>
          <w:sz w:val="22"/>
          <w:szCs w:val="22"/>
        </w:rPr>
      </w:pPr>
      <w:r w:rsidRPr="00057E88">
        <w:rPr>
          <w:rFonts w:ascii="Arial" w:hAnsi="Arial" w:cs="Arial"/>
          <w:sz w:val="22"/>
          <w:szCs w:val="22"/>
        </w:rPr>
        <w:t>5.</w:t>
      </w:r>
      <w:r w:rsidRPr="00057E88">
        <w:rPr>
          <w:rFonts w:ascii="Arial" w:hAnsi="Arial" w:cs="Arial"/>
          <w:sz w:val="22"/>
          <w:szCs w:val="22"/>
        </w:rPr>
        <w:tab/>
      </w:r>
      <w:r w:rsidRPr="00057E88">
        <w:rPr>
          <w:rFonts w:ascii="Arial" w:hAnsi="Arial" w:cs="Arial"/>
          <w:sz w:val="22"/>
          <w:szCs w:val="22"/>
          <w:u w:val="single"/>
        </w:rPr>
        <w:t>Small Entities</w:t>
      </w:r>
      <w:r w:rsidRPr="00057E88">
        <w:rPr>
          <w:rFonts w:ascii="Arial" w:hAnsi="Arial" w:cs="Arial"/>
          <w:sz w:val="22"/>
          <w:szCs w:val="22"/>
        </w:rPr>
        <w:t>.  There is no impact on small businesses.</w:t>
      </w:r>
      <w:r w:rsidR="00015E9C">
        <w:rPr>
          <w:rFonts w:ascii="Arial" w:hAnsi="Arial" w:cs="Arial"/>
          <w:sz w:val="22"/>
          <w:szCs w:val="22"/>
        </w:rPr>
        <w:t xml:space="preserve">  </w:t>
      </w:r>
      <w:r w:rsidR="007A6402">
        <w:rPr>
          <w:rFonts w:ascii="Arial" w:hAnsi="Arial" w:cs="Arial"/>
          <w:sz w:val="22"/>
          <w:szCs w:val="22"/>
        </w:rPr>
        <w:t>Only state workforce agencies are respondents to this collection.</w:t>
      </w:r>
    </w:p>
    <w:p w:rsidR="00562E4C" w:rsidRPr="00057E88" w:rsidRDefault="00562E4C" w:rsidP="00015E9C">
      <w:pPr>
        <w:widowControl/>
        <w:rPr>
          <w:rFonts w:ascii="Arial" w:hAnsi="Arial" w:cs="Arial"/>
          <w:sz w:val="22"/>
          <w:szCs w:val="22"/>
        </w:rPr>
      </w:pPr>
    </w:p>
    <w:p w:rsidR="00562E4C" w:rsidRPr="00057E88" w:rsidRDefault="00562E4C" w:rsidP="00015E9C">
      <w:pPr>
        <w:widowControl/>
        <w:rPr>
          <w:rFonts w:ascii="Arial" w:hAnsi="Arial" w:cs="Arial"/>
          <w:sz w:val="22"/>
          <w:szCs w:val="22"/>
        </w:rPr>
        <w:sectPr w:rsidR="00562E4C" w:rsidRPr="00057E88">
          <w:footerReference w:type="even" r:id="rId7"/>
          <w:footerReference w:type="default" r:id="rId8"/>
          <w:endnotePr>
            <w:numFmt w:val="decimal"/>
          </w:endnotePr>
          <w:type w:val="continuous"/>
          <w:pgSz w:w="12240" w:h="15840" w:code="1"/>
          <w:pgMar w:top="1152" w:right="1296" w:bottom="1152" w:left="1440" w:header="1152" w:footer="1152" w:gutter="0"/>
          <w:cols w:space="720"/>
          <w:noEndnote/>
        </w:sectPr>
      </w:pPr>
    </w:p>
    <w:p w:rsidR="007A6402" w:rsidRDefault="00562E4C" w:rsidP="007A6402">
      <w:pPr>
        <w:spacing w:after="120"/>
        <w:ind w:left="720" w:hanging="720"/>
        <w:rPr>
          <w:rFonts w:ascii="Arial" w:hAnsi="Arial" w:cs="Arial"/>
          <w:sz w:val="22"/>
          <w:szCs w:val="22"/>
        </w:rPr>
      </w:pPr>
      <w:r w:rsidRPr="00057E88">
        <w:rPr>
          <w:rFonts w:ascii="Arial" w:hAnsi="Arial" w:cs="Arial"/>
          <w:sz w:val="22"/>
          <w:szCs w:val="22"/>
        </w:rPr>
        <w:lastRenderedPageBreak/>
        <w:t>6.</w:t>
      </w:r>
      <w:r w:rsidRPr="00057E88">
        <w:rPr>
          <w:rFonts w:ascii="Arial" w:hAnsi="Arial" w:cs="Arial"/>
          <w:sz w:val="22"/>
          <w:szCs w:val="22"/>
        </w:rPr>
        <w:tab/>
      </w:r>
      <w:r w:rsidRPr="00057E88">
        <w:rPr>
          <w:rFonts w:ascii="Arial" w:hAnsi="Arial" w:cs="Arial"/>
          <w:sz w:val="22"/>
          <w:szCs w:val="22"/>
          <w:u w:val="single"/>
        </w:rPr>
        <w:t>Consequences of Not Collecting or Collecting Less Frequently</w:t>
      </w:r>
      <w:r w:rsidRPr="00057E88">
        <w:rPr>
          <w:rFonts w:ascii="Arial" w:hAnsi="Arial" w:cs="Arial"/>
          <w:sz w:val="22"/>
          <w:szCs w:val="22"/>
        </w:rPr>
        <w:t xml:space="preserve">. </w:t>
      </w:r>
      <w:r w:rsidR="007A6402" w:rsidRPr="003451C0">
        <w:rPr>
          <w:rFonts w:ascii="Arial" w:hAnsi="Arial" w:cs="Arial"/>
          <w:sz w:val="22"/>
          <w:szCs w:val="22"/>
        </w:rPr>
        <w:t>If th</w:t>
      </w:r>
      <w:r w:rsidR="007A6402">
        <w:rPr>
          <w:rFonts w:ascii="Arial" w:hAnsi="Arial" w:cs="Arial"/>
          <w:sz w:val="22"/>
          <w:szCs w:val="22"/>
        </w:rPr>
        <w:t>ese</w:t>
      </w:r>
      <w:r w:rsidR="007A6402" w:rsidRPr="003451C0">
        <w:rPr>
          <w:rFonts w:ascii="Arial" w:hAnsi="Arial" w:cs="Arial"/>
          <w:sz w:val="22"/>
          <w:szCs w:val="22"/>
        </w:rPr>
        <w:t xml:space="preserve"> data were collected less frequently, </w:t>
      </w:r>
      <w:r w:rsidR="007A6402">
        <w:rPr>
          <w:rFonts w:ascii="Arial" w:hAnsi="Arial" w:cs="Arial"/>
          <w:sz w:val="22"/>
          <w:szCs w:val="22"/>
        </w:rPr>
        <w:t>ETA’s ability to carry out its statutory oversight responsibilities and document state issues in implementing the programs would be compromised.</w:t>
      </w:r>
    </w:p>
    <w:p w:rsidR="00562E4C" w:rsidRPr="00057E88" w:rsidRDefault="00562E4C" w:rsidP="00015E9C">
      <w:pPr>
        <w:widowControl/>
        <w:tabs>
          <w:tab w:val="left" w:pos="-1440"/>
        </w:tabs>
        <w:ind w:left="720" w:hanging="720"/>
        <w:rPr>
          <w:rFonts w:ascii="Arial" w:hAnsi="Arial" w:cs="Arial"/>
          <w:sz w:val="22"/>
          <w:szCs w:val="22"/>
        </w:rPr>
      </w:pPr>
      <w:r w:rsidRPr="00057E88">
        <w:rPr>
          <w:rFonts w:ascii="Arial" w:hAnsi="Arial" w:cs="Arial"/>
          <w:sz w:val="22"/>
          <w:szCs w:val="22"/>
        </w:rPr>
        <w:t>7.</w:t>
      </w:r>
      <w:r w:rsidRPr="00057E88">
        <w:rPr>
          <w:rFonts w:ascii="Arial" w:hAnsi="Arial" w:cs="Arial"/>
          <w:sz w:val="22"/>
          <w:szCs w:val="22"/>
        </w:rPr>
        <w:tab/>
      </w:r>
      <w:r w:rsidRPr="00057E88">
        <w:rPr>
          <w:rFonts w:ascii="Arial" w:hAnsi="Arial" w:cs="Arial"/>
          <w:sz w:val="22"/>
          <w:szCs w:val="22"/>
          <w:u w:val="single"/>
        </w:rPr>
        <w:t>5 CFR 1320.5.</w:t>
      </w:r>
      <w:r w:rsidRPr="00057E88">
        <w:rPr>
          <w:rFonts w:ascii="Arial" w:hAnsi="Arial" w:cs="Arial"/>
          <w:sz w:val="22"/>
          <w:szCs w:val="22"/>
        </w:rPr>
        <w:t xml:space="preserve">  </w:t>
      </w:r>
      <w:r w:rsidR="001C0FCC">
        <w:rPr>
          <w:rFonts w:ascii="Arial" w:hAnsi="Arial" w:cs="Arial"/>
          <w:sz w:val="22"/>
          <w:szCs w:val="22"/>
        </w:rPr>
        <w:t xml:space="preserve">Because the directive serves as the information collection, ETA’s intention is to put the OMB information on the collection number, estimated burden and expiration date within the text of the UIPL.  It </w:t>
      </w:r>
      <w:r w:rsidR="00621879">
        <w:rPr>
          <w:rFonts w:ascii="Arial" w:hAnsi="Arial" w:cs="Arial"/>
          <w:sz w:val="22"/>
          <w:szCs w:val="22"/>
        </w:rPr>
        <w:t xml:space="preserve">is </w:t>
      </w:r>
      <w:r w:rsidR="001C0FCC">
        <w:rPr>
          <w:rFonts w:ascii="Arial" w:hAnsi="Arial" w:cs="Arial"/>
          <w:sz w:val="22"/>
          <w:szCs w:val="22"/>
        </w:rPr>
        <w:t xml:space="preserve">prominently displayed within the reporting section.  </w:t>
      </w:r>
    </w:p>
    <w:p w:rsidR="00562E4C" w:rsidRPr="00057E88" w:rsidRDefault="00562E4C" w:rsidP="00015E9C">
      <w:pPr>
        <w:widowControl/>
        <w:rPr>
          <w:rFonts w:ascii="Arial" w:hAnsi="Arial" w:cs="Arial"/>
          <w:sz w:val="22"/>
          <w:szCs w:val="22"/>
        </w:rPr>
      </w:pPr>
    </w:p>
    <w:p w:rsidR="00FA453D" w:rsidRPr="00CE440F" w:rsidRDefault="00562E4C" w:rsidP="00015E9C">
      <w:pPr>
        <w:widowControl/>
        <w:numPr>
          <w:ilvl w:val="0"/>
          <w:numId w:val="1"/>
        </w:numPr>
        <w:tabs>
          <w:tab w:val="left" w:pos="-1440"/>
        </w:tabs>
        <w:ind w:hanging="720"/>
        <w:rPr>
          <w:rFonts w:ascii="Arial" w:hAnsi="Arial" w:cs="Arial"/>
          <w:sz w:val="22"/>
          <w:szCs w:val="22"/>
        </w:rPr>
      </w:pPr>
      <w:r w:rsidRPr="0020165F">
        <w:rPr>
          <w:rFonts w:ascii="Arial" w:hAnsi="Arial" w:cs="Arial"/>
          <w:sz w:val="22"/>
          <w:szCs w:val="22"/>
          <w:u w:val="single"/>
        </w:rPr>
        <w:t xml:space="preserve">Publication in Federal Register </w:t>
      </w:r>
      <w:r w:rsidR="00CE440F" w:rsidRPr="00CE440F">
        <w:rPr>
          <w:rFonts w:ascii="Arial" w:hAnsi="Arial" w:cs="Arial"/>
          <w:sz w:val="22"/>
          <w:szCs w:val="22"/>
        </w:rPr>
        <w:t>A Notice was published in the Federal Register on August 13, 2012 (Vol. 77, 0 48175 et seq.) for sixty days’ public comments.  No comments were received.</w:t>
      </w:r>
    </w:p>
    <w:p w:rsidR="00CE440F" w:rsidRPr="0020165F" w:rsidRDefault="00CE440F" w:rsidP="00CE440F">
      <w:pPr>
        <w:widowControl/>
        <w:tabs>
          <w:tab w:val="left" w:pos="-1440"/>
        </w:tabs>
        <w:rPr>
          <w:rFonts w:ascii="Arial" w:hAnsi="Arial" w:cs="Arial"/>
          <w:sz w:val="22"/>
          <w:szCs w:val="22"/>
        </w:rPr>
      </w:pPr>
    </w:p>
    <w:p w:rsidR="00562E4C" w:rsidRPr="00057E88" w:rsidRDefault="00562E4C" w:rsidP="00015E9C">
      <w:pPr>
        <w:widowControl/>
        <w:numPr>
          <w:ilvl w:val="0"/>
          <w:numId w:val="1"/>
        </w:numPr>
        <w:tabs>
          <w:tab w:val="left" w:pos="-1440"/>
        </w:tabs>
        <w:ind w:hanging="720"/>
        <w:rPr>
          <w:rFonts w:ascii="Arial" w:hAnsi="Arial" w:cs="Arial"/>
          <w:sz w:val="22"/>
          <w:szCs w:val="22"/>
        </w:rPr>
      </w:pPr>
      <w:r w:rsidRPr="00057E88">
        <w:rPr>
          <w:rFonts w:ascii="Arial" w:hAnsi="Arial" w:cs="Arial"/>
          <w:sz w:val="22"/>
          <w:szCs w:val="22"/>
          <w:u w:val="single"/>
        </w:rPr>
        <w:t>Payment to Respondents</w:t>
      </w:r>
      <w:r w:rsidRPr="00057E88">
        <w:rPr>
          <w:rFonts w:ascii="Arial" w:hAnsi="Arial" w:cs="Arial"/>
          <w:sz w:val="22"/>
          <w:szCs w:val="22"/>
        </w:rPr>
        <w:t xml:space="preserve">.  </w:t>
      </w:r>
      <w:r w:rsidR="00363628" w:rsidRPr="00057E88">
        <w:rPr>
          <w:rFonts w:ascii="Arial" w:hAnsi="Arial" w:cs="Arial"/>
          <w:sz w:val="22"/>
          <w:szCs w:val="22"/>
        </w:rPr>
        <w:t>N</w:t>
      </w:r>
      <w:r w:rsidRPr="00057E88">
        <w:rPr>
          <w:rFonts w:ascii="Arial" w:hAnsi="Arial" w:cs="Arial"/>
          <w:sz w:val="22"/>
          <w:szCs w:val="22"/>
        </w:rPr>
        <w:t xml:space="preserve">o payments </w:t>
      </w:r>
      <w:r w:rsidR="00363628" w:rsidRPr="00057E88">
        <w:rPr>
          <w:rFonts w:ascii="Arial" w:hAnsi="Arial" w:cs="Arial"/>
          <w:sz w:val="22"/>
          <w:szCs w:val="22"/>
        </w:rPr>
        <w:t xml:space="preserve">are </w:t>
      </w:r>
      <w:r w:rsidRPr="00057E88">
        <w:rPr>
          <w:rFonts w:ascii="Arial" w:hAnsi="Arial" w:cs="Arial"/>
          <w:sz w:val="22"/>
          <w:szCs w:val="22"/>
        </w:rPr>
        <w:t>made to respondents.</w:t>
      </w:r>
    </w:p>
    <w:p w:rsidR="00562E4C" w:rsidRPr="00057E88" w:rsidRDefault="00562E4C" w:rsidP="00015E9C">
      <w:pPr>
        <w:widowControl/>
        <w:tabs>
          <w:tab w:val="left" w:pos="-1440"/>
        </w:tabs>
        <w:rPr>
          <w:rFonts w:ascii="Arial" w:hAnsi="Arial" w:cs="Arial"/>
          <w:sz w:val="22"/>
          <w:szCs w:val="22"/>
        </w:rPr>
      </w:pPr>
    </w:p>
    <w:p w:rsidR="00562E4C" w:rsidRPr="00057E88" w:rsidRDefault="00562E4C" w:rsidP="00015E9C">
      <w:pPr>
        <w:widowControl/>
        <w:tabs>
          <w:tab w:val="left" w:pos="-1440"/>
        </w:tabs>
        <w:ind w:left="720" w:hanging="720"/>
        <w:rPr>
          <w:rFonts w:ascii="Arial" w:hAnsi="Arial" w:cs="Arial"/>
          <w:sz w:val="22"/>
          <w:szCs w:val="22"/>
        </w:rPr>
      </w:pPr>
      <w:r w:rsidRPr="00057E88">
        <w:rPr>
          <w:rFonts w:ascii="Arial" w:hAnsi="Arial" w:cs="Arial"/>
          <w:sz w:val="22"/>
          <w:szCs w:val="22"/>
        </w:rPr>
        <w:t>10.</w:t>
      </w:r>
      <w:r w:rsidRPr="00057E88">
        <w:rPr>
          <w:rFonts w:ascii="Arial" w:hAnsi="Arial" w:cs="Arial"/>
          <w:sz w:val="22"/>
          <w:szCs w:val="22"/>
        </w:rPr>
        <w:tab/>
      </w:r>
      <w:r w:rsidRPr="00057E88">
        <w:rPr>
          <w:rFonts w:ascii="Arial" w:hAnsi="Arial" w:cs="Arial"/>
          <w:sz w:val="22"/>
          <w:szCs w:val="22"/>
          <w:u w:val="single"/>
        </w:rPr>
        <w:t>Confidentiality</w:t>
      </w:r>
      <w:r w:rsidRPr="00057E88">
        <w:rPr>
          <w:rFonts w:ascii="Arial" w:hAnsi="Arial" w:cs="Arial"/>
          <w:sz w:val="22"/>
          <w:szCs w:val="22"/>
        </w:rPr>
        <w:t>.  The ETA 5159 reports contain no personal or confidential data.</w:t>
      </w:r>
    </w:p>
    <w:p w:rsidR="00562E4C" w:rsidRPr="00057E88" w:rsidRDefault="00562E4C" w:rsidP="00015E9C">
      <w:pPr>
        <w:widowControl/>
        <w:rPr>
          <w:rFonts w:ascii="Arial" w:hAnsi="Arial" w:cs="Arial"/>
          <w:sz w:val="22"/>
          <w:szCs w:val="22"/>
        </w:rPr>
      </w:pPr>
    </w:p>
    <w:p w:rsidR="00562E4C" w:rsidRPr="00057E88" w:rsidRDefault="00562E4C" w:rsidP="00015E9C">
      <w:pPr>
        <w:widowControl/>
        <w:tabs>
          <w:tab w:val="left" w:pos="-1440"/>
        </w:tabs>
        <w:ind w:left="720" w:hanging="720"/>
        <w:rPr>
          <w:rFonts w:ascii="Arial" w:hAnsi="Arial" w:cs="Arial"/>
          <w:sz w:val="22"/>
          <w:szCs w:val="22"/>
        </w:rPr>
      </w:pPr>
      <w:r w:rsidRPr="00057E88">
        <w:rPr>
          <w:rFonts w:ascii="Arial" w:hAnsi="Arial" w:cs="Arial"/>
          <w:sz w:val="22"/>
          <w:szCs w:val="22"/>
        </w:rPr>
        <w:t>11.</w:t>
      </w:r>
      <w:r w:rsidRPr="00057E88">
        <w:rPr>
          <w:rFonts w:ascii="Arial" w:hAnsi="Arial" w:cs="Arial"/>
          <w:sz w:val="22"/>
          <w:szCs w:val="22"/>
        </w:rPr>
        <w:tab/>
      </w:r>
      <w:r w:rsidRPr="00057E88">
        <w:rPr>
          <w:rFonts w:ascii="Arial" w:hAnsi="Arial" w:cs="Arial"/>
          <w:sz w:val="22"/>
          <w:szCs w:val="22"/>
          <w:u w:val="single"/>
        </w:rPr>
        <w:t>Sensitive Questions</w:t>
      </w:r>
      <w:r w:rsidRPr="00057E88">
        <w:rPr>
          <w:rFonts w:ascii="Arial" w:hAnsi="Arial" w:cs="Arial"/>
          <w:sz w:val="22"/>
          <w:szCs w:val="22"/>
        </w:rPr>
        <w:t>.  There are no questions of a sensitive nature.</w:t>
      </w:r>
    </w:p>
    <w:p w:rsidR="00562E4C" w:rsidRPr="00057E88" w:rsidRDefault="00562E4C" w:rsidP="00015E9C">
      <w:pPr>
        <w:widowControl/>
        <w:rPr>
          <w:rFonts w:ascii="Arial" w:hAnsi="Arial" w:cs="Arial"/>
          <w:sz w:val="22"/>
          <w:szCs w:val="22"/>
        </w:rPr>
      </w:pPr>
    </w:p>
    <w:p w:rsidR="00AD1C4A" w:rsidRPr="00172439" w:rsidRDefault="00562E4C" w:rsidP="00AD1C4A">
      <w:pPr>
        <w:widowControl/>
        <w:numPr>
          <w:ilvl w:val="0"/>
          <w:numId w:val="2"/>
        </w:numPr>
        <w:tabs>
          <w:tab w:val="left" w:pos="-1440"/>
        </w:tabs>
        <w:ind w:hanging="720"/>
        <w:rPr>
          <w:rFonts w:ascii="Arial" w:hAnsi="Arial" w:cs="Arial"/>
          <w:sz w:val="22"/>
          <w:szCs w:val="22"/>
          <w:u w:val="single"/>
        </w:rPr>
      </w:pPr>
      <w:r w:rsidRPr="00172439">
        <w:rPr>
          <w:rFonts w:ascii="Arial" w:hAnsi="Arial" w:cs="Arial"/>
          <w:sz w:val="22"/>
          <w:szCs w:val="22"/>
          <w:u w:val="single"/>
        </w:rPr>
        <w:t>Burden Hours</w:t>
      </w:r>
      <w:r w:rsidRPr="00172439">
        <w:rPr>
          <w:rFonts w:ascii="Arial" w:hAnsi="Arial" w:cs="Arial"/>
          <w:sz w:val="22"/>
          <w:szCs w:val="22"/>
        </w:rPr>
        <w:t xml:space="preserve">.  </w:t>
      </w:r>
      <w:r w:rsidR="00C83087" w:rsidRPr="00172439">
        <w:rPr>
          <w:rFonts w:ascii="Arial" w:hAnsi="Arial" w:cs="Arial"/>
          <w:sz w:val="22"/>
          <w:szCs w:val="22"/>
        </w:rPr>
        <w:t xml:space="preserve">ETA </w:t>
      </w:r>
      <w:r w:rsidR="00621879">
        <w:rPr>
          <w:rFonts w:ascii="Arial" w:hAnsi="Arial" w:cs="Arial"/>
          <w:sz w:val="22"/>
          <w:szCs w:val="22"/>
        </w:rPr>
        <w:t xml:space="preserve">has </w:t>
      </w:r>
      <w:r w:rsidR="00C83087" w:rsidRPr="00172439">
        <w:rPr>
          <w:rFonts w:ascii="Arial" w:hAnsi="Arial" w:cs="Arial"/>
          <w:sz w:val="22"/>
          <w:szCs w:val="22"/>
        </w:rPr>
        <w:t>release</w:t>
      </w:r>
      <w:r w:rsidR="00621879">
        <w:rPr>
          <w:rFonts w:ascii="Arial" w:hAnsi="Arial" w:cs="Arial"/>
          <w:sz w:val="22"/>
          <w:szCs w:val="22"/>
        </w:rPr>
        <w:t>d</w:t>
      </w:r>
      <w:r w:rsidR="00C83087" w:rsidRPr="00172439">
        <w:rPr>
          <w:rFonts w:ascii="Arial" w:hAnsi="Arial" w:cs="Arial"/>
          <w:sz w:val="22"/>
          <w:szCs w:val="22"/>
        </w:rPr>
        <w:t xml:space="preserve"> all STC guidance</w:t>
      </w:r>
      <w:r w:rsidR="00AD1C4A" w:rsidRPr="00172439">
        <w:rPr>
          <w:rFonts w:ascii="Arial" w:hAnsi="Arial" w:cs="Arial"/>
          <w:sz w:val="22"/>
          <w:szCs w:val="22"/>
        </w:rPr>
        <w:t xml:space="preserve"> through three directives.  </w:t>
      </w:r>
      <w:r w:rsidR="00C83087" w:rsidRPr="00172439">
        <w:rPr>
          <w:rFonts w:ascii="Arial" w:hAnsi="Arial" w:cs="Arial"/>
          <w:sz w:val="22"/>
          <w:szCs w:val="22"/>
        </w:rPr>
        <w:t>Th</w:t>
      </w:r>
      <w:r w:rsidR="00621879">
        <w:rPr>
          <w:rFonts w:ascii="Arial" w:hAnsi="Arial" w:cs="Arial"/>
          <w:sz w:val="22"/>
          <w:szCs w:val="22"/>
        </w:rPr>
        <w:t xml:space="preserve">ese directives, </w:t>
      </w:r>
      <w:r w:rsidR="00C83087" w:rsidRPr="00172439">
        <w:rPr>
          <w:rFonts w:ascii="Arial" w:hAnsi="Arial" w:cs="Arial"/>
          <w:sz w:val="22"/>
          <w:szCs w:val="22"/>
        </w:rPr>
        <w:t>Unemployment Insurance Program Letter</w:t>
      </w:r>
      <w:r w:rsidR="00AD1C4A" w:rsidRPr="00172439">
        <w:rPr>
          <w:rFonts w:ascii="Arial" w:hAnsi="Arial" w:cs="Arial"/>
          <w:sz w:val="22"/>
          <w:szCs w:val="22"/>
        </w:rPr>
        <w:t>s</w:t>
      </w:r>
      <w:r w:rsidR="00C83087" w:rsidRPr="00172439">
        <w:rPr>
          <w:rFonts w:ascii="Arial" w:hAnsi="Arial" w:cs="Arial"/>
          <w:sz w:val="22"/>
          <w:szCs w:val="22"/>
        </w:rPr>
        <w:t xml:space="preserve"> (UIPL</w:t>
      </w:r>
      <w:r w:rsidR="00AD1C4A" w:rsidRPr="00172439">
        <w:rPr>
          <w:rFonts w:ascii="Arial" w:hAnsi="Arial" w:cs="Arial"/>
          <w:sz w:val="22"/>
          <w:szCs w:val="22"/>
        </w:rPr>
        <w:t>s</w:t>
      </w:r>
      <w:r w:rsidR="00C83087" w:rsidRPr="00172439">
        <w:rPr>
          <w:rFonts w:ascii="Arial" w:hAnsi="Arial" w:cs="Arial"/>
          <w:sz w:val="22"/>
          <w:szCs w:val="22"/>
        </w:rPr>
        <w:t>)</w:t>
      </w:r>
      <w:r w:rsidR="00AD1C4A" w:rsidRPr="00172439">
        <w:rPr>
          <w:rFonts w:ascii="Arial" w:hAnsi="Arial" w:cs="Arial"/>
          <w:sz w:val="22"/>
          <w:szCs w:val="22"/>
        </w:rPr>
        <w:t xml:space="preserve">, are </w:t>
      </w:r>
      <w:r w:rsidR="00C83087" w:rsidRPr="00172439">
        <w:rPr>
          <w:rFonts w:ascii="Arial" w:hAnsi="Arial" w:cs="Arial"/>
          <w:sz w:val="22"/>
          <w:szCs w:val="22"/>
        </w:rPr>
        <w:t xml:space="preserve">the </w:t>
      </w:r>
      <w:r w:rsidR="00AD1C4A" w:rsidRPr="00172439">
        <w:rPr>
          <w:rFonts w:ascii="Arial" w:hAnsi="Arial" w:cs="Arial"/>
          <w:sz w:val="22"/>
          <w:szCs w:val="22"/>
        </w:rPr>
        <w:t xml:space="preserve">official method </w:t>
      </w:r>
      <w:r w:rsidR="00C83087" w:rsidRPr="00172439">
        <w:rPr>
          <w:rFonts w:ascii="Arial" w:hAnsi="Arial" w:cs="Arial"/>
          <w:sz w:val="22"/>
          <w:szCs w:val="22"/>
        </w:rPr>
        <w:t>for ETA to provide guidance to states</w:t>
      </w:r>
      <w:r w:rsidR="00AD1C4A" w:rsidRPr="00172439">
        <w:rPr>
          <w:rFonts w:ascii="Arial" w:hAnsi="Arial" w:cs="Arial"/>
          <w:sz w:val="22"/>
          <w:szCs w:val="22"/>
        </w:rPr>
        <w:t xml:space="preserve"> and to interpret Federal law for our state partners</w:t>
      </w:r>
      <w:r w:rsidR="00C83087" w:rsidRPr="00172439">
        <w:rPr>
          <w:rFonts w:ascii="Arial" w:hAnsi="Arial" w:cs="Arial"/>
          <w:sz w:val="22"/>
          <w:szCs w:val="22"/>
        </w:rPr>
        <w:t xml:space="preserve">.  </w:t>
      </w:r>
      <w:r w:rsidR="00AD1C4A" w:rsidRPr="00172439">
        <w:rPr>
          <w:rFonts w:ascii="Arial" w:hAnsi="Arial" w:cs="Arial"/>
          <w:sz w:val="22"/>
          <w:szCs w:val="22"/>
        </w:rPr>
        <w:t xml:space="preserve">The three UIPLs track with the three broad aspects of law changes in the MCTRJC: changes to the underlying federal laws for STC, opportunities for states with existing STC program to get grants to enhance or promote their systems, and finally, a new federal STC program for those states that do not currently operate an STC program. </w:t>
      </w:r>
      <w:r w:rsidR="00172439" w:rsidRPr="00172439">
        <w:rPr>
          <w:rFonts w:ascii="Arial" w:hAnsi="Arial" w:cs="Arial"/>
          <w:sz w:val="22"/>
          <w:szCs w:val="22"/>
        </w:rPr>
        <w:t>The UIPLs provide great detail on their underlying statutory authority, as well as citations and requirements</w:t>
      </w:r>
      <w:r w:rsidR="00621879">
        <w:rPr>
          <w:rFonts w:ascii="Arial" w:hAnsi="Arial" w:cs="Arial"/>
          <w:sz w:val="22"/>
          <w:szCs w:val="22"/>
        </w:rPr>
        <w:t>.</w:t>
      </w:r>
      <w:r w:rsidR="00172439" w:rsidRPr="00172439">
        <w:rPr>
          <w:rFonts w:ascii="Arial" w:hAnsi="Arial" w:cs="Arial"/>
          <w:sz w:val="22"/>
          <w:szCs w:val="22"/>
        </w:rPr>
        <w:t xml:space="preserve"> </w:t>
      </w:r>
      <w:r w:rsidR="00621879">
        <w:rPr>
          <w:rFonts w:ascii="Arial" w:hAnsi="Arial" w:cs="Arial"/>
          <w:sz w:val="22"/>
          <w:szCs w:val="22"/>
        </w:rPr>
        <w:t>E</w:t>
      </w:r>
      <w:r w:rsidR="00172439" w:rsidRPr="00172439">
        <w:rPr>
          <w:rFonts w:ascii="Arial" w:hAnsi="Arial" w:cs="Arial"/>
          <w:sz w:val="22"/>
          <w:szCs w:val="22"/>
        </w:rPr>
        <w:t>ach UIPL deals with a slightly different aspect of subtitle D of the MCTRJC</w:t>
      </w:r>
      <w:r w:rsidR="00621879">
        <w:rPr>
          <w:rFonts w:ascii="Arial" w:hAnsi="Arial" w:cs="Arial"/>
          <w:sz w:val="22"/>
          <w:szCs w:val="22"/>
        </w:rPr>
        <w:t xml:space="preserve"> and provides </w:t>
      </w:r>
      <w:r w:rsidR="00172439" w:rsidRPr="00172439">
        <w:rPr>
          <w:rFonts w:ascii="Arial" w:hAnsi="Arial" w:cs="Arial"/>
          <w:sz w:val="22"/>
          <w:szCs w:val="22"/>
        </w:rPr>
        <w:t xml:space="preserve">a complete summary of relevant statutory citations.  </w:t>
      </w:r>
    </w:p>
    <w:p w:rsidR="00172439" w:rsidRPr="00172439" w:rsidRDefault="00172439" w:rsidP="00172439">
      <w:pPr>
        <w:widowControl/>
        <w:tabs>
          <w:tab w:val="left" w:pos="-1440"/>
        </w:tabs>
        <w:ind w:left="720"/>
        <w:rPr>
          <w:rFonts w:ascii="Arial" w:hAnsi="Arial" w:cs="Arial"/>
          <w:sz w:val="22"/>
          <w:szCs w:val="22"/>
          <w:u w:val="single"/>
        </w:rPr>
      </w:pPr>
    </w:p>
    <w:p w:rsidR="005920D9" w:rsidRDefault="00AD1C4A" w:rsidP="00A60160">
      <w:pPr>
        <w:widowControl/>
        <w:tabs>
          <w:tab w:val="left" w:pos="-1440"/>
        </w:tabs>
        <w:ind w:left="720"/>
        <w:rPr>
          <w:rFonts w:ascii="Arial" w:hAnsi="Arial" w:cs="Arial"/>
          <w:sz w:val="22"/>
          <w:szCs w:val="22"/>
        </w:rPr>
      </w:pPr>
      <w:r>
        <w:rPr>
          <w:rFonts w:ascii="Arial" w:hAnsi="Arial" w:cs="Arial"/>
          <w:sz w:val="22"/>
          <w:szCs w:val="22"/>
        </w:rPr>
        <w:t xml:space="preserve">The </w:t>
      </w:r>
      <w:r w:rsidR="00EF0676">
        <w:rPr>
          <w:rFonts w:ascii="Arial" w:hAnsi="Arial" w:cs="Arial"/>
          <w:sz w:val="22"/>
          <w:szCs w:val="22"/>
        </w:rPr>
        <w:t>General STC UIPL</w:t>
      </w:r>
      <w:r>
        <w:rPr>
          <w:rFonts w:ascii="Arial" w:hAnsi="Arial" w:cs="Arial"/>
          <w:sz w:val="22"/>
          <w:szCs w:val="22"/>
        </w:rPr>
        <w:t xml:space="preserve"> describes changes to underlying federal laws for </w:t>
      </w:r>
      <w:r w:rsidR="003A3233">
        <w:rPr>
          <w:rFonts w:ascii="Arial" w:hAnsi="Arial" w:cs="Arial"/>
          <w:sz w:val="22"/>
          <w:szCs w:val="22"/>
        </w:rPr>
        <w:t xml:space="preserve">Unemployment Insurance </w:t>
      </w:r>
      <w:r>
        <w:rPr>
          <w:rFonts w:ascii="Arial" w:hAnsi="Arial" w:cs="Arial"/>
          <w:sz w:val="22"/>
          <w:szCs w:val="22"/>
        </w:rPr>
        <w:t xml:space="preserve">as a result of </w:t>
      </w:r>
      <w:r w:rsidR="003A3233">
        <w:rPr>
          <w:rFonts w:ascii="Arial" w:hAnsi="Arial" w:cs="Arial"/>
          <w:sz w:val="22"/>
          <w:szCs w:val="22"/>
        </w:rPr>
        <w:t xml:space="preserve">section 2161 and 2162 </w:t>
      </w:r>
      <w:r>
        <w:rPr>
          <w:rFonts w:ascii="Arial" w:hAnsi="Arial" w:cs="Arial"/>
          <w:sz w:val="22"/>
          <w:szCs w:val="22"/>
        </w:rPr>
        <w:t xml:space="preserve">the </w:t>
      </w:r>
      <w:r w:rsidRPr="000902B7">
        <w:rPr>
          <w:rFonts w:ascii="Arial" w:hAnsi="Arial" w:cs="Arial"/>
          <w:sz w:val="22"/>
          <w:szCs w:val="22"/>
        </w:rPr>
        <w:t>MCTRJC</w:t>
      </w:r>
      <w:r>
        <w:rPr>
          <w:rFonts w:ascii="Arial" w:hAnsi="Arial" w:cs="Arial"/>
          <w:sz w:val="22"/>
          <w:szCs w:val="22"/>
        </w:rPr>
        <w:t xml:space="preserve">, and describes the changes states must make in order to be in compliance with these new requirements.  Virtually all state UI administrative activity is funded under a grant between the US Department of Labor and state workforce agencies (SWAs), and the </w:t>
      </w:r>
      <w:r w:rsidRPr="000902B7">
        <w:rPr>
          <w:rFonts w:ascii="Arial" w:hAnsi="Arial" w:cs="Arial"/>
          <w:sz w:val="22"/>
          <w:szCs w:val="22"/>
        </w:rPr>
        <w:t>MCTRJC</w:t>
      </w:r>
      <w:r>
        <w:rPr>
          <w:rFonts w:ascii="Arial" w:hAnsi="Arial" w:cs="Arial"/>
          <w:sz w:val="22"/>
          <w:szCs w:val="22"/>
        </w:rPr>
        <w:t xml:space="preserve"> </w:t>
      </w:r>
      <w:r w:rsidR="004438DA">
        <w:rPr>
          <w:rFonts w:ascii="Arial" w:hAnsi="Arial" w:cs="Arial"/>
          <w:sz w:val="22"/>
          <w:szCs w:val="22"/>
        </w:rPr>
        <w:t>required</w:t>
      </w:r>
      <w:r>
        <w:rPr>
          <w:rFonts w:ascii="Arial" w:hAnsi="Arial" w:cs="Arial"/>
          <w:sz w:val="22"/>
          <w:szCs w:val="22"/>
        </w:rPr>
        <w:t xml:space="preserve"> modifications to the existing grant agreements for those states that wish to operate an STC program.  In addition to the text of the UIPL, </w:t>
      </w:r>
      <w:r w:rsidR="00A60160">
        <w:rPr>
          <w:rFonts w:ascii="Arial" w:hAnsi="Arial" w:cs="Arial"/>
          <w:sz w:val="22"/>
          <w:szCs w:val="22"/>
        </w:rPr>
        <w:t xml:space="preserve">there are four attachments to the UIPL.  Attachments I and IV are straightforward and incur no burden on respondents as they are simply the text of the law and the amounts due, through formula, to states that elect to participate.  </w:t>
      </w:r>
    </w:p>
    <w:p w:rsidR="005920D9" w:rsidRDefault="005920D9" w:rsidP="00A60160">
      <w:pPr>
        <w:widowControl/>
        <w:tabs>
          <w:tab w:val="left" w:pos="-1440"/>
        </w:tabs>
        <w:ind w:left="720"/>
        <w:rPr>
          <w:rFonts w:ascii="Arial" w:hAnsi="Arial" w:cs="Arial"/>
          <w:sz w:val="22"/>
          <w:szCs w:val="22"/>
        </w:rPr>
      </w:pPr>
    </w:p>
    <w:p w:rsidR="00DF6947" w:rsidRDefault="00A60160" w:rsidP="00A60160">
      <w:pPr>
        <w:widowControl/>
        <w:tabs>
          <w:tab w:val="left" w:pos="-1440"/>
        </w:tabs>
        <w:ind w:left="720"/>
        <w:rPr>
          <w:rFonts w:ascii="Arial" w:hAnsi="Arial" w:cs="Arial"/>
          <w:sz w:val="22"/>
          <w:szCs w:val="22"/>
        </w:rPr>
      </w:pPr>
      <w:r>
        <w:rPr>
          <w:rFonts w:ascii="Arial" w:hAnsi="Arial" w:cs="Arial"/>
          <w:sz w:val="22"/>
          <w:szCs w:val="22"/>
        </w:rPr>
        <w:t xml:space="preserve">Attachments II and III </w:t>
      </w:r>
      <w:r w:rsidR="005431E4">
        <w:rPr>
          <w:rFonts w:ascii="Arial" w:hAnsi="Arial" w:cs="Arial"/>
          <w:sz w:val="22"/>
          <w:szCs w:val="22"/>
        </w:rPr>
        <w:t xml:space="preserve">to the General STC UIPL </w:t>
      </w:r>
      <w:r>
        <w:rPr>
          <w:rFonts w:ascii="Arial" w:hAnsi="Arial" w:cs="Arial"/>
          <w:sz w:val="22"/>
          <w:szCs w:val="22"/>
        </w:rPr>
        <w:t>are agreements and amendments to the existing UI funding arrangement that will allow states to be in compliance with the revised Federal laws and continue to use the UI administrative grant to operate an STC program.  The</w:t>
      </w:r>
      <w:r w:rsidR="004438DA">
        <w:rPr>
          <w:rFonts w:ascii="Arial" w:hAnsi="Arial" w:cs="Arial"/>
          <w:sz w:val="22"/>
          <w:szCs w:val="22"/>
        </w:rPr>
        <w:t>se</w:t>
      </w:r>
      <w:r>
        <w:rPr>
          <w:rFonts w:ascii="Arial" w:hAnsi="Arial" w:cs="Arial"/>
          <w:sz w:val="22"/>
          <w:szCs w:val="22"/>
        </w:rPr>
        <w:t xml:space="preserve"> two attachments require only a name, signature, date and title, and </w:t>
      </w:r>
      <w:r w:rsidR="004438DA">
        <w:rPr>
          <w:rFonts w:ascii="Arial" w:hAnsi="Arial" w:cs="Arial"/>
          <w:sz w:val="22"/>
          <w:szCs w:val="22"/>
        </w:rPr>
        <w:t xml:space="preserve">ask that </w:t>
      </w:r>
      <w:r>
        <w:rPr>
          <w:rFonts w:ascii="Arial" w:hAnsi="Arial" w:cs="Arial"/>
          <w:sz w:val="22"/>
          <w:szCs w:val="22"/>
        </w:rPr>
        <w:t xml:space="preserve">the designated state official return these documents to ETA.  These documents are similar to amendments that were required with the expansion of the Emergency </w:t>
      </w:r>
      <w:r>
        <w:rPr>
          <w:rFonts w:ascii="Arial" w:hAnsi="Arial" w:cs="Arial"/>
          <w:sz w:val="22"/>
          <w:szCs w:val="22"/>
        </w:rPr>
        <w:lastRenderedPageBreak/>
        <w:t xml:space="preserve">Unemployment Compensation Program of 2008, and experience has shown that approximately 5 hours per document per state is a good estimate of the </w:t>
      </w:r>
      <w:r w:rsidR="004438DA">
        <w:rPr>
          <w:rFonts w:ascii="Arial" w:hAnsi="Arial" w:cs="Arial"/>
          <w:sz w:val="22"/>
          <w:szCs w:val="22"/>
        </w:rPr>
        <w:t xml:space="preserve">hour burden that </w:t>
      </w:r>
      <w:r>
        <w:rPr>
          <w:rFonts w:ascii="Arial" w:hAnsi="Arial" w:cs="Arial"/>
          <w:sz w:val="22"/>
          <w:szCs w:val="22"/>
        </w:rPr>
        <w:t xml:space="preserve">states incur.  </w:t>
      </w:r>
    </w:p>
    <w:p w:rsidR="00C3768C" w:rsidRDefault="00A60160" w:rsidP="006454B6">
      <w:pPr>
        <w:widowControl/>
        <w:tabs>
          <w:tab w:val="left" w:pos="-1440"/>
        </w:tabs>
        <w:ind w:left="720"/>
        <w:rPr>
          <w:rFonts w:ascii="Arial" w:hAnsi="Arial" w:cs="Arial"/>
          <w:sz w:val="22"/>
          <w:szCs w:val="22"/>
        </w:rPr>
      </w:pPr>
      <w:r>
        <w:rPr>
          <w:rFonts w:ascii="Arial" w:hAnsi="Arial" w:cs="Arial"/>
          <w:sz w:val="22"/>
          <w:szCs w:val="22"/>
        </w:rPr>
        <w:t xml:space="preserve">The </w:t>
      </w:r>
      <w:r w:rsidR="00EF0676">
        <w:rPr>
          <w:rFonts w:ascii="Arial" w:hAnsi="Arial" w:cs="Arial"/>
          <w:sz w:val="22"/>
          <w:szCs w:val="22"/>
        </w:rPr>
        <w:t>state STC grant UIPL</w:t>
      </w:r>
      <w:r>
        <w:rPr>
          <w:rFonts w:ascii="Arial" w:hAnsi="Arial" w:cs="Arial"/>
          <w:sz w:val="22"/>
          <w:szCs w:val="22"/>
        </w:rPr>
        <w:t xml:space="preserve"> describes opportunities for states with existing STC program to get grants to enha</w:t>
      </w:r>
      <w:r w:rsidR="006454B6">
        <w:rPr>
          <w:rFonts w:ascii="Arial" w:hAnsi="Arial" w:cs="Arial"/>
          <w:sz w:val="22"/>
          <w:szCs w:val="22"/>
        </w:rPr>
        <w:t>nce or promote their systems</w:t>
      </w:r>
      <w:r w:rsidR="003A3233">
        <w:rPr>
          <w:rFonts w:ascii="Arial" w:hAnsi="Arial" w:cs="Arial"/>
          <w:sz w:val="22"/>
          <w:szCs w:val="22"/>
        </w:rPr>
        <w:t xml:space="preserve"> as described in section 2164 of the </w:t>
      </w:r>
      <w:r w:rsidR="003A3233" w:rsidRPr="000902B7">
        <w:rPr>
          <w:rFonts w:ascii="Arial" w:hAnsi="Arial" w:cs="Arial"/>
          <w:sz w:val="22"/>
          <w:szCs w:val="22"/>
        </w:rPr>
        <w:t>MCTRJC</w:t>
      </w:r>
      <w:r w:rsidR="006454B6">
        <w:rPr>
          <w:rFonts w:ascii="Arial" w:hAnsi="Arial" w:cs="Arial"/>
          <w:sz w:val="22"/>
          <w:szCs w:val="22"/>
        </w:rPr>
        <w:t xml:space="preserve">.  As with the </w:t>
      </w:r>
      <w:r w:rsidR="00EF0676">
        <w:rPr>
          <w:rFonts w:ascii="Arial" w:hAnsi="Arial" w:cs="Arial"/>
          <w:sz w:val="22"/>
          <w:szCs w:val="22"/>
        </w:rPr>
        <w:t>General STC UIPL</w:t>
      </w:r>
      <w:r w:rsidR="006454B6">
        <w:rPr>
          <w:rFonts w:ascii="Arial" w:hAnsi="Arial" w:cs="Arial"/>
          <w:sz w:val="22"/>
          <w:szCs w:val="22"/>
        </w:rPr>
        <w:t xml:space="preserve">, there are several attachments, some of which are straightforward and should incur no burden on respondents (i.e. they are simply the text of the law, questions and answers, etc) and others that will incur burden in some way.  Attachments </w:t>
      </w:r>
      <w:r w:rsidR="001C0FCC">
        <w:rPr>
          <w:rFonts w:ascii="Arial" w:hAnsi="Arial" w:cs="Arial"/>
          <w:sz w:val="22"/>
          <w:szCs w:val="22"/>
        </w:rPr>
        <w:t>I</w:t>
      </w:r>
      <w:r w:rsidR="006454B6">
        <w:rPr>
          <w:rFonts w:ascii="Arial" w:hAnsi="Arial" w:cs="Arial"/>
          <w:sz w:val="22"/>
          <w:szCs w:val="22"/>
        </w:rPr>
        <w:t xml:space="preserve">V and VI are the text of the law covering these grants and the amounts potentially available to states.  These two attachments should incur no burden for the state workforce agencies.  </w:t>
      </w:r>
      <w:r w:rsidR="001C0FCC">
        <w:rPr>
          <w:rFonts w:ascii="Arial" w:hAnsi="Arial" w:cs="Arial"/>
          <w:sz w:val="22"/>
          <w:szCs w:val="22"/>
        </w:rPr>
        <w:t>T</w:t>
      </w:r>
      <w:r w:rsidR="006454B6">
        <w:rPr>
          <w:rFonts w:ascii="Arial" w:hAnsi="Arial" w:cs="Arial"/>
          <w:sz w:val="22"/>
          <w:szCs w:val="22"/>
        </w:rPr>
        <w:t>he text of the UIPL itself</w:t>
      </w:r>
      <w:r w:rsidR="00C50731">
        <w:rPr>
          <w:rFonts w:ascii="Arial" w:hAnsi="Arial" w:cs="Arial"/>
          <w:sz w:val="22"/>
          <w:szCs w:val="22"/>
        </w:rPr>
        <w:t xml:space="preserve"> is attached</w:t>
      </w:r>
      <w:r w:rsidR="006454B6">
        <w:rPr>
          <w:rFonts w:ascii="Arial" w:hAnsi="Arial" w:cs="Arial"/>
          <w:sz w:val="22"/>
          <w:szCs w:val="22"/>
        </w:rPr>
        <w:t xml:space="preserve">, as well as attachments I, II, and V as the application process and materials for the grant.  SWAs will need to carefully review the text of the UIPL and attachment I to ensure that their application will conform to the necessary guidelines.  The checklist (attachment II) will ensure that the SWA’s application will contain all the necessary materials and supporting documents, minimizing the administrative work of multiple submissions and tracking individual components of the package.  </w:t>
      </w:r>
      <w:r w:rsidR="00FE0A23">
        <w:rPr>
          <w:rFonts w:ascii="Arial" w:hAnsi="Arial" w:cs="Arial"/>
          <w:sz w:val="22"/>
          <w:szCs w:val="22"/>
        </w:rPr>
        <w:t>Broadly speaking, the text of the UI</w:t>
      </w:r>
      <w:r w:rsidR="00581415">
        <w:rPr>
          <w:rFonts w:ascii="Arial" w:hAnsi="Arial" w:cs="Arial"/>
          <w:sz w:val="22"/>
          <w:szCs w:val="22"/>
        </w:rPr>
        <w:t xml:space="preserve">PL along with attachments I, II, and V constitute the materials for application for a grant </w:t>
      </w:r>
      <w:r w:rsidR="00E95596">
        <w:rPr>
          <w:rFonts w:ascii="Arial" w:hAnsi="Arial" w:cs="Arial"/>
          <w:sz w:val="22"/>
          <w:szCs w:val="22"/>
        </w:rPr>
        <w:t xml:space="preserve">to enhance or promote STC systems </w:t>
      </w:r>
      <w:r w:rsidR="00581415">
        <w:rPr>
          <w:rFonts w:ascii="Arial" w:hAnsi="Arial" w:cs="Arial"/>
          <w:sz w:val="22"/>
          <w:szCs w:val="22"/>
        </w:rPr>
        <w:t xml:space="preserve">as provided for under the </w:t>
      </w:r>
      <w:r w:rsidR="00581415" w:rsidRPr="000902B7">
        <w:rPr>
          <w:rFonts w:ascii="Arial" w:hAnsi="Arial" w:cs="Arial"/>
          <w:sz w:val="22"/>
          <w:szCs w:val="22"/>
        </w:rPr>
        <w:t>MCTRJC</w:t>
      </w:r>
      <w:r w:rsidR="00581415">
        <w:rPr>
          <w:rFonts w:ascii="Arial" w:hAnsi="Arial" w:cs="Arial"/>
          <w:sz w:val="22"/>
          <w:szCs w:val="22"/>
        </w:rPr>
        <w:t xml:space="preserve">.  </w:t>
      </w:r>
      <w:r w:rsidR="00E95596">
        <w:rPr>
          <w:rFonts w:ascii="Arial" w:hAnsi="Arial" w:cs="Arial"/>
          <w:sz w:val="22"/>
          <w:szCs w:val="22"/>
        </w:rPr>
        <w:t>ETA, based on experience with SGAs and other grant activities, estimates that the application, involving all materials will incur a</w:t>
      </w:r>
      <w:r w:rsidR="00C3768C">
        <w:rPr>
          <w:rFonts w:ascii="Arial" w:hAnsi="Arial" w:cs="Arial"/>
          <w:sz w:val="22"/>
          <w:szCs w:val="22"/>
        </w:rPr>
        <w:t>n aggregate</w:t>
      </w:r>
      <w:r w:rsidR="00E95596">
        <w:rPr>
          <w:rFonts w:ascii="Arial" w:hAnsi="Arial" w:cs="Arial"/>
          <w:sz w:val="22"/>
          <w:szCs w:val="22"/>
        </w:rPr>
        <w:t xml:space="preserve"> burden of approximately 12</w:t>
      </w:r>
      <w:r w:rsidR="000E4B9E">
        <w:rPr>
          <w:rFonts w:ascii="Arial" w:hAnsi="Arial" w:cs="Arial"/>
          <w:sz w:val="22"/>
          <w:szCs w:val="22"/>
        </w:rPr>
        <w:t xml:space="preserve">5 hours, </w:t>
      </w:r>
      <w:r w:rsidR="00C3768C">
        <w:rPr>
          <w:rFonts w:ascii="Arial" w:hAnsi="Arial" w:cs="Arial"/>
          <w:sz w:val="22"/>
          <w:szCs w:val="22"/>
        </w:rPr>
        <w:t xml:space="preserve">with </w:t>
      </w:r>
      <w:r w:rsidR="000E4B9E">
        <w:rPr>
          <w:rFonts w:ascii="Arial" w:hAnsi="Arial" w:cs="Arial"/>
          <w:sz w:val="22"/>
          <w:szCs w:val="22"/>
        </w:rPr>
        <w:t>Attachments I</w:t>
      </w:r>
      <w:r w:rsidR="00C3768C">
        <w:rPr>
          <w:rFonts w:ascii="Arial" w:hAnsi="Arial" w:cs="Arial"/>
          <w:sz w:val="22"/>
          <w:szCs w:val="22"/>
        </w:rPr>
        <w:t xml:space="preserve"> and</w:t>
      </w:r>
      <w:r w:rsidR="000E4B9E">
        <w:rPr>
          <w:rFonts w:ascii="Arial" w:hAnsi="Arial" w:cs="Arial"/>
          <w:sz w:val="22"/>
          <w:szCs w:val="22"/>
        </w:rPr>
        <w:t xml:space="preserve"> II </w:t>
      </w:r>
      <w:r w:rsidR="00C3768C">
        <w:rPr>
          <w:rFonts w:ascii="Arial" w:hAnsi="Arial" w:cs="Arial"/>
          <w:sz w:val="22"/>
          <w:szCs w:val="22"/>
        </w:rPr>
        <w:t>taking</w:t>
      </w:r>
      <w:r w:rsidR="000E4B9E">
        <w:rPr>
          <w:rFonts w:ascii="Arial" w:hAnsi="Arial" w:cs="Arial"/>
          <w:sz w:val="22"/>
          <w:szCs w:val="22"/>
        </w:rPr>
        <w:t xml:space="preserve"> </w:t>
      </w:r>
      <w:r w:rsidR="00C3768C">
        <w:rPr>
          <w:rFonts w:ascii="Arial" w:hAnsi="Arial" w:cs="Arial"/>
          <w:sz w:val="22"/>
          <w:szCs w:val="22"/>
        </w:rPr>
        <w:t>approximately</w:t>
      </w:r>
      <w:r w:rsidR="000E4B9E">
        <w:rPr>
          <w:rFonts w:ascii="Arial" w:hAnsi="Arial" w:cs="Arial"/>
          <w:sz w:val="22"/>
          <w:szCs w:val="22"/>
        </w:rPr>
        <w:t xml:space="preserve"> </w:t>
      </w:r>
      <w:r w:rsidR="00C3768C">
        <w:rPr>
          <w:rFonts w:ascii="Arial" w:hAnsi="Arial" w:cs="Arial"/>
          <w:sz w:val="22"/>
          <w:szCs w:val="22"/>
        </w:rPr>
        <w:t>8</w:t>
      </w:r>
      <w:r w:rsidR="000E4B9E">
        <w:rPr>
          <w:rFonts w:ascii="Arial" w:hAnsi="Arial" w:cs="Arial"/>
          <w:sz w:val="22"/>
          <w:szCs w:val="22"/>
        </w:rPr>
        <w:t>0 hours to read, understand and ensure the state can provide a suitable response</w:t>
      </w:r>
      <w:r w:rsidR="00C3768C">
        <w:rPr>
          <w:rFonts w:ascii="Arial" w:hAnsi="Arial" w:cs="Arial"/>
          <w:sz w:val="22"/>
          <w:szCs w:val="22"/>
        </w:rPr>
        <w:t>, and 5 hours to simply sign and return the grant modification document.</w:t>
      </w:r>
    </w:p>
    <w:p w:rsidR="00C36772" w:rsidRDefault="00C3768C" w:rsidP="006454B6">
      <w:pPr>
        <w:widowControl/>
        <w:tabs>
          <w:tab w:val="left" w:pos="-1440"/>
        </w:tabs>
        <w:ind w:left="720"/>
        <w:rPr>
          <w:rFonts w:ascii="Arial" w:hAnsi="Arial" w:cs="Arial"/>
          <w:sz w:val="22"/>
          <w:szCs w:val="22"/>
        </w:rPr>
      </w:pPr>
      <w:r>
        <w:rPr>
          <w:rFonts w:ascii="Arial" w:hAnsi="Arial" w:cs="Arial"/>
          <w:sz w:val="22"/>
          <w:szCs w:val="22"/>
        </w:rPr>
        <w:t xml:space="preserve"> </w:t>
      </w:r>
    </w:p>
    <w:p w:rsidR="004427F8" w:rsidRDefault="006454B6" w:rsidP="003A3233">
      <w:pPr>
        <w:widowControl/>
        <w:tabs>
          <w:tab w:val="left" w:pos="-1440"/>
        </w:tabs>
        <w:ind w:left="720"/>
        <w:rPr>
          <w:rFonts w:ascii="Arial" w:hAnsi="Arial" w:cs="Arial"/>
          <w:sz w:val="22"/>
          <w:szCs w:val="22"/>
        </w:rPr>
      </w:pPr>
      <w:r>
        <w:rPr>
          <w:rFonts w:ascii="Arial" w:hAnsi="Arial" w:cs="Arial"/>
          <w:sz w:val="22"/>
          <w:szCs w:val="22"/>
        </w:rPr>
        <w:t xml:space="preserve">Attachment III </w:t>
      </w:r>
      <w:r w:rsidR="00E95596">
        <w:rPr>
          <w:rFonts w:ascii="Arial" w:hAnsi="Arial" w:cs="Arial"/>
          <w:sz w:val="22"/>
          <w:szCs w:val="22"/>
        </w:rPr>
        <w:t xml:space="preserve">to the </w:t>
      </w:r>
      <w:r w:rsidR="00EF0676">
        <w:rPr>
          <w:rFonts w:ascii="Arial" w:hAnsi="Arial" w:cs="Arial"/>
          <w:sz w:val="22"/>
          <w:szCs w:val="22"/>
        </w:rPr>
        <w:t>state STC grant UIPL</w:t>
      </w:r>
      <w:r w:rsidR="00E95596">
        <w:rPr>
          <w:rFonts w:ascii="Arial" w:hAnsi="Arial" w:cs="Arial"/>
          <w:sz w:val="22"/>
          <w:szCs w:val="22"/>
        </w:rPr>
        <w:t xml:space="preserve"> is not part of the application process, but </w:t>
      </w:r>
      <w:r w:rsidR="00FE0A23">
        <w:rPr>
          <w:rFonts w:ascii="Arial" w:hAnsi="Arial" w:cs="Arial"/>
          <w:sz w:val="22"/>
          <w:szCs w:val="22"/>
        </w:rPr>
        <w:t xml:space="preserve">will serve as an ongoing quarterly monitoring instrument for the grant, describing program implementation, </w:t>
      </w:r>
      <w:r w:rsidR="00E95596">
        <w:rPr>
          <w:rFonts w:ascii="Arial" w:hAnsi="Arial" w:cs="Arial"/>
          <w:sz w:val="22"/>
          <w:szCs w:val="22"/>
        </w:rPr>
        <w:t xml:space="preserve">documenting </w:t>
      </w:r>
      <w:r w:rsidR="00FE0A23">
        <w:rPr>
          <w:rFonts w:ascii="Arial" w:hAnsi="Arial" w:cs="Arial"/>
          <w:sz w:val="22"/>
          <w:szCs w:val="22"/>
        </w:rPr>
        <w:t xml:space="preserve">state expenditures, </w:t>
      </w:r>
      <w:r w:rsidR="00E95596">
        <w:rPr>
          <w:rFonts w:ascii="Arial" w:hAnsi="Arial" w:cs="Arial"/>
          <w:sz w:val="22"/>
          <w:szCs w:val="22"/>
        </w:rPr>
        <w:t xml:space="preserve">and providing a narrative on state activities.  USDOL has determined that normal grant reporting instruments, </w:t>
      </w:r>
      <w:r w:rsidR="003A3233">
        <w:rPr>
          <w:rFonts w:ascii="Arial" w:hAnsi="Arial" w:cs="Arial"/>
          <w:sz w:val="22"/>
          <w:szCs w:val="22"/>
        </w:rPr>
        <w:t xml:space="preserve">typically used to administer such grants (i.e. the </w:t>
      </w:r>
      <w:r w:rsidR="00E95596">
        <w:rPr>
          <w:rFonts w:ascii="Arial" w:hAnsi="Arial" w:cs="Arial"/>
          <w:sz w:val="22"/>
          <w:szCs w:val="22"/>
        </w:rPr>
        <w:t>ETA 9130</w:t>
      </w:r>
      <w:r w:rsidR="003A3233">
        <w:rPr>
          <w:rFonts w:ascii="Arial" w:hAnsi="Arial" w:cs="Arial"/>
          <w:sz w:val="22"/>
          <w:szCs w:val="22"/>
        </w:rPr>
        <w:t xml:space="preserve">; </w:t>
      </w:r>
      <w:r w:rsidR="00E95596">
        <w:rPr>
          <w:rFonts w:ascii="Arial" w:hAnsi="Arial" w:cs="Arial"/>
          <w:sz w:val="22"/>
          <w:szCs w:val="22"/>
        </w:rPr>
        <w:t xml:space="preserve">1205-0461) are not suitable because of legal issues regarding the method by which grant funds will be made available to states. </w:t>
      </w:r>
    </w:p>
    <w:p w:rsidR="004427F8" w:rsidRDefault="004427F8" w:rsidP="003A3233">
      <w:pPr>
        <w:widowControl/>
        <w:tabs>
          <w:tab w:val="left" w:pos="-1440"/>
        </w:tabs>
        <w:ind w:left="720"/>
        <w:rPr>
          <w:rFonts w:ascii="Arial" w:hAnsi="Arial" w:cs="Arial"/>
          <w:sz w:val="22"/>
          <w:szCs w:val="22"/>
        </w:rPr>
      </w:pPr>
    </w:p>
    <w:p w:rsidR="006454B6" w:rsidRDefault="00E95596" w:rsidP="003A3233">
      <w:pPr>
        <w:widowControl/>
        <w:tabs>
          <w:tab w:val="left" w:pos="-1440"/>
        </w:tabs>
        <w:ind w:left="720"/>
        <w:rPr>
          <w:rFonts w:ascii="Arial" w:hAnsi="Arial" w:cs="Arial"/>
          <w:sz w:val="22"/>
          <w:szCs w:val="22"/>
        </w:rPr>
      </w:pPr>
      <w:r>
        <w:rPr>
          <w:rFonts w:ascii="Arial" w:hAnsi="Arial" w:cs="Arial"/>
          <w:sz w:val="22"/>
          <w:szCs w:val="22"/>
        </w:rPr>
        <w:t xml:space="preserve"> As a result, ETA has elected to combine grant administration and quarterly monitoring into a single instrument to describe state activities and implementation, as well as to </w:t>
      </w:r>
      <w:r w:rsidR="00C36772">
        <w:rPr>
          <w:rFonts w:ascii="Arial" w:hAnsi="Arial" w:cs="Arial"/>
          <w:sz w:val="22"/>
          <w:szCs w:val="22"/>
        </w:rPr>
        <w:t xml:space="preserve">account for state expenditures.  Most data requested on the quarterly monitoring instrument will come from existing state electronic systems and can be automated through scripts and queries.  However, the data will span multiple systems (wage records, UI benefits, TAPR, WIASRD, Employer Tax, grant administration, etc.) and will need to be compiled into a single location.  So though the data is largely electronic, there will be some work in assembling and validating each report.  ETA estimates that the completion and submission of the quarterly monitoring instrument will take approximately </w:t>
      </w:r>
      <w:r w:rsidR="00DE5043">
        <w:rPr>
          <w:rFonts w:ascii="Arial" w:hAnsi="Arial" w:cs="Arial"/>
          <w:sz w:val="22"/>
          <w:szCs w:val="22"/>
        </w:rPr>
        <w:t>25</w:t>
      </w:r>
      <w:r w:rsidR="00C36772">
        <w:rPr>
          <w:rFonts w:ascii="Arial" w:hAnsi="Arial" w:cs="Arial"/>
          <w:sz w:val="22"/>
          <w:szCs w:val="22"/>
        </w:rPr>
        <w:t xml:space="preserve"> hours per quarter per state and is expected to continue throughout the grant period so ETA </w:t>
      </w:r>
      <w:r w:rsidR="003A3233">
        <w:rPr>
          <w:rFonts w:ascii="Arial" w:hAnsi="Arial" w:cs="Arial"/>
          <w:sz w:val="22"/>
          <w:szCs w:val="22"/>
        </w:rPr>
        <w:t xml:space="preserve">expects </w:t>
      </w:r>
      <w:r w:rsidR="00C36772">
        <w:rPr>
          <w:rFonts w:ascii="Arial" w:hAnsi="Arial" w:cs="Arial"/>
          <w:sz w:val="22"/>
          <w:szCs w:val="22"/>
        </w:rPr>
        <w:t xml:space="preserve">this </w:t>
      </w:r>
      <w:r w:rsidR="003A3233">
        <w:rPr>
          <w:rFonts w:ascii="Arial" w:hAnsi="Arial" w:cs="Arial"/>
          <w:sz w:val="22"/>
          <w:szCs w:val="22"/>
        </w:rPr>
        <w:t xml:space="preserve">to be </w:t>
      </w:r>
      <w:r w:rsidR="00C36772">
        <w:rPr>
          <w:rFonts w:ascii="Arial" w:hAnsi="Arial" w:cs="Arial"/>
          <w:sz w:val="22"/>
          <w:szCs w:val="22"/>
        </w:rPr>
        <w:t>an ongoing burden</w:t>
      </w:r>
      <w:r w:rsidR="003A3233">
        <w:rPr>
          <w:rFonts w:ascii="Arial" w:hAnsi="Arial" w:cs="Arial"/>
          <w:sz w:val="22"/>
          <w:szCs w:val="22"/>
        </w:rPr>
        <w:t xml:space="preserve"> for states in reporting</w:t>
      </w:r>
      <w:r w:rsidR="00C36772">
        <w:rPr>
          <w:rFonts w:ascii="Arial" w:hAnsi="Arial" w:cs="Arial"/>
          <w:sz w:val="22"/>
          <w:szCs w:val="22"/>
        </w:rPr>
        <w:t>.</w:t>
      </w:r>
    </w:p>
    <w:p w:rsidR="006454B6" w:rsidRDefault="006454B6" w:rsidP="006454B6">
      <w:pPr>
        <w:widowControl/>
        <w:tabs>
          <w:tab w:val="left" w:pos="-1440"/>
        </w:tabs>
        <w:ind w:left="720"/>
        <w:rPr>
          <w:rFonts w:ascii="Arial" w:hAnsi="Arial" w:cs="Arial"/>
          <w:sz w:val="22"/>
          <w:szCs w:val="22"/>
        </w:rPr>
      </w:pPr>
    </w:p>
    <w:p w:rsidR="00CF15B6" w:rsidRDefault="003A3233" w:rsidP="00CF15B6">
      <w:pPr>
        <w:widowControl/>
        <w:tabs>
          <w:tab w:val="left" w:pos="-1440"/>
        </w:tabs>
        <w:ind w:left="720"/>
        <w:rPr>
          <w:rFonts w:ascii="Arial" w:hAnsi="Arial" w:cs="Arial"/>
          <w:sz w:val="22"/>
          <w:szCs w:val="22"/>
        </w:rPr>
      </w:pPr>
      <w:r>
        <w:rPr>
          <w:rFonts w:ascii="Arial" w:hAnsi="Arial" w:cs="Arial"/>
          <w:sz w:val="22"/>
          <w:szCs w:val="22"/>
        </w:rPr>
        <w:t xml:space="preserve">The </w:t>
      </w:r>
      <w:r w:rsidR="00EF0676">
        <w:rPr>
          <w:rFonts w:ascii="Arial" w:hAnsi="Arial" w:cs="Arial"/>
          <w:sz w:val="22"/>
          <w:szCs w:val="22"/>
        </w:rPr>
        <w:t>Federal STC UIPL</w:t>
      </w:r>
      <w:r>
        <w:rPr>
          <w:rFonts w:ascii="Arial" w:hAnsi="Arial" w:cs="Arial"/>
          <w:sz w:val="22"/>
          <w:szCs w:val="22"/>
        </w:rPr>
        <w:t xml:space="preserve"> describes opportunities for states with</w:t>
      </w:r>
      <w:r w:rsidR="001A1906">
        <w:rPr>
          <w:rFonts w:ascii="Arial" w:hAnsi="Arial" w:cs="Arial"/>
          <w:sz w:val="22"/>
          <w:szCs w:val="22"/>
        </w:rPr>
        <w:t>out</w:t>
      </w:r>
      <w:r>
        <w:rPr>
          <w:rFonts w:ascii="Arial" w:hAnsi="Arial" w:cs="Arial"/>
          <w:sz w:val="22"/>
          <w:szCs w:val="22"/>
        </w:rPr>
        <w:t xml:space="preserve"> </w:t>
      </w:r>
      <w:r w:rsidR="001A1906">
        <w:rPr>
          <w:rFonts w:ascii="Arial" w:hAnsi="Arial" w:cs="Arial"/>
          <w:sz w:val="22"/>
          <w:szCs w:val="22"/>
        </w:rPr>
        <w:t xml:space="preserve">an </w:t>
      </w:r>
      <w:r>
        <w:rPr>
          <w:rFonts w:ascii="Arial" w:hAnsi="Arial" w:cs="Arial"/>
          <w:sz w:val="22"/>
          <w:szCs w:val="22"/>
        </w:rPr>
        <w:t xml:space="preserve">existing STC program to </w:t>
      </w:r>
      <w:r w:rsidR="001A1906">
        <w:rPr>
          <w:rFonts w:ascii="Arial" w:hAnsi="Arial" w:cs="Arial"/>
          <w:sz w:val="22"/>
          <w:szCs w:val="22"/>
        </w:rPr>
        <w:t xml:space="preserve">temporarily operate a Federal STC program.  The provisions of this program are described in </w:t>
      </w:r>
      <w:r>
        <w:rPr>
          <w:rFonts w:ascii="Arial" w:hAnsi="Arial" w:cs="Arial"/>
          <w:sz w:val="22"/>
          <w:szCs w:val="22"/>
        </w:rPr>
        <w:t>section 216</w:t>
      </w:r>
      <w:r w:rsidR="001A1906">
        <w:rPr>
          <w:rFonts w:ascii="Arial" w:hAnsi="Arial" w:cs="Arial"/>
          <w:sz w:val="22"/>
          <w:szCs w:val="22"/>
        </w:rPr>
        <w:t>3</w:t>
      </w:r>
      <w:r w:rsidR="0082659D" w:rsidRPr="0082659D">
        <w:rPr>
          <w:rFonts w:ascii="Arial" w:hAnsi="Arial" w:cs="Arial"/>
          <w:sz w:val="22"/>
          <w:szCs w:val="22"/>
        </w:rPr>
        <w:t xml:space="preserve"> </w:t>
      </w:r>
      <w:r w:rsidR="0082659D">
        <w:rPr>
          <w:rFonts w:ascii="Arial" w:hAnsi="Arial" w:cs="Arial"/>
          <w:sz w:val="22"/>
          <w:szCs w:val="22"/>
        </w:rPr>
        <w:t xml:space="preserve">of the </w:t>
      </w:r>
      <w:r w:rsidR="0082659D" w:rsidRPr="000902B7">
        <w:rPr>
          <w:rFonts w:ascii="Arial" w:hAnsi="Arial" w:cs="Arial"/>
          <w:sz w:val="22"/>
          <w:szCs w:val="22"/>
        </w:rPr>
        <w:t>MCTRJC</w:t>
      </w:r>
      <w:r w:rsidR="0082659D">
        <w:rPr>
          <w:rFonts w:ascii="Arial" w:hAnsi="Arial" w:cs="Arial"/>
          <w:sz w:val="22"/>
          <w:szCs w:val="22"/>
        </w:rPr>
        <w:t>.</w:t>
      </w:r>
      <w:r w:rsidR="00CF15B6">
        <w:rPr>
          <w:rFonts w:ascii="Arial" w:hAnsi="Arial" w:cs="Arial"/>
          <w:sz w:val="22"/>
          <w:szCs w:val="22"/>
        </w:rPr>
        <w:t xml:space="preserve">  As with the prior two UIPLs, there are several attachments, some of which are straightforward and should incur no burden on respondents (i.e. they are simply the text of the law, questions and answers, etc)  and others that will incur burden in some way.  </w:t>
      </w:r>
    </w:p>
    <w:p w:rsidR="00CF15B6" w:rsidRDefault="00CF15B6" w:rsidP="00CF15B6">
      <w:pPr>
        <w:widowControl/>
        <w:tabs>
          <w:tab w:val="left" w:pos="-1440"/>
        </w:tabs>
        <w:ind w:left="720"/>
        <w:rPr>
          <w:rFonts w:ascii="Arial" w:hAnsi="Arial" w:cs="Arial"/>
          <w:sz w:val="22"/>
          <w:szCs w:val="22"/>
        </w:rPr>
      </w:pPr>
    </w:p>
    <w:p w:rsidR="00E32CD4" w:rsidRDefault="00BF7F51" w:rsidP="00BF7F51">
      <w:pPr>
        <w:widowControl/>
        <w:tabs>
          <w:tab w:val="left" w:pos="-1440"/>
        </w:tabs>
        <w:ind w:left="720"/>
        <w:rPr>
          <w:rFonts w:ascii="Arial" w:hAnsi="Arial" w:cs="Arial"/>
          <w:sz w:val="22"/>
          <w:szCs w:val="22"/>
        </w:rPr>
      </w:pPr>
      <w:r>
        <w:rPr>
          <w:rFonts w:ascii="Arial" w:hAnsi="Arial" w:cs="Arial"/>
          <w:sz w:val="22"/>
          <w:szCs w:val="22"/>
        </w:rPr>
        <w:lastRenderedPageBreak/>
        <w:t>Attachment I provide</w:t>
      </w:r>
      <w:r w:rsidR="00E32CD4">
        <w:rPr>
          <w:rFonts w:ascii="Arial" w:hAnsi="Arial" w:cs="Arial"/>
          <w:sz w:val="22"/>
          <w:szCs w:val="22"/>
        </w:rPr>
        <w:t>s</w:t>
      </w:r>
      <w:r>
        <w:rPr>
          <w:rFonts w:ascii="Arial" w:hAnsi="Arial" w:cs="Arial"/>
          <w:sz w:val="22"/>
          <w:szCs w:val="22"/>
        </w:rPr>
        <w:t xml:space="preserve"> general guidance on conditions a participating state must meet and operational guidance on how the program would be conducted.  </w:t>
      </w:r>
      <w:r w:rsidR="00E32CD4">
        <w:rPr>
          <w:rFonts w:ascii="Arial" w:hAnsi="Arial" w:cs="Arial"/>
          <w:sz w:val="22"/>
          <w:szCs w:val="22"/>
        </w:rPr>
        <w:t xml:space="preserve">This attachment does not function as any sort of report or collection, it simple clarifies and interprets Federal law and spells out the requirements states would need to meet in order to enroll in this program.  </w:t>
      </w:r>
    </w:p>
    <w:p w:rsidR="00E32CD4" w:rsidRDefault="00E32CD4" w:rsidP="00BF7F51">
      <w:pPr>
        <w:widowControl/>
        <w:tabs>
          <w:tab w:val="left" w:pos="-1440"/>
        </w:tabs>
        <w:ind w:left="720"/>
        <w:rPr>
          <w:rFonts w:ascii="Arial" w:hAnsi="Arial" w:cs="Arial"/>
          <w:sz w:val="22"/>
          <w:szCs w:val="22"/>
        </w:rPr>
      </w:pPr>
    </w:p>
    <w:p w:rsidR="00E32CD4" w:rsidRDefault="00E32CD4" w:rsidP="00E32CD4">
      <w:pPr>
        <w:widowControl/>
        <w:tabs>
          <w:tab w:val="left" w:pos="-1440"/>
        </w:tabs>
        <w:ind w:left="720"/>
        <w:rPr>
          <w:rFonts w:ascii="Arial" w:hAnsi="Arial" w:cs="Arial"/>
          <w:sz w:val="22"/>
          <w:szCs w:val="22"/>
        </w:rPr>
      </w:pPr>
      <w:r>
        <w:rPr>
          <w:rFonts w:ascii="Arial" w:hAnsi="Arial" w:cs="Arial"/>
          <w:sz w:val="22"/>
          <w:szCs w:val="22"/>
        </w:rPr>
        <w:t xml:space="preserve">Attachments II and III serve as grant agreement and addendums, and create a legal framework within which states can temporarily operate a Federal STC program and receive funding for doing so.  This agreement is similar to the agreements attached to the General STC UIPL and approximately 5 hours per document per state is a good estimate of the time burden states incur is using this form.  </w:t>
      </w:r>
    </w:p>
    <w:p w:rsidR="00E32CD4" w:rsidRDefault="00E32CD4" w:rsidP="00E32CD4">
      <w:pPr>
        <w:widowControl/>
        <w:tabs>
          <w:tab w:val="left" w:pos="-1440"/>
        </w:tabs>
        <w:rPr>
          <w:rFonts w:ascii="Arial" w:hAnsi="Arial" w:cs="Arial"/>
          <w:sz w:val="22"/>
          <w:szCs w:val="22"/>
        </w:rPr>
      </w:pPr>
    </w:p>
    <w:p w:rsidR="00BF7F51" w:rsidRDefault="00BF7F51" w:rsidP="00BF7F51">
      <w:pPr>
        <w:widowControl/>
        <w:tabs>
          <w:tab w:val="left" w:pos="-1440"/>
        </w:tabs>
        <w:ind w:left="720"/>
        <w:rPr>
          <w:rFonts w:ascii="Arial" w:hAnsi="Arial" w:cs="Arial"/>
          <w:sz w:val="22"/>
          <w:szCs w:val="22"/>
        </w:rPr>
      </w:pPr>
      <w:r>
        <w:rPr>
          <w:rFonts w:ascii="Arial" w:hAnsi="Arial" w:cs="Arial"/>
          <w:sz w:val="22"/>
          <w:szCs w:val="22"/>
        </w:rPr>
        <w:t xml:space="preserve">Attachment IV provides the text of the law itself and attachment V provides answers to questions that were asked by states prior to release of our guidance and as a result of two listening sessions (webinars) conducted shortly after the law was enacted.  As with attachment I, these are not reporting items, or forms that must be returned, but rather guidance on how the program would need to be run should the state choose to do so.  </w:t>
      </w:r>
    </w:p>
    <w:p w:rsidR="00BF7F51" w:rsidRDefault="00BF7F51" w:rsidP="00BF7F51">
      <w:pPr>
        <w:widowControl/>
        <w:tabs>
          <w:tab w:val="left" w:pos="-1440"/>
        </w:tabs>
        <w:ind w:left="720"/>
        <w:rPr>
          <w:rFonts w:ascii="Arial" w:hAnsi="Arial" w:cs="Arial"/>
          <w:sz w:val="22"/>
          <w:szCs w:val="22"/>
        </w:rPr>
      </w:pPr>
    </w:p>
    <w:p w:rsidR="00FD52BD" w:rsidRDefault="00FD52BD" w:rsidP="00015E9C">
      <w:pPr>
        <w:spacing w:after="120"/>
        <w:ind w:left="720"/>
        <w:rPr>
          <w:rFonts w:ascii="Arial" w:hAnsi="Arial" w:cs="Arial"/>
          <w:b/>
          <w:bCs/>
          <w:sz w:val="22"/>
          <w:szCs w:val="22"/>
        </w:rPr>
      </w:pPr>
      <w:r w:rsidRPr="00C05585">
        <w:rPr>
          <w:rFonts w:ascii="Arial" w:hAnsi="Arial" w:cs="Arial"/>
          <w:b/>
          <w:bCs/>
          <w:sz w:val="22"/>
          <w:szCs w:val="22"/>
        </w:rPr>
        <w:t>Burden Hour Summary</w:t>
      </w:r>
      <w:r w:rsidR="006B37EC">
        <w:rPr>
          <w:rFonts w:ascii="Arial" w:hAnsi="Arial" w:cs="Arial"/>
          <w:b/>
          <w:bCs/>
          <w:sz w:val="22"/>
          <w:szCs w:val="22"/>
        </w:rPr>
        <w:t xml:space="preserve"> on an Annualized Basis</w:t>
      </w:r>
    </w:p>
    <w:p w:rsidR="00786FB1" w:rsidRDefault="00EF0676" w:rsidP="00015E9C">
      <w:pPr>
        <w:spacing w:after="120"/>
        <w:ind w:left="720"/>
        <w:rPr>
          <w:rFonts w:ascii="Arial" w:hAnsi="Arial" w:cs="Arial"/>
          <w:bCs/>
          <w:sz w:val="22"/>
          <w:szCs w:val="22"/>
        </w:rPr>
      </w:pPr>
      <w:r>
        <w:rPr>
          <w:rFonts w:ascii="Arial" w:hAnsi="Arial" w:cs="Arial"/>
          <w:bCs/>
          <w:sz w:val="22"/>
          <w:szCs w:val="22"/>
        </w:rPr>
        <w:t>For the purpose of the burden estimates below, it is assumed that all states must provide the forms and sign the agreements attached to the General STC UIPL.  This is because these UIPLs amend the Federal-state agreement and bring states into conformity with Federal law.  The potential burden for the remaining two UIPLs is distributed among those states that have STC program and those that do not.  Currently, 2</w:t>
      </w:r>
      <w:r w:rsidR="001031DC">
        <w:rPr>
          <w:rFonts w:ascii="Arial" w:hAnsi="Arial" w:cs="Arial"/>
          <w:bCs/>
          <w:sz w:val="22"/>
          <w:szCs w:val="22"/>
        </w:rPr>
        <w:t>5</w:t>
      </w:r>
      <w:r>
        <w:rPr>
          <w:rFonts w:ascii="Arial" w:hAnsi="Arial" w:cs="Arial"/>
          <w:bCs/>
          <w:sz w:val="22"/>
          <w:szCs w:val="22"/>
        </w:rPr>
        <w:t xml:space="preserve"> states (</w:t>
      </w:r>
      <w:r w:rsidR="00786FB1" w:rsidRPr="00786FB1">
        <w:rPr>
          <w:rFonts w:ascii="Arial" w:hAnsi="Arial" w:cs="Arial"/>
          <w:bCs/>
          <w:sz w:val="22"/>
          <w:szCs w:val="22"/>
        </w:rPr>
        <w:t xml:space="preserve">AZ, AR, CO, CA, CT, DC, FL, IA, KS, LA, MD, MA, </w:t>
      </w:r>
      <w:r w:rsidR="001031DC">
        <w:rPr>
          <w:rFonts w:ascii="Arial" w:hAnsi="Arial" w:cs="Arial"/>
          <w:bCs/>
          <w:sz w:val="22"/>
          <w:szCs w:val="22"/>
        </w:rPr>
        <w:t xml:space="preserve">ME, </w:t>
      </w:r>
      <w:r w:rsidR="00786FB1" w:rsidRPr="00786FB1">
        <w:rPr>
          <w:rFonts w:ascii="Arial" w:hAnsi="Arial" w:cs="Arial"/>
          <w:bCs/>
          <w:sz w:val="22"/>
          <w:szCs w:val="22"/>
        </w:rPr>
        <w:t xml:space="preserve">MN, MO, NH, </w:t>
      </w:r>
      <w:r w:rsidR="001031DC">
        <w:rPr>
          <w:rFonts w:ascii="Arial" w:hAnsi="Arial" w:cs="Arial"/>
          <w:bCs/>
          <w:sz w:val="22"/>
          <w:szCs w:val="22"/>
        </w:rPr>
        <w:t xml:space="preserve">NJ, </w:t>
      </w:r>
      <w:r w:rsidR="00786FB1" w:rsidRPr="00786FB1">
        <w:rPr>
          <w:rFonts w:ascii="Arial" w:hAnsi="Arial" w:cs="Arial"/>
          <w:bCs/>
          <w:sz w:val="22"/>
          <w:szCs w:val="22"/>
        </w:rPr>
        <w:t xml:space="preserve">NY, OK, OR, </w:t>
      </w:r>
      <w:r w:rsidR="001031DC">
        <w:rPr>
          <w:rFonts w:ascii="Arial" w:hAnsi="Arial" w:cs="Arial"/>
          <w:bCs/>
          <w:sz w:val="22"/>
          <w:szCs w:val="22"/>
        </w:rPr>
        <w:t xml:space="preserve">PA, </w:t>
      </w:r>
      <w:r w:rsidR="00786FB1" w:rsidRPr="00786FB1">
        <w:rPr>
          <w:rFonts w:ascii="Arial" w:hAnsi="Arial" w:cs="Arial"/>
          <w:bCs/>
          <w:sz w:val="22"/>
          <w:szCs w:val="22"/>
        </w:rPr>
        <w:t>RI, TX, VT, and WA</w:t>
      </w:r>
      <w:r>
        <w:rPr>
          <w:rFonts w:ascii="Arial" w:hAnsi="Arial" w:cs="Arial"/>
          <w:bCs/>
          <w:sz w:val="22"/>
          <w:szCs w:val="22"/>
        </w:rPr>
        <w:t xml:space="preserve">) have authorizations in their law to operate an STC program.  Those states would potentially be eligible for the grants described in the state STC grant UIPL.  </w:t>
      </w:r>
      <w:r w:rsidR="00DE5043">
        <w:rPr>
          <w:rFonts w:ascii="Arial" w:hAnsi="Arial" w:cs="Arial"/>
          <w:bCs/>
          <w:sz w:val="22"/>
          <w:szCs w:val="22"/>
        </w:rPr>
        <w:t xml:space="preserve">Those states that do not have current STC programs (the remaining </w:t>
      </w:r>
      <w:r w:rsidR="00656A43">
        <w:rPr>
          <w:rFonts w:ascii="Arial" w:hAnsi="Arial" w:cs="Arial"/>
          <w:bCs/>
          <w:sz w:val="22"/>
          <w:szCs w:val="22"/>
        </w:rPr>
        <w:t>28</w:t>
      </w:r>
      <w:r w:rsidR="00DE5043">
        <w:rPr>
          <w:rFonts w:ascii="Arial" w:hAnsi="Arial" w:cs="Arial"/>
          <w:bCs/>
          <w:sz w:val="22"/>
          <w:szCs w:val="22"/>
        </w:rPr>
        <w:t xml:space="preserve"> states that make up the UI system) would be the universe of respondents for the Federal STC system.</w:t>
      </w:r>
    </w:p>
    <w:p w:rsidR="00656A43" w:rsidRPr="00786FB1" w:rsidRDefault="00656A43" w:rsidP="00015E9C">
      <w:pPr>
        <w:spacing w:after="120"/>
        <w:ind w:left="720"/>
        <w:rPr>
          <w:rFonts w:ascii="Arial" w:hAnsi="Arial" w:cs="Arial"/>
          <w:bCs/>
          <w:sz w:val="22"/>
          <w:szCs w:val="22"/>
        </w:rPr>
      </w:pPr>
      <w:r>
        <w:rPr>
          <w:rFonts w:ascii="Arial" w:hAnsi="Arial" w:cs="Arial"/>
          <w:bCs/>
          <w:sz w:val="22"/>
          <w:szCs w:val="22"/>
        </w:rPr>
        <w:t>In addition, the burden estimates below are for those items that states will need to respond to.  Please note that individual items are broken out strictly to provide OMB with an estimate of the burden associated with the task.  ETA regards the entire UIPL, including attachments, as a single application, grant agreement and set of operational instructions, and the burden claimed includes states reviewing all materials within the UIPL.</w:t>
      </w:r>
    </w:p>
    <w:p w:rsidR="00786FB1" w:rsidRDefault="00830D53" w:rsidP="00015E9C">
      <w:pPr>
        <w:spacing w:after="120"/>
        <w:ind w:left="720"/>
        <w:rPr>
          <w:rFonts w:ascii="Arial" w:hAnsi="Arial" w:cs="Arial"/>
          <w:bCs/>
          <w:sz w:val="22"/>
          <w:szCs w:val="22"/>
        </w:rPr>
      </w:pPr>
      <w:r w:rsidRPr="00830D53">
        <w:rPr>
          <w:rFonts w:ascii="Arial" w:hAnsi="Arial" w:cs="Arial"/>
          <w:bCs/>
          <w:sz w:val="22"/>
          <w:szCs w:val="22"/>
        </w:rPr>
        <w:t xml:space="preserve">Please note that only one item among the three UIPLs carries an ongoing burden: the quarterly narrative progress report which serves as both a monitoring instrument for state progress in implementation and also a grant tracking tool for expenditures.  </w:t>
      </w:r>
      <w:r>
        <w:rPr>
          <w:rFonts w:ascii="Arial" w:hAnsi="Arial" w:cs="Arial"/>
          <w:bCs/>
          <w:sz w:val="22"/>
          <w:szCs w:val="22"/>
        </w:rPr>
        <w:t>All other documents are one time collections in order to enable states to have the legal framework to operate these programs and be eligible for grants.</w:t>
      </w:r>
    </w:p>
    <w:p w:rsidR="00830D53" w:rsidRPr="00830D53" w:rsidRDefault="00830D53" w:rsidP="00015E9C">
      <w:pPr>
        <w:spacing w:after="120"/>
        <w:ind w:left="720"/>
        <w:rPr>
          <w:rFonts w:ascii="Arial" w:hAnsi="Arial" w:cs="Arial"/>
          <w:bCs/>
          <w:sz w:val="22"/>
          <w:szCs w:val="22"/>
        </w:rPr>
      </w:pPr>
    </w:p>
    <w:tbl>
      <w:tblPr>
        <w:tblW w:w="10231"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40"/>
        <w:gridCol w:w="1348"/>
        <w:gridCol w:w="1262"/>
        <w:gridCol w:w="1530"/>
        <w:gridCol w:w="1170"/>
        <w:gridCol w:w="1681"/>
      </w:tblGrid>
      <w:tr w:rsidR="000E4B9E" w:rsidRPr="00875732" w:rsidTr="00830D53">
        <w:trPr>
          <w:trHeight w:val="638"/>
        </w:trPr>
        <w:tc>
          <w:tcPr>
            <w:tcW w:w="3240" w:type="dxa"/>
            <w:shd w:val="clear" w:color="auto" w:fill="auto"/>
            <w:vAlign w:val="center"/>
          </w:tcPr>
          <w:p w:rsidR="000E4B9E" w:rsidRPr="00F72436" w:rsidRDefault="000E4B9E" w:rsidP="00830D53">
            <w:pPr>
              <w:spacing w:after="120"/>
              <w:jc w:val="center"/>
              <w:rPr>
                <w:rFonts w:ascii="Arial" w:hAnsi="Arial" w:cs="Arial"/>
                <w:bCs/>
                <w:sz w:val="18"/>
                <w:szCs w:val="18"/>
              </w:rPr>
            </w:pPr>
            <w:r w:rsidRPr="00F72436">
              <w:rPr>
                <w:rFonts w:ascii="Arial" w:hAnsi="Arial" w:cs="Arial"/>
                <w:bCs/>
                <w:sz w:val="18"/>
                <w:szCs w:val="18"/>
              </w:rPr>
              <w:t>Category</w:t>
            </w:r>
            <w:r>
              <w:rPr>
                <w:rFonts w:ascii="Arial" w:hAnsi="Arial" w:cs="Arial"/>
                <w:bCs/>
                <w:sz w:val="18"/>
                <w:szCs w:val="18"/>
              </w:rPr>
              <w:t xml:space="preserve"> (BOLD) and Instruments</w:t>
            </w:r>
          </w:p>
        </w:tc>
        <w:tc>
          <w:tcPr>
            <w:tcW w:w="1348" w:type="dxa"/>
            <w:shd w:val="clear" w:color="auto" w:fill="auto"/>
            <w:vAlign w:val="center"/>
          </w:tcPr>
          <w:p w:rsidR="000E4B9E" w:rsidRPr="00F72436" w:rsidRDefault="000E4B9E" w:rsidP="00830D53">
            <w:pPr>
              <w:spacing w:after="120"/>
              <w:jc w:val="center"/>
              <w:rPr>
                <w:rFonts w:ascii="Arial" w:hAnsi="Arial" w:cs="Arial"/>
                <w:bCs/>
                <w:sz w:val="18"/>
                <w:szCs w:val="18"/>
              </w:rPr>
            </w:pPr>
            <w:r w:rsidRPr="00F72436">
              <w:rPr>
                <w:rFonts w:ascii="Arial" w:hAnsi="Arial" w:cs="Arial"/>
                <w:bCs/>
                <w:sz w:val="18"/>
                <w:szCs w:val="18"/>
              </w:rPr>
              <w:t>Respondents</w:t>
            </w:r>
          </w:p>
        </w:tc>
        <w:tc>
          <w:tcPr>
            <w:tcW w:w="1262" w:type="dxa"/>
            <w:vAlign w:val="center"/>
          </w:tcPr>
          <w:p w:rsidR="000E4B9E" w:rsidRDefault="000E4B9E" w:rsidP="00830D53">
            <w:pPr>
              <w:spacing w:after="120"/>
              <w:jc w:val="center"/>
              <w:rPr>
                <w:rFonts w:ascii="Arial" w:hAnsi="Arial" w:cs="Arial"/>
                <w:bCs/>
                <w:sz w:val="18"/>
                <w:szCs w:val="18"/>
              </w:rPr>
            </w:pPr>
            <w:r>
              <w:rPr>
                <w:rFonts w:ascii="Arial" w:hAnsi="Arial" w:cs="Arial"/>
                <w:bCs/>
                <w:sz w:val="18"/>
                <w:szCs w:val="18"/>
              </w:rPr>
              <w:t>Hours Per Response</w:t>
            </w:r>
          </w:p>
        </w:tc>
        <w:tc>
          <w:tcPr>
            <w:tcW w:w="1530" w:type="dxa"/>
            <w:shd w:val="clear" w:color="auto" w:fill="auto"/>
            <w:vAlign w:val="center"/>
          </w:tcPr>
          <w:p w:rsidR="000E4B9E" w:rsidRPr="00F72436" w:rsidRDefault="000E4B9E" w:rsidP="00830D53">
            <w:pPr>
              <w:spacing w:after="120"/>
              <w:jc w:val="center"/>
              <w:rPr>
                <w:rFonts w:ascii="Arial" w:hAnsi="Arial" w:cs="Arial"/>
                <w:bCs/>
                <w:sz w:val="18"/>
                <w:szCs w:val="18"/>
              </w:rPr>
            </w:pPr>
            <w:r>
              <w:rPr>
                <w:rFonts w:ascii="Arial" w:hAnsi="Arial" w:cs="Arial"/>
                <w:bCs/>
                <w:sz w:val="18"/>
                <w:szCs w:val="18"/>
              </w:rPr>
              <w:t xml:space="preserve">Annualized </w:t>
            </w:r>
            <w:r w:rsidRPr="00F72436">
              <w:rPr>
                <w:rFonts w:ascii="Arial" w:hAnsi="Arial" w:cs="Arial"/>
                <w:bCs/>
                <w:sz w:val="18"/>
                <w:szCs w:val="18"/>
              </w:rPr>
              <w:t>Responses</w:t>
            </w:r>
          </w:p>
        </w:tc>
        <w:tc>
          <w:tcPr>
            <w:tcW w:w="1170" w:type="dxa"/>
            <w:shd w:val="clear" w:color="auto" w:fill="auto"/>
            <w:vAlign w:val="center"/>
          </w:tcPr>
          <w:p w:rsidR="000E4B9E" w:rsidRPr="00F72436" w:rsidRDefault="000E4B9E" w:rsidP="00830D53">
            <w:pPr>
              <w:spacing w:after="120"/>
              <w:jc w:val="center"/>
              <w:rPr>
                <w:rFonts w:ascii="Arial" w:hAnsi="Arial" w:cs="Arial"/>
                <w:bCs/>
                <w:sz w:val="18"/>
                <w:szCs w:val="18"/>
              </w:rPr>
            </w:pPr>
            <w:r>
              <w:rPr>
                <w:rFonts w:ascii="Arial" w:hAnsi="Arial" w:cs="Arial"/>
                <w:bCs/>
                <w:sz w:val="18"/>
                <w:szCs w:val="18"/>
              </w:rPr>
              <w:t xml:space="preserve">Annualized </w:t>
            </w:r>
            <w:r w:rsidRPr="00F72436">
              <w:rPr>
                <w:rFonts w:ascii="Arial" w:hAnsi="Arial" w:cs="Arial"/>
                <w:bCs/>
                <w:sz w:val="18"/>
                <w:szCs w:val="18"/>
              </w:rPr>
              <w:t>Hours</w:t>
            </w:r>
          </w:p>
        </w:tc>
        <w:tc>
          <w:tcPr>
            <w:tcW w:w="1681" w:type="dxa"/>
            <w:shd w:val="clear" w:color="auto" w:fill="auto"/>
            <w:vAlign w:val="center"/>
          </w:tcPr>
          <w:p w:rsidR="000E4B9E" w:rsidRPr="00F72436" w:rsidRDefault="000E4B9E" w:rsidP="00830D53">
            <w:pPr>
              <w:spacing w:after="120"/>
              <w:jc w:val="center"/>
              <w:rPr>
                <w:rFonts w:ascii="Arial" w:hAnsi="Arial" w:cs="Arial"/>
                <w:bCs/>
                <w:sz w:val="18"/>
                <w:szCs w:val="18"/>
              </w:rPr>
            </w:pPr>
            <w:r>
              <w:rPr>
                <w:rFonts w:ascii="Arial" w:hAnsi="Arial" w:cs="Arial"/>
                <w:bCs/>
                <w:sz w:val="18"/>
                <w:szCs w:val="18"/>
              </w:rPr>
              <w:t xml:space="preserve">Annualized </w:t>
            </w:r>
            <w:r w:rsidRPr="00F72436">
              <w:rPr>
                <w:rFonts w:ascii="Arial" w:hAnsi="Arial" w:cs="Arial"/>
                <w:bCs/>
                <w:sz w:val="18"/>
                <w:szCs w:val="18"/>
              </w:rPr>
              <w:t>Value of Respondent Time</w:t>
            </w:r>
          </w:p>
        </w:tc>
      </w:tr>
      <w:tr w:rsidR="000E4B9E" w:rsidRPr="00875732" w:rsidTr="00830D53">
        <w:tc>
          <w:tcPr>
            <w:tcW w:w="3240" w:type="dxa"/>
            <w:shd w:val="clear" w:color="auto" w:fill="auto"/>
            <w:vAlign w:val="center"/>
          </w:tcPr>
          <w:p w:rsidR="000E4B9E" w:rsidRPr="00EF0676" w:rsidRDefault="000E4B9E" w:rsidP="00830D53">
            <w:pPr>
              <w:spacing w:after="120"/>
              <w:jc w:val="center"/>
              <w:rPr>
                <w:rFonts w:ascii="Arial" w:hAnsi="Arial" w:cs="Arial"/>
                <w:b/>
                <w:bCs/>
                <w:sz w:val="18"/>
                <w:szCs w:val="18"/>
              </w:rPr>
            </w:pPr>
            <w:r>
              <w:rPr>
                <w:rFonts w:ascii="Arial" w:hAnsi="Arial" w:cs="Arial"/>
                <w:b/>
                <w:bCs/>
                <w:sz w:val="18"/>
                <w:szCs w:val="18"/>
              </w:rPr>
              <w:t>S</w:t>
            </w:r>
            <w:r w:rsidRPr="00EF0676">
              <w:rPr>
                <w:rFonts w:ascii="Arial" w:hAnsi="Arial" w:cs="Arial"/>
                <w:b/>
                <w:bCs/>
                <w:sz w:val="18"/>
                <w:szCs w:val="18"/>
              </w:rPr>
              <w:t xml:space="preserve">tates </w:t>
            </w:r>
            <w:r>
              <w:rPr>
                <w:rFonts w:ascii="Arial" w:hAnsi="Arial" w:cs="Arial"/>
                <w:b/>
                <w:bCs/>
                <w:sz w:val="18"/>
                <w:szCs w:val="18"/>
              </w:rPr>
              <w:t xml:space="preserve">Coming </w:t>
            </w:r>
            <w:r w:rsidRPr="00EF0676">
              <w:rPr>
                <w:rFonts w:ascii="Arial" w:hAnsi="Arial" w:cs="Arial"/>
                <w:b/>
                <w:bCs/>
                <w:sz w:val="18"/>
                <w:szCs w:val="18"/>
              </w:rPr>
              <w:t>Into Conformity With New Federal STC Law</w:t>
            </w:r>
          </w:p>
        </w:tc>
        <w:tc>
          <w:tcPr>
            <w:tcW w:w="1348" w:type="dxa"/>
            <w:shd w:val="clear" w:color="auto" w:fill="auto"/>
            <w:vAlign w:val="center"/>
          </w:tcPr>
          <w:p w:rsidR="000E4B9E" w:rsidRPr="00F72436" w:rsidRDefault="000E4B9E" w:rsidP="00830D53">
            <w:pPr>
              <w:spacing w:after="120"/>
              <w:jc w:val="center"/>
              <w:rPr>
                <w:rFonts w:ascii="Arial" w:hAnsi="Arial" w:cs="Arial"/>
                <w:bCs/>
                <w:sz w:val="18"/>
                <w:szCs w:val="18"/>
              </w:rPr>
            </w:pPr>
          </w:p>
        </w:tc>
        <w:tc>
          <w:tcPr>
            <w:tcW w:w="1262" w:type="dxa"/>
            <w:vAlign w:val="center"/>
          </w:tcPr>
          <w:p w:rsidR="000E4B9E" w:rsidRPr="00F72436" w:rsidRDefault="000E4B9E" w:rsidP="00830D53">
            <w:pPr>
              <w:spacing w:after="120"/>
              <w:jc w:val="center"/>
              <w:rPr>
                <w:rFonts w:ascii="Arial" w:hAnsi="Arial" w:cs="Arial"/>
                <w:bCs/>
                <w:sz w:val="18"/>
                <w:szCs w:val="18"/>
              </w:rPr>
            </w:pPr>
          </w:p>
        </w:tc>
        <w:tc>
          <w:tcPr>
            <w:tcW w:w="1530" w:type="dxa"/>
            <w:shd w:val="clear" w:color="auto" w:fill="auto"/>
            <w:vAlign w:val="center"/>
          </w:tcPr>
          <w:p w:rsidR="000E4B9E" w:rsidRPr="00F72436" w:rsidRDefault="000E4B9E" w:rsidP="00830D53">
            <w:pPr>
              <w:spacing w:after="120"/>
              <w:jc w:val="center"/>
              <w:rPr>
                <w:rFonts w:ascii="Arial" w:hAnsi="Arial" w:cs="Arial"/>
                <w:bCs/>
                <w:sz w:val="18"/>
                <w:szCs w:val="18"/>
              </w:rPr>
            </w:pPr>
          </w:p>
        </w:tc>
        <w:tc>
          <w:tcPr>
            <w:tcW w:w="1170" w:type="dxa"/>
            <w:shd w:val="clear" w:color="auto" w:fill="auto"/>
            <w:vAlign w:val="center"/>
          </w:tcPr>
          <w:p w:rsidR="000E4B9E" w:rsidRPr="00F72436" w:rsidRDefault="000E4B9E" w:rsidP="00830D53">
            <w:pPr>
              <w:spacing w:after="120"/>
              <w:jc w:val="center"/>
              <w:rPr>
                <w:rFonts w:ascii="Arial" w:hAnsi="Arial" w:cs="Arial"/>
                <w:bCs/>
                <w:sz w:val="18"/>
                <w:szCs w:val="18"/>
              </w:rPr>
            </w:pPr>
          </w:p>
        </w:tc>
        <w:tc>
          <w:tcPr>
            <w:tcW w:w="1681" w:type="dxa"/>
            <w:shd w:val="clear" w:color="auto" w:fill="auto"/>
            <w:vAlign w:val="center"/>
          </w:tcPr>
          <w:p w:rsidR="000E4B9E" w:rsidRPr="00F72436" w:rsidRDefault="000E4B9E" w:rsidP="00830D53">
            <w:pPr>
              <w:spacing w:after="120"/>
              <w:jc w:val="center"/>
              <w:rPr>
                <w:rFonts w:ascii="Arial" w:hAnsi="Arial" w:cs="Arial"/>
                <w:bCs/>
                <w:sz w:val="18"/>
                <w:szCs w:val="18"/>
              </w:rPr>
            </w:pPr>
          </w:p>
        </w:tc>
      </w:tr>
      <w:tr w:rsidR="000E4B9E" w:rsidRPr="00875732" w:rsidTr="00830D53">
        <w:tc>
          <w:tcPr>
            <w:tcW w:w="3240" w:type="dxa"/>
            <w:shd w:val="clear" w:color="auto" w:fill="auto"/>
            <w:vAlign w:val="center"/>
          </w:tcPr>
          <w:p w:rsidR="000E4B9E" w:rsidRPr="00256E09" w:rsidRDefault="000E4B9E" w:rsidP="00830D53">
            <w:pPr>
              <w:spacing w:after="120"/>
              <w:jc w:val="center"/>
              <w:rPr>
                <w:rFonts w:ascii="Arial" w:hAnsi="Arial" w:cs="Arial"/>
                <w:bCs/>
                <w:sz w:val="18"/>
                <w:szCs w:val="18"/>
              </w:rPr>
            </w:pPr>
            <w:r w:rsidRPr="00256E09">
              <w:rPr>
                <w:rFonts w:ascii="Arial" w:hAnsi="Arial" w:cs="Arial"/>
                <w:bCs/>
                <w:sz w:val="18"/>
                <w:szCs w:val="18"/>
              </w:rPr>
              <w:t xml:space="preserve">General </w:t>
            </w:r>
            <w:r>
              <w:rPr>
                <w:rFonts w:ascii="Arial" w:hAnsi="Arial" w:cs="Arial"/>
                <w:bCs/>
                <w:sz w:val="18"/>
                <w:szCs w:val="18"/>
              </w:rPr>
              <w:t xml:space="preserve">STC </w:t>
            </w:r>
            <w:r w:rsidRPr="00256E09">
              <w:rPr>
                <w:rFonts w:ascii="Arial" w:hAnsi="Arial" w:cs="Arial"/>
                <w:bCs/>
                <w:sz w:val="18"/>
                <w:szCs w:val="18"/>
              </w:rPr>
              <w:t>UIPL: Attachment II – Text of Agreement</w:t>
            </w:r>
          </w:p>
        </w:tc>
        <w:tc>
          <w:tcPr>
            <w:tcW w:w="1348" w:type="dxa"/>
            <w:shd w:val="clear" w:color="auto" w:fill="auto"/>
            <w:vAlign w:val="center"/>
          </w:tcPr>
          <w:p w:rsidR="000E4B9E" w:rsidRDefault="000E4B9E" w:rsidP="00830D53">
            <w:pPr>
              <w:jc w:val="center"/>
            </w:pPr>
            <w:r>
              <w:rPr>
                <w:rFonts w:ascii="Arial" w:hAnsi="Arial" w:cs="Arial"/>
                <w:bCs/>
                <w:sz w:val="18"/>
                <w:szCs w:val="18"/>
              </w:rPr>
              <w:t>53</w:t>
            </w:r>
          </w:p>
        </w:tc>
        <w:tc>
          <w:tcPr>
            <w:tcW w:w="1262" w:type="dxa"/>
            <w:vAlign w:val="center"/>
          </w:tcPr>
          <w:p w:rsidR="000E4B9E" w:rsidRDefault="000E4B9E" w:rsidP="00830D53">
            <w:pPr>
              <w:spacing w:after="120"/>
              <w:jc w:val="center"/>
              <w:rPr>
                <w:rFonts w:ascii="Arial" w:hAnsi="Arial" w:cs="Arial"/>
                <w:bCs/>
                <w:sz w:val="18"/>
                <w:szCs w:val="18"/>
              </w:rPr>
            </w:pPr>
            <w:r>
              <w:rPr>
                <w:rFonts w:ascii="Arial" w:hAnsi="Arial" w:cs="Arial"/>
                <w:bCs/>
                <w:sz w:val="18"/>
                <w:szCs w:val="18"/>
              </w:rPr>
              <w:t>5</w:t>
            </w:r>
          </w:p>
        </w:tc>
        <w:tc>
          <w:tcPr>
            <w:tcW w:w="1530" w:type="dxa"/>
            <w:shd w:val="clear" w:color="auto" w:fill="auto"/>
            <w:vAlign w:val="center"/>
          </w:tcPr>
          <w:p w:rsidR="000E4B9E" w:rsidRPr="00F72436" w:rsidRDefault="000E4B9E" w:rsidP="00830D53">
            <w:pPr>
              <w:spacing w:after="120"/>
              <w:jc w:val="center"/>
              <w:rPr>
                <w:rFonts w:ascii="Arial" w:hAnsi="Arial" w:cs="Arial"/>
                <w:bCs/>
                <w:sz w:val="18"/>
                <w:szCs w:val="18"/>
              </w:rPr>
            </w:pPr>
            <w:r>
              <w:rPr>
                <w:rFonts w:ascii="Arial" w:hAnsi="Arial" w:cs="Arial"/>
                <w:bCs/>
                <w:sz w:val="18"/>
                <w:szCs w:val="18"/>
              </w:rPr>
              <w:t>n/a</w:t>
            </w:r>
          </w:p>
        </w:tc>
        <w:tc>
          <w:tcPr>
            <w:tcW w:w="1170" w:type="dxa"/>
            <w:shd w:val="clear" w:color="auto" w:fill="auto"/>
            <w:vAlign w:val="center"/>
          </w:tcPr>
          <w:p w:rsidR="000E4B9E" w:rsidRPr="00F72436" w:rsidRDefault="000E4B9E" w:rsidP="00830D53">
            <w:pPr>
              <w:spacing w:after="120"/>
              <w:jc w:val="center"/>
              <w:rPr>
                <w:rFonts w:ascii="Arial" w:hAnsi="Arial" w:cs="Arial"/>
                <w:bCs/>
                <w:sz w:val="18"/>
                <w:szCs w:val="18"/>
              </w:rPr>
            </w:pPr>
            <w:r>
              <w:rPr>
                <w:rFonts w:ascii="Arial" w:hAnsi="Arial" w:cs="Arial"/>
                <w:bCs/>
                <w:sz w:val="18"/>
                <w:szCs w:val="18"/>
              </w:rPr>
              <w:t>265</w:t>
            </w:r>
          </w:p>
        </w:tc>
        <w:tc>
          <w:tcPr>
            <w:tcW w:w="1681" w:type="dxa"/>
            <w:shd w:val="clear" w:color="auto" w:fill="auto"/>
            <w:vAlign w:val="center"/>
          </w:tcPr>
          <w:p w:rsidR="000E4B9E" w:rsidRPr="00F72436" w:rsidRDefault="00DE5043" w:rsidP="00830D53">
            <w:pPr>
              <w:spacing w:after="120"/>
              <w:jc w:val="center"/>
              <w:rPr>
                <w:rFonts w:ascii="Arial" w:hAnsi="Arial" w:cs="Arial"/>
                <w:bCs/>
                <w:sz w:val="18"/>
                <w:szCs w:val="18"/>
              </w:rPr>
            </w:pPr>
            <w:r>
              <w:rPr>
                <w:rFonts w:ascii="Arial" w:hAnsi="Arial" w:cs="Arial"/>
                <w:bCs/>
                <w:sz w:val="18"/>
                <w:szCs w:val="18"/>
              </w:rPr>
              <w:t>$</w:t>
            </w:r>
            <w:r w:rsidR="000E4B9E">
              <w:rPr>
                <w:rFonts w:ascii="Arial" w:hAnsi="Arial" w:cs="Arial"/>
                <w:bCs/>
                <w:sz w:val="18"/>
                <w:szCs w:val="18"/>
              </w:rPr>
              <w:t>10,862.35</w:t>
            </w:r>
          </w:p>
        </w:tc>
      </w:tr>
      <w:tr w:rsidR="000E4B9E" w:rsidRPr="00875732" w:rsidTr="00830D53">
        <w:tc>
          <w:tcPr>
            <w:tcW w:w="3240" w:type="dxa"/>
            <w:shd w:val="clear" w:color="auto" w:fill="auto"/>
            <w:vAlign w:val="center"/>
          </w:tcPr>
          <w:p w:rsidR="000E4B9E" w:rsidRPr="00256E09" w:rsidRDefault="000E4B9E" w:rsidP="00830D53">
            <w:pPr>
              <w:spacing w:after="120"/>
              <w:jc w:val="center"/>
              <w:rPr>
                <w:rFonts w:ascii="Arial" w:hAnsi="Arial" w:cs="Arial"/>
                <w:bCs/>
                <w:sz w:val="18"/>
                <w:szCs w:val="18"/>
              </w:rPr>
            </w:pPr>
            <w:r w:rsidRPr="00256E09">
              <w:rPr>
                <w:rFonts w:ascii="Arial" w:hAnsi="Arial" w:cs="Arial"/>
                <w:bCs/>
                <w:sz w:val="18"/>
                <w:szCs w:val="18"/>
              </w:rPr>
              <w:t xml:space="preserve">General </w:t>
            </w:r>
            <w:r>
              <w:rPr>
                <w:rFonts w:ascii="Arial" w:hAnsi="Arial" w:cs="Arial"/>
                <w:bCs/>
                <w:sz w:val="18"/>
                <w:szCs w:val="18"/>
              </w:rPr>
              <w:t xml:space="preserve">STC </w:t>
            </w:r>
            <w:r w:rsidRPr="00256E09">
              <w:rPr>
                <w:rFonts w:ascii="Arial" w:hAnsi="Arial" w:cs="Arial"/>
                <w:bCs/>
                <w:sz w:val="18"/>
                <w:szCs w:val="18"/>
              </w:rPr>
              <w:t xml:space="preserve">UIPL: Addendum to FY2012 Annual Funding Agreement </w:t>
            </w:r>
            <w:r w:rsidRPr="00256E09">
              <w:rPr>
                <w:rFonts w:ascii="Arial" w:hAnsi="Arial" w:cs="Arial"/>
                <w:bCs/>
                <w:sz w:val="18"/>
                <w:szCs w:val="18"/>
              </w:rPr>
              <w:lastRenderedPageBreak/>
              <w:t>for UI Program</w:t>
            </w:r>
          </w:p>
        </w:tc>
        <w:tc>
          <w:tcPr>
            <w:tcW w:w="1348" w:type="dxa"/>
            <w:shd w:val="clear" w:color="auto" w:fill="auto"/>
            <w:vAlign w:val="center"/>
          </w:tcPr>
          <w:p w:rsidR="000E4B9E" w:rsidRDefault="000E4B9E" w:rsidP="00830D53">
            <w:pPr>
              <w:jc w:val="center"/>
            </w:pPr>
            <w:r>
              <w:rPr>
                <w:rFonts w:ascii="Arial" w:hAnsi="Arial" w:cs="Arial"/>
                <w:bCs/>
                <w:sz w:val="18"/>
                <w:szCs w:val="18"/>
              </w:rPr>
              <w:lastRenderedPageBreak/>
              <w:t>53</w:t>
            </w:r>
          </w:p>
        </w:tc>
        <w:tc>
          <w:tcPr>
            <w:tcW w:w="1262" w:type="dxa"/>
            <w:vAlign w:val="center"/>
          </w:tcPr>
          <w:p w:rsidR="000E4B9E" w:rsidRDefault="000E4B9E" w:rsidP="00830D53">
            <w:pPr>
              <w:spacing w:after="120"/>
              <w:jc w:val="center"/>
              <w:rPr>
                <w:rFonts w:ascii="Arial" w:hAnsi="Arial" w:cs="Arial"/>
                <w:bCs/>
                <w:sz w:val="18"/>
                <w:szCs w:val="18"/>
              </w:rPr>
            </w:pPr>
            <w:r>
              <w:rPr>
                <w:rFonts w:ascii="Arial" w:hAnsi="Arial" w:cs="Arial"/>
                <w:bCs/>
                <w:sz w:val="18"/>
                <w:szCs w:val="18"/>
              </w:rPr>
              <w:t>5</w:t>
            </w:r>
          </w:p>
        </w:tc>
        <w:tc>
          <w:tcPr>
            <w:tcW w:w="1530" w:type="dxa"/>
            <w:shd w:val="clear" w:color="auto" w:fill="auto"/>
            <w:vAlign w:val="center"/>
          </w:tcPr>
          <w:p w:rsidR="000E4B9E" w:rsidRPr="00F72436" w:rsidRDefault="000E4B9E" w:rsidP="00830D53">
            <w:pPr>
              <w:spacing w:after="120"/>
              <w:jc w:val="center"/>
              <w:rPr>
                <w:rFonts w:ascii="Arial" w:hAnsi="Arial" w:cs="Arial"/>
                <w:bCs/>
                <w:sz w:val="18"/>
                <w:szCs w:val="18"/>
              </w:rPr>
            </w:pPr>
            <w:r>
              <w:rPr>
                <w:rFonts w:ascii="Arial" w:hAnsi="Arial" w:cs="Arial"/>
                <w:bCs/>
                <w:sz w:val="18"/>
                <w:szCs w:val="18"/>
              </w:rPr>
              <w:t>n/a</w:t>
            </w:r>
          </w:p>
        </w:tc>
        <w:tc>
          <w:tcPr>
            <w:tcW w:w="1170" w:type="dxa"/>
            <w:shd w:val="clear" w:color="auto" w:fill="auto"/>
            <w:vAlign w:val="center"/>
          </w:tcPr>
          <w:p w:rsidR="000E4B9E" w:rsidRPr="00F72436" w:rsidRDefault="000E4B9E" w:rsidP="00830D53">
            <w:pPr>
              <w:spacing w:after="120"/>
              <w:jc w:val="center"/>
              <w:rPr>
                <w:rFonts w:ascii="Arial" w:hAnsi="Arial" w:cs="Arial"/>
                <w:bCs/>
                <w:sz w:val="18"/>
                <w:szCs w:val="18"/>
              </w:rPr>
            </w:pPr>
            <w:r>
              <w:rPr>
                <w:rFonts w:ascii="Arial" w:hAnsi="Arial" w:cs="Arial"/>
                <w:bCs/>
                <w:sz w:val="18"/>
                <w:szCs w:val="18"/>
              </w:rPr>
              <w:t>265</w:t>
            </w:r>
          </w:p>
        </w:tc>
        <w:tc>
          <w:tcPr>
            <w:tcW w:w="1681" w:type="dxa"/>
            <w:shd w:val="clear" w:color="auto" w:fill="auto"/>
            <w:vAlign w:val="center"/>
          </w:tcPr>
          <w:p w:rsidR="000E4B9E" w:rsidRPr="00F72436" w:rsidRDefault="00DE5043" w:rsidP="00830D53">
            <w:pPr>
              <w:spacing w:after="120"/>
              <w:jc w:val="center"/>
              <w:rPr>
                <w:rFonts w:ascii="Arial" w:hAnsi="Arial" w:cs="Arial"/>
                <w:bCs/>
                <w:sz w:val="18"/>
                <w:szCs w:val="18"/>
              </w:rPr>
            </w:pPr>
            <w:r>
              <w:rPr>
                <w:rFonts w:ascii="Arial" w:hAnsi="Arial" w:cs="Arial"/>
                <w:bCs/>
                <w:sz w:val="18"/>
                <w:szCs w:val="18"/>
              </w:rPr>
              <w:t>$</w:t>
            </w:r>
            <w:r w:rsidR="000E4B9E">
              <w:rPr>
                <w:rFonts w:ascii="Arial" w:hAnsi="Arial" w:cs="Arial"/>
                <w:bCs/>
                <w:sz w:val="18"/>
                <w:szCs w:val="18"/>
              </w:rPr>
              <w:t>10,862.35</w:t>
            </w:r>
          </w:p>
        </w:tc>
      </w:tr>
      <w:tr w:rsidR="000E4B9E" w:rsidRPr="00875732" w:rsidTr="00830D53">
        <w:tc>
          <w:tcPr>
            <w:tcW w:w="3240" w:type="dxa"/>
            <w:shd w:val="clear" w:color="auto" w:fill="auto"/>
            <w:vAlign w:val="center"/>
          </w:tcPr>
          <w:p w:rsidR="000E4B9E" w:rsidRPr="00256E09" w:rsidRDefault="000E4B9E" w:rsidP="00830D53">
            <w:pPr>
              <w:spacing w:after="120"/>
              <w:jc w:val="center"/>
              <w:rPr>
                <w:rFonts w:ascii="Arial" w:hAnsi="Arial" w:cs="Arial"/>
                <w:bCs/>
                <w:sz w:val="18"/>
                <w:szCs w:val="18"/>
              </w:rPr>
            </w:pPr>
            <w:r>
              <w:rPr>
                <w:rFonts w:ascii="Arial" w:hAnsi="Arial" w:cs="Arial"/>
                <w:b/>
                <w:bCs/>
                <w:sz w:val="18"/>
                <w:szCs w:val="18"/>
              </w:rPr>
              <w:lastRenderedPageBreak/>
              <w:t>S</w:t>
            </w:r>
            <w:r w:rsidRPr="00EF0676">
              <w:rPr>
                <w:rFonts w:ascii="Arial" w:hAnsi="Arial" w:cs="Arial"/>
                <w:b/>
                <w:bCs/>
                <w:sz w:val="18"/>
                <w:szCs w:val="18"/>
              </w:rPr>
              <w:t xml:space="preserve">tates </w:t>
            </w:r>
            <w:r>
              <w:rPr>
                <w:rFonts w:ascii="Arial" w:hAnsi="Arial" w:cs="Arial"/>
                <w:b/>
                <w:bCs/>
                <w:sz w:val="18"/>
                <w:szCs w:val="18"/>
              </w:rPr>
              <w:t>With STC Programs Applying For Grants to Enhance or Promote Their Current Programs</w:t>
            </w:r>
          </w:p>
        </w:tc>
        <w:tc>
          <w:tcPr>
            <w:tcW w:w="1348" w:type="dxa"/>
            <w:shd w:val="clear" w:color="auto" w:fill="auto"/>
            <w:vAlign w:val="center"/>
          </w:tcPr>
          <w:p w:rsidR="000E4B9E" w:rsidRPr="00256E09" w:rsidRDefault="000E4B9E" w:rsidP="00830D53">
            <w:pPr>
              <w:jc w:val="center"/>
              <w:rPr>
                <w:rFonts w:ascii="Arial" w:hAnsi="Arial" w:cs="Arial"/>
                <w:sz w:val="18"/>
                <w:szCs w:val="18"/>
              </w:rPr>
            </w:pPr>
          </w:p>
        </w:tc>
        <w:tc>
          <w:tcPr>
            <w:tcW w:w="1262" w:type="dxa"/>
            <w:vAlign w:val="center"/>
          </w:tcPr>
          <w:p w:rsidR="000E4B9E" w:rsidRPr="00256E09" w:rsidRDefault="000E4B9E" w:rsidP="00830D53">
            <w:pPr>
              <w:spacing w:after="120"/>
              <w:jc w:val="center"/>
              <w:rPr>
                <w:rFonts w:ascii="Arial" w:hAnsi="Arial" w:cs="Arial"/>
                <w:bCs/>
                <w:sz w:val="18"/>
                <w:szCs w:val="18"/>
              </w:rPr>
            </w:pPr>
          </w:p>
        </w:tc>
        <w:tc>
          <w:tcPr>
            <w:tcW w:w="1530" w:type="dxa"/>
            <w:shd w:val="clear" w:color="auto" w:fill="auto"/>
            <w:vAlign w:val="center"/>
          </w:tcPr>
          <w:p w:rsidR="000E4B9E" w:rsidRPr="00256E09" w:rsidRDefault="000E4B9E" w:rsidP="00830D53">
            <w:pPr>
              <w:spacing w:after="120"/>
              <w:jc w:val="center"/>
              <w:rPr>
                <w:rFonts w:ascii="Arial" w:hAnsi="Arial" w:cs="Arial"/>
                <w:bCs/>
                <w:sz w:val="18"/>
                <w:szCs w:val="18"/>
              </w:rPr>
            </w:pPr>
          </w:p>
        </w:tc>
        <w:tc>
          <w:tcPr>
            <w:tcW w:w="1170" w:type="dxa"/>
            <w:shd w:val="clear" w:color="auto" w:fill="auto"/>
            <w:vAlign w:val="center"/>
          </w:tcPr>
          <w:p w:rsidR="000E4B9E" w:rsidRPr="00256E09" w:rsidRDefault="000E4B9E" w:rsidP="00830D53">
            <w:pPr>
              <w:spacing w:after="120"/>
              <w:jc w:val="center"/>
              <w:rPr>
                <w:rFonts w:ascii="Arial" w:hAnsi="Arial" w:cs="Arial"/>
                <w:bCs/>
                <w:sz w:val="18"/>
                <w:szCs w:val="18"/>
              </w:rPr>
            </w:pPr>
          </w:p>
        </w:tc>
        <w:tc>
          <w:tcPr>
            <w:tcW w:w="1681" w:type="dxa"/>
            <w:shd w:val="clear" w:color="auto" w:fill="auto"/>
            <w:vAlign w:val="center"/>
          </w:tcPr>
          <w:p w:rsidR="000E4B9E" w:rsidRPr="00256E09" w:rsidRDefault="000E4B9E" w:rsidP="00830D53">
            <w:pPr>
              <w:jc w:val="center"/>
              <w:rPr>
                <w:rFonts w:ascii="Arial" w:hAnsi="Arial" w:cs="Arial"/>
                <w:sz w:val="18"/>
                <w:szCs w:val="18"/>
              </w:rPr>
            </w:pPr>
          </w:p>
        </w:tc>
      </w:tr>
      <w:tr w:rsidR="000E4B9E" w:rsidRPr="00875732" w:rsidTr="00830D53">
        <w:tc>
          <w:tcPr>
            <w:tcW w:w="3240" w:type="dxa"/>
            <w:shd w:val="clear" w:color="auto" w:fill="auto"/>
            <w:vAlign w:val="center"/>
          </w:tcPr>
          <w:p w:rsidR="000E4B9E" w:rsidRPr="00DE5043" w:rsidRDefault="000E4B9E" w:rsidP="00830D53">
            <w:pPr>
              <w:widowControl/>
              <w:jc w:val="center"/>
              <w:rPr>
                <w:rFonts w:ascii="Arial" w:hAnsi="Arial" w:cs="Arial"/>
                <w:sz w:val="18"/>
                <w:szCs w:val="18"/>
              </w:rPr>
            </w:pPr>
            <w:r w:rsidRPr="00256E09">
              <w:rPr>
                <w:rFonts w:ascii="Arial" w:hAnsi="Arial" w:cs="Arial"/>
                <w:sz w:val="18"/>
                <w:szCs w:val="18"/>
              </w:rPr>
              <w:t>UIPL on state STC grants: Attachment 1—STC Proposal Outline for STC Applications</w:t>
            </w:r>
          </w:p>
        </w:tc>
        <w:tc>
          <w:tcPr>
            <w:tcW w:w="1348" w:type="dxa"/>
            <w:shd w:val="clear" w:color="auto" w:fill="auto"/>
            <w:vAlign w:val="center"/>
          </w:tcPr>
          <w:p w:rsidR="000E4B9E" w:rsidRPr="00256E09" w:rsidRDefault="00F42DD1" w:rsidP="00830D53">
            <w:pPr>
              <w:spacing w:after="120"/>
              <w:jc w:val="center"/>
              <w:rPr>
                <w:rFonts w:ascii="Arial" w:hAnsi="Arial" w:cs="Arial"/>
                <w:bCs/>
                <w:sz w:val="18"/>
                <w:szCs w:val="18"/>
              </w:rPr>
            </w:pPr>
            <w:r>
              <w:rPr>
                <w:rFonts w:ascii="Arial" w:hAnsi="Arial" w:cs="Arial"/>
                <w:bCs/>
                <w:sz w:val="18"/>
                <w:szCs w:val="18"/>
              </w:rPr>
              <w:t>25</w:t>
            </w:r>
          </w:p>
        </w:tc>
        <w:tc>
          <w:tcPr>
            <w:tcW w:w="1262" w:type="dxa"/>
            <w:vAlign w:val="center"/>
          </w:tcPr>
          <w:p w:rsidR="000E4B9E" w:rsidRPr="00256E09" w:rsidRDefault="00C3768C" w:rsidP="00830D53">
            <w:pPr>
              <w:spacing w:after="120"/>
              <w:jc w:val="center"/>
              <w:rPr>
                <w:rFonts w:ascii="Arial" w:hAnsi="Arial" w:cs="Arial"/>
                <w:bCs/>
                <w:sz w:val="18"/>
                <w:szCs w:val="18"/>
              </w:rPr>
            </w:pPr>
            <w:r>
              <w:rPr>
                <w:rFonts w:ascii="Arial" w:hAnsi="Arial" w:cs="Arial"/>
                <w:bCs/>
                <w:sz w:val="18"/>
                <w:szCs w:val="18"/>
              </w:rPr>
              <w:t>8</w:t>
            </w:r>
            <w:r w:rsidR="000E4B9E">
              <w:rPr>
                <w:rFonts w:ascii="Arial" w:hAnsi="Arial" w:cs="Arial"/>
                <w:bCs/>
                <w:sz w:val="18"/>
                <w:szCs w:val="18"/>
              </w:rPr>
              <w:t>0</w:t>
            </w:r>
          </w:p>
        </w:tc>
        <w:tc>
          <w:tcPr>
            <w:tcW w:w="1530" w:type="dxa"/>
            <w:shd w:val="clear" w:color="auto" w:fill="auto"/>
            <w:vAlign w:val="center"/>
          </w:tcPr>
          <w:p w:rsidR="000E4B9E" w:rsidRPr="00256E09" w:rsidRDefault="00DE5043" w:rsidP="00830D53">
            <w:pPr>
              <w:spacing w:after="120"/>
              <w:jc w:val="center"/>
              <w:rPr>
                <w:rFonts w:ascii="Arial" w:hAnsi="Arial" w:cs="Arial"/>
                <w:bCs/>
                <w:sz w:val="18"/>
                <w:szCs w:val="18"/>
              </w:rPr>
            </w:pPr>
            <w:r>
              <w:rPr>
                <w:rFonts w:ascii="Arial" w:hAnsi="Arial" w:cs="Arial"/>
                <w:bCs/>
                <w:sz w:val="18"/>
                <w:szCs w:val="18"/>
              </w:rPr>
              <w:t>n/a</w:t>
            </w:r>
          </w:p>
        </w:tc>
        <w:tc>
          <w:tcPr>
            <w:tcW w:w="1170" w:type="dxa"/>
            <w:shd w:val="clear" w:color="auto" w:fill="auto"/>
            <w:vAlign w:val="center"/>
          </w:tcPr>
          <w:p w:rsidR="000E4B9E" w:rsidRPr="00256E09" w:rsidRDefault="00887050" w:rsidP="00830D53">
            <w:pPr>
              <w:spacing w:after="120"/>
              <w:jc w:val="center"/>
              <w:rPr>
                <w:rFonts w:ascii="Arial" w:hAnsi="Arial" w:cs="Arial"/>
                <w:bCs/>
                <w:sz w:val="18"/>
                <w:szCs w:val="18"/>
              </w:rPr>
            </w:pPr>
            <w:r>
              <w:rPr>
                <w:rFonts w:ascii="Arial" w:hAnsi="Arial" w:cs="Arial"/>
                <w:bCs/>
                <w:sz w:val="18"/>
                <w:szCs w:val="18"/>
              </w:rPr>
              <w:t>2000</w:t>
            </w:r>
          </w:p>
        </w:tc>
        <w:tc>
          <w:tcPr>
            <w:tcW w:w="1681" w:type="dxa"/>
            <w:shd w:val="clear" w:color="auto" w:fill="auto"/>
            <w:vAlign w:val="center"/>
          </w:tcPr>
          <w:p w:rsidR="000E4B9E" w:rsidRPr="00256E09" w:rsidRDefault="00656A43" w:rsidP="00830D53">
            <w:pPr>
              <w:spacing w:after="120"/>
              <w:jc w:val="center"/>
              <w:rPr>
                <w:rFonts w:ascii="Arial" w:hAnsi="Arial" w:cs="Arial"/>
                <w:bCs/>
                <w:sz w:val="18"/>
                <w:szCs w:val="18"/>
              </w:rPr>
            </w:pPr>
            <w:r w:rsidRPr="00656A43">
              <w:rPr>
                <w:rFonts w:ascii="Arial" w:hAnsi="Arial" w:cs="Arial"/>
                <w:bCs/>
                <w:sz w:val="18"/>
                <w:szCs w:val="18"/>
              </w:rPr>
              <w:t>$81,980.00</w:t>
            </w:r>
          </w:p>
        </w:tc>
      </w:tr>
      <w:tr w:rsidR="00656A43" w:rsidRPr="00875732" w:rsidTr="00830D53">
        <w:tc>
          <w:tcPr>
            <w:tcW w:w="3240" w:type="dxa"/>
            <w:shd w:val="clear" w:color="auto" w:fill="auto"/>
            <w:vAlign w:val="center"/>
          </w:tcPr>
          <w:p w:rsidR="00656A43" w:rsidRPr="00DE5043" w:rsidRDefault="00656A43" w:rsidP="00830D53">
            <w:pPr>
              <w:widowControl/>
              <w:jc w:val="center"/>
              <w:rPr>
                <w:rFonts w:ascii="Arial" w:hAnsi="Arial" w:cs="Arial"/>
                <w:sz w:val="18"/>
                <w:szCs w:val="18"/>
              </w:rPr>
            </w:pPr>
            <w:r w:rsidRPr="00256E09">
              <w:rPr>
                <w:rFonts w:ascii="Arial" w:hAnsi="Arial" w:cs="Arial"/>
                <w:sz w:val="18"/>
                <w:szCs w:val="18"/>
              </w:rPr>
              <w:t>UIPL on state STC grants: Attachment 2—STC Application Checklist</w:t>
            </w:r>
          </w:p>
        </w:tc>
        <w:tc>
          <w:tcPr>
            <w:tcW w:w="1348" w:type="dxa"/>
            <w:shd w:val="clear" w:color="auto" w:fill="auto"/>
            <w:vAlign w:val="center"/>
          </w:tcPr>
          <w:p w:rsidR="00656A43" w:rsidRPr="00256E09" w:rsidRDefault="00656A43" w:rsidP="00830D53">
            <w:pPr>
              <w:jc w:val="center"/>
              <w:rPr>
                <w:rFonts w:ascii="Arial" w:hAnsi="Arial" w:cs="Arial"/>
                <w:sz w:val="18"/>
                <w:szCs w:val="18"/>
              </w:rPr>
            </w:pPr>
            <w:r>
              <w:rPr>
                <w:rFonts w:ascii="Arial" w:hAnsi="Arial" w:cs="Arial"/>
                <w:sz w:val="18"/>
                <w:szCs w:val="18"/>
              </w:rPr>
              <w:t>25</w:t>
            </w:r>
          </w:p>
        </w:tc>
        <w:tc>
          <w:tcPr>
            <w:tcW w:w="1262" w:type="dxa"/>
            <w:vAlign w:val="center"/>
          </w:tcPr>
          <w:p w:rsidR="00656A43" w:rsidRPr="00256E09" w:rsidRDefault="00656A43" w:rsidP="00830D53">
            <w:pPr>
              <w:spacing w:after="120"/>
              <w:jc w:val="center"/>
              <w:rPr>
                <w:rFonts w:ascii="Arial" w:hAnsi="Arial" w:cs="Arial"/>
                <w:bCs/>
                <w:sz w:val="18"/>
                <w:szCs w:val="18"/>
              </w:rPr>
            </w:pPr>
            <w:r>
              <w:rPr>
                <w:rFonts w:ascii="Arial" w:hAnsi="Arial" w:cs="Arial"/>
                <w:bCs/>
                <w:sz w:val="18"/>
                <w:szCs w:val="18"/>
              </w:rPr>
              <w:t>80</w:t>
            </w:r>
          </w:p>
        </w:tc>
        <w:tc>
          <w:tcPr>
            <w:tcW w:w="1530" w:type="dxa"/>
            <w:shd w:val="clear" w:color="auto" w:fill="auto"/>
            <w:vAlign w:val="center"/>
          </w:tcPr>
          <w:p w:rsidR="00656A43" w:rsidRPr="00256E09" w:rsidRDefault="00656A43" w:rsidP="00830D53">
            <w:pPr>
              <w:spacing w:after="120"/>
              <w:jc w:val="center"/>
              <w:rPr>
                <w:rFonts w:ascii="Arial" w:hAnsi="Arial" w:cs="Arial"/>
                <w:bCs/>
                <w:sz w:val="18"/>
                <w:szCs w:val="18"/>
              </w:rPr>
            </w:pPr>
            <w:r>
              <w:rPr>
                <w:rFonts w:ascii="Arial" w:hAnsi="Arial" w:cs="Arial"/>
                <w:bCs/>
                <w:sz w:val="18"/>
                <w:szCs w:val="18"/>
              </w:rPr>
              <w:t>n/a</w:t>
            </w:r>
          </w:p>
        </w:tc>
        <w:tc>
          <w:tcPr>
            <w:tcW w:w="1170" w:type="dxa"/>
            <w:shd w:val="clear" w:color="auto" w:fill="auto"/>
            <w:vAlign w:val="center"/>
          </w:tcPr>
          <w:p w:rsidR="00656A43" w:rsidRPr="00256E09" w:rsidRDefault="00887050" w:rsidP="00830D53">
            <w:pPr>
              <w:spacing w:after="120"/>
              <w:jc w:val="center"/>
              <w:rPr>
                <w:rFonts w:ascii="Arial" w:hAnsi="Arial" w:cs="Arial"/>
                <w:bCs/>
                <w:sz w:val="18"/>
                <w:szCs w:val="18"/>
              </w:rPr>
            </w:pPr>
            <w:r>
              <w:rPr>
                <w:rFonts w:ascii="Arial" w:hAnsi="Arial" w:cs="Arial"/>
                <w:bCs/>
                <w:sz w:val="18"/>
                <w:szCs w:val="18"/>
              </w:rPr>
              <w:t>2000</w:t>
            </w:r>
          </w:p>
        </w:tc>
        <w:tc>
          <w:tcPr>
            <w:tcW w:w="1681" w:type="dxa"/>
            <w:shd w:val="clear" w:color="auto" w:fill="auto"/>
            <w:vAlign w:val="center"/>
          </w:tcPr>
          <w:p w:rsidR="00656A43" w:rsidRPr="00256E09" w:rsidRDefault="00656A43" w:rsidP="00830D53">
            <w:pPr>
              <w:spacing w:after="120"/>
              <w:jc w:val="center"/>
              <w:rPr>
                <w:rFonts w:ascii="Arial" w:hAnsi="Arial" w:cs="Arial"/>
                <w:bCs/>
                <w:sz w:val="18"/>
                <w:szCs w:val="18"/>
              </w:rPr>
            </w:pPr>
            <w:r w:rsidRPr="00656A43">
              <w:rPr>
                <w:rFonts w:ascii="Arial" w:hAnsi="Arial" w:cs="Arial"/>
                <w:bCs/>
                <w:sz w:val="18"/>
                <w:szCs w:val="18"/>
              </w:rPr>
              <w:t>$81,980.00</w:t>
            </w:r>
          </w:p>
        </w:tc>
      </w:tr>
      <w:tr w:rsidR="000E4B9E" w:rsidRPr="00875732" w:rsidTr="00830D53">
        <w:tc>
          <w:tcPr>
            <w:tcW w:w="3240" w:type="dxa"/>
            <w:shd w:val="clear" w:color="auto" w:fill="auto"/>
            <w:vAlign w:val="center"/>
          </w:tcPr>
          <w:p w:rsidR="000E4B9E" w:rsidRPr="00DE5043" w:rsidRDefault="000E4B9E" w:rsidP="00830D53">
            <w:pPr>
              <w:widowControl/>
              <w:jc w:val="center"/>
              <w:rPr>
                <w:rFonts w:ascii="Arial" w:hAnsi="Arial" w:cs="Arial"/>
                <w:sz w:val="18"/>
                <w:szCs w:val="18"/>
              </w:rPr>
            </w:pPr>
            <w:r w:rsidRPr="00256E09">
              <w:rPr>
                <w:rFonts w:ascii="Arial" w:hAnsi="Arial" w:cs="Arial"/>
                <w:sz w:val="18"/>
                <w:szCs w:val="18"/>
              </w:rPr>
              <w:t>UIPL on state STC grants: Attachment 3—Quarterly Narrative Progress Report</w:t>
            </w:r>
          </w:p>
        </w:tc>
        <w:tc>
          <w:tcPr>
            <w:tcW w:w="1348" w:type="dxa"/>
            <w:shd w:val="clear" w:color="auto" w:fill="auto"/>
            <w:vAlign w:val="center"/>
          </w:tcPr>
          <w:p w:rsidR="000E4B9E" w:rsidRPr="00256E09" w:rsidRDefault="000E4B9E" w:rsidP="00830D53">
            <w:pPr>
              <w:spacing w:after="120"/>
              <w:jc w:val="center"/>
              <w:rPr>
                <w:rFonts w:ascii="Arial" w:hAnsi="Arial" w:cs="Arial"/>
                <w:bCs/>
                <w:sz w:val="18"/>
                <w:szCs w:val="18"/>
              </w:rPr>
            </w:pPr>
            <w:r>
              <w:rPr>
                <w:rFonts w:ascii="Arial" w:hAnsi="Arial" w:cs="Arial"/>
                <w:bCs/>
                <w:sz w:val="18"/>
                <w:szCs w:val="18"/>
              </w:rPr>
              <w:t>2</w:t>
            </w:r>
            <w:r w:rsidR="001C0FCC">
              <w:rPr>
                <w:rFonts w:ascii="Arial" w:hAnsi="Arial" w:cs="Arial"/>
                <w:bCs/>
                <w:sz w:val="18"/>
                <w:szCs w:val="18"/>
              </w:rPr>
              <w:t>5</w:t>
            </w:r>
          </w:p>
        </w:tc>
        <w:tc>
          <w:tcPr>
            <w:tcW w:w="1262" w:type="dxa"/>
            <w:vAlign w:val="center"/>
          </w:tcPr>
          <w:p w:rsidR="000E4B9E" w:rsidRPr="00256E09" w:rsidRDefault="00DE5043" w:rsidP="00830D53">
            <w:pPr>
              <w:spacing w:after="120"/>
              <w:jc w:val="center"/>
              <w:rPr>
                <w:rFonts w:ascii="Arial" w:hAnsi="Arial" w:cs="Arial"/>
                <w:bCs/>
                <w:sz w:val="18"/>
                <w:szCs w:val="18"/>
              </w:rPr>
            </w:pPr>
            <w:r>
              <w:rPr>
                <w:rFonts w:ascii="Arial" w:hAnsi="Arial" w:cs="Arial"/>
                <w:bCs/>
                <w:sz w:val="18"/>
                <w:szCs w:val="18"/>
              </w:rPr>
              <w:t>25</w:t>
            </w:r>
          </w:p>
        </w:tc>
        <w:tc>
          <w:tcPr>
            <w:tcW w:w="1530" w:type="dxa"/>
            <w:shd w:val="clear" w:color="auto" w:fill="auto"/>
            <w:vAlign w:val="center"/>
          </w:tcPr>
          <w:p w:rsidR="000E4B9E" w:rsidRPr="00256E09" w:rsidRDefault="008C5B7E" w:rsidP="00830D53">
            <w:pPr>
              <w:spacing w:after="120"/>
              <w:jc w:val="center"/>
              <w:rPr>
                <w:rFonts w:ascii="Arial" w:hAnsi="Arial" w:cs="Arial"/>
                <w:bCs/>
                <w:sz w:val="18"/>
                <w:szCs w:val="18"/>
              </w:rPr>
            </w:pPr>
            <w:r>
              <w:rPr>
                <w:rFonts w:ascii="Arial" w:hAnsi="Arial" w:cs="Arial"/>
                <w:bCs/>
                <w:sz w:val="18"/>
                <w:szCs w:val="18"/>
              </w:rPr>
              <w:t>100</w:t>
            </w:r>
          </w:p>
        </w:tc>
        <w:tc>
          <w:tcPr>
            <w:tcW w:w="1170" w:type="dxa"/>
            <w:shd w:val="clear" w:color="auto" w:fill="auto"/>
            <w:vAlign w:val="center"/>
          </w:tcPr>
          <w:p w:rsidR="000E4B9E" w:rsidRPr="00256E09" w:rsidRDefault="00DE5043" w:rsidP="00887050">
            <w:pPr>
              <w:spacing w:after="120"/>
              <w:jc w:val="center"/>
              <w:rPr>
                <w:rFonts w:ascii="Arial" w:hAnsi="Arial" w:cs="Arial"/>
                <w:bCs/>
                <w:sz w:val="18"/>
                <w:szCs w:val="18"/>
              </w:rPr>
            </w:pPr>
            <w:r>
              <w:rPr>
                <w:rFonts w:ascii="Arial" w:hAnsi="Arial" w:cs="Arial"/>
                <w:bCs/>
                <w:sz w:val="18"/>
                <w:szCs w:val="18"/>
              </w:rPr>
              <w:t>2</w:t>
            </w:r>
            <w:r w:rsidR="00656A43">
              <w:rPr>
                <w:rFonts w:ascii="Arial" w:hAnsi="Arial" w:cs="Arial"/>
                <w:bCs/>
                <w:sz w:val="18"/>
                <w:szCs w:val="18"/>
              </w:rPr>
              <w:t>,</w:t>
            </w:r>
            <w:r w:rsidR="00887050">
              <w:rPr>
                <w:rFonts w:ascii="Arial" w:hAnsi="Arial" w:cs="Arial"/>
                <w:bCs/>
                <w:sz w:val="18"/>
                <w:szCs w:val="18"/>
              </w:rPr>
              <w:t>5</w:t>
            </w:r>
            <w:r>
              <w:rPr>
                <w:rFonts w:ascii="Arial" w:hAnsi="Arial" w:cs="Arial"/>
                <w:bCs/>
                <w:sz w:val="18"/>
                <w:szCs w:val="18"/>
              </w:rPr>
              <w:t>00</w:t>
            </w:r>
          </w:p>
        </w:tc>
        <w:tc>
          <w:tcPr>
            <w:tcW w:w="1681" w:type="dxa"/>
            <w:shd w:val="clear" w:color="auto" w:fill="auto"/>
            <w:vAlign w:val="center"/>
          </w:tcPr>
          <w:p w:rsidR="000E4B9E" w:rsidRPr="00256E09" w:rsidRDefault="00DE5043" w:rsidP="00830D53">
            <w:pPr>
              <w:spacing w:after="120"/>
              <w:jc w:val="center"/>
              <w:rPr>
                <w:rFonts w:ascii="Arial" w:hAnsi="Arial" w:cs="Arial"/>
                <w:bCs/>
                <w:sz w:val="18"/>
                <w:szCs w:val="18"/>
              </w:rPr>
            </w:pPr>
            <w:r>
              <w:rPr>
                <w:rFonts w:ascii="Arial" w:hAnsi="Arial" w:cs="Arial"/>
                <w:bCs/>
                <w:sz w:val="18"/>
                <w:szCs w:val="18"/>
              </w:rPr>
              <w:t>$90,178.00</w:t>
            </w:r>
          </w:p>
        </w:tc>
      </w:tr>
      <w:tr w:rsidR="000E4B9E" w:rsidRPr="00875732" w:rsidTr="00830D53">
        <w:tc>
          <w:tcPr>
            <w:tcW w:w="3240" w:type="dxa"/>
            <w:shd w:val="clear" w:color="auto" w:fill="auto"/>
            <w:vAlign w:val="center"/>
          </w:tcPr>
          <w:p w:rsidR="000E4B9E" w:rsidRPr="00DE5043" w:rsidRDefault="000E4B9E" w:rsidP="00830D53">
            <w:pPr>
              <w:widowControl/>
              <w:jc w:val="center"/>
              <w:rPr>
                <w:rFonts w:ascii="Arial" w:hAnsi="Arial" w:cs="Arial"/>
                <w:sz w:val="18"/>
                <w:szCs w:val="18"/>
              </w:rPr>
            </w:pPr>
            <w:r w:rsidRPr="00256E09">
              <w:rPr>
                <w:rFonts w:ascii="Arial" w:hAnsi="Arial" w:cs="Arial"/>
                <w:sz w:val="18"/>
                <w:szCs w:val="18"/>
              </w:rPr>
              <w:t xml:space="preserve">UIPL on state STC grants: Attachment </w:t>
            </w:r>
            <w:r w:rsidR="001C0FCC">
              <w:rPr>
                <w:rFonts w:ascii="Arial" w:hAnsi="Arial" w:cs="Arial"/>
                <w:sz w:val="18"/>
                <w:szCs w:val="18"/>
              </w:rPr>
              <w:t>5</w:t>
            </w:r>
            <w:r w:rsidRPr="00256E09">
              <w:rPr>
                <w:rFonts w:ascii="Arial" w:hAnsi="Arial" w:cs="Arial"/>
                <w:sz w:val="18"/>
                <w:szCs w:val="18"/>
              </w:rPr>
              <w:t xml:space="preserve"> – STC Grant Agreement</w:t>
            </w:r>
          </w:p>
        </w:tc>
        <w:tc>
          <w:tcPr>
            <w:tcW w:w="1348" w:type="dxa"/>
            <w:shd w:val="clear" w:color="auto" w:fill="auto"/>
            <w:vAlign w:val="center"/>
          </w:tcPr>
          <w:p w:rsidR="000E4B9E" w:rsidRPr="00256E09" w:rsidRDefault="000E4B9E" w:rsidP="00830D53">
            <w:pPr>
              <w:spacing w:after="120"/>
              <w:jc w:val="center"/>
              <w:rPr>
                <w:rFonts w:ascii="Arial" w:hAnsi="Arial" w:cs="Arial"/>
                <w:bCs/>
                <w:sz w:val="18"/>
                <w:szCs w:val="18"/>
              </w:rPr>
            </w:pPr>
            <w:r>
              <w:rPr>
                <w:rFonts w:ascii="Arial" w:hAnsi="Arial" w:cs="Arial"/>
                <w:bCs/>
                <w:sz w:val="18"/>
                <w:szCs w:val="18"/>
              </w:rPr>
              <w:t>2</w:t>
            </w:r>
            <w:r w:rsidR="00656A43">
              <w:rPr>
                <w:rFonts w:ascii="Arial" w:hAnsi="Arial" w:cs="Arial"/>
                <w:bCs/>
                <w:sz w:val="18"/>
                <w:szCs w:val="18"/>
              </w:rPr>
              <w:t>5</w:t>
            </w:r>
          </w:p>
        </w:tc>
        <w:tc>
          <w:tcPr>
            <w:tcW w:w="1262" w:type="dxa"/>
            <w:vAlign w:val="center"/>
          </w:tcPr>
          <w:p w:rsidR="000E4B9E" w:rsidRPr="00256E09" w:rsidRDefault="000E4B9E" w:rsidP="00830D53">
            <w:pPr>
              <w:spacing w:after="120"/>
              <w:jc w:val="center"/>
              <w:rPr>
                <w:rFonts w:ascii="Arial" w:hAnsi="Arial" w:cs="Arial"/>
                <w:bCs/>
                <w:sz w:val="18"/>
                <w:szCs w:val="18"/>
              </w:rPr>
            </w:pPr>
            <w:r>
              <w:rPr>
                <w:rFonts w:ascii="Arial" w:hAnsi="Arial" w:cs="Arial"/>
                <w:bCs/>
                <w:sz w:val="18"/>
                <w:szCs w:val="18"/>
              </w:rPr>
              <w:t>5</w:t>
            </w:r>
          </w:p>
        </w:tc>
        <w:tc>
          <w:tcPr>
            <w:tcW w:w="1530" w:type="dxa"/>
            <w:shd w:val="clear" w:color="auto" w:fill="auto"/>
            <w:vAlign w:val="center"/>
          </w:tcPr>
          <w:p w:rsidR="000E4B9E" w:rsidRPr="00256E09" w:rsidRDefault="00DE5043" w:rsidP="00830D53">
            <w:pPr>
              <w:spacing w:after="120"/>
              <w:jc w:val="center"/>
              <w:rPr>
                <w:rFonts w:ascii="Arial" w:hAnsi="Arial" w:cs="Arial"/>
                <w:bCs/>
                <w:sz w:val="18"/>
                <w:szCs w:val="18"/>
              </w:rPr>
            </w:pPr>
            <w:r>
              <w:rPr>
                <w:rFonts w:ascii="Arial" w:hAnsi="Arial" w:cs="Arial"/>
                <w:bCs/>
                <w:sz w:val="18"/>
                <w:szCs w:val="18"/>
              </w:rPr>
              <w:t>n/a</w:t>
            </w:r>
          </w:p>
        </w:tc>
        <w:tc>
          <w:tcPr>
            <w:tcW w:w="1170" w:type="dxa"/>
            <w:shd w:val="clear" w:color="auto" w:fill="auto"/>
            <w:vAlign w:val="center"/>
          </w:tcPr>
          <w:p w:rsidR="000E4B9E" w:rsidRPr="00256E09" w:rsidRDefault="00DE5043" w:rsidP="00830D53">
            <w:pPr>
              <w:spacing w:after="120"/>
              <w:jc w:val="center"/>
              <w:rPr>
                <w:rFonts w:ascii="Arial" w:hAnsi="Arial" w:cs="Arial"/>
                <w:bCs/>
                <w:sz w:val="18"/>
                <w:szCs w:val="18"/>
              </w:rPr>
            </w:pPr>
            <w:r>
              <w:rPr>
                <w:rFonts w:ascii="Arial" w:hAnsi="Arial" w:cs="Arial"/>
                <w:bCs/>
                <w:sz w:val="18"/>
                <w:szCs w:val="18"/>
              </w:rPr>
              <w:t>1</w:t>
            </w:r>
            <w:r w:rsidR="00656A43">
              <w:rPr>
                <w:rFonts w:ascii="Arial" w:hAnsi="Arial" w:cs="Arial"/>
                <w:bCs/>
                <w:sz w:val="18"/>
                <w:szCs w:val="18"/>
              </w:rPr>
              <w:t>25</w:t>
            </w:r>
          </w:p>
        </w:tc>
        <w:tc>
          <w:tcPr>
            <w:tcW w:w="1681" w:type="dxa"/>
            <w:shd w:val="clear" w:color="auto" w:fill="auto"/>
            <w:vAlign w:val="center"/>
          </w:tcPr>
          <w:p w:rsidR="000E4B9E" w:rsidRPr="00256E09" w:rsidRDefault="00DE5043" w:rsidP="00830D53">
            <w:pPr>
              <w:spacing w:after="120"/>
              <w:jc w:val="center"/>
              <w:rPr>
                <w:rFonts w:ascii="Arial" w:hAnsi="Arial" w:cs="Arial"/>
                <w:bCs/>
                <w:sz w:val="18"/>
                <w:szCs w:val="18"/>
              </w:rPr>
            </w:pPr>
            <w:r>
              <w:rPr>
                <w:rFonts w:ascii="Arial" w:hAnsi="Arial" w:cs="Arial"/>
                <w:bCs/>
                <w:sz w:val="18"/>
                <w:szCs w:val="18"/>
              </w:rPr>
              <w:t>$</w:t>
            </w:r>
            <w:r w:rsidR="00656A43">
              <w:rPr>
                <w:rFonts w:ascii="Arial" w:hAnsi="Arial" w:cs="Arial"/>
                <w:bCs/>
                <w:sz w:val="18"/>
                <w:szCs w:val="18"/>
              </w:rPr>
              <w:t>5,123.75</w:t>
            </w:r>
          </w:p>
        </w:tc>
      </w:tr>
      <w:tr w:rsidR="000E4B9E" w:rsidRPr="00875732" w:rsidTr="00830D53">
        <w:tc>
          <w:tcPr>
            <w:tcW w:w="3240" w:type="dxa"/>
            <w:shd w:val="clear" w:color="auto" w:fill="auto"/>
            <w:vAlign w:val="center"/>
          </w:tcPr>
          <w:p w:rsidR="000E4B9E" w:rsidRPr="00256E09" w:rsidRDefault="000E4B9E" w:rsidP="00830D53">
            <w:pPr>
              <w:spacing w:after="120"/>
              <w:jc w:val="center"/>
              <w:rPr>
                <w:rFonts w:ascii="Arial" w:hAnsi="Arial" w:cs="Arial"/>
                <w:bCs/>
                <w:sz w:val="18"/>
                <w:szCs w:val="18"/>
              </w:rPr>
            </w:pPr>
            <w:r>
              <w:rPr>
                <w:rFonts w:ascii="Arial" w:hAnsi="Arial" w:cs="Arial"/>
                <w:b/>
                <w:bCs/>
                <w:sz w:val="18"/>
                <w:szCs w:val="18"/>
              </w:rPr>
              <w:t>S</w:t>
            </w:r>
            <w:r w:rsidRPr="00EF0676">
              <w:rPr>
                <w:rFonts w:ascii="Arial" w:hAnsi="Arial" w:cs="Arial"/>
                <w:b/>
                <w:bCs/>
                <w:sz w:val="18"/>
                <w:szCs w:val="18"/>
              </w:rPr>
              <w:t xml:space="preserve">tates </w:t>
            </w:r>
            <w:r>
              <w:rPr>
                <w:rFonts w:ascii="Arial" w:hAnsi="Arial" w:cs="Arial"/>
                <w:b/>
                <w:bCs/>
                <w:sz w:val="18"/>
                <w:szCs w:val="18"/>
              </w:rPr>
              <w:t>Without STC Programs Applying to Operate a Federal STC Program</w:t>
            </w:r>
          </w:p>
        </w:tc>
        <w:tc>
          <w:tcPr>
            <w:tcW w:w="1348" w:type="dxa"/>
            <w:shd w:val="clear" w:color="auto" w:fill="auto"/>
            <w:vAlign w:val="center"/>
          </w:tcPr>
          <w:p w:rsidR="000E4B9E" w:rsidRPr="00256E09" w:rsidRDefault="000E4B9E" w:rsidP="00830D53">
            <w:pPr>
              <w:spacing w:after="120"/>
              <w:jc w:val="center"/>
              <w:rPr>
                <w:rFonts w:ascii="Arial" w:hAnsi="Arial" w:cs="Arial"/>
                <w:bCs/>
                <w:sz w:val="18"/>
                <w:szCs w:val="18"/>
              </w:rPr>
            </w:pPr>
          </w:p>
        </w:tc>
        <w:tc>
          <w:tcPr>
            <w:tcW w:w="1262" w:type="dxa"/>
            <w:vAlign w:val="center"/>
          </w:tcPr>
          <w:p w:rsidR="000E4B9E" w:rsidRPr="00256E09" w:rsidRDefault="000E4B9E" w:rsidP="00830D53">
            <w:pPr>
              <w:spacing w:after="120"/>
              <w:jc w:val="center"/>
              <w:rPr>
                <w:rFonts w:ascii="Arial" w:hAnsi="Arial" w:cs="Arial"/>
                <w:bCs/>
                <w:sz w:val="18"/>
                <w:szCs w:val="18"/>
              </w:rPr>
            </w:pPr>
          </w:p>
        </w:tc>
        <w:tc>
          <w:tcPr>
            <w:tcW w:w="1530" w:type="dxa"/>
            <w:shd w:val="clear" w:color="auto" w:fill="auto"/>
            <w:vAlign w:val="center"/>
          </w:tcPr>
          <w:p w:rsidR="000E4B9E" w:rsidRPr="00256E09" w:rsidRDefault="000E4B9E" w:rsidP="00830D53">
            <w:pPr>
              <w:spacing w:after="120"/>
              <w:jc w:val="center"/>
              <w:rPr>
                <w:rFonts w:ascii="Arial" w:hAnsi="Arial" w:cs="Arial"/>
                <w:bCs/>
                <w:sz w:val="18"/>
                <w:szCs w:val="18"/>
              </w:rPr>
            </w:pPr>
          </w:p>
        </w:tc>
        <w:tc>
          <w:tcPr>
            <w:tcW w:w="1170" w:type="dxa"/>
            <w:shd w:val="clear" w:color="auto" w:fill="auto"/>
            <w:vAlign w:val="center"/>
          </w:tcPr>
          <w:p w:rsidR="000E4B9E" w:rsidRPr="00256E09" w:rsidRDefault="000E4B9E" w:rsidP="00830D53">
            <w:pPr>
              <w:spacing w:after="120"/>
              <w:jc w:val="center"/>
              <w:rPr>
                <w:rFonts w:ascii="Arial" w:hAnsi="Arial" w:cs="Arial"/>
                <w:bCs/>
                <w:sz w:val="18"/>
                <w:szCs w:val="18"/>
              </w:rPr>
            </w:pPr>
          </w:p>
        </w:tc>
        <w:tc>
          <w:tcPr>
            <w:tcW w:w="1681" w:type="dxa"/>
            <w:shd w:val="clear" w:color="auto" w:fill="auto"/>
            <w:vAlign w:val="center"/>
          </w:tcPr>
          <w:p w:rsidR="000E4B9E" w:rsidRPr="00256E09" w:rsidRDefault="000E4B9E" w:rsidP="00830D53">
            <w:pPr>
              <w:spacing w:after="120"/>
              <w:jc w:val="center"/>
              <w:rPr>
                <w:rFonts w:ascii="Arial" w:hAnsi="Arial" w:cs="Arial"/>
                <w:bCs/>
                <w:sz w:val="18"/>
                <w:szCs w:val="18"/>
              </w:rPr>
            </w:pPr>
          </w:p>
        </w:tc>
      </w:tr>
      <w:tr w:rsidR="000E4B9E" w:rsidRPr="00875732" w:rsidTr="00830D53">
        <w:tc>
          <w:tcPr>
            <w:tcW w:w="3240" w:type="dxa"/>
            <w:shd w:val="clear" w:color="auto" w:fill="auto"/>
            <w:vAlign w:val="center"/>
          </w:tcPr>
          <w:p w:rsidR="000E4B9E" w:rsidRPr="00256E09" w:rsidRDefault="00E32CD4" w:rsidP="00830D53">
            <w:pPr>
              <w:spacing w:after="120"/>
              <w:jc w:val="center"/>
              <w:rPr>
                <w:rFonts w:ascii="Arial" w:hAnsi="Arial" w:cs="Arial"/>
                <w:bCs/>
                <w:sz w:val="18"/>
                <w:szCs w:val="18"/>
              </w:rPr>
            </w:pPr>
            <w:r w:rsidRPr="00E32CD4">
              <w:rPr>
                <w:rFonts w:ascii="Arial" w:hAnsi="Arial" w:cs="Arial"/>
                <w:bCs/>
                <w:sz w:val="18"/>
                <w:szCs w:val="18"/>
              </w:rPr>
              <w:t>Attachment 1—Implementing and Operating Instructions for Federal STC  Agreement</w:t>
            </w:r>
          </w:p>
        </w:tc>
        <w:tc>
          <w:tcPr>
            <w:tcW w:w="1348" w:type="dxa"/>
            <w:shd w:val="clear" w:color="auto" w:fill="auto"/>
            <w:vAlign w:val="center"/>
          </w:tcPr>
          <w:p w:rsidR="000E4B9E" w:rsidRPr="00256E09" w:rsidRDefault="001C0FCC" w:rsidP="00830D53">
            <w:pPr>
              <w:spacing w:after="120"/>
              <w:jc w:val="center"/>
              <w:rPr>
                <w:rFonts w:ascii="Arial" w:hAnsi="Arial" w:cs="Arial"/>
                <w:bCs/>
                <w:sz w:val="18"/>
                <w:szCs w:val="18"/>
              </w:rPr>
            </w:pPr>
            <w:r>
              <w:rPr>
                <w:rFonts w:ascii="Arial" w:hAnsi="Arial" w:cs="Arial"/>
                <w:bCs/>
                <w:sz w:val="18"/>
                <w:szCs w:val="18"/>
              </w:rPr>
              <w:t>28</w:t>
            </w:r>
          </w:p>
        </w:tc>
        <w:tc>
          <w:tcPr>
            <w:tcW w:w="1262" w:type="dxa"/>
            <w:vAlign w:val="center"/>
          </w:tcPr>
          <w:p w:rsidR="000E4B9E" w:rsidRPr="00256E09" w:rsidRDefault="00E32CD4" w:rsidP="00830D53">
            <w:pPr>
              <w:spacing w:after="120"/>
              <w:jc w:val="center"/>
              <w:rPr>
                <w:rFonts w:ascii="Arial" w:hAnsi="Arial" w:cs="Arial"/>
                <w:bCs/>
                <w:sz w:val="18"/>
                <w:szCs w:val="18"/>
              </w:rPr>
            </w:pPr>
            <w:r>
              <w:rPr>
                <w:rFonts w:ascii="Arial" w:hAnsi="Arial" w:cs="Arial"/>
                <w:bCs/>
                <w:sz w:val="18"/>
                <w:szCs w:val="18"/>
              </w:rPr>
              <w:t>80</w:t>
            </w:r>
          </w:p>
        </w:tc>
        <w:tc>
          <w:tcPr>
            <w:tcW w:w="1530" w:type="dxa"/>
            <w:shd w:val="clear" w:color="auto" w:fill="auto"/>
            <w:vAlign w:val="center"/>
          </w:tcPr>
          <w:p w:rsidR="000E4B9E" w:rsidRPr="00256E09" w:rsidRDefault="00DE5043" w:rsidP="00830D53">
            <w:pPr>
              <w:spacing w:after="120"/>
              <w:jc w:val="center"/>
              <w:rPr>
                <w:rFonts w:ascii="Arial" w:hAnsi="Arial" w:cs="Arial"/>
                <w:bCs/>
                <w:sz w:val="18"/>
                <w:szCs w:val="18"/>
              </w:rPr>
            </w:pPr>
            <w:r>
              <w:rPr>
                <w:rFonts w:ascii="Arial" w:hAnsi="Arial" w:cs="Arial"/>
                <w:bCs/>
                <w:sz w:val="18"/>
                <w:szCs w:val="18"/>
              </w:rPr>
              <w:t>n/a</w:t>
            </w:r>
          </w:p>
        </w:tc>
        <w:tc>
          <w:tcPr>
            <w:tcW w:w="1170" w:type="dxa"/>
            <w:shd w:val="clear" w:color="auto" w:fill="auto"/>
            <w:vAlign w:val="center"/>
          </w:tcPr>
          <w:p w:rsidR="000E4B9E" w:rsidRPr="00256E09" w:rsidRDefault="00887050" w:rsidP="00830D53">
            <w:pPr>
              <w:spacing w:after="120"/>
              <w:jc w:val="center"/>
              <w:rPr>
                <w:rFonts w:ascii="Arial" w:hAnsi="Arial" w:cs="Arial"/>
                <w:bCs/>
                <w:sz w:val="18"/>
                <w:szCs w:val="18"/>
              </w:rPr>
            </w:pPr>
            <w:r>
              <w:rPr>
                <w:rFonts w:ascii="Arial" w:hAnsi="Arial" w:cs="Arial"/>
                <w:bCs/>
                <w:sz w:val="18"/>
                <w:szCs w:val="18"/>
              </w:rPr>
              <w:t>2240</w:t>
            </w:r>
          </w:p>
        </w:tc>
        <w:tc>
          <w:tcPr>
            <w:tcW w:w="1681" w:type="dxa"/>
            <w:shd w:val="clear" w:color="auto" w:fill="auto"/>
            <w:vAlign w:val="center"/>
          </w:tcPr>
          <w:p w:rsidR="000E4B9E" w:rsidRPr="00256E09" w:rsidRDefault="00735B1B" w:rsidP="00830D53">
            <w:pPr>
              <w:spacing w:after="120"/>
              <w:jc w:val="center"/>
              <w:rPr>
                <w:rFonts w:ascii="Arial" w:hAnsi="Arial" w:cs="Arial"/>
                <w:bCs/>
                <w:sz w:val="18"/>
                <w:szCs w:val="18"/>
              </w:rPr>
            </w:pPr>
            <w:r>
              <w:rPr>
                <w:rFonts w:ascii="Arial" w:hAnsi="Arial" w:cs="Arial"/>
                <w:bCs/>
                <w:sz w:val="18"/>
                <w:szCs w:val="18"/>
              </w:rPr>
              <w:t>$91,817.60</w:t>
            </w:r>
          </w:p>
        </w:tc>
      </w:tr>
      <w:tr w:rsidR="000E4B9E" w:rsidRPr="00875732" w:rsidTr="00830D53">
        <w:tc>
          <w:tcPr>
            <w:tcW w:w="3240" w:type="dxa"/>
            <w:shd w:val="clear" w:color="auto" w:fill="auto"/>
            <w:vAlign w:val="center"/>
          </w:tcPr>
          <w:p w:rsidR="000E4B9E" w:rsidRPr="00256E09" w:rsidRDefault="00E32CD4" w:rsidP="00830D53">
            <w:pPr>
              <w:spacing w:after="120"/>
              <w:jc w:val="center"/>
              <w:rPr>
                <w:rFonts w:ascii="Arial" w:hAnsi="Arial" w:cs="Arial"/>
                <w:bCs/>
                <w:sz w:val="18"/>
                <w:szCs w:val="18"/>
              </w:rPr>
            </w:pPr>
            <w:r w:rsidRPr="00E32CD4">
              <w:rPr>
                <w:rFonts w:ascii="Arial" w:hAnsi="Arial" w:cs="Arial"/>
                <w:bCs/>
                <w:sz w:val="18"/>
                <w:szCs w:val="18"/>
              </w:rPr>
              <w:t>Attachment 2—Federal-state Agreement (Draft)</w:t>
            </w:r>
          </w:p>
        </w:tc>
        <w:tc>
          <w:tcPr>
            <w:tcW w:w="1348" w:type="dxa"/>
            <w:shd w:val="clear" w:color="auto" w:fill="auto"/>
            <w:vAlign w:val="center"/>
          </w:tcPr>
          <w:p w:rsidR="000E4B9E" w:rsidRPr="00256E09" w:rsidRDefault="00E32CD4" w:rsidP="00830D53">
            <w:pPr>
              <w:spacing w:after="120"/>
              <w:jc w:val="center"/>
              <w:rPr>
                <w:rFonts w:ascii="Arial" w:hAnsi="Arial" w:cs="Arial"/>
                <w:bCs/>
                <w:sz w:val="18"/>
                <w:szCs w:val="18"/>
              </w:rPr>
            </w:pPr>
            <w:r>
              <w:rPr>
                <w:rFonts w:ascii="Arial" w:hAnsi="Arial" w:cs="Arial"/>
                <w:bCs/>
                <w:sz w:val="18"/>
                <w:szCs w:val="18"/>
              </w:rPr>
              <w:t>28</w:t>
            </w:r>
          </w:p>
        </w:tc>
        <w:tc>
          <w:tcPr>
            <w:tcW w:w="1262" w:type="dxa"/>
            <w:vAlign w:val="center"/>
          </w:tcPr>
          <w:p w:rsidR="000E4B9E" w:rsidRPr="00256E09" w:rsidRDefault="00E32CD4" w:rsidP="00830D53">
            <w:pPr>
              <w:spacing w:after="120"/>
              <w:jc w:val="center"/>
              <w:rPr>
                <w:rFonts w:ascii="Arial" w:hAnsi="Arial" w:cs="Arial"/>
                <w:bCs/>
                <w:sz w:val="18"/>
                <w:szCs w:val="18"/>
              </w:rPr>
            </w:pPr>
            <w:r>
              <w:rPr>
                <w:rFonts w:ascii="Arial" w:hAnsi="Arial" w:cs="Arial"/>
                <w:bCs/>
                <w:sz w:val="18"/>
                <w:szCs w:val="18"/>
              </w:rPr>
              <w:t>5</w:t>
            </w:r>
          </w:p>
        </w:tc>
        <w:tc>
          <w:tcPr>
            <w:tcW w:w="1530" w:type="dxa"/>
            <w:shd w:val="clear" w:color="auto" w:fill="auto"/>
            <w:vAlign w:val="center"/>
          </w:tcPr>
          <w:p w:rsidR="000E4B9E" w:rsidRPr="00256E09" w:rsidRDefault="00E32CD4" w:rsidP="00830D53">
            <w:pPr>
              <w:spacing w:after="120"/>
              <w:jc w:val="center"/>
              <w:rPr>
                <w:rFonts w:ascii="Arial" w:hAnsi="Arial" w:cs="Arial"/>
                <w:bCs/>
                <w:sz w:val="18"/>
                <w:szCs w:val="18"/>
              </w:rPr>
            </w:pPr>
            <w:r>
              <w:rPr>
                <w:rFonts w:ascii="Arial" w:hAnsi="Arial" w:cs="Arial"/>
                <w:bCs/>
                <w:sz w:val="18"/>
                <w:szCs w:val="18"/>
              </w:rPr>
              <w:t>n/a</w:t>
            </w:r>
          </w:p>
        </w:tc>
        <w:tc>
          <w:tcPr>
            <w:tcW w:w="1170" w:type="dxa"/>
            <w:shd w:val="clear" w:color="auto" w:fill="auto"/>
            <w:vAlign w:val="center"/>
          </w:tcPr>
          <w:p w:rsidR="000E4B9E" w:rsidRPr="00256E09" w:rsidRDefault="00656A43" w:rsidP="00830D53">
            <w:pPr>
              <w:spacing w:after="120"/>
              <w:jc w:val="center"/>
              <w:rPr>
                <w:rFonts w:ascii="Arial" w:hAnsi="Arial" w:cs="Arial"/>
                <w:bCs/>
                <w:sz w:val="18"/>
                <w:szCs w:val="18"/>
              </w:rPr>
            </w:pPr>
            <w:r>
              <w:rPr>
                <w:rFonts w:ascii="Arial" w:hAnsi="Arial" w:cs="Arial"/>
                <w:bCs/>
                <w:sz w:val="18"/>
                <w:szCs w:val="18"/>
              </w:rPr>
              <w:t>140</w:t>
            </w:r>
          </w:p>
        </w:tc>
        <w:tc>
          <w:tcPr>
            <w:tcW w:w="1681" w:type="dxa"/>
            <w:shd w:val="clear" w:color="auto" w:fill="auto"/>
            <w:vAlign w:val="center"/>
          </w:tcPr>
          <w:p w:rsidR="000E4B9E" w:rsidRPr="00256E09" w:rsidRDefault="00656A43" w:rsidP="00830D53">
            <w:pPr>
              <w:spacing w:after="120"/>
              <w:jc w:val="center"/>
              <w:rPr>
                <w:rFonts w:ascii="Arial" w:hAnsi="Arial" w:cs="Arial"/>
                <w:bCs/>
                <w:sz w:val="18"/>
                <w:szCs w:val="18"/>
              </w:rPr>
            </w:pPr>
            <w:r>
              <w:rPr>
                <w:rFonts w:ascii="Arial" w:hAnsi="Arial" w:cs="Arial"/>
                <w:bCs/>
                <w:sz w:val="18"/>
                <w:szCs w:val="18"/>
              </w:rPr>
              <w:t>$6,353.45</w:t>
            </w:r>
          </w:p>
        </w:tc>
      </w:tr>
      <w:tr w:rsidR="00E32CD4" w:rsidRPr="00875732" w:rsidTr="00830D53">
        <w:tc>
          <w:tcPr>
            <w:tcW w:w="3240" w:type="dxa"/>
            <w:shd w:val="clear" w:color="auto" w:fill="auto"/>
            <w:vAlign w:val="center"/>
          </w:tcPr>
          <w:p w:rsidR="00E32CD4" w:rsidRPr="00256E09" w:rsidRDefault="00E32CD4" w:rsidP="00830D53">
            <w:pPr>
              <w:spacing w:after="120"/>
              <w:jc w:val="center"/>
              <w:rPr>
                <w:rFonts w:ascii="Arial" w:hAnsi="Arial" w:cs="Arial"/>
                <w:bCs/>
                <w:sz w:val="18"/>
                <w:szCs w:val="18"/>
              </w:rPr>
            </w:pPr>
            <w:r w:rsidRPr="00256E09">
              <w:rPr>
                <w:rFonts w:ascii="Arial" w:hAnsi="Arial" w:cs="Arial"/>
                <w:bCs/>
                <w:sz w:val="18"/>
                <w:szCs w:val="18"/>
              </w:rPr>
              <w:t>UIPL on Federal STC: Attachment 3—Federal-state Agreement (Draft)</w:t>
            </w:r>
          </w:p>
        </w:tc>
        <w:tc>
          <w:tcPr>
            <w:tcW w:w="1348" w:type="dxa"/>
            <w:shd w:val="clear" w:color="auto" w:fill="auto"/>
            <w:vAlign w:val="center"/>
          </w:tcPr>
          <w:p w:rsidR="00E32CD4" w:rsidRPr="00256E09" w:rsidRDefault="00E32CD4" w:rsidP="00830D53">
            <w:pPr>
              <w:spacing w:after="120"/>
              <w:jc w:val="center"/>
              <w:rPr>
                <w:rFonts w:ascii="Arial" w:hAnsi="Arial" w:cs="Arial"/>
                <w:bCs/>
                <w:sz w:val="18"/>
                <w:szCs w:val="18"/>
              </w:rPr>
            </w:pPr>
            <w:r>
              <w:rPr>
                <w:rFonts w:ascii="Arial" w:hAnsi="Arial" w:cs="Arial"/>
                <w:bCs/>
                <w:sz w:val="18"/>
                <w:szCs w:val="18"/>
              </w:rPr>
              <w:t>28</w:t>
            </w:r>
          </w:p>
        </w:tc>
        <w:tc>
          <w:tcPr>
            <w:tcW w:w="1262" w:type="dxa"/>
            <w:vAlign w:val="center"/>
          </w:tcPr>
          <w:p w:rsidR="00E32CD4" w:rsidRPr="00256E09" w:rsidRDefault="00E32CD4" w:rsidP="00830D53">
            <w:pPr>
              <w:spacing w:after="120"/>
              <w:jc w:val="center"/>
              <w:rPr>
                <w:rFonts w:ascii="Arial" w:hAnsi="Arial" w:cs="Arial"/>
                <w:bCs/>
                <w:sz w:val="18"/>
                <w:szCs w:val="18"/>
              </w:rPr>
            </w:pPr>
            <w:r>
              <w:rPr>
                <w:rFonts w:ascii="Arial" w:hAnsi="Arial" w:cs="Arial"/>
                <w:bCs/>
                <w:sz w:val="18"/>
                <w:szCs w:val="18"/>
              </w:rPr>
              <w:t>5</w:t>
            </w:r>
          </w:p>
        </w:tc>
        <w:tc>
          <w:tcPr>
            <w:tcW w:w="1530" w:type="dxa"/>
            <w:shd w:val="clear" w:color="auto" w:fill="auto"/>
            <w:vAlign w:val="center"/>
          </w:tcPr>
          <w:p w:rsidR="00E32CD4" w:rsidRPr="00256E09" w:rsidRDefault="00E32CD4" w:rsidP="00830D53">
            <w:pPr>
              <w:spacing w:after="120"/>
              <w:jc w:val="center"/>
              <w:rPr>
                <w:rFonts w:ascii="Arial" w:hAnsi="Arial" w:cs="Arial"/>
                <w:bCs/>
                <w:sz w:val="18"/>
                <w:szCs w:val="18"/>
              </w:rPr>
            </w:pPr>
            <w:r>
              <w:rPr>
                <w:rFonts w:ascii="Arial" w:hAnsi="Arial" w:cs="Arial"/>
                <w:bCs/>
                <w:sz w:val="18"/>
                <w:szCs w:val="18"/>
              </w:rPr>
              <w:t>n/a</w:t>
            </w:r>
          </w:p>
        </w:tc>
        <w:tc>
          <w:tcPr>
            <w:tcW w:w="1170" w:type="dxa"/>
            <w:shd w:val="clear" w:color="auto" w:fill="auto"/>
            <w:vAlign w:val="center"/>
          </w:tcPr>
          <w:p w:rsidR="00E32CD4" w:rsidRPr="00256E09" w:rsidRDefault="00656A43" w:rsidP="00830D53">
            <w:pPr>
              <w:spacing w:after="120"/>
              <w:jc w:val="center"/>
              <w:rPr>
                <w:rFonts w:ascii="Arial" w:hAnsi="Arial" w:cs="Arial"/>
                <w:bCs/>
                <w:sz w:val="18"/>
                <w:szCs w:val="18"/>
              </w:rPr>
            </w:pPr>
            <w:r>
              <w:rPr>
                <w:rFonts w:ascii="Arial" w:hAnsi="Arial" w:cs="Arial"/>
                <w:bCs/>
                <w:sz w:val="18"/>
                <w:szCs w:val="18"/>
              </w:rPr>
              <w:t>140</w:t>
            </w:r>
          </w:p>
        </w:tc>
        <w:tc>
          <w:tcPr>
            <w:tcW w:w="1681" w:type="dxa"/>
            <w:shd w:val="clear" w:color="auto" w:fill="auto"/>
            <w:vAlign w:val="center"/>
          </w:tcPr>
          <w:p w:rsidR="00E32CD4" w:rsidRPr="00256E09" w:rsidRDefault="00E32CD4" w:rsidP="00830D53">
            <w:pPr>
              <w:spacing w:after="120"/>
              <w:jc w:val="center"/>
              <w:rPr>
                <w:rFonts w:ascii="Arial" w:hAnsi="Arial" w:cs="Arial"/>
                <w:bCs/>
                <w:sz w:val="18"/>
                <w:szCs w:val="18"/>
              </w:rPr>
            </w:pPr>
            <w:r>
              <w:rPr>
                <w:rFonts w:ascii="Arial" w:hAnsi="Arial" w:cs="Arial"/>
                <w:bCs/>
                <w:sz w:val="18"/>
                <w:szCs w:val="18"/>
              </w:rPr>
              <w:t>$6353.45</w:t>
            </w:r>
          </w:p>
        </w:tc>
      </w:tr>
      <w:tr w:rsidR="00E32CD4" w:rsidRPr="00875732" w:rsidTr="00830D53">
        <w:trPr>
          <w:trHeight w:val="422"/>
        </w:trPr>
        <w:tc>
          <w:tcPr>
            <w:tcW w:w="3240" w:type="dxa"/>
            <w:shd w:val="clear" w:color="auto" w:fill="auto"/>
            <w:vAlign w:val="center"/>
          </w:tcPr>
          <w:p w:rsidR="00E32CD4" w:rsidRPr="00830D53" w:rsidRDefault="00E32CD4" w:rsidP="00830D53">
            <w:pPr>
              <w:jc w:val="center"/>
              <w:rPr>
                <w:rFonts w:ascii="Arial" w:hAnsi="Arial" w:cs="Arial"/>
                <w:sz w:val="18"/>
                <w:szCs w:val="18"/>
              </w:rPr>
            </w:pPr>
            <w:r w:rsidRPr="00830D53">
              <w:rPr>
                <w:rFonts w:ascii="Arial" w:hAnsi="Arial" w:cs="Arial"/>
                <w:sz w:val="18"/>
                <w:szCs w:val="18"/>
              </w:rPr>
              <w:t>Unduplicated Totals</w:t>
            </w:r>
          </w:p>
        </w:tc>
        <w:tc>
          <w:tcPr>
            <w:tcW w:w="1348" w:type="dxa"/>
            <w:shd w:val="clear" w:color="auto" w:fill="auto"/>
            <w:vAlign w:val="center"/>
          </w:tcPr>
          <w:p w:rsidR="00E32CD4" w:rsidRPr="00830D53" w:rsidRDefault="006763E5" w:rsidP="00830D53">
            <w:pPr>
              <w:jc w:val="center"/>
              <w:rPr>
                <w:rFonts w:ascii="Arial" w:hAnsi="Arial" w:cs="Arial"/>
                <w:sz w:val="18"/>
                <w:szCs w:val="18"/>
              </w:rPr>
            </w:pPr>
            <w:r>
              <w:rPr>
                <w:rFonts w:ascii="Arial" w:hAnsi="Arial" w:cs="Arial"/>
                <w:sz w:val="18"/>
                <w:szCs w:val="18"/>
              </w:rPr>
              <w:t>206</w:t>
            </w:r>
          </w:p>
        </w:tc>
        <w:tc>
          <w:tcPr>
            <w:tcW w:w="1262" w:type="dxa"/>
            <w:vAlign w:val="center"/>
          </w:tcPr>
          <w:p w:rsidR="00E32CD4" w:rsidRPr="00830D53" w:rsidRDefault="00E32CD4" w:rsidP="00830D53">
            <w:pPr>
              <w:jc w:val="center"/>
              <w:rPr>
                <w:rFonts w:ascii="Arial" w:hAnsi="Arial" w:cs="Arial"/>
                <w:sz w:val="18"/>
                <w:szCs w:val="18"/>
              </w:rPr>
            </w:pPr>
          </w:p>
        </w:tc>
        <w:tc>
          <w:tcPr>
            <w:tcW w:w="1530" w:type="dxa"/>
            <w:shd w:val="clear" w:color="auto" w:fill="auto"/>
            <w:vAlign w:val="center"/>
          </w:tcPr>
          <w:p w:rsidR="00E32CD4" w:rsidRPr="00830D53" w:rsidRDefault="00E32CD4" w:rsidP="00830D53">
            <w:pPr>
              <w:jc w:val="center"/>
              <w:rPr>
                <w:rFonts w:ascii="Arial" w:hAnsi="Arial" w:cs="Arial"/>
                <w:sz w:val="18"/>
                <w:szCs w:val="18"/>
              </w:rPr>
            </w:pPr>
          </w:p>
        </w:tc>
        <w:tc>
          <w:tcPr>
            <w:tcW w:w="1170" w:type="dxa"/>
            <w:shd w:val="clear" w:color="auto" w:fill="auto"/>
            <w:vAlign w:val="center"/>
          </w:tcPr>
          <w:p w:rsidR="00E32CD4" w:rsidRPr="00830D53" w:rsidRDefault="00D412A7" w:rsidP="00887050">
            <w:pPr>
              <w:jc w:val="center"/>
              <w:rPr>
                <w:rFonts w:ascii="Arial" w:hAnsi="Arial" w:cs="Arial"/>
                <w:sz w:val="18"/>
                <w:szCs w:val="18"/>
              </w:rPr>
            </w:pPr>
            <w:r w:rsidRPr="00830D53">
              <w:rPr>
                <w:rFonts w:ascii="Arial" w:hAnsi="Arial" w:cs="Arial"/>
                <w:sz w:val="18"/>
                <w:szCs w:val="18"/>
              </w:rPr>
              <w:t>9,</w:t>
            </w:r>
            <w:r w:rsidR="00887050">
              <w:rPr>
                <w:rFonts w:ascii="Arial" w:hAnsi="Arial" w:cs="Arial"/>
                <w:sz w:val="18"/>
                <w:szCs w:val="18"/>
              </w:rPr>
              <w:t>6</w:t>
            </w:r>
            <w:r w:rsidRPr="00830D53">
              <w:rPr>
                <w:rFonts w:ascii="Arial" w:hAnsi="Arial" w:cs="Arial"/>
                <w:sz w:val="18"/>
                <w:szCs w:val="18"/>
              </w:rPr>
              <w:t>75</w:t>
            </w:r>
          </w:p>
        </w:tc>
        <w:tc>
          <w:tcPr>
            <w:tcW w:w="1681" w:type="dxa"/>
            <w:shd w:val="clear" w:color="auto" w:fill="auto"/>
            <w:vAlign w:val="center"/>
          </w:tcPr>
          <w:p w:rsidR="00E32CD4" w:rsidRPr="00830D53" w:rsidRDefault="00656A43" w:rsidP="009C0C36">
            <w:pPr>
              <w:jc w:val="center"/>
              <w:rPr>
                <w:rFonts w:ascii="Arial" w:hAnsi="Arial" w:cs="Arial"/>
                <w:sz w:val="18"/>
                <w:szCs w:val="18"/>
              </w:rPr>
            </w:pPr>
            <w:r w:rsidRPr="00830D53">
              <w:rPr>
                <w:rFonts w:ascii="Arial" w:hAnsi="Arial" w:cs="Arial"/>
                <w:sz w:val="18"/>
                <w:szCs w:val="18"/>
              </w:rPr>
              <w:t>$</w:t>
            </w:r>
            <w:r w:rsidR="009C0C36">
              <w:rPr>
                <w:rFonts w:ascii="Arial" w:hAnsi="Arial" w:cs="Arial"/>
                <w:sz w:val="18"/>
                <w:szCs w:val="18"/>
              </w:rPr>
              <w:t>469,745.40</w:t>
            </w:r>
          </w:p>
        </w:tc>
      </w:tr>
    </w:tbl>
    <w:p w:rsidR="000F571B" w:rsidRDefault="00A8503D" w:rsidP="00256E09">
      <w:pPr>
        <w:widowControl/>
        <w:rPr>
          <w:rFonts w:ascii="Arial" w:hAnsi="Arial" w:cs="Arial"/>
          <w:sz w:val="22"/>
          <w:szCs w:val="22"/>
        </w:rPr>
      </w:pPr>
      <w:r>
        <w:rPr>
          <w:rFonts w:ascii="Arial" w:hAnsi="Arial" w:cs="Arial"/>
          <w:sz w:val="22"/>
          <w:szCs w:val="22"/>
        </w:rPr>
        <w:t>The hourly burden for states is estimated at $40.99.</w:t>
      </w:r>
    </w:p>
    <w:p w:rsidR="00256E09" w:rsidRDefault="00256E09" w:rsidP="00256E09">
      <w:pPr>
        <w:widowControl/>
        <w:rPr>
          <w:rFonts w:ascii="Arial" w:hAnsi="Arial" w:cs="Arial"/>
          <w:sz w:val="22"/>
          <w:szCs w:val="22"/>
        </w:rPr>
      </w:pPr>
    </w:p>
    <w:p w:rsidR="00256E09" w:rsidRPr="00057E88" w:rsidRDefault="00256E09" w:rsidP="00256E09">
      <w:pPr>
        <w:widowControl/>
        <w:rPr>
          <w:rFonts w:ascii="Arial" w:hAnsi="Arial" w:cs="Arial"/>
          <w:sz w:val="22"/>
          <w:szCs w:val="22"/>
        </w:rPr>
        <w:sectPr w:rsidR="00256E09" w:rsidRPr="00057E88">
          <w:endnotePr>
            <w:numFmt w:val="decimal"/>
          </w:endnotePr>
          <w:type w:val="continuous"/>
          <w:pgSz w:w="12240" w:h="15840"/>
          <w:pgMar w:top="1152" w:right="1440" w:bottom="1152" w:left="1440" w:header="1152" w:footer="1152" w:gutter="0"/>
          <w:cols w:space="720"/>
          <w:noEndnote/>
        </w:sectPr>
      </w:pPr>
    </w:p>
    <w:p w:rsidR="00562E4C" w:rsidRPr="00057E88" w:rsidRDefault="00562E4C" w:rsidP="00015E9C">
      <w:pPr>
        <w:widowControl/>
        <w:tabs>
          <w:tab w:val="left" w:pos="-1440"/>
        </w:tabs>
        <w:ind w:left="720" w:hanging="720"/>
        <w:rPr>
          <w:rFonts w:ascii="Arial" w:hAnsi="Arial" w:cs="Arial"/>
          <w:sz w:val="22"/>
          <w:szCs w:val="22"/>
        </w:rPr>
      </w:pPr>
      <w:r w:rsidRPr="00057E88">
        <w:rPr>
          <w:rFonts w:ascii="Arial" w:hAnsi="Arial" w:cs="Arial"/>
          <w:sz w:val="22"/>
          <w:szCs w:val="22"/>
        </w:rPr>
        <w:lastRenderedPageBreak/>
        <w:t>13.</w:t>
      </w:r>
      <w:r w:rsidRPr="00057E88">
        <w:rPr>
          <w:rFonts w:ascii="Arial" w:hAnsi="Arial" w:cs="Arial"/>
          <w:sz w:val="22"/>
          <w:szCs w:val="22"/>
        </w:rPr>
        <w:tab/>
      </w:r>
      <w:r w:rsidRPr="00057E88">
        <w:rPr>
          <w:rFonts w:ascii="Arial" w:hAnsi="Arial" w:cs="Arial"/>
          <w:sz w:val="22"/>
          <w:szCs w:val="22"/>
          <w:u w:val="single"/>
        </w:rPr>
        <w:t>Burden Costs</w:t>
      </w:r>
      <w:r w:rsidRPr="00057E88">
        <w:rPr>
          <w:rFonts w:ascii="Arial" w:hAnsi="Arial" w:cs="Arial"/>
          <w:sz w:val="22"/>
          <w:szCs w:val="22"/>
        </w:rPr>
        <w:t xml:space="preserve">. </w:t>
      </w:r>
      <w:r w:rsidR="000F571B">
        <w:rPr>
          <w:rFonts w:ascii="Arial" w:hAnsi="Arial" w:cs="Arial"/>
          <w:sz w:val="22"/>
          <w:szCs w:val="22"/>
        </w:rPr>
        <w:t xml:space="preserve"> There are no </w:t>
      </w:r>
      <w:r w:rsidR="006B37EC">
        <w:rPr>
          <w:rFonts w:ascii="Arial" w:hAnsi="Arial" w:cs="Arial"/>
          <w:sz w:val="22"/>
          <w:szCs w:val="22"/>
        </w:rPr>
        <w:t>burden costs</w:t>
      </w:r>
      <w:r w:rsidRPr="00057E88">
        <w:rPr>
          <w:rFonts w:ascii="Arial" w:hAnsi="Arial" w:cs="Arial"/>
          <w:sz w:val="22"/>
          <w:szCs w:val="22"/>
        </w:rPr>
        <w:t xml:space="preserve">.  </w:t>
      </w:r>
      <w:r w:rsidR="00B9652C">
        <w:rPr>
          <w:rFonts w:ascii="Arial" w:hAnsi="Arial" w:cs="Arial"/>
          <w:sz w:val="22"/>
          <w:szCs w:val="22"/>
        </w:rPr>
        <w:t>See also section 14 below</w:t>
      </w:r>
      <w:r w:rsidRPr="00057E88">
        <w:rPr>
          <w:rFonts w:ascii="Arial" w:hAnsi="Arial" w:cs="Arial"/>
          <w:sz w:val="22"/>
          <w:szCs w:val="22"/>
        </w:rPr>
        <w:t>.</w:t>
      </w:r>
    </w:p>
    <w:p w:rsidR="00562E4C" w:rsidRPr="00057E88" w:rsidRDefault="00562E4C" w:rsidP="00015E9C">
      <w:pPr>
        <w:widowControl/>
        <w:rPr>
          <w:rFonts w:ascii="Arial" w:hAnsi="Arial" w:cs="Arial"/>
          <w:sz w:val="22"/>
          <w:szCs w:val="22"/>
        </w:rPr>
      </w:pPr>
    </w:p>
    <w:p w:rsidR="00562E4C" w:rsidRPr="00057E88" w:rsidRDefault="00562E4C" w:rsidP="00015E9C">
      <w:pPr>
        <w:widowControl/>
        <w:tabs>
          <w:tab w:val="left" w:pos="-1440"/>
        </w:tabs>
        <w:ind w:left="720" w:hanging="720"/>
        <w:rPr>
          <w:rFonts w:ascii="Arial" w:hAnsi="Arial" w:cs="Arial"/>
          <w:sz w:val="22"/>
          <w:szCs w:val="22"/>
        </w:rPr>
      </w:pPr>
      <w:r w:rsidRPr="00057E88">
        <w:rPr>
          <w:rFonts w:ascii="Arial" w:hAnsi="Arial" w:cs="Arial"/>
          <w:sz w:val="22"/>
          <w:szCs w:val="22"/>
        </w:rPr>
        <w:t>14.</w:t>
      </w:r>
      <w:r w:rsidRPr="00057E88">
        <w:rPr>
          <w:rFonts w:ascii="Arial" w:hAnsi="Arial" w:cs="Arial"/>
          <w:sz w:val="22"/>
          <w:szCs w:val="22"/>
        </w:rPr>
        <w:tab/>
      </w:r>
      <w:r w:rsidRPr="00057E88">
        <w:rPr>
          <w:rFonts w:ascii="Arial" w:hAnsi="Arial" w:cs="Arial"/>
          <w:sz w:val="22"/>
          <w:szCs w:val="22"/>
          <w:u w:val="single"/>
        </w:rPr>
        <w:t>Federal Annualized Costs</w:t>
      </w:r>
      <w:r w:rsidRPr="00057E88">
        <w:rPr>
          <w:rFonts w:ascii="Arial" w:hAnsi="Arial" w:cs="Arial"/>
          <w:sz w:val="22"/>
          <w:szCs w:val="22"/>
        </w:rPr>
        <w:t xml:space="preserve">. </w:t>
      </w:r>
      <w:r w:rsidR="000D2C86">
        <w:rPr>
          <w:rFonts w:ascii="Arial" w:hAnsi="Arial" w:cs="Arial"/>
          <w:sz w:val="22"/>
          <w:szCs w:val="22"/>
        </w:rPr>
        <w:t>There are no anticipated Federal annualized costs.</w:t>
      </w:r>
    </w:p>
    <w:p w:rsidR="00562E4C" w:rsidRPr="00057E88" w:rsidRDefault="00562E4C" w:rsidP="00015E9C">
      <w:pPr>
        <w:widowControl/>
        <w:rPr>
          <w:rFonts w:ascii="Arial" w:hAnsi="Arial" w:cs="Arial"/>
          <w:sz w:val="22"/>
          <w:szCs w:val="22"/>
        </w:rPr>
      </w:pPr>
      <w:r w:rsidRPr="00057E88">
        <w:rPr>
          <w:rFonts w:ascii="Arial" w:hAnsi="Arial" w:cs="Arial"/>
          <w:sz w:val="22"/>
          <w:szCs w:val="22"/>
        </w:rPr>
        <w:t xml:space="preserve">  </w:t>
      </w:r>
    </w:p>
    <w:p w:rsidR="00846735" w:rsidRDefault="00562E4C" w:rsidP="00846735">
      <w:pPr>
        <w:widowControl/>
        <w:tabs>
          <w:tab w:val="left" w:pos="-1440"/>
        </w:tabs>
        <w:rPr>
          <w:rFonts w:ascii="Arial" w:hAnsi="Arial" w:cs="Arial"/>
          <w:sz w:val="22"/>
          <w:szCs w:val="22"/>
        </w:rPr>
      </w:pPr>
      <w:r w:rsidRPr="00057E88">
        <w:rPr>
          <w:rFonts w:ascii="Arial" w:hAnsi="Arial" w:cs="Arial"/>
          <w:sz w:val="22"/>
          <w:szCs w:val="22"/>
        </w:rPr>
        <w:t>15.</w:t>
      </w:r>
      <w:r w:rsidRPr="00057E88">
        <w:rPr>
          <w:rFonts w:ascii="Arial" w:hAnsi="Arial" w:cs="Arial"/>
          <w:sz w:val="22"/>
          <w:szCs w:val="22"/>
        </w:rPr>
        <w:tab/>
      </w:r>
      <w:r w:rsidRPr="00057E88">
        <w:rPr>
          <w:rFonts w:ascii="Arial" w:hAnsi="Arial" w:cs="Arial"/>
          <w:sz w:val="22"/>
          <w:szCs w:val="22"/>
          <w:u w:val="single"/>
        </w:rPr>
        <w:t>Changes in Burden</w:t>
      </w:r>
      <w:r w:rsidRPr="00057E88">
        <w:rPr>
          <w:rFonts w:ascii="Arial" w:hAnsi="Arial" w:cs="Arial"/>
          <w:sz w:val="22"/>
          <w:szCs w:val="22"/>
        </w:rPr>
        <w:t xml:space="preserve">.  </w:t>
      </w:r>
    </w:p>
    <w:p w:rsidR="00E12287" w:rsidRDefault="00E12287" w:rsidP="00846735">
      <w:pPr>
        <w:widowControl/>
        <w:tabs>
          <w:tab w:val="left" w:pos="-1440"/>
        </w:tabs>
        <w:rPr>
          <w:rFonts w:ascii="Arial" w:hAnsi="Arial" w:cs="Arial"/>
          <w:sz w:val="22"/>
          <w:szCs w:val="22"/>
        </w:rPr>
      </w:pPr>
      <w:r>
        <w:rPr>
          <w:rFonts w:ascii="Arial" w:hAnsi="Arial" w:cs="Arial"/>
          <w:sz w:val="22"/>
          <w:szCs w:val="22"/>
        </w:rPr>
        <w:tab/>
      </w:r>
    </w:p>
    <w:p w:rsidR="00E12287" w:rsidRDefault="00E12287" w:rsidP="00846735">
      <w:pPr>
        <w:widowControl/>
        <w:tabs>
          <w:tab w:val="left" w:pos="-1440"/>
        </w:tabs>
        <w:rPr>
          <w:rFonts w:ascii="Arial" w:hAnsi="Arial" w:cs="Arial"/>
          <w:sz w:val="22"/>
          <w:szCs w:val="22"/>
        </w:rPr>
      </w:pPr>
      <w:r>
        <w:rPr>
          <w:rFonts w:ascii="Arial" w:hAnsi="Arial" w:cs="Arial"/>
          <w:sz w:val="22"/>
          <w:szCs w:val="22"/>
        </w:rPr>
        <w:tab/>
        <w:t>No changes in burden.</w:t>
      </w:r>
    </w:p>
    <w:p w:rsidR="00562E4C" w:rsidRPr="00057E88" w:rsidRDefault="00562E4C" w:rsidP="00015E9C">
      <w:pPr>
        <w:widowControl/>
        <w:rPr>
          <w:rFonts w:ascii="Arial" w:hAnsi="Arial" w:cs="Arial"/>
          <w:sz w:val="22"/>
          <w:szCs w:val="22"/>
        </w:rPr>
      </w:pPr>
    </w:p>
    <w:p w:rsidR="00562E4C" w:rsidRPr="00057E88" w:rsidRDefault="00562E4C" w:rsidP="00015E9C">
      <w:pPr>
        <w:widowControl/>
        <w:tabs>
          <w:tab w:val="left" w:pos="-1440"/>
        </w:tabs>
        <w:ind w:left="720" w:hanging="720"/>
        <w:rPr>
          <w:rFonts w:ascii="Arial" w:hAnsi="Arial" w:cs="Arial"/>
          <w:sz w:val="22"/>
          <w:szCs w:val="22"/>
        </w:rPr>
      </w:pPr>
      <w:r w:rsidRPr="00057E88">
        <w:rPr>
          <w:rFonts w:ascii="Arial" w:hAnsi="Arial" w:cs="Arial"/>
          <w:sz w:val="22"/>
          <w:szCs w:val="22"/>
        </w:rPr>
        <w:t>16.</w:t>
      </w:r>
      <w:r w:rsidRPr="00057E88">
        <w:rPr>
          <w:rFonts w:ascii="Arial" w:hAnsi="Arial" w:cs="Arial"/>
          <w:sz w:val="22"/>
          <w:szCs w:val="22"/>
        </w:rPr>
        <w:tab/>
      </w:r>
      <w:r w:rsidRPr="00057E88">
        <w:rPr>
          <w:rFonts w:ascii="Arial" w:hAnsi="Arial" w:cs="Arial"/>
          <w:sz w:val="22"/>
          <w:szCs w:val="22"/>
          <w:u w:val="single"/>
        </w:rPr>
        <w:t>Publication</w:t>
      </w:r>
      <w:r w:rsidRPr="00057E88">
        <w:rPr>
          <w:rFonts w:ascii="Arial" w:hAnsi="Arial" w:cs="Arial"/>
          <w:sz w:val="22"/>
          <w:szCs w:val="22"/>
        </w:rPr>
        <w:t xml:space="preserve">.  </w:t>
      </w:r>
      <w:r w:rsidR="00F47E8C">
        <w:rPr>
          <w:rFonts w:ascii="Arial" w:hAnsi="Arial" w:cs="Arial"/>
          <w:sz w:val="22"/>
          <w:szCs w:val="22"/>
        </w:rPr>
        <w:t>There are no plans to publish the data collected from this project at this time.</w:t>
      </w:r>
    </w:p>
    <w:p w:rsidR="00562E4C" w:rsidRPr="00057E88" w:rsidRDefault="00562E4C" w:rsidP="00015E9C">
      <w:pPr>
        <w:widowControl/>
        <w:rPr>
          <w:rFonts w:ascii="Arial" w:hAnsi="Arial" w:cs="Arial"/>
          <w:sz w:val="22"/>
          <w:szCs w:val="22"/>
        </w:rPr>
      </w:pPr>
    </w:p>
    <w:p w:rsidR="00562E4C" w:rsidRPr="00057E88" w:rsidRDefault="00562E4C" w:rsidP="00015E9C">
      <w:pPr>
        <w:widowControl/>
        <w:tabs>
          <w:tab w:val="left" w:pos="-1440"/>
        </w:tabs>
        <w:ind w:left="720" w:hanging="720"/>
        <w:rPr>
          <w:rFonts w:ascii="Arial" w:hAnsi="Arial" w:cs="Arial"/>
          <w:sz w:val="22"/>
          <w:szCs w:val="22"/>
        </w:rPr>
      </w:pPr>
      <w:r w:rsidRPr="00057E88">
        <w:rPr>
          <w:rFonts w:ascii="Arial" w:hAnsi="Arial" w:cs="Arial"/>
          <w:sz w:val="22"/>
          <w:szCs w:val="22"/>
        </w:rPr>
        <w:t>17.</w:t>
      </w:r>
      <w:r w:rsidRPr="00057E88">
        <w:rPr>
          <w:rFonts w:ascii="Arial" w:hAnsi="Arial" w:cs="Arial"/>
          <w:sz w:val="22"/>
          <w:szCs w:val="22"/>
        </w:rPr>
        <w:tab/>
      </w:r>
      <w:r w:rsidRPr="00057E88">
        <w:rPr>
          <w:rFonts w:ascii="Arial" w:hAnsi="Arial" w:cs="Arial"/>
          <w:sz w:val="22"/>
          <w:szCs w:val="22"/>
          <w:u w:val="single"/>
        </w:rPr>
        <w:t>Display of OMB Approval and Expiration</w:t>
      </w:r>
      <w:r w:rsidRPr="00057E88">
        <w:rPr>
          <w:rFonts w:ascii="Arial" w:hAnsi="Arial" w:cs="Arial"/>
          <w:sz w:val="22"/>
          <w:szCs w:val="22"/>
        </w:rPr>
        <w:t>.  ETA display</w:t>
      </w:r>
      <w:r w:rsidR="006905ED">
        <w:rPr>
          <w:rFonts w:ascii="Arial" w:hAnsi="Arial" w:cs="Arial"/>
          <w:sz w:val="22"/>
          <w:szCs w:val="22"/>
        </w:rPr>
        <w:t>s</w:t>
      </w:r>
      <w:r w:rsidR="00F47E8C">
        <w:rPr>
          <w:rFonts w:ascii="Arial" w:hAnsi="Arial" w:cs="Arial"/>
          <w:sz w:val="22"/>
          <w:szCs w:val="22"/>
        </w:rPr>
        <w:t xml:space="preserve"> the</w:t>
      </w:r>
      <w:r w:rsidRPr="00057E88">
        <w:rPr>
          <w:rFonts w:ascii="Arial" w:hAnsi="Arial" w:cs="Arial"/>
          <w:sz w:val="22"/>
          <w:szCs w:val="22"/>
        </w:rPr>
        <w:t xml:space="preserve"> OMB control number and expiration date</w:t>
      </w:r>
      <w:r w:rsidR="000D2C86">
        <w:rPr>
          <w:rFonts w:ascii="Arial" w:hAnsi="Arial" w:cs="Arial"/>
          <w:sz w:val="22"/>
          <w:szCs w:val="22"/>
        </w:rPr>
        <w:t xml:space="preserve"> </w:t>
      </w:r>
      <w:r w:rsidR="00F47E8C">
        <w:rPr>
          <w:rFonts w:ascii="Arial" w:hAnsi="Arial" w:cs="Arial"/>
          <w:sz w:val="22"/>
          <w:szCs w:val="22"/>
        </w:rPr>
        <w:t xml:space="preserve">on </w:t>
      </w:r>
      <w:r w:rsidR="000D2C86">
        <w:rPr>
          <w:rFonts w:ascii="Arial" w:hAnsi="Arial" w:cs="Arial"/>
          <w:sz w:val="22"/>
          <w:szCs w:val="22"/>
        </w:rPr>
        <w:t xml:space="preserve">each directive (UIPL) since it </w:t>
      </w:r>
      <w:r w:rsidR="00F47E8C">
        <w:rPr>
          <w:rFonts w:ascii="Arial" w:hAnsi="Arial" w:cs="Arial"/>
          <w:sz w:val="22"/>
          <w:szCs w:val="22"/>
        </w:rPr>
        <w:t>form</w:t>
      </w:r>
      <w:r w:rsidR="000D2C86">
        <w:rPr>
          <w:rFonts w:ascii="Arial" w:hAnsi="Arial" w:cs="Arial"/>
          <w:sz w:val="22"/>
          <w:szCs w:val="22"/>
        </w:rPr>
        <w:t xml:space="preserve">s the source of the application materials, guidance, and statutory authority.  </w:t>
      </w:r>
    </w:p>
    <w:p w:rsidR="00562E4C" w:rsidRPr="00057E88" w:rsidRDefault="00562E4C" w:rsidP="00015E9C">
      <w:pPr>
        <w:widowControl/>
        <w:rPr>
          <w:rFonts w:ascii="Arial" w:hAnsi="Arial" w:cs="Arial"/>
          <w:sz w:val="22"/>
          <w:szCs w:val="22"/>
        </w:rPr>
      </w:pPr>
    </w:p>
    <w:p w:rsidR="00562E4C" w:rsidRPr="00057E88" w:rsidRDefault="00562E4C" w:rsidP="00015E9C">
      <w:pPr>
        <w:widowControl/>
        <w:tabs>
          <w:tab w:val="left" w:pos="-1440"/>
        </w:tabs>
        <w:ind w:left="720" w:hanging="720"/>
        <w:rPr>
          <w:rFonts w:ascii="Arial" w:hAnsi="Arial" w:cs="Arial"/>
          <w:sz w:val="22"/>
          <w:szCs w:val="22"/>
        </w:rPr>
      </w:pPr>
      <w:r w:rsidRPr="00057E88">
        <w:rPr>
          <w:rFonts w:ascii="Arial" w:hAnsi="Arial" w:cs="Arial"/>
          <w:sz w:val="22"/>
          <w:szCs w:val="22"/>
        </w:rPr>
        <w:t>18.</w:t>
      </w:r>
      <w:r w:rsidRPr="00057E88">
        <w:rPr>
          <w:rFonts w:ascii="Arial" w:hAnsi="Arial" w:cs="Arial"/>
          <w:sz w:val="22"/>
          <w:szCs w:val="22"/>
        </w:rPr>
        <w:tab/>
      </w:r>
      <w:r w:rsidRPr="00057E88">
        <w:rPr>
          <w:rFonts w:ascii="Arial" w:hAnsi="Arial" w:cs="Arial"/>
          <w:sz w:val="22"/>
          <w:szCs w:val="22"/>
          <w:u w:val="single"/>
        </w:rPr>
        <w:t>Certification Exceptions</w:t>
      </w:r>
      <w:r w:rsidRPr="00057E88">
        <w:rPr>
          <w:rFonts w:ascii="Arial" w:hAnsi="Arial" w:cs="Arial"/>
          <w:sz w:val="22"/>
          <w:szCs w:val="22"/>
        </w:rPr>
        <w:t>.  There are no exceptions.</w:t>
      </w:r>
      <w:bookmarkStart w:id="0" w:name="QuickMark"/>
      <w:bookmarkEnd w:id="0"/>
    </w:p>
    <w:p w:rsidR="00562E4C" w:rsidRPr="00057E88" w:rsidRDefault="00562E4C" w:rsidP="00015E9C">
      <w:pPr>
        <w:widowControl/>
        <w:rPr>
          <w:rFonts w:ascii="Arial" w:hAnsi="Arial" w:cs="Arial"/>
          <w:sz w:val="22"/>
          <w:szCs w:val="22"/>
        </w:rPr>
      </w:pPr>
    </w:p>
    <w:p w:rsidR="00562E4C" w:rsidRPr="00057E88" w:rsidRDefault="00562E4C" w:rsidP="00015E9C">
      <w:pPr>
        <w:widowControl/>
        <w:tabs>
          <w:tab w:val="left" w:pos="-1440"/>
        </w:tabs>
        <w:ind w:left="720" w:hanging="720"/>
        <w:rPr>
          <w:rFonts w:ascii="Arial" w:hAnsi="Arial" w:cs="Arial"/>
          <w:sz w:val="22"/>
          <w:szCs w:val="22"/>
        </w:rPr>
      </w:pPr>
      <w:r w:rsidRPr="00057E88">
        <w:rPr>
          <w:rFonts w:ascii="Arial" w:hAnsi="Arial" w:cs="Arial"/>
          <w:sz w:val="22"/>
          <w:szCs w:val="22"/>
        </w:rPr>
        <w:t>B.</w:t>
      </w:r>
      <w:r w:rsidRPr="00057E88">
        <w:rPr>
          <w:rFonts w:ascii="Arial" w:hAnsi="Arial" w:cs="Arial"/>
          <w:sz w:val="22"/>
          <w:szCs w:val="22"/>
        </w:rPr>
        <w:tab/>
      </w:r>
      <w:r w:rsidRPr="00057E88">
        <w:rPr>
          <w:rFonts w:ascii="Arial" w:hAnsi="Arial" w:cs="Arial"/>
          <w:sz w:val="22"/>
          <w:szCs w:val="22"/>
          <w:u w:val="single"/>
        </w:rPr>
        <w:t>Collections of Information Employing Statistical Methods</w:t>
      </w:r>
    </w:p>
    <w:p w:rsidR="00562E4C" w:rsidRPr="00057E88" w:rsidRDefault="00562E4C" w:rsidP="00015E9C">
      <w:pPr>
        <w:widowControl/>
        <w:rPr>
          <w:rFonts w:ascii="Arial" w:hAnsi="Arial" w:cs="Arial"/>
          <w:sz w:val="22"/>
          <w:szCs w:val="22"/>
        </w:rPr>
      </w:pPr>
    </w:p>
    <w:p w:rsidR="00562E4C" w:rsidRPr="00057E88" w:rsidRDefault="00562E4C" w:rsidP="00015E9C">
      <w:pPr>
        <w:widowControl/>
        <w:ind w:firstLine="720"/>
        <w:rPr>
          <w:rFonts w:ascii="Arial" w:hAnsi="Arial" w:cs="Arial"/>
          <w:sz w:val="22"/>
          <w:szCs w:val="22"/>
        </w:rPr>
      </w:pPr>
      <w:r w:rsidRPr="00057E88">
        <w:rPr>
          <w:rFonts w:ascii="Arial" w:hAnsi="Arial" w:cs="Arial"/>
          <w:sz w:val="22"/>
          <w:szCs w:val="22"/>
        </w:rPr>
        <w:t>Statistical methods are not employed for this report.</w:t>
      </w:r>
    </w:p>
    <w:sectPr w:rsidR="00562E4C" w:rsidRPr="00057E88">
      <w:endnotePr>
        <w:numFmt w:val="decimal"/>
      </w:endnotePr>
      <w:type w:val="continuous"/>
      <w:pgSz w:w="12240" w:h="15840"/>
      <w:pgMar w:top="1152" w:right="1440" w:bottom="1152" w:left="1440" w:header="1152" w:footer="1152"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2DD4" w:rsidRDefault="00A82DD4">
      <w:r>
        <w:separator/>
      </w:r>
    </w:p>
  </w:endnote>
  <w:endnote w:type="continuationSeparator" w:id="0">
    <w:p w:rsidR="00A82DD4" w:rsidRDefault="00A82D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8DA" w:rsidRDefault="004438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438DA" w:rsidRDefault="004438D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8DA" w:rsidRDefault="004438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12287">
      <w:rPr>
        <w:rStyle w:val="PageNumber"/>
        <w:noProof/>
      </w:rPr>
      <w:t>5</w:t>
    </w:r>
    <w:r>
      <w:rPr>
        <w:rStyle w:val="PageNumber"/>
      </w:rPr>
      <w:fldChar w:fldCharType="end"/>
    </w:r>
  </w:p>
  <w:p w:rsidR="004438DA" w:rsidRDefault="004438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2DD4" w:rsidRDefault="00A82DD4">
      <w:r>
        <w:separator/>
      </w:r>
    </w:p>
  </w:footnote>
  <w:footnote w:type="continuationSeparator" w:id="0">
    <w:p w:rsidR="00A82DD4" w:rsidRDefault="00A82D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3D5DC6"/>
    <w:multiLevelType w:val="hybridMultilevel"/>
    <w:tmpl w:val="9A680E1C"/>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17C6695"/>
    <w:multiLevelType w:val="hybridMultilevel"/>
    <w:tmpl w:val="6A42C8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C8C6120"/>
    <w:multiLevelType w:val="hybridMultilevel"/>
    <w:tmpl w:val="53B4B2CC"/>
    <w:lvl w:ilvl="0" w:tplc="C85C00EA">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694424F"/>
    <w:multiLevelType w:val="hybridMultilevel"/>
    <w:tmpl w:val="526EC098"/>
    <w:lvl w:ilvl="0" w:tplc="32E2975C">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746659C"/>
    <w:multiLevelType w:val="hybridMultilevel"/>
    <w:tmpl w:val="B9EC15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713B2614"/>
    <w:multiLevelType w:val="hybridMultilevel"/>
    <w:tmpl w:val="B30C866A"/>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1"/>
  </w:num>
  <w:num w:numId="4">
    <w:abstractNumId w:val="4"/>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embedSystemFonts/>
  <w:bordersDoNotSurroundHeader/>
  <w:bordersDoNotSurroundFooter/>
  <w:proofState w:spelling="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rsids>
    <w:rsidRoot w:val="00A076FD"/>
    <w:rsid w:val="00015E9C"/>
    <w:rsid w:val="000226CE"/>
    <w:rsid w:val="0003235F"/>
    <w:rsid w:val="00033402"/>
    <w:rsid w:val="00057E88"/>
    <w:rsid w:val="00060EDF"/>
    <w:rsid w:val="000831B1"/>
    <w:rsid w:val="00086D43"/>
    <w:rsid w:val="000875CC"/>
    <w:rsid w:val="000902B7"/>
    <w:rsid w:val="00096D2D"/>
    <w:rsid w:val="000A16E9"/>
    <w:rsid w:val="000A3BF6"/>
    <w:rsid w:val="000B6D86"/>
    <w:rsid w:val="000C07DD"/>
    <w:rsid w:val="000D2C86"/>
    <w:rsid w:val="000E4B9E"/>
    <w:rsid w:val="000F571B"/>
    <w:rsid w:val="001031DC"/>
    <w:rsid w:val="0010699B"/>
    <w:rsid w:val="00124E25"/>
    <w:rsid w:val="00146768"/>
    <w:rsid w:val="001629C0"/>
    <w:rsid w:val="0016502F"/>
    <w:rsid w:val="00172439"/>
    <w:rsid w:val="00194925"/>
    <w:rsid w:val="001A1906"/>
    <w:rsid w:val="001B4360"/>
    <w:rsid w:val="001C0FCC"/>
    <w:rsid w:val="001E4085"/>
    <w:rsid w:val="0020165F"/>
    <w:rsid w:val="00225791"/>
    <w:rsid w:val="0024457A"/>
    <w:rsid w:val="00256E09"/>
    <w:rsid w:val="00263158"/>
    <w:rsid w:val="002713EF"/>
    <w:rsid w:val="0028248C"/>
    <w:rsid w:val="002A58FB"/>
    <w:rsid w:val="002B2496"/>
    <w:rsid w:val="002B5F10"/>
    <w:rsid w:val="002C5360"/>
    <w:rsid w:val="002E1748"/>
    <w:rsid w:val="003047A3"/>
    <w:rsid w:val="00316C88"/>
    <w:rsid w:val="00363628"/>
    <w:rsid w:val="003841BF"/>
    <w:rsid w:val="003A10C4"/>
    <w:rsid w:val="003A3233"/>
    <w:rsid w:val="003C6E9C"/>
    <w:rsid w:val="003E2444"/>
    <w:rsid w:val="003E4671"/>
    <w:rsid w:val="003E71C9"/>
    <w:rsid w:val="004075B7"/>
    <w:rsid w:val="00412EE2"/>
    <w:rsid w:val="004427F8"/>
    <w:rsid w:val="004438DA"/>
    <w:rsid w:val="00460205"/>
    <w:rsid w:val="00496E7B"/>
    <w:rsid w:val="004B3CB8"/>
    <w:rsid w:val="004C0558"/>
    <w:rsid w:val="004C2A67"/>
    <w:rsid w:val="004C389B"/>
    <w:rsid w:val="004C6340"/>
    <w:rsid w:val="005431E4"/>
    <w:rsid w:val="00543E94"/>
    <w:rsid w:val="00562E4C"/>
    <w:rsid w:val="00581415"/>
    <w:rsid w:val="005920D9"/>
    <w:rsid w:val="005B556A"/>
    <w:rsid w:val="005C36E9"/>
    <w:rsid w:val="005F3824"/>
    <w:rsid w:val="005F3D19"/>
    <w:rsid w:val="00602CA9"/>
    <w:rsid w:val="00602FAA"/>
    <w:rsid w:val="00621879"/>
    <w:rsid w:val="00621AFE"/>
    <w:rsid w:val="006454B6"/>
    <w:rsid w:val="00656A43"/>
    <w:rsid w:val="006641FE"/>
    <w:rsid w:val="006763E5"/>
    <w:rsid w:val="00683CEA"/>
    <w:rsid w:val="006905ED"/>
    <w:rsid w:val="006B37EC"/>
    <w:rsid w:val="006D3899"/>
    <w:rsid w:val="00735B1B"/>
    <w:rsid w:val="00756D5A"/>
    <w:rsid w:val="00786FB1"/>
    <w:rsid w:val="00787DE3"/>
    <w:rsid w:val="007A6402"/>
    <w:rsid w:val="007C4490"/>
    <w:rsid w:val="007C616D"/>
    <w:rsid w:val="00805454"/>
    <w:rsid w:val="0082659D"/>
    <w:rsid w:val="00830D53"/>
    <w:rsid w:val="00841B90"/>
    <w:rsid w:val="00846735"/>
    <w:rsid w:val="00887050"/>
    <w:rsid w:val="008A0EDB"/>
    <w:rsid w:val="008C5B7E"/>
    <w:rsid w:val="008D33D4"/>
    <w:rsid w:val="00900834"/>
    <w:rsid w:val="00901EA7"/>
    <w:rsid w:val="00903F85"/>
    <w:rsid w:val="00906B9C"/>
    <w:rsid w:val="00906C3B"/>
    <w:rsid w:val="0091337D"/>
    <w:rsid w:val="0095297E"/>
    <w:rsid w:val="009739A5"/>
    <w:rsid w:val="009A2374"/>
    <w:rsid w:val="009C0C36"/>
    <w:rsid w:val="009D4F38"/>
    <w:rsid w:val="009E0D95"/>
    <w:rsid w:val="00A06FD2"/>
    <w:rsid w:val="00A076FD"/>
    <w:rsid w:val="00A24AE7"/>
    <w:rsid w:val="00A353BD"/>
    <w:rsid w:val="00A42C06"/>
    <w:rsid w:val="00A46148"/>
    <w:rsid w:val="00A4692E"/>
    <w:rsid w:val="00A60160"/>
    <w:rsid w:val="00A617C2"/>
    <w:rsid w:val="00A627AF"/>
    <w:rsid w:val="00A74D8A"/>
    <w:rsid w:val="00A757B1"/>
    <w:rsid w:val="00A82438"/>
    <w:rsid w:val="00A82DD4"/>
    <w:rsid w:val="00A8503D"/>
    <w:rsid w:val="00A90F1B"/>
    <w:rsid w:val="00A94213"/>
    <w:rsid w:val="00AB7476"/>
    <w:rsid w:val="00AD1C4A"/>
    <w:rsid w:val="00B26D91"/>
    <w:rsid w:val="00B3296C"/>
    <w:rsid w:val="00B44E48"/>
    <w:rsid w:val="00B528FD"/>
    <w:rsid w:val="00B72DC0"/>
    <w:rsid w:val="00B901F5"/>
    <w:rsid w:val="00B9652C"/>
    <w:rsid w:val="00BA5396"/>
    <w:rsid w:val="00BC11AF"/>
    <w:rsid w:val="00BF7F51"/>
    <w:rsid w:val="00C00B0C"/>
    <w:rsid w:val="00C02EB5"/>
    <w:rsid w:val="00C14FC5"/>
    <w:rsid w:val="00C21836"/>
    <w:rsid w:val="00C26798"/>
    <w:rsid w:val="00C26C68"/>
    <w:rsid w:val="00C31131"/>
    <w:rsid w:val="00C36772"/>
    <w:rsid w:val="00C3768C"/>
    <w:rsid w:val="00C4574C"/>
    <w:rsid w:val="00C50731"/>
    <w:rsid w:val="00C525D4"/>
    <w:rsid w:val="00C813CA"/>
    <w:rsid w:val="00C83087"/>
    <w:rsid w:val="00CB326A"/>
    <w:rsid w:val="00CC218C"/>
    <w:rsid w:val="00CE440F"/>
    <w:rsid w:val="00CF15B6"/>
    <w:rsid w:val="00D26103"/>
    <w:rsid w:val="00D412A7"/>
    <w:rsid w:val="00D47A7A"/>
    <w:rsid w:val="00DB54DD"/>
    <w:rsid w:val="00DC77B4"/>
    <w:rsid w:val="00DE1F69"/>
    <w:rsid w:val="00DE5043"/>
    <w:rsid w:val="00DF6947"/>
    <w:rsid w:val="00E01191"/>
    <w:rsid w:val="00E12287"/>
    <w:rsid w:val="00E32CD4"/>
    <w:rsid w:val="00E376F1"/>
    <w:rsid w:val="00E41847"/>
    <w:rsid w:val="00E57540"/>
    <w:rsid w:val="00E725EE"/>
    <w:rsid w:val="00E95596"/>
    <w:rsid w:val="00EA78D1"/>
    <w:rsid w:val="00EB6D22"/>
    <w:rsid w:val="00EF0676"/>
    <w:rsid w:val="00EF6A08"/>
    <w:rsid w:val="00F03291"/>
    <w:rsid w:val="00F305BC"/>
    <w:rsid w:val="00F330A6"/>
    <w:rsid w:val="00F42DD1"/>
    <w:rsid w:val="00F47E8C"/>
    <w:rsid w:val="00F51AA3"/>
    <w:rsid w:val="00F53F45"/>
    <w:rsid w:val="00F6005C"/>
    <w:rsid w:val="00F72436"/>
    <w:rsid w:val="00FA453D"/>
    <w:rsid w:val="00FA5108"/>
    <w:rsid w:val="00FD52BD"/>
    <w:rsid w:val="00FD7E4E"/>
    <w:rsid w:val="00FE0A23"/>
    <w:rsid w:val="00FF44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New" w:hAnsi="Courier New"/>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semiHidden/>
    <w:rsid w:val="00EA78D1"/>
    <w:rPr>
      <w:sz w:val="16"/>
      <w:szCs w:val="16"/>
    </w:rPr>
  </w:style>
  <w:style w:type="paragraph" w:styleId="CommentText">
    <w:name w:val="annotation text"/>
    <w:basedOn w:val="Normal"/>
    <w:link w:val="CommentTextChar"/>
    <w:rsid w:val="000B6D86"/>
    <w:rPr>
      <w:sz w:val="20"/>
      <w:szCs w:val="20"/>
      <w:lang/>
    </w:rPr>
  </w:style>
  <w:style w:type="character" w:customStyle="1" w:styleId="CommentTextChar">
    <w:name w:val="Comment Text Char"/>
    <w:link w:val="CommentText"/>
    <w:rsid w:val="000B6D86"/>
    <w:rPr>
      <w:rFonts w:ascii="Courier New" w:hAnsi="Courier New"/>
    </w:rPr>
  </w:style>
  <w:style w:type="paragraph" w:styleId="CommentSubject">
    <w:name w:val="annotation subject"/>
    <w:basedOn w:val="CommentText"/>
    <w:next w:val="CommentText"/>
    <w:link w:val="CommentSubjectChar"/>
    <w:rsid w:val="000B6D86"/>
    <w:rPr>
      <w:b/>
      <w:bCs/>
    </w:rPr>
  </w:style>
  <w:style w:type="character" w:customStyle="1" w:styleId="CommentSubjectChar">
    <w:name w:val="Comment Subject Char"/>
    <w:link w:val="CommentSubject"/>
    <w:rsid w:val="000B6D86"/>
    <w:rPr>
      <w:rFonts w:ascii="Courier New" w:hAnsi="Courier New"/>
      <w:b/>
      <w:bCs/>
    </w:rPr>
  </w:style>
  <w:style w:type="paragraph" w:styleId="BalloonText">
    <w:name w:val="Balloon Text"/>
    <w:basedOn w:val="Normal"/>
    <w:link w:val="BalloonTextChar"/>
    <w:rsid w:val="000B6D86"/>
    <w:rPr>
      <w:rFonts w:ascii="Tahoma" w:hAnsi="Tahoma"/>
      <w:sz w:val="16"/>
      <w:szCs w:val="16"/>
      <w:lang/>
    </w:rPr>
  </w:style>
  <w:style w:type="character" w:customStyle="1" w:styleId="BalloonTextChar">
    <w:name w:val="Balloon Text Char"/>
    <w:link w:val="BalloonText"/>
    <w:rsid w:val="000B6D8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5239389">
      <w:bodyDiv w:val="1"/>
      <w:marLeft w:val="0"/>
      <w:marRight w:val="0"/>
      <w:marTop w:val="0"/>
      <w:marBottom w:val="0"/>
      <w:divBdr>
        <w:top w:val="none" w:sz="0" w:space="0" w:color="auto"/>
        <w:left w:val="none" w:sz="0" w:space="0" w:color="auto"/>
        <w:bottom w:val="none" w:sz="0" w:space="0" w:color="auto"/>
        <w:right w:val="none" w:sz="0" w:space="0" w:color="auto"/>
      </w:divBdr>
    </w:div>
    <w:div w:id="200651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2311</Words>
  <Characters>13173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Department of Labor - ETA</Company>
  <LinksUpToDate>false</LinksUpToDate>
  <CharactersWithSpaces>15454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Employment and Training Administration</dc:creator>
  <cp:keywords/>
  <cp:lastModifiedBy>Naradzay.Bonnie</cp:lastModifiedBy>
  <cp:revision>3</cp:revision>
  <cp:lastPrinted>2012-04-11T15:22:00Z</cp:lastPrinted>
  <dcterms:created xsi:type="dcterms:W3CDTF">2012-12-03T20:53:00Z</dcterms:created>
  <dcterms:modified xsi:type="dcterms:W3CDTF">2012-12-03T20:53:00Z</dcterms:modified>
</cp:coreProperties>
</file>