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F9D" w:rsidRDefault="00CE2F9D" w:rsidP="008A590C">
      <w:pPr>
        <w:pStyle w:val="Heading1Black"/>
        <w:jc w:val="left"/>
        <w:rPr>
          <w:rFonts w:ascii="Garamond" w:hAnsi="Garamond" w:cs="Garamond"/>
        </w:rPr>
      </w:pPr>
      <w:r w:rsidRPr="00A7555D">
        <w:rPr>
          <w:rFonts w:ascii="Garamond" w:hAnsi="Garamond" w:cs="Garamond"/>
        </w:rPr>
        <w:t>part b: collection of information involving statistical methods</w:t>
      </w:r>
    </w:p>
    <w:p w:rsidR="00CE2F9D" w:rsidRDefault="00CE2F9D" w:rsidP="008A590C">
      <w:pPr>
        <w:tabs>
          <w:tab w:val="clear" w:pos="432"/>
        </w:tabs>
        <w:ind w:firstLine="720"/>
        <w:jc w:val="left"/>
        <w:rPr>
          <w:rFonts w:ascii="Garamond" w:hAnsi="Garamond" w:cs="Garamond"/>
        </w:rPr>
      </w:pPr>
      <w:r w:rsidRPr="00A14171">
        <w:rPr>
          <w:rFonts w:ascii="Garamond" w:hAnsi="Garamond"/>
        </w:rPr>
        <w:t>The U.S. Department of L</w:t>
      </w:r>
      <w:bookmarkStart w:id="0" w:name="_GoBack"/>
      <w:bookmarkEnd w:id="0"/>
      <w:r w:rsidRPr="00A14171">
        <w:rPr>
          <w:rFonts w:ascii="Garamond" w:hAnsi="Garamond"/>
        </w:rPr>
        <w:t>abor (DOL) has contracted with MDRC [and subcontractors Mathematica Policy Research (</w:t>
      </w:r>
      <w:r>
        <w:rPr>
          <w:rFonts w:ascii="Garamond" w:hAnsi="Garamond"/>
        </w:rPr>
        <w:t>Mathematica</w:t>
      </w:r>
      <w:r w:rsidRPr="00A14171">
        <w:rPr>
          <w:rFonts w:ascii="Garamond" w:hAnsi="Garamond"/>
        </w:rPr>
        <w:t xml:space="preserve">) and Social Policy Research Associates (SPR)] to conduct a rigorous evaluation of the 2011 YouthBuild program funded by DOL and the Corporation for National and Community Service (CNCS). </w:t>
      </w:r>
      <w:r>
        <w:rPr>
          <w:rFonts w:ascii="Garamond" w:hAnsi="Garamond"/>
        </w:rPr>
        <w:t xml:space="preserve"> </w:t>
      </w:r>
      <w:r w:rsidRPr="00A14171">
        <w:rPr>
          <w:rFonts w:ascii="Garamond" w:hAnsi="Garamond"/>
        </w:rPr>
        <w:t xml:space="preserve">The evaluation includes an implementation component, an impact component and a cost-effectiveness component. </w:t>
      </w:r>
      <w:r>
        <w:rPr>
          <w:rFonts w:ascii="Garamond" w:hAnsi="Garamond"/>
        </w:rPr>
        <w:t xml:space="preserve"> </w:t>
      </w:r>
      <w:r w:rsidRPr="00A14171">
        <w:rPr>
          <w:rFonts w:ascii="Garamond" w:hAnsi="Garamond"/>
        </w:rPr>
        <w:t xml:space="preserve">This data collection request seeks clearance for a longitudinal series of participant follow-up surveys that will be administered as part of the impact component of the evaluation. </w:t>
      </w:r>
      <w:r>
        <w:rPr>
          <w:rFonts w:ascii="Garamond" w:hAnsi="Garamond"/>
        </w:rPr>
        <w:t xml:space="preserve"> </w:t>
      </w:r>
      <w:r w:rsidRPr="00A14171">
        <w:rPr>
          <w:rFonts w:ascii="Garamond" w:hAnsi="Garamond" w:cs="Garamond"/>
        </w:rPr>
        <w:t xml:space="preserve">The research team plans to enroll </w:t>
      </w:r>
      <w:r>
        <w:rPr>
          <w:rFonts w:ascii="Garamond" w:hAnsi="Garamond" w:cs="Garamond"/>
        </w:rPr>
        <w:t xml:space="preserve">approximately </w:t>
      </w:r>
      <w:r w:rsidRPr="00A14171">
        <w:rPr>
          <w:rFonts w:ascii="Garamond" w:hAnsi="Garamond" w:cs="Garamond"/>
        </w:rPr>
        <w:t>4,</w:t>
      </w:r>
      <w:r>
        <w:rPr>
          <w:rFonts w:ascii="Garamond" w:hAnsi="Garamond" w:cs="Garamond"/>
        </w:rPr>
        <w:t>2</w:t>
      </w:r>
      <w:r w:rsidRPr="00A14171">
        <w:rPr>
          <w:rFonts w:ascii="Garamond" w:hAnsi="Garamond" w:cs="Garamond"/>
        </w:rPr>
        <w:t xml:space="preserve">00 youth into the study, with approximately 60 percent of the sample assigned to the treatment group that is eligible to receive YouthBuild services and 40 percent assigned to the control group which is not eligible to receive YouthBuild services. </w:t>
      </w:r>
      <w:r>
        <w:rPr>
          <w:rFonts w:ascii="Garamond" w:hAnsi="Garamond" w:cs="Garamond"/>
        </w:rPr>
        <w:t xml:space="preserve"> </w:t>
      </w:r>
      <w:r w:rsidRPr="00A14171">
        <w:rPr>
          <w:rFonts w:ascii="Garamond" w:hAnsi="Garamond" w:cs="Garamond"/>
        </w:rPr>
        <w:t xml:space="preserve">All study participants </w:t>
      </w:r>
      <w:r>
        <w:rPr>
          <w:rFonts w:ascii="Garamond" w:hAnsi="Garamond" w:cs="Garamond"/>
        </w:rPr>
        <w:t xml:space="preserve">in 83 of the YouthBuild grantees that received funding from either DOL or CNCS in FY 2011 </w:t>
      </w:r>
      <w:r w:rsidRPr="00A14171">
        <w:rPr>
          <w:rFonts w:ascii="Garamond" w:hAnsi="Garamond" w:cs="Garamond"/>
        </w:rPr>
        <w:t xml:space="preserve">will participate in the impact component of the evaluation. </w:t>
      </w:r>
      <w:r>
        <w:rPr>
          <w:rFonts w:ascii="Garamond" w:hAnsi="Garamond" w:cs="Garamond"/>
        </w:rPr>
        <w:t xml:space="preserve"> </w:t>
      </w:r>
      <w:r w:rsidRPr="00A14171">
        <w:rPr>
          <w:rFonts w:ascii="Garamond" w:hAnsi="Garamond" w:cs="Garamond"/>
        </w:rPr>
        <w:t xml:space="preserve">This data collection request pertains to the 12-, 30-, and 48-month follow-up surveys. </w:t>
      </w:r>
      <w:r>
        <w:rPr>
          <w:rFonts w:ascii="Garamond" w:hAnsi="Garamond" w:cs="Garamond"/>
        </w:rPr>
        <w:t xml:space="preserve"> </w:t>
      </w:r>
      <w:r w:rsidRPr="00A14171">
        <w:rPr>
          <w:rFonts w:ascii="Garamond" w:hAnsi="Garamond" w:cs="Garamond"/>
        </w:rPr>
        <w:t xml:space="preserve">A one-time sample of 3,465 youth will be randomly selected from the full sample </w:t>
      </w:r>
      <w:r>
        <w:rPr>
          <w:rFonts w:ascii="Garamond" w:hAnsi="Garamond" w:cs="Garamond"/>
        </w:rPr>
        <w:t xml:space="preserve">of 83 grantees </w:t>
      </w:r>
      <w:r w:rsidRPr="00A14171">
        <w:rPr>
          <w:rFonts w:ascii="Garamond" w:hAnsi="Garamond" w:cs="Garamond"/>
        </w:rPr>
        <w:t xml:space="preserve">for the fielding of these surveys. This sample of 3,465 youth will be asked to participate </w:t>
      </w:r>
      <w:r>
        <w:rPr>
          <w:rFonts w:ascii="Garamond" w:hAnsi="Garamond" w:cs="Garamond"/>
        </w:rPr>
        <w:t>in each of the three follow-up surveys.</w:t>
      </w:r>
    </w:p>
    <w:p w:rsidR="00CE2F9D" w:rsidRDefault="00CE2F9D" w:rsidP="00A66F60">
      <w:pPr>
        <w:tabs>
          <w:tab w:val="clear" w:pos="432"/>
        </w:tabs>
        <w:ind w:firstLine="720"/>
        <w:jc w:val="left"/>
        <w:rPr>
          <w:rFonts w:ascii="Garamond" w:hAnsi="Garamond" w:cs="Garamond"/>
        </w:rPr>
      </w:pPr>
      <w:r w:rsidRPr="00A7555D">
        <w:rPr>
          <w:rFonts w:ascii="Garamond" w:hAnsi="Garamond" w:cs="Garamond"/>
        </w:rPr>
        <w:t xml:space="preserve">This section begins by describing the procedures that will be used to select </w:t>
      </w:r>
      <w:r>
        <w:rPr>
          <w:rFonts w:ascii="Garamond" w:hAnsi="Garamond" w:cs="Garamond"/>
        </w:rPr>
        <w:t xml:space="preserve">sites for the impact component of the study and </w:t>
      </w:r>
      <w:r w:rsidRPr="00A7555D">
        <w:rPr>
          <w:rFonts w:ascii="Garamond" w:hAnsi="Garamond" w:cs="Garamond"/>
        </w:rPr>
        <w:t xml:space="preserve">individuals for the </w:t>
      </w:r>
      <w:r>
        <w:rPr>
          <w:rFonts w:ascii="Garamond" w:hAnsi="Garamond" w:cs="Garamond"/>
        </w:rPr>
        <w:t>f</w:t>
      </w:r>
      <w:r w:rsidRPr="00A7555D">
        <w:rPr>
          <w:rFonts w:ascii="Garamond" w:hAnsi="Garamond" w:cs="Garamond"/>
        </w:rPr>
        <w:t xml:space="preserve">ollow-up surveys. </w:t>
      </w:r>
      <w:r>
        <w:rPr>
          <w:rFonts w:ascii="Garamond" w:hAnsi="Garamond" w:cs="Garamond"/>
        </w:rPr>
        <w:t xml:space="preserve"> </w:t>
      </w:r>
      <w:r w:rsidRPr="00A7555D">
        <w:rPr>
          <w:rFonts w:ascii="Garamond" w:hAnsi="Garamond" w:cs="Garamond"/>
        </w:rPr>
        <w:t xml:space="preserve">The procedures </w:t>
      </w:r>
      <w:r>
        <w:rPr>
          <w:rFonts w:ascii="Garamond" w:hAnsi="Garamond" w:cs="Garamond"/>
        </w:rPr>
        <w:t xml:space="preserve">for the study </w:t>
      </w:r>
      <w:r w:rsidRPr="00A7555D">
        <w:rPr>
          <w:rFonts w:ascii="Garamond" w:hAnsi="Garamond" w:cs="Garamond"/>
        </w:rPr>
        <w:t xml:space="preserve">entail </w:t>
      </w:r>
      <w:r>
        <w:rPr>
          <w:rFonts w:ascii="Garamond" w:hAnsi="Garamond" w:cs="Garamond"/>
        </w:rPr>
        <w:t xml:space="preserve">selecting sites for the evaluation, enrolling eligible and interested youth at these sites into the study, randomly assigning these youth to either a treatment or control group, and randomly selecting a subset of the full study sample within these sites for the fielding of the surveys.  </w:t>
      </w:r>
      <w:r w:rsidRPr="00A7555D">
        <w:rPr>
          <w:rFonts w:ascii="Garamond" w:hAnsi="Garamond" w:cs="Garamond"/>
        </w:rPr>
        <w:t xml:space="preserve">Next, we describe the procedures that will be used to collect the survey data, paying particular attention to specific methods that will ensure high response rates. </w:t>
      </w:r>
      <w:r>
        <w:rPr>
          <w:rFonts w:ascii="Garamond" w:hAnsi="Garamond" w:cs="Garamond"/>
        </w:rPr>
        <w:t xml:space="preserve"> </w:t>
      </w:r>
      <w:r w:rsidRPr="00A7555D">
        <w:rPr>
          <w:rFonts w:ascii="Garamond" w:hAnsi="Garamond" w:cs="Garamond"/>
        </w:rPr>
        <w:t xml:space="preserve">This section closes by identifying the </w:t>
      </w:r>
      <w:r w:rsidRPr="00A7555D">
        <w:rPr>
          <w:rFonts w:ascii="Garamond" w:hAnsi="Garamond" w:cs="Garamond"/>
        </w:rPr>
        <w:lastRenderedPageBreak/>
        <w:t>individuals who are providing the project team with expertise on the statistical methods that will be used to conduct the empirical analyses.</w:t>
      </w:r>
    </w:p>
    <w:p w:rsidR="00CE2F9D" w:rsidRDefault="00CE2F9D" w:rsidP="008A590C">
      <w:pPr>
        <w:tabs>
          <w:tab w:val="clear" w:pos="432"/>
        </w:tabs>
        <w:ind w:firstLine="0"/>
        <w:jc w:val="left"/>
        <w:rPr>
          <w:rFonts w:ascii="Garamond" w:hAnsi="Garamond" w:cs="Garamond"/>
          <w:b/>
          <w:bCs/>
        </w:rPr>
      </w:pPr>
      <w:r w:rsidRPr="00A7555D">
        <w:rPr>
          <w:rFonts w:ascii="Garamond" w:hAnsi="Garamond" w:cs="Garamond"/>
          <w:b/>
          <w:bCs/>
        </w:rPr>
        <w:t>B. Sampling for the Follow-up Surveys</w:t>
      </w:r>
    </w:p>
    <w:p w:rsidR="00CE2F9D" w:rsidRDefault="00CE2F9D" w:rsidP="008A590C">
      <w:pPr>
        <w:tabs>
          <w:tab w:val="clear" w:pos="432"/>
        </w:tabs>
        <w:ind w:firstLine="0"/>
        <w:jc w:val="left"/>
        <w:rPr>
          <w:rFonts w:ascii="Garamond" w:hAnsi="Garamond" w:cs="Garamond"/>
        </w:rPr>
      </w:pPr>
      <w:r w:rsidRPr="00A7555D">
        <w:rPr>
          <w:rFonts w:ascii="Garamond" w:hAnsi="Garamond" w:cs="Garamond"/>
          <w:b/>
          <w:bCs/>
        </w:rPr>
        <w:tab/>
      </w:r>
      <w:r w:rsidRPr="00A7555D">
        <w:rPr>
          <w:rFonts w:ascii="Garamond" w:hAnsi="Garamond" w:cs="Garamond"/>
        </w:rPr>
        <w:t xml:space="preserve">The </w:t>
      </w:r>
      <w:r>
        <w:rPr>
          <w:rFonts w:ascii="Garamond" w:hAnsi="Garamond" w:cs="Garamond"/>
        </w:rPr>
        <w:t xml:space="preserve">sample for the </w:t>
      </w:r>
      <w:r w:rsidRPr="00A7555D">
        <w:rPr>
          <w:rFonts w:ascii="Garamond" w:hAnsi="Garamond" w:cs="Garamond"/>
        </w:rPr>
        <w:t xml:space="preserve">follow-up surveys </w:t>
      </w:r>
      <w:r>
        <w:rPr>
          <w:rFonts w:ascii="Garamond" w:hAnsi="Garamond" w:cs="Garamond"/>
        </w:rPr>
        <w:t>includes</w:t>
      </w:r>
      <w:r w:rsidRPr="00A7555D">
        <w:rPr>
          <w:rFonts w:ascii="Garamond" w:hAnsi="Garamond" w:cs="Garamond"/>
        </w:rPr>
        <w:t xml:space="preserve"> 3,465 study participants </w:t>
      </w:r>
      <w:r>
        <w:rPr>
          <w:rFonts w:ascii="Garamond" w:hAnsi="Garamond" w:cs="Garamond"/>
        </w:rPr>
        <w:t>across 83</w:t>
      </w:r>
      <w:r w:rsidRPr="00A7555D">
        <w:rPr>
          <w:rFonts w:ascii="Garamond" w:hAnsi="Garamond" w:cs="Garamond"/>
        </w:rPr>
        <w:t xml:space="preserve"> sites</w:t>
      </w:r>
      <w:r>
        <w:rPr>
          <w:rFonts w:ascii="Garamond" w:hAnsi="Garamond" w:cs="Garamond"/>
        </w:rPr>
        <w:t xml:space="preserve">.  </w:t>
      </w:r>
      <w:r w:rsidRPr="00A7555D">
        <w:rPr>
          <w:rFonts w:ascii="Garamond" w:hAnsi="Garamond" w:cs="Garamond"/>
        </w:rPr>
        <w:t xml:space="preserve">Youth who consent to participate in the study will be randomly assigned to one of two groups: </w:t>
      </w:r>
      <w:r>
        <w:rPr>
          <w:rFonts w:ascii="Garamond" w:hAnsi="Garamond" w:cs="Garamond"/>
        </w:rPr>
        <w:t xml:space="preserve"> </w:t>
      </w:r>
      <w:r w:rsidRPr="00A7555D">
        <w:rPr>
          <w:rFonts w:ascii="Garamond" w:hAnsi="Garamond" w:cs="Garamond"/>
        </w:rPr>
        <w:t>The treatment or program group, whose members will be invited to participate in YouthBuild as it currently exists; or the control group, whose members</w:t>
      </w:r>
      <w:r>
        <w:rPr>
          <w:rFonts w:ascii="Garamond" w:hAnsi="Garamond" w:cs="Garamond"/>
        </w:rPr>
        <w:t xml:space="preserve"> cannot</w:t>
      </w:r>
      <w:r w:rsidRPr="00A7555D">
        <w:rPr>
          <w:rFonts w:ascii="Garamond" w:hAnsi="Garamond" w:cs="Garamond"/>
        </w:rPr>
        <w:t xml:space="preserve"> participate in YouthBuild</w:t>
      </w:r>
      <w:r>
        <w:rPr>
          <w:rFonts w:ascii="Garamond" w:hAnsi="Garamond" w:cs="Garamond"/>
        </w:rPr>
        <w:t>, but will be able to access on their own other services in the community</w:t>
      </w:r>
      <w:r w:rsidRPr="00A7555D">
        <w:rPr>
          <w:rFonts w:ascii="Garamond" w:hAnsi="Garamond" w:cs="Garamond"/>
        </w:rPr>
        <w:t>.</w:t>
      </w:r>
      <w:r w:rsidRPr="00A7555D">
        <w:rPr>
          <w:rStyle w:val="FootnoteReference"/>
          <w:rFonts w:ascii="Garamond" w:hAnsi="Garamond" w:cs="Garamond"/>
        </w:rPr>
        <w:footnoteReference w:id="2"/>
      </w:r>
      <w:r w:rsidRPr="00A7555D">
        <w:rPr>
          <w:rFonts w:ascii="Garamond" w:hAnsi="Garamond" w:cs="Garamond"/>
        </w:rPr>
        <w:t xml:space="preserve"> </w:t>
      </w:r>
    </w:p>
    <w:p w:rsidR="00CE2F9D" w:rsidRDefault="00CE2F9D" w:rsidP="008A590C">
      <w:pPr>
        <w:tabs>
          <w:tab w:val="clear" w:pos="432"/>
        </w:tabs>
        <w:ind w:firstLine="0"/>
        <w:jc w:val="left"/>
        <w:rPr>
          <w:rFonts w:ascii="Garamond" w:hAnsi="Garamond" w:cs="Garamond"/>
          <w:b/>
          <w:bCs/>
        </w:rPr>
      </w:pPr>
      <w:r w:rsidRPr="00A7555D">
        <w:rPr>
          <w:rFonts w:ascii="Garamond" w:hAnsi="Garamond" w:cs="Garamond"/>
          <w:b/>
          <w:bCs/>
        </w:rPr>
        <w:t xml:space="preserve">1. </w:t>
      </w:r>
      <w:r w:rsidRPr="00A7555D">
        <w:rPr>
          <w:rFonts w:ascii="Garamond" w:hAnsi="Garamond" w:cs="Garamond"/>
          <w:b/>
          <w:bCs/>
        </w:rPr>
        <w:tab/>
        <w:t>Sample Selection for the Follow-up Surveys</w:t>
      </w:r>
    </w:p>
    <w:p w:rsidR="00BC2746" w:rsidRPr="00791B4D" w:rsidRDefault="00CE2F9D" w:rsidP="00BC2746">
      <w:pPr>
        <w:pStyle w:val="NoSpacing"/>
        <w:spacing w:line="480" w:lineRule="auto"/>
        <w:ind w:firstLine="432"/>
        <w:rPr>
          <w:rFonts w:ascii="Times New Roman" w:hAnsi="Times New Roman"/>
          <w:sz w:val="24"/>
          <w:szCs w:val="24"/>
        </w:rPr>
      </w:pPr>
      <w:r w:rsidRPr="001E6BB9">
        <w:rPr>
          <w:rFonts w:ascii="Garamond" w:hAnsi="Garamond" w:cs="Garamond"/>
          <w:sz w:val="24"/>
          <w:szCs w:val="24"/>
        </w:rPr>
        <w:t>In May 2011, DOL awarded grants to 74 programs</w:t>
      </w:r>
      <w:r>
        <w:rPr>
          <w:rFonts w:ascii="Garamond" w:hAnsi="Garamond" w:cs="Garamond"/>
          <w:sz w:val="24"/>
          <w:szCs w:val="24"/>
        </w:rPr>
        <w:t xml:space="preserve">.  </w:t>
      </w:r>
      <w:r w:rsidRPr="001E6BB9">
        <w:rPr>
          <w:rFonts w:ascii="Garamond" w:hAnsi="Garamond" w:cs="Garamond"/>
          <w:sz w:val="24"/>
          <w:szCs w:val="24"/>
        </w:rPr>
        <w:t>After dropping three programs from the sel</w:t>
      </w:r>
      <w:r>
        <w:rPr>
          <w:rFonts w:ascii="Garamond" w:hAnsi="Garamond" w:cs="Garamond"/>
          <w:sz w:val="24"/>
          <w:szCs w:val="24"/>
        </w:rPr>
        <w:t>e</w:t>
      </w:r>
      <w:r w:rsidRPr="001E6BB9">
        <w:rPr>
          <w:rFonts w:ascii="Garamond" w:hAnsi="Garamond" w:cs="Garamond"/>
          <w:sz w:val="24"/>
          <w:szCs w:val="24"/>
        </w:rPr>
        <w:t xml:space="preserve">ction universe (representing less than </w:t>
      </w:r>
      <w:r>
        <w:rPr>
          <w:rFonts w:ascii="Garamond" w:hAnsi="Garamond" w:cs="Garamond"/>
          <w:sz w:val="24"/>
          <w:szCs w:val="24"/>
        </w:rPr>
        <w:t>five</w:t>
      </w:r>
      <w:r w:rsidRPr="001E6BB9">
        <w:rPr>
          <w:rFonts w:ascii="Garamond" w:hAnsi="Garamond" w:cs="Garamond"/>
          <w:sz w:val="24"/>
          <w:szCs w:val="24"/>
        </w:rPr>
        <w:t xml:space="preserve"> percent of expected youth served),</w:t>
      </w:r>
      <w:r>
        <w:rPr>
          <w:rFonts w:ascii="Garamond" w:hAnsi="Garamond" w:cs="Garamond"/>
          <w:sz w:val="24"/>
          <w:szCs w:val="24"/>
        </w:rPr>
        <w:t xml:space="preserve"> the evaluation team</w:t>
      </w:r>
      <w:r w:rsidRPr="001E6BB9">
        <w:rPr>
          <w:rFonts w:ascii="Garamond" w:hAnsi="Garamond" w:cs="Garamond"/>
          <w:sz w:val="24"/>
          <w:szCs w:val="24"/>
        </w:rPr>
        <w:t xml:space="preserve"> randomly selected 60 programs for participation in the </w:t>
      </w:r>
      <w:r>
        <w:rPr>
          <w:rFonts w:ascii="Garamond" w:hAnsi="Garamond" w:cs="Garamond"/>
          <w:sz w:val="24"/>
          <w:szCs w:val="24"/>
        </w:rPr>
        <w:t xml:space="preserve">impact component of the </w:t>
      </w:r>
      <w:r w:rsidRPr="001E6BB9">
        <w:rPr>
          <w:rFonts w:ascii="Garamond" w:hAnsi="Garamond" w:cs="Garamond"/>
          <w:sz w:val="24"/>
          <w:szCs w:val="24"/>
        </w:rPr>
        <w:t>evaluation, using probability-proportional-to-size sampling</w:t>
      </w:r>
      <w:r>
        <w:rPr>
          <w:rFonts w:ascii="Garamond" w:hAnsi="Garamond" w:cs="Garamond"/>
          <w:sz w:val="24"/>
          <w:szCs w:val="24"/>
        </w:rPr>
        <w:t xml:space="preserve">.  </w:t>
      </w:r>
      <w:r w:rsidRPr="001E6BB9">
        <w:rPr>
          <w:rFonts w:ascii="Garamond" w:hAnsi="Garamond" w:cs="Garamond"/>
          <w:sz w:val="24"/>
          <w:szCs w:val="24"/>
        </w:rPr>
        <w:t xml:space="preserve">In other words, each program had a probability of selection that was equal to its expected enrollment over a given program year. </w:t>
      </w:r>
      <w:r>
        <w:rPr>
          <w:rFonts w:ascii="Garamond" w:hAnsi="Garamond" w:cs="Garamond"/>
          <w:sz w:val="24"/>
          <w:szCs w:val="24"/>
        </w:rPr>
        <w:t xml:space="preserve"> </w:t>
      </w:r>
      <w:r w:rsidRPr="001E6BB9">
        <w:rPr>
          <w:rFonts w:ascii="Garamond" w:hAnsi="Garamond" w:cs="Garamond"/>
          <w:sz w:val="24"/>
          <w:szCs w:val="24"/>
        </w:rPr>
        <w:t>This method gives each YouthBuild slot (or youth served) an equal chance of being selected for the evaluation, meaning that the resulting sample of youth who enroll in the study should be representative of youth served by these programs</w:t>
      </w:r>
      <w:r>
        <w:rPr>
          <w:rFonts w:ascii="Garamond" w:hAnsi="Garamond" w:cs="Garamond"/>
          <w:sz w:val="24"/>
          <w:szCs w:val="24"/>
        </w:rPr>
        <w:t xml:space="preserve">. </w:t>
      </w:r>
      <w:r w:rsidR="00BC2746" w:rsidRPr="00BC2746">
        <w:rPr>
          <w:rFonts w:ascii="Times New Roman" w:hAnsi="Times New Roman"/>
          <w:sz w:val="24"/>
          <w:szCs w:val="24"/>
        </w:rPr>
        <w:t xml:space="preserve">Once a program is selected for the evaluation, all youth who enroll at that program between August 2011 and December 2012 will be included in the research sample.  </w:t>
      </w:r>
      <w:r w:rsidR="00BC2746" w:rsidRPr="006C42E2">
        <w:rPr>
          <w:rFonts w:ascii="Times New Roman" w:hAnsi="Times New Roman"/>
          <w:sz w:val="24"/>
          <w:szCs w:val="24"/>
        </w:rPr>
        <w:t xml:space="preserve">In deciding on the total number of DOL-funded programs to include in the impact component of the evaluation, we attempted to balance the objectives of 1) maximizing the representativeness of the sample and the statistical power of the impact analysis and 2) ensuring </w:t>
      </w:r>
      <w:r w:rsidR="00BC2746" w:rsidRPr="00791B4D">
        <w:rPr>
          <w:rFonts w:ascii="Times New Roman" w:hAnsi="Times New Roman"/>
          <w:sz w:val="24"/>
          <w:szCs w:val="24"/>
        </w:rPr>
        <w:t xml:space="preserve">high quality implementation of program enrollment and random assignment procedures.  </w:t>
      </w:r>
      <w:r w:rsidR="00BC2746" w:rsidRPr="00F65ABC">
        <w:rPr>
          <w:rFonts w:ascii="Times New Roman" w:hAnsi="Times New Roman"/>
          <w:sz w:val="24"/>
          <w:szCs w:val="24"/>
        </w:rPr>
        <w:t xml:space="preserve">On the one hand, </w:t>
      </w:r>
      <w:r w:rsidR="00BC2746">
        <w:rPr>
          <w:rFonts w:ascii="Times New Roman" w:hAnsi="Times New Roman"/>
          <w:sz w:val="24"/>
          <w:szCs w:val="24"/>
        </w:rPr>
        <w:lastRenderedPageBreak/>
        <w:t>maximizing</w:t>
      </w:r>
      <w:r w:rsidR="00BC2746" w:rsidRPr="00F65ABC">
        <w:rPr>
          <w:rFonts w:ascii="Times New Roman" w:hAnsi="Times New Roman"/>
          <w:sz w:val="24"/>
          <w:szCs w:val="24"/>
        </w:rPr>
        <w:t xml:space="preserve"> the represen</w:t>
      </w:r>
      <w:r w:rsidR="00BC2746">
        <w:rPr>
          <w:rFonts w:ascii="Times New Roman" w:hAnsi="Times New Roman"/>
          <w:sz w:val="24"/>
          <w:szCs w:val="24"/>
        </w:rPr>
        <w:t>tativeness of the sample and the</w:t>
      </w:r>
      <w:r w:rsidR="00BC2746" w:rsidRPr="00F65ABC">
        <w:rPr>
          <w:rFonts w:ascii="Times New Roman" w:hAnsi="Times New Roman"/>
          <w:sz w:val="24"/>
          <w:szCs w:val="24"/>
        </w:rPr>
        <w:t xml:space="preserve"> sample size</w:t>
      </w:r>
      <w:r w:rsidR="00BC2746">
        <w:rPr>
          <w:rFonts w:ascii="Times New Roman" w:hAnsi="Times New Roman"/>
          <w:sz w:val="24"/>
          <w:szCs w:val="24"/>
        </w:rPr>
        <w:t xml:space="preserve"> would call for including</w:t>
      </w:r>
      <w:r w:rsidR="00BC2746" w:rsidRPr="00F65ABC">
        <w:rPr>
          <w:rFonts w:ascii="Times New Roman" w:hAnsi="Times New Roman"/>
          <w:sz w:val="24"/>
          <w:szCs w:val="24"/>
        </w:rPr>
        <w:t xml:space="preserve"> all grantees in the study.  However, </w:t>
      </w:r>
      <w:r w:rsidR="00BC2746">
        <w:rPr>
          <w:rFonts w:ascii="Times New Roman" w:hAnsi="Times New Roman"/>
          <w:sz w:val="24"/>
          <w:szCs w:val="24"/>
        </w:rPr>
        <w:t xml:space="preserve">substantial </w:t>
      </w:r>
      <w:r w:rsidR="00BC2746" w:rsidRPr="00F65ABC">
        <w:rPr>
          <w:rFonts w:ascii="Times New Roman" w:hAnsi="Times New Roman"/>
          <w:sz w:val="24"/>
          <w:szCs w:val="24"/>
        </w:rPr>
        <w:t xml:space="preserve">resources </w:t>
      </w:r>
      <w:r w:rsidR="00BC2746">
        <w:rPr>
          <w:rFonts w:ascii="Times New Roman" w:hAnsi="Times New Roman"/>
          <w:sz w:val="24"/>
          <w:szCs w:val="24"/>
        </w:rPr>
        <w:t xml:space="preserve">are required </w:t>
      </w:r>
      <w:r w:rsidR="00BC2746" w:rsidRPr="00F65ABC">
        <w:rPr>
          <w:rFonts w:ascii="Times New Roman" w:hAnsi="Times New Roman"/>
          <w:sz w:val="24"/>
          <w:szCs w:val="24"/>
        </w:rPr>
        <w:t xml:space="preserve">to work with a </w:t>
      </w:r>
      <w:r w:rsidR="00BC2746">
        <w:rPr>
          <w:rFonts w:ascii="Times New Roman" w:hAnsi="Times New Roman"/>
          <w:sz w:val="24"/>
          <w:szCs w:val="24"/>
        </w:rPr>
        <w:t xml:space="preserve">study </w:t>
      </w:r>
      <w:r w:rsidR="00BC2746" w:rsidRPr="00F65ABC">
        <w:rPr>
          <w:rFonts w:ascii="Times New Roman" w:hAnsi="Times New Roman"/>
          <w:sz w:val="24"/>
          <w:szCs w:val="24"/>
        </w:rPr>
        <w:t>site to</w:t>
      </w:r>
      <w:r w:rsidR="00BC2746">
        <w:rPr>
          <w:rFonts w:ascii="Times New Roman" w:hAnsi="Times New Roman"/>
          <w:sz w:val="24"/>
          <w:szCs w:val="24"/>
        </w:rPr>
        <w:t xml:space="preserve">: a) secure staff buy-in and cooperation with the study; </w:t>
      </w:r>
      <w:r w:rsidR="00BC2746" w:rsidRPr="00F65ABC">
        <w:rPr>
          <w:rFonts w:ascii="Times New Roman" w:hAnsi="Times New Roman"/>
          <w:sz w:val="24"/>
          <w:szCs w:val="24"/>
        </w:rPr>
        <w:t xml:space="preserve">b) train </w:t>
      </w:r>
      <w:r w:rsidR="00BC2746">
        <w:rPr>
          <w:rFonts w:ascii="Times New Roman" w:hAnsi="Times New Roman"/>
          <w:sz w:val="24"/>
          <w:szCs w:val="24"/>
        </w:rPr>
        <w:t>staff</w:t>
      </w:r>
      <w:r w:rsidR="00BC2746" w:rsidRPr="00F65ABC">
        <w:rPr>
          <w:rFonts w:ascii="Times New Roman" w:hAnsi="Times New Roman"/>
          <w:sz w:val="24"/>
          <w:szCs w:val="24"/>
        </w:rPr>
        <w:t xml:space="preserve"> on </w:t>
      </w:r>
      <w:r w:rsidR="00BC2746">
        <w:rPr>
          <w:rFonts w:ascii="Times New Roman" w:hAnsi="Times New Roman"/>
          <w:sz w:val="24"/>
          <w:szCs w:val="24"/>
        </w:rPr>
        <w:t>intake and random assignment procedures;</w:t>
      </w:r>
      <w:r w:rsidR="00BC2746" w:rsidRPr="00F65ABC">
        <w:rPr>
          <w:rFonts w:ascii="Times New Roman" w:hAnsi="Times New Roman"/>
          <w:sz w:val="24"/>
          <w:szCs w:val="24"/>
        </w:rPr>
        <w:t xml:space="preserve"> and c) monitor random assignment. </w:t>
      </w:r>
      <w:r w:rsidR="00BC2746">
        <w:rPr>
          <w:rFonts w:ascii="Times New Roman" w:hAnsi="Times New Roman"/>
          <w:sz w:val="24"/>
          <w:szCs w:val="24"/>
        </w:rPr>
        <w:t xml:space="preserve">Given a fixed budget, the team determined that 60 DOL-funded programs should be selected for the evaluation.  The quality of the enrollment process (and, potentially, the integrity of random assignment) would suffer if more than 60 sites were included. </w:t>
      </w:r>
      <w:r w:rsidR="00BC2746" w:rsidRPr="00F65ABC">
        <w:rPr>
          <w:rFonts w:ascii="Times New Roman" w:hAnsi="Times New Roman"/>
          <w:sz w:val="24"/>
          <w:szCs w:val="24"/>
        </w:rPr>
        <w:t xml:space="preserve">Given the expected number of youth served per program, 60 programs </w:t>
      </w:r>
      <w:proofErr w:type="gramStart"/>
      <w:r w:rsidR="00BC2746">
        <w:rPr>
          <w:rFonts w:ascii="Times New Roman" w:hAnsi="Times New Roman"/>
          <w:sz w:val="24"/>
          <w:szCs w:val="24"/>
        </w:rPr>
        <w:t>was</w:t>
      </w:r>
      <w:proofErr w:type="gramEnd"/>
      <w:r w:rsidR="00BC2746">
        <w:rPr>
          <w:rFonts w:ascii="Times New Roman" w:hAnsi="Times New Roman"/>
          <w:sz w:val="24"/>
          <w:szCs w:val="24"/>
        </w:rPr>
        <w:t xml:space="preserve"> deemed </w:t>
      </w:r>
      <w:r w:rsidR="00BC2746" w:rsidRPr="00F65ABC">
        <w:rPr>
          <w:rFonts w:ascii="Times New Roman" w:hAnsi="Times New Roman"/>
          <w:sz w:val="24"/>
          <w:szCs w:val="24"/>
        </w:rPr>
        <w:t xml:space="preserve">adequate to generate a sample size that would provide reasonable minimum </w:t>
      </w:r>
      <w:proofErr w:type="spellStart"/>
      <w:r w:rsidR="00BC2746" w:rsidRPr="00F65ABC">
        <w:rPr>
          <w:rFonts w:ascii="Times New Roman" w:hAnsi="Times New Roman"/>
          <w:sz w:val="24"/>
          <w:szCs w:val="24"/>
        </w:rPr>
        <w:t>dectectable</w:t>
      </w:r>
      <w:proofErr w:type="spellEnd"/>
      <w:r w:rsidR="00BC2746" w:rsidRPr="00F65ABC">
        <w:rPr>
          <w:rFonts w:ascii="Times New Roman" w:hAnsi="Times New Roman"/>
          <w:sz w:val="24"/>
          <w:szCs w:val="24"/>
        </w:rPr>
        <w:t xml:space="preserve"> effects</w:t>
      </w:r>
      <w:r w:rsidR="00BC2746">
        <w:rPr>
          <w:rFonts w:ascii="Times New Roman" w:hAnsi="Times New Roman"/>
          <w:sz w:val="24"/>
          <w:szCs w:val="24"/>
        </w:rPr>
        <w:t xml:space="preserve"> on key outcomes of interest.</w:t>
      </w:r>
    </w:p>
    <w:p w:rsidR="00CE2F9D" w:rsidRPr="00AD3547" w:rsidRDefault="00CE2F9D" w:rsidP="00E13FC4">
      <w:pPr>
        <w:pStyle w:val="NoSpacing"/>
        <w:spacing w:line="480" w:lineRule="auto"/>
        <w:ind w:firstLine="720"/>
        <w:rPr>
          <w:rFonts w:ascii="Garamond" w:hAnsi="Garamond" w:cs="Garamond"/>
          <w:sz w:val="24"/>
          <w:szCs w:val="24"/>
        </w:rPr>
      </w:pPr>
      <w:r>
        <w:rPr>
          <w:rFonts w:ascii="Garamond" w:hAnsi="Garamond"/>
          <w:sz w:val="24"/>
          <w:szCs w:val="24"/>
        </w:rPr>
        <w:t>There are 40 programs that comprise the universe of programs that receive CNCS but not DOL funding in 2011, and 23 of these programs received grants of $95,000 or more from CNCS.  These 23 programs were selected for the impact component of the evaluation.</w:t>
      </w:r>
    </w:p>
    <w:p w:rsidR="00CE2F9D" w:rsidRDefault="00CE2F9D" w:rsidP="00E13FC4">
      <w:pPr>
        <w:tabs>
          <w:tab w:val="clear" w:pos="432"/>
        </w:tabs>
        <w:spacing w:after="200"/>
        <w:jc w:val="left"/>
        <w:rPr>
          <w:rFonts w:ascii="Garamond" w:hAnsi="Garamond" w:cs="Garamond"/>
        </w:rPr>
      </w:pPr>
      <w:r>
        <w:rPr>
          <w:rFonts w:ascii="Garamond" w:hAnsi="Garamond" w:cs="Garamond"/>
        </w:rPr>
        <w:t xml:space="preserve">Recruitment and enrollment into the study began in August 2011 and is scheduled to continue through October 2012.  </w:t>
      </w:r>
      <w:r w:rsidRPr="00AD3547">
        <w:rPr>
          <w:rFonts w:ascii="Garamond" w:hAnsi="Garamond" w:cs="Garamond"/>
        </w:rPr>
        <w:t>Pr</w:t>
      </w:r>
      <w:r>
        <w:rPr>
          <w:rFonts w:ascii="Garamond" w:hAnsi="Garamond" w:cs="Garamond"/>
        </w:rPr>
        <w:t>ograms</w:t>
      </w:r>
      <w:r w:rsidRPr="00AD3547">
        <w:rPr>
          <w:rFonts w:ascii="Garamond" w:hAnsi="Garamond" w:cs="Garamond"/>
        </w:rPr>
        <w:t xml:space="preserve"> recruit and</w:t>
      </w:r>
      <w:r w:rsidRPr="001E6BB9">
        <w:rPr>
          <w:rFonts w:ascii="Garamond" w:hAnsi="Garamond" w:cs="Garamond"/>
        </w:rPr>
        <w:t xml:space="preserve"> screen youth using their regular procedures. </w:t>
      </w:r>
      <w:r>
        <w:rPr>
          <w:rFonts w:ascii="Garamond" w:hAnsi="Garamond" w:cs="Garamond"/>
        </w:rPr>
        <w:t xml:space="preserve"> </w:t>
      </w:r>
      <w:r w:rsidRPr="001E6BB9">
        <w:rPr>
          <w:rFonts w:ascii="Garamond" w:hAnsi="Garamond" w:cs="Garamond"/>
        </w:rPr>
        <w:t>However, the recruitment materials do not guarantee youth a spot in</w:t>
      </w:r>
      <w:r>
        <w:rPr>
          <w:rFonts w:ascii="Garamond" w:hAnsi="Garamond" w:cs="Garamond"/>
        </w:rPr>
        <w:t xml:space="preserve"> the program.  Program staff</w:t>
      </w:r>
      <w:r w:rsidRPr="001E6BB9">
        <w:rPr>
          <w:rFonts w:ascii="Garamond" w:hAnsi="Garamond" w:cs="Garamond"/>
        </w:rPr>
        <w:t xml:space="preserve"> </w:t>
      </w:r>
      <w:r>
        <w:rPr>
          <w:rFonts w:ascii="Garamond" w:hAnsi="Garamond" w:cs="Garamond"/>
        </w:rPr>
        <w:t>show</w:t>
      </w:r>
      <w:r w:rsidRPr="001E6BB9">
        <w:rPr>
          <w:rFonts w:ascii="Garamond" w:hAnsi="Garamond" w:cs="Garamond"/>
        </w:rPr>
        <w:t xml:space="preserve"> applicants a video prepared by the evaluation team that explain</w:t>
      </w:r>
      <w:r>
        <w:rPr>
          <w:rFonts w:ascii="Garamond" w:hAnsi="Garamond" w:cs="Garamond"/>
        </w:rPr>
        <w:t>s</w:t>
      </w:r>
      <w:r w:rsidRPr="001E6BB9">
        <w:rPr>
          <w:rFonts w:ascii="Garamond" w:hAnsi="Garamond" w:cs="Garamond"/>
        </w:rPr>
        <w:t xml:space="preserve"> the study. </w:t>
      </w:r>
      <w:r>
        <w:rPr>
          <w:rFonts w:ascii="Garamond" w:hAnsi="Garamond" w:cs="Garamond"/>
        </w:rPr>
        <w:t xml:space="preserve"> T</w:t>
      </w:r>
      <w:r w:rsidRPr="001E6BB9">
        <w:rPr>
          <w:rFonts w:ascii="Garamond" w:hAnsi="Garamond" w:cs="Garamond"/>
        </w:rPr>
        <w:t xml:space="preserve">he video and </w:t>
      </w:r>
      <w:r>
        <w:rPr>
          <w:rFonts w:ascii="Garamond" w:hAnsi="Garamond" w:cs="Garamond"/>
        </w:rPr>
        <w:t>site staff</w:t>
      </w:r>
      <w:r w:rsidRPr="001E6BB9">
        <w:rPr>
          <w:rFonts w:ascii="Garamond" w:hAnsi="Garamond" w:cs="Garamond"/>
        </w:rPr>
        <w:t xml:space="preserve"> explain</w:t>
      </w:r>
      <w:r w:rsidR="00E22DF7">
        <w:rPr>
          <w:rFonts w:ascii="Garamond" w:hAnsi="Garamond" w:cs="Garamond"/>
        </w:rPr>
        <w:t>s</w:t>
      </w:r>
      <w:r w:rsidRPr="001E6BB9">
        <w:rPr>
          <w:rFonts w:ascii="Garamond" w:hAnsi="Garamond" w:cs="Garamond"/>
        </w:rPr>
        <w:t xml:space="preserve"> that applicants are required to participate in the study in order to have a chance to enroll in YouthBuild</w:t>
      </w:r>
      <w:r>
        <w:rPr>
          <w:rFonts w:ascii="Garamond" w:hAnsi="Garamond" w:cs="Garamond"/>
        </w:rPr>
        <w:t xml:space="preserve">.  </w:t>
      </w:r>
      <w:r w:rsidRPr="001E6BB9">
        <w:rPr>
          <w:rFonts w:ascii="Garamond" w:hAnsi="Garamond" w:cs="Garamond"/>
        </w:rPr>
        <w:t xml:space="preserve">Staff </w:t>
      </w:r>
      <w:r w:rsidR="00E22DF7">
        <w:rPr>
          <w:rFonts w:ascii="Garamond" w:hAnsi="Garamond" w:cs="Garamond"/>
        </w:rPr>
        <w:t>is</w:t>
      </w:r>
      <w:r w:rsidRPr="001E6BB9">
        <w:rPr>
          <w:rFonts w:ascii="Garamond" w:hAnsi="Garamond" w:cs="Garamond"/>
        </w:rPr>
        <w:t xml:space="preserve"> provided with </w:t>
      </w:r>
      <w:r>
        <w:rPr>
          <w:rFonts w:ascii="Garamond" w:hAnsi="Garamond" w:cs="Garamond"/>
        </w:rPr>
        <w:t>information</w:t>
      </w:r>
      <w:r w:rsidRPr="001E6BB9">
        <w:rPr>
          <w:rFonts w:ascii="Garamond" w:hAnsi="Garamond" w:cs="Garamond"/>
        </w:rPr>
        <w:t xml:space="preserve"> to answer any questions youth may have after </w:t>
      </w:r>
      <w:r>
        <w:rPr>
          <w:rFonts w:ascii="Garamond" w:hAnsi="Garamond" w:cs="Garamond"/>
        </w:rPr>
        <w:t xml:space="preserve">viewing </w:t>
      </w:r>
      <w:r w:rsidRPr="001E6BB9">
        <w:rPr>
          <w:rFonts w:ascii="Garamond" w:hAnsi="Garamond" w:cs="Garamond"/>
        </w:rPr>
        <w:t>the video presentation</w:t>
      </w:r>
      <w:r>
        <w:rPr>
          <w:rFonts w:ascii="Garamond" w:hAnsi="Garamond" w:cs="Garamond"/>
        </w:rPr>
        <w:t>, before providing their consent to participate</w:t>
      </w:r>
      <w:r w:rsidRPr="001E6BB9">
        <w:rPr>
          <w:rFonts w:ascii="Garamond" w:hAnsi="Garamond" w:cs="Garamond"/>
        </w:rPr>
        <w:t xml:space="preserve">. </w:t>
      </w:r>
    </w:p>
    <w:p w:rsidR="00CE2F9D" w:rsidRPr="001E6BB9" w:rsidRDefault="00CE2F9D" w:rsidP="00CC45A2">
      <w:pPr>
        <w:tabs>
          <w:tab w:val="clear" w:pos="432"/>
        </w:tabs>
        <w:ind w:firstLine="720"/>
        <w:jc w:val="left"/>
        <w:rPr>
          <w:rFonts w:ascii="Garamond" w:hAnsi="Garamond" w:cs="Garamond"/>
        </w:rPr>
      </w:pPr>
      <w:r w:rsidRPr="00813AA9">
        <w:rPr>
          <w:rFonts w:ascii="Garamond" w:hAnsi="Garamond" w:cs="Garamond"/>
        </w:rPr>
        <w:t xml:space="preserve">After youth agree to participate in the study, as discussed below, baseline data are collected from all youth before random assignment (see </w:t>
      </w:r>
      <w:r w:rsidR="0070786D">
        <w:rPr>
          <w:rFonts w:ascii="Garamond" w:hAnsi="Garamond" w:cs="Garamond"/>
        </w:rPr>
        <w:t>OMB Control Number</w:t>
      </w:r>
      <w:r w:rsidRPr="00813AA9">
        <w:rPr>
          <w:rFonts w:ascii="Garamond" w:hAnsi="Garamond" w:cs="Garamond"/>
        </w:rPr>
        <w:t xml:space="preserve"> </w:t>
      </w:r>
      <w:r w:rsidRPr="00EC2D74">
        <w:rPr>
          <w:rFonts w:ascii="Garamond" w:hAnsi="Garamond" w:cs="Garamond"/>
        </w:rPr>
        <w:t>#</w:t>
      </w:r>
      <w:r w:rsidR="00DB1DEA" w:rsidRPr="00DB1DEA">
        <w:rPr>
          <w:rFonts w:ascii="Calibri" w:hAnsi="Calibri"/>
          <w:sz w:val="22"/>
          <w:szCs w:val="22"/>
        </w:rPr>
        <w:t>1205-0464</w:t>
      </w:r>
      <w:r w:rsidRPr="00EC2D74">
        <w:rPr>
          <w:rFonts w:ascii="Garamond" w:hAnsi="Garamond" w:cs="Garamond"/>
        </w:rPr>
        <w:t>).</w:t>
      </w:r>
      <w:r>
        <w:rPr>
          <w:rFonts w:ascii="Garamond" w:hAnsi="Garamond" w:cs="Garamond"/>
        </w:rPr>
        <w:t xml:space="preserve">  </w:t>
      </w:r>
    </w:p>
    <w:p w:rsidR="00CE2F9D" w:rsidRDefault="00CE2F9D" w:rsidP="008A590C">
      <w:pPr>
        <w:tabs>
          <w:tab w:val="clear" w:pos="432"/>
        </w:tabs>
        <w:ind w:firstLine="720"/>
        <w:jc w:val="left"/>
        <w:rPr>
          <w:rFonts w:ascii="Garamond" w:hAnsi="Garamond" w:cs="Garamond"/>
          <w:b/>
          <w:bCs/>
        </w:rPr>
      </w:pPr>
      <w:r w:rsidRPr="001E6BB9">
        <w:rPr>
          <w:rFonts w:ascii="Garamond" w:hAnsi="Garamond" w:cs="Garamond"/>
        </w:rPr>
        <w:t>Youth assigned to the program grou</w:t>
      </w:r>
      <w:r>
        <w:rPr>
          <w:rFonts w:ascii="Garamond" w:hAnsi="Garamond" w:cs="Garamond"/>
        </w:rPr>
        <w:t xml:space="preserve">p are invited to start the program, which may include a pre-orientation period that youth must successfully complete in order to enroll in the formal </w:t>
      </w:r>
      <w:r>
        <w:rPr>
          <w:rFonts w:ascii="Garamond" w:hAnsi="Garamond" w:cs="Garamond"/>
        </w:rPr>
        <w:lastRenderedPageBreak/>
        <w:t xml:space="preserve">YouthBuild program.  Youth </w:t>
      </w:r>
      <w:r w:rsidRPr="001E6BB9">
        <w:rPr>
          <w:rFonts w:ascii="Garamond" w:hAnsi="Garamond" w:cs="Garamond"/>
        </w:rPr>
        <w:t xml:space="preserve">assigned to the control group </w:t>
      </w:r>
      <w:r>
        <w:rPr>
          <w:rFonts w:ascii="Garamond" w:hAnsi="Garamond" w:cs="Garamond"/>
        </w:rPr>
        <w:t>are</w:t>
      </w:r>
      <w:r w:rsidRPr="001E6BB9">
        <w:rPr>
          <w:rFonts w:ascii="Garamond" w:hAnsi="Garamond" w:cs="Garamond"/>
        </w:rPr>
        <w:t xml:space="preserve"> informed of their status and given a list of alternative services in the community. </w:t>
      </w:r>
    </w:p>
    <w:p w:rsidR="00CE2F9D" w:rsidRDefault="00CE2F9D" w:rsidP="00E13FC4">
      <w:pPr>
        <w:tabs>
          <w:tab w:val="clear" w:pos="432"/>
        </w:tabs>
        <w:spacing w:after="200"/>
        <w:jc w:val="left"/>
        <w:rPr>
          <w:rFonts w:ascii="Garamond" w:hAnsi="Garamond" w:cs="Garamond"/>
        </w:rPr>
      </w:pPr>
      <w:r>
        <w:rPr>
          <w:rFonts w:ascii="Garamond" w:hAnsi="Garamond" w:cs="Garamond"/>
        </w:rPr>
        <w:tab/>
        <w:t xml:space="preserve">In these 83 sites, we expect to enroll approximately 4,200 youth into the study.  Underlying this expected number is the assumption that </w:t>
      </w:r>
      <w:r w:rsidRPr="00AD3547">
        <w:rPr>
          <w:rFonts w:ascii="Garamond" w:hAnsi="Garamond" w:cs="Garamond"/>
        </w:rPr>
        <w:t xml:space="preserve">each site will have about </w:t>
      </w:r>
      <w:r>
        <w:rPr>
          <w:rFonts w:ascii="Garamond" w:hAnsi="Garamond" w:cs="Garamond"/>
        </w:rPr>
        <w:t>50</w:t>
      </w:r>
      <w:r w:rsidRPr="00AD3547">
        <w:rPr>
          <w:rFonts w:ascii="Garamond" w:hAnsi="Garamond" w:cs="Garamond"/>
        </w:rPr>
        <w:t xml:space="preserve"> applicants, </w:t>
      </w:r>
      <w:r w:rsidRPr="004D68B0">
        <w:rPr>
          <w:rFonts w:ascii="Garamond" w:hAnsi="Garamond" w:cs="Garamond"/>
        </w:rPr>
        <w:t>with 60 percent of applicants assigned to the treatment group and 40 percent of applicants assigned to the control group</w:t>
      </w:r>
      <w:r>
        <w:rPr>
          <w:rFonts w:ascii="Garamond" w:hAnsi="Garamond" w:cs="Garamond"/>
        </w:rPr>
        <w:t xml:space="preserve">.  From the full sample of youth, we will randomly select a subset of 3,465 youth as the survey sample. </w:t>
      </w:r>
    </w:p>
    <w:p w:rsidR="00CE2F9D" w:rsidRPr="00875F9E" w:rsidRDefault="00CE2F9D" w:rsidP="00813AA9">
      <w:pPr>
        <w:widowControl w:val="0"/>
        <w:autoSpaceDE w:val="0"/>
        <w:autoSpaceDN w:val="0"/>
        <w:adjustRightInd w:val="0"/>
        <w:rPr>
          <w:rFonts w:ascii="Garamond" w:hAnsi="Garamond"/>
        </w:rPr>
      </w:pPr>
      <w:r>
        <w:rPr>
          <w:rFonts w:ascii="Garamond" w:hAnsi="Garamond"/>
        </w:rPr>
        <w:t>P</w:t>
      </w:r>
      <w:r w:rsidRPr="00875F9E">
        <w:rPr>
          <w:rFonts w:ascii="Garamond" w:hAnsi="Garamond"/>
        </w:rPr>
        <w:t>rogram impacts on</w:t>
      </w:r>
      <w:r>
        <w:rPr>
          <w:rFonts w:ascii="Garamond" w:hAnsi="Garamond"/>
        </w:rPr>
        <w:t xml:space="preserve"> a range of outcomes</w:t>
      </w:r>
      <w:r w:rsidRPr="00875F9E">
        <w:rPr>
          <w:rFonts w:ascii="Garamond" w:hAnsi="Garamond"/>
        </w:rPr>
        <w:t xml:space="preserve"> will be estimated using a </w:t>
      </w:r>
      <w:r>
        <w:rPr>
          <w:rFonts w:ascii="Garamond" w:hAnsi="Garamond"/>
        </w:rPr>
        <w:t>b</w:t>
      </w:r>
      <w:r w:rsidRPr="00875F9E">
        <w:rPr>
          <w:rFonts w:ascii="Garamond" w:hAnsi="Garamond"/>
        </w:rPr>
        <w:t>asic imp</w:t>
      </w:r>
      <w:r>
        <w:rPr>
          <w:rFonts w:ascii="Garamond" w:hAnsi="Garamond"/>
        </w:rPr>
        <w:t>act model:</w:t>
      </w:r>
      <w:r w:rsidRPr="00875F9E">
        <w:rPr>
          <w:rFonts w:ascii="Garamond" w:hAnsi="Garamond"/>
        </w:rPr>
        <w:t xml:space="preserve"> </w:t>
      </w:r>
    </w:p>
    <w:p w:rsidR="00CE2F9D" w:rsidRPr="00875F9E" w:rsidRDefault="00CE2F9D" w:rsidP="00813AA9">
      <w:pPr>
        <w:spacing w:after="120"/>
        <w:ind w:left="2160" w:firstLine="720"/>
        <w:rPr>
          <w:rFonts w:ascii="Garamond" w:hAnsi="Garamond"/>
          <w:i/>
        </w:rPr>
      </w:pPr>
      <w:r w:rsidRPr="00875F9E">
        <w:rPr>
          <w:rFonts w:ascii="Garamond" w:hAnsi="Garamond"/>
          <w:i/>
        </w:rPr>
        <w:t>Y</w:t>
      </w:r>
      <w:r w:rsidRPr="00875F9E">
        <w:rPr>
          <w:rFonts w:ascii="Garamond" w:hAnsi="Garamond"/>
          <w:i/>
          <w:vertAlign w:val="subscript"/>
        </w:rPr>
        <w:t>i</w:t>
      </w:r>
      <w:r w:rsidRPr="00875F9E">
        <w:rPr>
          <w:rFonts w:ascii="Garamond" w:hAnsi="Garamond"/>
          <w:i/>
        </w:rPr>
        <w:t xml:space="preserve"> = α + </w:t>
      </w:r>
      <w:proofErr w:type="spellStart"/>
      <w:r w:rsidRPr="00875F9E">
        <w:rPr>
          <w:rFonts w:ascii="Garamond" w:hAnsi="Garamond"/>
          <w:i/>
        </w:rPr>
        <w:t>βP</w:t>
      </w:r>
      <w:r w:rsidRPr="00875F9E">
        <w:rPr>
          <w:rFonts w:ascii="Garamond" w:hAnsi="Garamond"/>
          <w:i/>
          <w:vertAlign w:val="subscript"/>
        </w:rPr>
        <w:t>i</w:t>
      </w:r>
      <w:proofErr w:type="spellEnd"/>
      <w:r w:rsidRPr="00875F9E">
        <w:rPr>
          <w:rFonts w:ascii="Garamond" w:hAnsi="Garamond"/>
          <w:i/>
        </w:rPr>
        <w:t xml:space="preserve"> + </w:t>
      </w:r>
      <w:proofErr w:type="spellStart"/>
      <w:r w:rsidRPr="00875F9E">
        <w:rPr>
          <w:rFonts w:ascii="Garamond" w:hAnsi="Garamond"/>
          <w:i/>
        </w:rPr>
        <w:t>δX</w:t>
      </w:r>
      <w:r w:rsidRPr="00875F9E">
        <w:rPr>
          <w:rFonts w:ascii="Garamond" w:hAnsi="Garamond"/>
          <w:i/>
          <w:vertAlign w:val="subscript"/>
        </w:rPr>
        <w:t>i</w:t>
      </w:r>
      <w:proofErr w:type="spellEnd"/>
      <w:r w:rsidRPr="00875F9E">
        <w:rPr>
          <w:rFonts w:ascii="Garamond" w:hAnsi="Garamond"/>
          <w:i/>
        </w:rPr>
        <w:t xml:space="preserve"> + </w:t>
      </w:r>
      <w:proofErr w:type="spellStart"/>
      <w:r w:rsidRPr="00875F9E">
        <w:rPr>
          <w:rFonts w:ascii="Garamond" w:hAnsi="Garamond"/>
          <w:i/>
        </w:rPr>
        <w:t>ε</w:t>
      </w:r>
      <w:r w:rsidRPr="00875F9E">
        <w:rPr>
          <w:rFonts w:ascii="Garamond" w:hAnsi="Garamond"/>
          <w:i/>
          <w:vertAlign w:val="subscript"/>
        </w:rPr>
        <w:t>i</w:t>
      </w:r>
      <w:proofErr w:type="spellEnd"/>
      <w:r w:rsidRPr="00875F9E">
        <w:rPr>
          <w:rFonts w:ascii="Garamond" w:hAnsi="Garamond"/>
          <w:i/>
        </w:rPr>
        <w:t xml:space="preserve"> </w:t>
      </w:r>
    </w:p>
    <w:p w:rsidR="00DB1DEA" w:rsidRDefault="00CE2F9D" w:rsidP="00DB1DEA">
      <w:pPr>
        <w:spacing w:after="120"/>
        <w:ind w:firstLine="0"/>
        <w:jc w:val="left"/>
      </w:pPr>
      <w:r w:rsidRPr="00875F9E">
        <w:rPr>
          <w:rFonts w:ascii="Garamond" w:hAnsi="Garamond"/>
        </w:rPr>
        <w:t xml:space="preserve">where: </w:t>
      </w:r>
      <w:proofErr w:type="spellStart"/>
      <w:r w:rsidRPr="00875F9E">
        <w:rPr>
          <w:rFonts w:ascii="Garamond" w:hAnsi="Garamond"/>
        </w:rPr>
        <w:t>Y</w:t>
      </w:r>
      <w:r w:rsidRPr="00875F9E">
        <w:rPr>
          <w:rFonts w:ascii="Garamond" w:hAnsi="Garamond"/>
          <w:vertAlign w:val="subscript"/>
        </w:rPr>
        <w:t>j</w:t>
      </w:r>
      <w:proofErr w:type="spellEnd"/>
      <w:r w:rsidRPr="00875F9E">
        <w:rPr>
          <w:rFonts w:ascii="Garamond" w:hAnsi="Garamond"/>
        </w:rPr>
        <w:t xml:space="preserve"> = the outcome measure for sample member </w:t>
      </w:r>
      <w:proofErr w:type="spellStart"/>
      <w:r>
        <w:rPr>
          <w:rFonts w:ascii="Garamond" w:hAnsi="Garamond"/>
        </w:rPr>
        <w:t>i</w:t>
      </w:r>
      <w:proofErr w:type="spellEnd"/>
      <w:r w:rsidRPr="00875F9E">
        <w:rPr>
          <w:rFonts w:ascii="Garamond" w:hAnsi="Garamond"/>
        </w:rPr>
        <w:t>; P</w:t>
      </w:r>
      <w:r w:rsidRPr="00875F9E">
        <w:rPr>
          <w:rFonts w:ascii="Garamond" w:hAnsi="Garamond"/>
          <w:vertAlign w:val="subscript"/>
        </w:rPr>
        <w:t>i</w:t>
      </w:r>
      <w:r w:rsidRPr="00875F9E">
        <w:rPr>
          <w:rFonts w:ascii="Garamond" w:hAnsi="Garamond"/>
        </w:rPr>
        <w:t xml:space="preserve"> = one for program group members and zero for control group members; X</w:t>
      </w:r>
      <w:r w:rsidRPr="00875F9E">
        <w:rPr>
          <w:rFonts w:ascii="Garamond" w:hAnsi="Garamond"/>
          <w:vertAlign w:val="subscript"/>
        </w:rPr>
        <w:t>i</w:t>
      </w:r>
      <w:r w:rsidRPr="00875F9E">
        <w:rPr>
          <w:rFonts w:ascii="Garamond" w:hAnsi="Garamond"/>
        </w:rPr>
        <w:t xml:space="preserve"> = a set of background characteristics for sample member </w:t>
      </w:r>
      <w:proofErr w:type="spellStart"/>
      <w:r>
        <w:rPr>
          <w:rFonts w:ascii="Garamond" w:hAnsi="Garamond"/>
        </w:rPr>
        <w:t>i</w:t>
      </w:r>
      <w:proofErr w:type="spellEnd"/>
      <w:r w:rsidRPr="00875F9E">
        <w:rPr>
          <w:rFonts w:ascii="Garamond" w:hAnsi="Garamond"/>
        </w:rPr>
        <w:t xml:space="preserve">; </w:t>
      </w:r>
      <w:proofErr w:type="spellStart"/>
      <w:r w:rsidRPr="00875F9E">
        <w:rPr>
          <w:rFonts w:ascii="Garamond" w:hAnsi="Garamond"/>
        </w:rPr>
        <w:t>ε</w:t>
      </w:r>
      <w:r w:rsidRPr="00875F9E">
        <w:rPr>
          <w:rFonts w:ascii="Garamond" w:hAnsi="Garamond"/>
          <w:vertAlign w:val="subscript"/>
        </w:rPr>
        <w:t>i</w:t>
      </w:r>
      <w:proofErr w:type="spellEnd"/>
      <w:r w:rsidRPr="00875F9E">
        <w:rPr>
          <w:rFonts w:ascii="Garamond" w:hAnsi="Garamond"/>
        </w:rPr>
        <w:t xml:space="preserve"> = a random error term for sample member </w:t>
      </w:r>
      <w:proofErr w:type="spellStart"/>
      <w:r>
        <w:rPr>
          <w:rFonts w:ascii="Garamond" w:hAnsi="Garamond"/>
        </w:rPr>
        <w:t>i</w:t>
      </w:r>
      <w:proofErr w:type="spellEnd"/>
      <w:r w:rsidRPr="00875F9E">
        <w:rPr>
          <w:rFonts w:ascii="Garamond" w:hAnsi="Garamond"/>
        </w:rPr>
        <w:t>; β</w:t>
      </w:r>
      <w:r>
        <w:rPr>
          <w:rFonts w:ascii="Garamond" w:hAnsi="Garamond"/>
        </w:rPr>
        <w:t xml:space="preserve"> </w:t>
      </w:r>
      <w:r w:rsidRPr="00875F9E">
        <w:rPr>
          <w:rFonts w:ascii="Garamond" w:hAnsi="Garamond"/>
        </w:rPr>
        <w:t xml:space="preserve">= the estimate of the impact of the program on the average value of the outcome; </w:t>
      </w:r>
      <w:r w:rsidRPr="00875F9E">
        <w:rPr>
          <w:rFonts w:ascii="Garamond" w:hAnsi="Garamond"/>
          <w:i/>
        </w:rPr>
        <w:t>α</w:t>
      </w:r>
      <w:r w:rsidRPr="00875F9E">
        <w:rPr>
          <w:rFonts w:ascii="Garamond" w:hAnsi="Garamond"/>
        </w:rPr>
        <w:t xml:space="preserve"> =</w:t>
      </w:r>
      <w:r>
        <w:rPr>
          <w:rFonts w:ascii="Garamond" w:hAnsi="Garamond"/>
        </w:rPr>
        <w:t xml:space="preserve"> </w:t>
      </w:r>
      <w:r w:rsidRPr="00875F9E">
        <w:rPr>
          <w:rFonts w:ascii="Garamond" w:hAnsi="Garamond"/>
        </w:rPr>
        <w:t>the intercept of the regression; and δ = the set of regression coefficients for the background characteristics.</w:t>
      </w:r>
      <w:r w:rsidRPr="00477E14">
        <w:t xml:space="preserve"> </w:t>
      </w:r>
    </w:p>
    <w:p w:rsidR="00DB1DEA" w:rsidRDefault="00CE2F9D" w:rsidP="00DB1DEA">
      <w:pPr>
        <w:tabs>
          <w:tab w:val="left" w:pos="4320"/>
        </w:tabs>
        <w:ind w:firstLine="0"/>
        <w:jc w:val="left"/>
        <w:rPr>
          <w:rFonts w:ascii="Garamond" w:hAnsi="Garamond"/>
        </w:rPr>
      </w:pPr>
      <w:r>
        <w:rPr>
          <w:rFonts w:ascii="Garamond" w:hAnsi="Garamond"/>
        </w:rPr>
        <w:tab/>
        <w:t>Since the DOL-funded programs were selected using probability-proportional-to-size sampling, each youth served by the program was given an equal chance of being selected for the study. For this reason, the (</w:t>
      </w:r>
      <w:proofErr w:type="spellStart"/>
      <w:r>
        <w:rPr>
          <w:rFonts w:ascii="Garamond" w:hAnsi="Garamond"/>
        </w:rPr>
        <w:t>unweighted</w:t>
      </w:r>
      <w:proofErr w:type="spellEnd"/>
      <w:r>
        <w:rPr>
          <w:rFonts w:ascii="Garamond" w:hAnsi="Garamond"/>
        </w:rPr>
        <w:t xml:space="preserve">) findings will provide an estimate of the effect of the program on the average youth served by DOL-funded sites.  Similarly, findings from the </w:t>
      </w:r>
      <w:r w:rsidRPr="00813AA9">
        <w:rPr>
          <w:rFonts w:ascii="Garamond" w:hAnsi="Garamond"/>
        </w:rPr>
        <w:t xml:space="preserve">CNCS only-funded sites will be representative of </w:t>
      </w:r>
      <w:r>
        <w:rPr>
          <w:rFonts w:ascii="Garamond" w:hAnsi="Garamond"/>
        </w:rPr>
        <w:t xml:space="preserve">the effects on youth served by </w:t>
      </w:r>
      <w:r w:rsidRPr="00813AA9">
        <w:rPr>
          <w:rFonts w:ascii="Garamond" w:hAnsi="Garamond"/>
        </w:rPr>
        <w:t xml:space="preserve">sites that received at least $95,000 in CNCS funding in 2011 but not DOL funding.  </w:t>
      </w:r>
      <w:r>
        <w:rPr>
          <w:rFonts w:ascii="Garamond" w:hAnsi="Garamond"/>
        </w:rPr>
        <w:t xml:space="preserve">In addition, findings from all 83 sites will be representative of the larger universe from which they were drawn. </w:t>
      </w:r>
      <w:r w:rsidR="00A00890" w:rsidRPr="00813AA9">
        <w:rPr>
          <w:rFonts w:ascii="Garamond" w:hAnsi="Garamond"/>
        </w:rPr>
        <w:t xml:space="preserve">However, </w:t>
      </w:r>
      <w:r w:rsidR="00A00890">
        <w:rPr>
          <w:rFonts w:ascii="Garamond" w:hAnsi="Garamond"/>
        </w:rPr>
        <w:t xml:space="preserve">we will not attempt to generalize the findings to youth served by programs beyond our sampling universe, that is, all </w:t>
      </w:r>
      <w:proofErr w:type="spellStart"/>
      <w:r w:rsidR="00A00890">
        <w:rPr>
          <w:rFonts w:ascii="Garamond" w:hAnsi="Garamond"/>
        </w:rPr>
        <w:t>YouthBuild</w:t>
      </w:r>
      <w:proofErr w:type="spellEnd"/>
      <w:r w:rsidR="00A00890">
        <w:rPr>
          <w:rFonts w:ascii="Garamond" w:hAnsi="Garamond"/>
        </w:rPr>
        <w:t xml:space="preserve"> programs. </w:t>
      </w:r>
      <w:r>
        <w:rPr>
          <w:rFonts w:ascii="Garamond" w:hAnsi="Garamond"/>
        </w:rPr>
        <w:t xml:space="preserve">  </w:t>
      </w:r>
    </w:p>
    <w:p w:rsidR="00CE2F9D" w:rsidRDefault="00CE2F9D" w:rsidP="008A590C">
      <w:pPr>
        <w:tabs>
          <w:tab w:val="clear" w:pos="432"/>
        </w:tabs>
        <w:jc w:val="left"/>
        <w:rPr>
          <w:rFonts w:ascii="Garamond" w:hAnsi="Garamond" w:cs="Garamond"/>
        </w:rPr>
      </w:pPr>
      <w:r w:rsidRPr="004D68B0">
        <w:rPr>
          <w:rFonts w:ascii="Garamond" w:hAnsi="Garamond" w:cs="Garamond"/>
        </w:rPr>
        <w:lastRenderedPageBreak/>
        <w:t>Table B.1 presents the M</w:t>
      </w:r>
      <w:r>
        <w:rPr>
          <w:rFonts w:ascii="Garamond" w:hAnsi="Garamond" w:cs="Garamond"/>
        </w:rPr>
        <w:t>inimum Detectable Effects (MD</w:t>
      </w:r>
      <w:r w:rsidRPr="004D68B0">
        <w:rPr>
          <w:rFonts w:ascii="Garamond" w:hAnsi="Garamond" w:cs="Garamond"/>
        </w:rPr>
        <w:t>Es</w:t>
      </w:r>
      <w:r>
        <w:rPr>
          <w:rFonts w:ascii="Garamond" w:hAnsi="Garamond" w:cs="Garamond"/>
        </w:rPr>
        <w:t>)</w:t>
      </w:r>
      <w:r w:rsidRPr="004D68B0">
        <w:rPr>
          <w:rFonts w:ascii="Garamond" w:hAnsi="Garamond" w:cs="Garamond"/>
        </w:rPr>
        <w:t xml:space="preserve"> for several key outcomes</w:t>
      </w:r>
      <w:r>
        <w:rPr>
          <w:rFonts w:ascii="Garamond" w:hAnsi="Garamond" w:cs="Garamond"/>
        </w:rPr>
        <w:t xml:space="preserve">, or </w:t>
      </w:r>
      <w:r w:rsidRPr="004D68B0">
        <w:rPr>
          <w:rFonts w:ascii="Garamond" w:hAnsi="Garamond" w:cs="Garamond"/>
        </w:rPr>
        <w:t>the size of program impacts that are likely to be observed or detected for a set of outcomes and a given sample size</w:t>
      </w:r>
      <w:r>
        <w:rPr>
          <w:rFonts w:ascii="Garamond" w:hAnsi="Garamond" w:cs="Garamond"/>
        </w:rPr>
        <w:t xml:space="preserve">.  </w:t>
      </w:r>
      <w:r w:rsidRPr="00AD3547">
        <w:rPr>
          <w:rFonts w:ascii="Garamond" w:hAnsi="Garamond" w:cs="Garamond"/>
        </w:rPr>
        <w:t>MDEs are shown for the survey</w:t>
      </w:r>
      <w:r>
        <w:rPr>
          <w:rFonts w:ascii="Garamond" w:hAnsi="Garamond" w:cs="Garamond"/>
        </w:rPr>
        <w:t xml:space="preserve"> sample of 2,772</w:t>
      </w:r>
      <w:r w:rsidRPr="00AD3547">
        <w:rPr>
          <w:rFonts w:ascii="Garamond" w:hAnsi="Garamond" w:cs="Garamond"/>
        </w:rPr>
        <w:t>, assuming an 80 percent response rate from a fielded sample of 3,4</w:t>
      </w:r>
      <w:r>
        <w:rPr>
          <w:rFonts w:ascii="Garamond" w:hAnsi="Garamond" w:cs="Garamond"/>
        </w:rPr>
        <w:t>65</w:t>
      </w:r>
      <w:r w:rsidRPr="00AD3547">
        <w:rPr>
          <w:rFonts w:ascii="Garamond" w:hAnsi="Garamond" w:cs="Garamond"/>
        </w:rPr>
        <w:t xml:space="preserve">. </w:t>
      </w:r>
    </w:p>
    <w:p w:rsidR="00CE2F9D" w:rsidRDefault="00CE2F9D" w:rsidP="008A590C">
      <w:pPr>
        <w:ind w:firstLine="720"/>
        <w:jc w:val="left"/>
        <w:rPr>
          <w:rFonts w:ascii="Garamond" w:hAnsi="Garamond" w:cs="Garamond"/>
        </w:rPr>
      </w:pPr>
      <w:r>
        <w:rPr>
          <w:rFonts w:ascii="Garamond" w:hAnsi="Garamond" w:cs="Garamond"/>
        </w:rPr>
        <w:t>T</w:t>
      </w:r>
      <w:r w:rsidRPr="00AD3547">
        <w:rPr>
          <w:rFonts w:ascii="Garamond" w:hAnsi="Garamond" w:cs="Garamond"/>
        </w:rPr>
        <w:t>he MDE for having a high school diploma or GED is 4.6 percentage points</w:t>
      </w:r>
      <w:r>
        <w:rPr>
          <w:rFonts w:ascii="Garamond" w:hAnsi="Garamond" w:cs="Garamond"/>
        </w:rPr>
        <w:t xml:space="preserve">.  </w:t>
      </w:r>
      <w:r w:rsidRPr="00AD3547">
        <w:rPr>
          <w:rFonts w:ascii="Garamond" w:hAnsi="Garamond" w:cs="Garamond"/>
        </w:rPr>
        <w:t>The MDE for a subgroup comparison, assuming the subgroup comprises half of the sample, is 6.5 percentage points</w:t>
      </w:r>
      <w:r>
        <w:rPr>
          <w:rFonts w:ascii="Garamond" w:hAnsi="Garamond" w:cs="Garamond"/>
        </w:rPr>
        <w:t xml:space="preserve">.  </w:t>
      </w:r>
      <w:r w:rsidRPr="00AD3547">
        <w:rPr>
          <w:rFonts w:ascii="Garamond" w:hAnsi="Garamond" w:cs="Garamond"/>
        </w:rPr>
        <w:t>These effects are policy relevant and well below the effects on educational attainment found from several other evaluations of programs for youth</w:t>
      </w:r>
      <w:r>
        <w:rPr>
          <w:rFonts w:ascii="Garamond" w:hAnsi="Garamond" w:cs="Garamond"/>
        </w:rPr>
        <w:t xml:space="preserve">.  </w:t>
      </w:r>
      <w:r w:rsidRPr="00AD3547">
        <w:rPr>
          <w:rFonts w:ascii="Garamond" w:hAnsi="Garamond" w:cs="Garamond"/>
        </w:rPr>
        <w:t xml:space="preserve">For example, impacts on GED or high school diploma attainment were 15 percentage points and 25 percentage points in the Job Corps and </w:t>
      </w:r>
      <w:proofErr w:type="spellStart"/>
      <w:r w:rsidRPr="00AD3547">
        <w:rPr>
          <w:rFonts w:ascii="Garamond" w:hAnsi="Garamond" w:cs="Garamond"/>
        </w:rPr>
        <w:t>ChalleNGe</w:t>
      </w:r>
      <w:proofErr w:type="spellEnd"/>
      <w:r w:rsidRPr="00AD3547">
        <w:rPr>
          <w:rFonts w:ascii="Garamond" w:hAnsi="Garamond" w:cs="Garamond"/>
        </w:rPr>
        <w:t xml:space="preserve"> programs, respectively. </w:t>
      </w:r>
    </w:p>
    <w:p w:rsidR="00CE2F9D" w:rsidRDefault="00CE2F9D" w:rsidP="00A14171">
      <w:pPr>
        <w:ind w:firstLine="720"/>
        <w:jc w:val="left"/>
        <w:rPr>
          <w:rFonts w:ascii="Garamond" w:hAnsi="Garamond" w:cs="Garamond"/>
        </w:rPr>
      </w:pPr>
      <w:r w:rsidRPr="00AD3547">
        <w:rPr>
          <w:rFonts w:ascii="Garamond" w:hAnsi="Garamond" w:cs="Garamond"/>
        </w:rPr>
        <w:t xml:space="preserve">MDEs for short-term employment rates are shown in the second column. </w:t>
      </w:r>
      <w:r>
        <w:rPr>
          <w:rFonts w:ascii="Garamond" w:hAnsi="Garamond" w:cs="Garamond"/>
        </w:rPr>
        <w:t xml:space="preserve"> These </w:t>
      </w:r>
      <w:r w:rsidRPr="00AD3547">
        <w:rPr>
          <w:rFonts w:ascii="Garamond" w:hAnsi="Garamond" w:cs="Garamond"/>
        </w:rPr>
        <w:t>MDEs are similarly 4.6 percentage points for a full sample comparison and 6.5 percentage points for a subgroup comparison</w:t>
      </w:r>
      <w:r>
        <w:rPr>
          <w:rFonts w:ascii="Garamond" w:hAnsi="Garamond" w:cs="Garamond"/>
        </w:rPr>
        <w:t xml:space="preserve">.  Several evaluations of </w:t>
      </w:r>
      <w:r w:rsidRPr="00AD3547">
        <w:rPr>
          <w:rFonts w:ascii="Garamond" w:hAnsi="Garamond" w:cs="Garamond"/>
        </w:rPr>
        <w:t xml:space="preserve">programs for disadvantaged youth </w:t>
      </w:r>
      <w:r>
        <w:rPr>
          <w:rFonts w:ascii="Garamond" w:hAnsi="Garamond" w:cs="Garamond"/>
        </w:rPr>
        <w:t xml:space="preserve">have </w:t>
      </w:r>
      <w:proofErr w:type="gramStart"/>
      <w:r>
        <w:rPr>
          <w:rFonts w:ascii="Garamond" w:hAnsi="Garamond" w:cs="Garamond"/>
        </w:rPr>
        <w:t xml:space="preserve">found </w:t>
      </w:r>
      <w:r w:rsidRPr="00AD3547">
        <w:rPr>
          <w:rFonts w:ascii="Garamond" w:hAnsi="Garamond" w:cs="Garamond"/>
        </w:rPr>
        <w:t xml:space="preserve"> substantial</w:t>
      </w:r>
      <w:proofErr w:type="gramEnd"/>
      <w:r w:rsidRPr="00AD3547">
        <w:rPr>
          <w:rFonts w:ascii="Garamond" w:hAnsi="Garamond" w:cs="Garamond"/>
        </w:rPr>
        <w:t xml:space="preserve"> increases in short-term employment rates, although these gains tended to diminish in size over time</w:t>
      </w:r>
      <w:r>
        <w:rPr>
          <w:rFonts w:ascii="Garamond" w:hAnsi="Garamond" w:cs="Garamond"/>
        </w:rPr>
        <w:t xml:space="preserve">.  </w:t>
      </w:r>
      <w:r w:rsidRPr="00AD3547">
        <w:rPr>
          <w:rFonts w:ascii="Garamond" w:hAnsi="Garamond" w:cs="Garamond"/>
        </w:rPr>
        <w:t>The Job Corps evaluation</w:t>
      </w:r>
      <w:r>
        <w:rPr>
          <w:rFonts w:ascii="Garamond" w:hAnsi="Garamond" w:cs="Garamond"/>
        </w:rPr>
        <w:t>, for example,</w:t>
      </w:r>
      <w:r w:rsidRPr="00AD3547">
        <w:rPr>
          <w:rFonts w:ascii="Garamond" w:hAnsi="Garamond" w:cs="Garamond"/>
        </w:rPr>
        <w:t xml:space="preserve"> found impacts on annual employment rates of 10</w:t>
      </w:r>
      <w:r>
        <w:rPr>
          <w:rFonts w:ascii="Garamond" w:hAnsi="Garamond" w:cs="Garamond"/>
        </w:rPr>
        <w:t>-</w:t>
      </w:r>
      <w:r w:rsidRPr="00AD3547">
        <w:rPr>
          <w:rFonts w:ascii="Garamond" w:hAnsi="Garamond" w:cs="Garamond"/>
        </w:rPr>
        <w:t>to</w:t>
      </w:r>
      <w:r>
        <w:rPr>
          <w:rFonts w:ascii="Garamond" w:hAnsi="Garamond" w:cs="Garamond"/>
        </w:rPr>
        <w:t>-</w:t>
      </w:r>
      <w:r w:rsidRPr="00AD3547">
        <w:rPr>
          <w:rFonts w:ascii="Garamond" w:hAnsi="Garamond" w:cs="Garamond"/>
        </w:rPr>
        <w:t xml:space="preserve">16 percentage points early in the follow-up period using Social Security Administration records. </w:t>
      </w:r>
      <w:r>
        <w:rPr>
          <w:rFonts w:ascii="Garamond" w:hAnsi="Garamond" w:cs="Garamond"/>
        </w:rPr>
        <w:t xml:space="preserve"> </w:t>
      </w:r>
      <w:r w:rsidRPr="00AD3547">
        <w:rPr>
          <w:rFonts w:ascii="Garamond" w:hAnsi="Garamond" w:cs="Garamond"/>
        </w:rPr>
        <w:t>However, Job Corp</w:t>
      </w:r>
      <w:r>
        <w:rPr>
          <w:rFonts w:ascii="Garamond" w:hAnsi="Garamond" w:cs="Garamond"/>
        </w:rPr>
        <w:t>s</w:t>
      </w:r>
      <w:r w:rsidRPr="00AD3547">
        <w:rPr>
          <w:rFonts w:ascii="Garamond" w:hAnsi="Garamond" w:cs="Garamond"/>
        </w:rPr>
        <w:t>’ effects on employment</w:t>
      </w:r>
      <w:r>
        <w:rPr>
          <w:rFonts w:ascii="Garamond" w:hAnsi="Garamond" w:cs="Garamond"/>
        </w:rPr>
        <w:t xml:space="preserve"> when measured with </w:t>
      </w:r>
      <w:r w:rsidRPr="00AD3547">
        <w:rPr>
          <w:rFonts w:ascii="Garamond" w:hAnsi="Garamond" w:cs="Garamond"/>
        </w:rPr>
        <w:t xml:space="preserve">survey data were </w:t>
      </w:r>
    </w:p>
    <w:p w:rsidR="00CE2F9D" w:rsidRDefault="00CE2F9D" w:rsidP="00E13FC4">
      <w:pPr>
        <w:tabs>
          <w:tab w:val="clear" w:pos="432"/>
        </w:tabs>
        <w:spacing w:line="240" w:lineRule="auto"/>
        <w:ind w:firstLine="0"/>
        <w:jc w:val="left"/>
        <w:rPr>
          <w:rFonts w:ascii="Calibri" w:hAnsi="Calibri" w:cs="Calibri"/>
          <w:b/>
          <w:bCs/>
          <w:color w:val="000000"/>
          <w:sz w:val="22"/>
          <w:szCs w:val="22"/>
        </w:rPr>
      </w:pPr>
    </w:p>
    <w:p w:rsidR="00CE2F9D" w:rsidRDefault="00CE2F9D" w:rsidP="008A590C">
      <w:pPr>
        <w:tabs>
          <w:tab w:val="clear" w:pos="432"/>
          <w:tab w:val="left" w:pos="2924"/>
          <w:tab w:val="left" w:pos="3900"/>
          <w:tab w:val="left" w:pos="4616"/>
          <w:tab w:val="left" w:pos="5592"/>
          <w:tab w:val="left" w:pos="6628"/>
          <w:tab w:val="left" w:pos="7624"/>
          <w:tab w:val="left" w:pos="7890"/>
          <w:tab w:val="left" w:pos="8866"/>
        </w:tabs>
        <w:spacing w:line="240" w:lineRule="auto"/>
        <w:ind w:left="108" w:firstLine="0"/>
        <w:jc w:val="left"/>
        <w:rPr>
          <w:rFonts w:ascii="Garamond" w:hAnsi="Garamond" w:cs="Garamond"/>
          <w:color w:val="000000"/>
        </w:rPr>
      </w:pPr>
      <w:r>
        <w:rPr>
          <w:rFonts w:ascii="Garamond" w:hAnsi="Garamond" w:cs="Garamond"/>
          <w:b/>
          <w:bCs/>
          <w:color w:val="000000"/>
        </w:rPr>
        <w:t>Table B.1</w:t>
      </w:r>
    </w:p>
    <w:p w:rsidR="00CE2F9D" w:rsidRDefault="00CE2F9D" w:rsidP="008A590C">
      <w:pPr>
        <w:tabs>
          <w:tab w:val="clear" w:pos="432"/>
          <w:tab w:val="left" w:pos="3900"/>
          <w:tab w:val="left" w:pos="4616"/>
          <w:tab w:val="left" w:pos="5592"/>
          <w:tab w:val="left" w:pos="6628"/>
          <w:tab w:val="left" w:pos="7624"/>
          <w:tab w:val="left" w:pos="7890"/>
          <w:tab w:val="left" w:pos="8866"/>
        </w:tabs>
        <w:spacing w:line="240" w:lineRule="auto"/>
        <w:ind w:left="108" w:firstLine="0"/>
        <w:jc w:val="left"/>
        <w:rPr>
          <w:rFonts w:ascii="Garamond" w:hAnsi="Garamond" w:cs="Garamond"/>
          <w:color w:val="000000"/>
        </w:rPr>
      </w:pPr>
      <w:r>
        <w:rPr>
          <w:rFonts w:ascii="Garamond" w:hAnsi="Garamond" w:cs="Garamond"/>
          <w:b/>
          <w:bCs/>
          <w:color w:val="000000"/>
        </w:rPr>
        <w:t>Minimum D</w:t>
      </w:r>
      <w:r w:rsidRPr="004D68B0">
        <w:rPr>
          <w:rFonts w:ascii="Garamond" w:hAnsi="Garamond" w:cs="Garamond"/>
          <w:b/>
          <w:bCs/>
          <w:color w:val="000000"/>
        </w:rPr>
        <w:t xml:space="preserve">etectable </w:t>
      </w:r>
      <w:r>
        <w:rPr>
          <w:rFonts w:ascii="Garamond" w:hAnsi="Garamond" w:cs="Garamond"/>
          <w:b/>
          <w:bCs/>
          <w:color w:val="000000"/>
        </w:rPr>
        <w:t>E</w:t>
      </w:r>
      <w:r w:rsidRPr="004D68B0">
        <w:rPr>
          <w:rFonts w:ascii="Garamond" w:hAnsi="Garamond" w:cs="Garamond"/>
          <w:b/>
          <w:bCs/>
          <w:color w:val="000000"/>
        </w:rPr>
        <w:t>ffects</w:t>
      </w:r>
      <w:r>
        <w:rPr>
          <w:rFonts w:ascii="Garamond" w:hAnsi="Garamond" w:cs="Garamond"/>
          <w:b/>
          <w:bCs/>
          <w:color w:val="000000"/>
        </w:rPr>
        <w:t xml:space="preserve"> for Key Survey Outcomes</w:t>
      </w:r>
    </w:p>
    <w:p w:rsidR="00CE2F9D" w:rsidRPr="004D68B0" w:rsidRDefault="00CE2F9D" w:rsidP="00E13FC4">
      <w:pPr>
        <w:tabs>
          <w:tab w:val="clear" w:pos="432"/>
          <w:tab w:val="left" w:pos="2924"/>
          <w:tab w:val="left" w:pos="3900"/>
          <w:tab w:val="left" w:pos="4616"/>
          <w:tab w:val="left" w:pos="5592"/>
          <w:tab w:val="left" w:pos="6628"/>
          <w:tab w:val="left" w:pos="7624"/>
          <w:tab w:val="left" w:pos="7890"/>
          <w:tab w:val="left" w:pos="8866"/>
        </w:tabs>
        <w:spacing w:line="240" w:lineRule="auto"/>
        <w:ind w:left="108" w:firstLine="0"/>
        <w:jc w:val="left"/>
        <w:rPr>
          <w:rFonts w:ascii="Garamond" w:hAnsi="Garamond" w:cs="Garamond"/>
          <w:color w:val="000000"/>
        </w:rPr>
      </w:pPr>
      <w:r w:rsidRPr="004D68B0">
        <w:rPr>
          <w:rFonts w:ascii="Garamond" w:hAnsi="Garamond" w:cs="Garamond"/>
          <w:color w:val="000000"/>
        </w:rPr>
        <w:t> </w:t>
      </w:r>
    </w:p>
    <w:p w:rsidR="00CE2F9D" w:rsidRPr="004D68B0" w:rsidRDefault="00CE2F9D" w:rsidP="00E13FC4">
      <w:pPr>
        <w:pBdr>
          <w:top w:val="single" w:sz="4" w:space="1" w:color="auto"/>
        </w:pBdr>
        <w:tabs>
          <w:tab w:val="clear" w:pos="432"/>
          <w:tab w:val="left" w:pos="2924"/>
          <w:tab w:val="left" w:pos="4616"/>
          <w:tab w:val="left" w:pos="6628"/>
          <w:tab w:val="left" w:pos="7624"/>
          <w:tab w:val="left" w:pos="7890"/>
          <w:tab w:val="left" w:pos="8866"/>
        </w:tabs>
        <w:spacing w:line="240" w:lineRule="auto"/>
        <w:ind w:left="108" w:firstLine="0"/>
        <w:jc w:val="left"/>
        <w:rPr>
          <w:rFonts w:ascii="Garamond" w:hAnsi="Garamond" w:cs="Garamond"/>
          <w:color w:val="000000"/>
          <w:sz w:val="22"/>
          <w:szCs w:val="22"/>
        </w:rPr>
      </w:pPr>
      <w:r w:rsidRPr="004D68B0">
        <w:rPr>
          <w:rFonts w:ascii="Garamond" w:hAnsi="Garamond" w:cs="Garamond"/>
          <w:b/>
          <w:bCs/>
          <w:color w:val="000000"/>
        </w:rPr>
        <w:tab/>
      </w:r>
      <w:r w:rsidRPr="004D68B0">
        <w:rPr>
          <w:rFonts w:ascii="Garamond" w:hAnsi="Garamond" w:cs="Garamond"/>
          <w:b/>
          <w:bCs/>
          <w:color w:val="000000"/>
          <w:sz w:val="22"/>
          <w:szCs w:val="22"/>
        </w:rPr>
        <w:t>Has high school</w:t>
      </w:r>
      <w:r w:rsidRPr="004D68B0">
        <w:rPr>
          <w:rFonts w:ascii="Garamond" w:hAnsi="Garamond" w:cs="Garamond"/>
          <w:b/>
          <w:bCs/>
          <w:color w:val="000000"/>
          <w:sz w:val="22"/>
          <w:szCs w:val="22"/>
        </w:rPr>
        <w:tab/>
      </w:r>
      <w:proofErr w:type="gramStart"/>
      <w:r w:rsidRPr="004D68B0">
        <w:rPr>
          <w:rFonts w:ascii="Garamond" w:hAnsi="Garamond" w:cs="Garamond"/>
          <w:b/>
          <w:bCs/>
          <w:color w:val="000000"/>
          <w:sz w:val="22"/>
          <w:szCs w:val="22"/>
        </w:rPr>
        <w:t>Employed</w:t>
      </w:r>
      <w:proofErr w:type="gramEnd"/>
      <w:r w:rsidRPr="004D68B0">
        <w:rPr>
          <w:rFonts w:ascii="Garamond" w:hAnsi="Garamond" w:cs="Garamond"/>
          <w:b/>
          <w:bCs/>
          <w:color w:val="000000"/>
          <w:sz w:val="22"/>
          <w:szCs w:val="22"/>
        </w:rPr>
        <w:t xml:space="preserve"> since </w:t>
      </w:r>
      <w:r w:rsidRPr="004D68B0">
        <w:rPr>
          <w:rFonts w:ascii="Garamond" w:hAnsi="Garamond" w:cs="Garamond"/>
          <w:b/>
          <w:bCs/>
          <w:color w:val="000000"/>
          <w:sz w:val="22"/>
          <w:szCs w:val="22"/>
        </w:rPr>
        <w:tab/>
        <w:t xml:space="preserve">Annual </w:t>
      </w:r>
      <w:r w:rsidRPr="004D68B0">
        <w:rPr>
          <w:rFonts w:ascii="Garamond" w:hAnsi="Garamond" w:cs="Garamond"/>
          <w:b/>
          <w:bCs/>
          <w:color w:val="000000"/>
          <w:sz w:val="22"/>
          <w:szCs w:val="22"/>
        </w:rPr>
        <w:tab/>
      </w:r>
      <w:r w:rsidRPr="004D68B0">
        <w:rPr>
          <w:rFonts w:ascii="Garamond" w:hAnsi="Garamond" w:cs="Garamond"/>
          <w:color w:val="000000"/>
          <w:sz w:val="22"/>
          <w:szCs w:val="22"/>
        </w:rPr>
        <w:tab/>
      </w:r>
      <w:r w:rsidRPr="004D68B0">
        <w:rPr>
          <w:rFonts w:ascii="Garamond" w:hAnsi="Garamond" w:cs="Garamond"/>
          <w:b/>
          <w:bCs/>
          <w:color w:val="000000"/>
          <w:sz w:val="22"/>
          <w:szCs w:val="22"/>
        </w:rPr>
        <w:tab/>
      </w:r>
    </w:p>
    <w:p w:rsidR="00CE2F9D" w:rsidRPr="004D68B0" w:rsidRDefault="00CE2F9D" w:rsidP="00E13FC4">
      <w:pPr>
        <w:tabs>
          <w:tab w:val="clear" w:pos="432"/>
          <w:tab w:val="left" w:pos="2924"/>
          <w:tab w:val="left" w:pos="4616"/>
          <w:tab w:val="left" w:pos="6628"/>
          <w:tab w:val="left" w:pos="7624"/>
          <w:tab w:val="left" w:pos="7890"/>
          <w:tab w:val="left" w:pos="8866"/>
        </w:tabs>
        <w:spacing w:line="240" w:lineRule="auto"/>
        <w:ind w:left="108" w:firstLine="0"/>
        <w:jc w:val="left"/>
        <w:rPr>
          <w:rFonts w:ascii="Garamond" w:hAnsi="Garamond" w:cs="Garamond"/>
          <w:color w:val="000000"/>
        </w:rPr>
      </w:pPr>
      <w:r w:rsidRPr="004D68B0">
        <w:rPr>
          <w:rFonts w:ascii="Garamond" w:hAnsi="Garamond" w:cs="Garamond"/>
          <w:color w:val="000000"/>
          <w:sz w:val="22"/>
          <w:szCs w:val="22"/>
        </w:rPr>
        <w:tab/>
      </w:r>
      <w:proofErr w:type="gramStart"/>
      <w:r w:rsidRPr="004D68B0">
        <w:rPr>
          <w:rFonts w:ascii="Garamond" w:hAnsi="Garamond" w:cs="Garamond"/>
          <w:b/>
          <w:bCs/>
          <w:color w:val="000000"/>
          <w:sz w:val="22"/>
          <w:szCs w:val="22"/>
        </w:rPr>
        <w:t>diploma/GED</w:t>
      </w:r>
      <w:proofErr w:type="gramEnd"/>
      <w:r w:rsidRPr="004D68B0">
        <w:rPr>
          <w:rFonts w:ascii="Garamond" w:hAnsi="Garamond" w:cs="Garamond"/>
          <w:b/>
          <w:bCs/>
          <w:color w:val="000000"/>
          <w:sz w:val="22"/>
          <w:szCs w:val="22"/>
        </w:rPr>
        <w:tab/>
      </w:r>
      <w:r>
        <w:rPr>
          <w:rFonts w:ascii="Garamond" w:hAnsi="Garamond" w:cs="Garamond"/>
          <w:b/>
          <w:bCs/>
          <w:color w:val="000000"/>
          <w:sz w:val="22"/>
          <w:szCs w:val="22"/>
        </w:rPr>
        <w:t>random assignment</w:t>
      </w:r>
      <w:r w:rsidRPr="004D68B0">
        <w:rPr>
          <w:rFonts w:ascii="Garamond" w:hAnsi="Garamond" w:cs="Garamond"/>
          <w:b/>
          <w:bCs/>
          <w:color w:val="000000"/>
          <w:sz w:val="22"/>
          <w:szCs w:val="22"/>
        </w:rPr>
        <w:tab/>
        <w:t>earnings</w:t>
      </w:r>
      <w:r w:rsidRPr="004D68B0">
        <w:rPr>
          <w:rFonts w:ascii="Garamond" w:hAnsi="Garamond" w:cs="Garamond"/>
          <w:b/>
          <w:bCs/>
          <w:color w:val="000000"/>
          <w:sz w:val="22"/>
          <w:szCs w:val="22"/>
        </w:rPr>
        <w:tab/>
      </w:r>
      <w:r w:rsidRPr="004D68B0">
        <w:rPr>
          <w:rFonts w:ascii="Garamond" w:hAnsi="Garamond" w:cs="Garamond"/>
          <w:color w:val="000000"/>
        </w:rPr>
        <w:tab/>
      </w:r>
      <w:r w:rsidRPr="004D68B0">
        <w:rPr>
          <w:rFonts w:ascii="Garamond" w:hAnsi="Garamond" w:cs="Garamond"/>
          <w:b/>
          <w:bCs/>
          <w:color w:val="000000"/>
        </w:rPr>
        <w:tab/>
      </w:r>
    </w:p>
    <w:p w:rsidR="00CE2F9D" w:rsidRPr="004D68B0" w:rsidRDefault="00CE2F9D" w:rsidP="00E13FC4">
      <w:pPr>
        <w:tabs>
          <w:tab w:val="clear" w:pos="432"/>
          <w:tab w:val="left" w:pos="2924"/>
          <w:tab w:val="left" w:pos="3900"/>
          <w:tab w:val="left" w:pos="4616"/>
          <w:tab w:val="left" w:pos="5592"/>
          <w:tab w:val="left" w:pos="6628"/>
          <w:tab w:val="left" w:pos="7624"/>
          <w:tab w:val="left" w:pos="7890"/>
          <w:tab w:val="left" w:pos="8866"/>
        </w:tabs>
        <w:spacing w:line="240" w:lineRule="auto"/>
        <w:ind w:left="108" w:firstLine="0"/>
        <w:jc w:val="left"/>
        <w:rPr>
          <w:rFonts w:ascii="Garamond" w:hAnsi="Garamond" w:cs="Garamond"/>
          <w:color w:val="000000"/>
        </w:rPr>
      </w:pPr>
      <w:r w:rsidRPr="004D68B0">
        <w:rPr>
          <w:rFonts w:ascii="Garamond" w:hAnsi="Garamond" w:cs="Garamond"/>
          <w:color w:val="000000"/>
        </w:rPr>
        <w:tab/>
      </w:r>
      <w:r w:rsidRPr="004D68B0">
        <w:rPr>
          <w:rFonts w:ascii="Garamond" w:hAnsi="Garamond" w:cs="Garamond"/>
          <w:color w:val="000000"/>
        </w:rPr>
        <w:tab/>
      </w:r>
      <w:r w:rsidRPr="004D68B0">
        <w:rPr>
          <w:rFonts w:ascii="Garamond" w:hAnsi="Garamond" w:cs="Garamond"/>
          <w:color w:val="000000"/>
        </w:rPr>
        <w:tab/>
      </w:r>
      <w:r w:rsidRPr="004D68B0">
        <w:rPr>
          <w:rFonts w:ascii="Garamond" w:hAnsi="Garamond" w:cs="Garamond"/>
          <w:color w:val="000000"/>
        </w:rPr>
        <w:tab/>
      </w:r>
      <w:r w:rsidRPr="004D68B0">
        <w:rPr>
          <w:rFonts w:ascii="Garamond" w:hAnsi="Garamond" w:cs="Garamond"/>
          <w:color w:val="000000"/>
        </w:rPr>
        <w:tab/>
      </w:r>
      <w:r w:rsidRPr="004D68B0">
        <w:rPr>
          <w:rFonts w:ascii="Garamond" w:hAnsi="Garamond" w:cs="Garamond"/>
          <w:color w:val="000000"/>
        </w:rPr>
        <w:tab/>
      </w:r>
      <w:r w:rsidRPr="004D68B0">
        <w:rPr>
          <w:rFonts w:ascii="Garamond" w:hAnsi="Garamond" w:cs="Garamond"/>
          <w:color w:val="000000"/>
        </w:rPr>
        <w:tab/>
      </w:r>
      <w:r w:rsidRPr="004D68B0">
        <w:rPr>
          <w:rFonts w:ascii="Garamond" w:hAnsi="Garamond" w:cs="Garamond"/>
          <w:color w:val="000000"/>
        </w:rPr>
        <w:tab/>
      </w:r>
    </w:p>
    <w:p w:rsidR="00CE2F9D" w:rsidRPr="004D68B0" w:rsidRDefault="00CE2F9D" w:rsidP="00E13FC4">
      <w:pPr>
        <w:tabs>
          <w:tab w:val="clear" w:pos="432"/>
          <w:tab w:val="left" w:pos="2924"/>
          <w:tab w:val="left" w:pos="3900"/>
          <w:tab w:val="left" w:pos="4616"/>
          <w:tab w:val="left" w:pos="5592"/>
          <w:tab w:val="left" w:pos="6628"/>
          <w:tab w:val="left" w:pos="7624"/>
          <w:tab w:val="left" w:pos="7890"/>
          <w:tab w:val="left" w:pos="8866"/>
        </w:tabs>
        <w:spacing w:line="240" w:lineRule="auto"/>
        <w:ind w:left="108" w:firstLine="0"/>
        <w:jc w:val="left"/>
        <w:rPr>
          <w:rFonts w:ascii="Garamond" w:hAnsi="Garamond" w:cs="Garamond"/>
          <w:color w:val="000000"/>
        </w:rPr>
      </w:pPr>
      <w:r w:rsidRPr="004D68B0">
        <w:rPr>
          <w:rFonts w:ascii="Garamond" w:hAnsi="Garamond" w:cs="Garamond"/>
          <w:b/>
          <w:bCs/>
          <w:color w:val="000000"/>
          <w:u w:val="single"/>
        </w:rPr>
        <w:t>Survey</w:t>
      </w:r>
      <w:r w:rsidRPr="004D68B0">
        <w:rPr>
          <w:rFonts w:ascii="Garamond" w:hAnsi="Garamond" w:cs="Garamond"/>
          <w:b/>
          <w:bCs/>
          <w:color w:val="000000"/>
        </w:rPr>
        <w:tab/>
      </w:r>
      <w:r w:rsidRPr="004D68B0">
        <w:rPr>
          <w:rFonts w:ascii="Garamond" w:hAnsi="Garamond" w:cs="Garamond"/>
          <w:color w:val="000000"/>
        </w:rPr>
        <w:tab/>
      </w:r>
      <w:r w:rsidRPr="004D68B0">
        <w:rPr>
          <w:rFonts w:ascii="Garamond" w:hAnsi="Garamond" w:cs="Garamond"/>
          <w:color w:val="000000"/>
        </w:rPr>
        <w:tab/>
      </w:r>
      <w:r w:rsidRPr="004D68B0">
        <w:rPr>
          <w:rFonts w:ascii="Garamond" w:hAnsi="Garamond" w:cs="Garamond"/>
          <w:color w:val="000000"/>
        </w:rPr>
        <w:tab/>
      </w:r>
      <w:r w:rsidRPr="004D68B0">
        <w:rPr>
          <w:rFonts w:ascii="Garamond" w:hAnsi="Garamond" w:cs="Garamond"/>
          <w:color w:val="000000"/>
        </w:rPr>
        <w:tab/>
      </w:r>
      <w:r w:rsidRPr="004D68B0">
        <w:rPr>
          <w:rFonts w:ascii="Garamond" w:hAnsi="Garamond" w:cs="Garamond"/>
          <w:color w:val="000000"/>
        </w:rPr>
        <w:tab/>
      </w:r>
      <w:r w:rsidRPr="004D68B0">
        <w:rPr>
          <w:rFonts w:ascii="Garamond" w:hAnsi="Garamond" w:cs="Garamond"/>
          <w:color w:val="000000"/>
        </w:rPr>
        <w:tab/>
      </w:r>
      <w:r w:rsidRPr="004D68B0">
        <w:rPr>
          <w:rFonts w:ascii="Garamond" w:hAnsi="Garamond" w:cs="Garamond"/>
          <w:color w:val="000000"/>
        </w:rPr>
        <w:tab/>
      </w:r>
    </w:p>
    <w:p w:rsidR="00CE2F9D" w:rsidRPr="004D68B0" w:rsidRDefault="00CE2F9D" w:rsidP="00E13FC4">
      <w:pPr>
        <w:tabs>
          <w:tab w:val="clear" w:pos="432"/>
          <w:tab w:val="left" w:pos="2924"/>
          <w:tab w:val="left" w:pos="3900"/>
          <w:tab w:val="left" w:pos="4616"/>
          <w:tab w:val="left" w:pos="5592"/>
          <w:tab w:val="left" w:pos="6628"/>
          <w:tab w:val="left" w:pos="7624"/>
          <w:tab w:val="left" w:pos="7890"/>
          <w:tab w:val="left" w:pos="8866"/>
        </w:tabs>
        <w:spacing w:line="240" w:lineRule="auto"/>
        <w:ind w:left="108" w:firstLine="0"/>
        <w:jc w:val="left"/>
        <w:rPr>
          <w:rFonts w:ascii="Garamond" w:hAnsi="Garamond" w:cs="Garamond"/>
          <w:color w:val="000000"/>
        </w:rPr>
      </w:pPr>
      <w:r>
        <w:rPr>
          <w:rFonts w:ascii="Garamond" w:hAnsi="Garamond" w:cs="Garamond"/>
          <w:color w:val="000000"/>
        </w:rPr>
        <w:t>Full sample (2,772</w:t>
      </w:r>
      <w:r w:rsidRPr="004D68B0">
        <w:rPr>
          <w:rFonts w:ascii="Garamond" w:hAnsi="Garamond" w:cs="Garamond"/>
          <w:color w:val="000000"/>
        </w:rPr>
        <w:t>)</w:t>
      </w:r>
      <w:r w:rsidRPr="004D68B0">
        <w:rPr>
          <w:rFonts w:ascii="Garamond" w:hAnsi="Garamond" w:cs="Garamond"/>
          <w:color w:val="000000"/>
        </w:rPr>
        <w:tab/>
        <w:t>0.046</w:t>
      </w:r>
      <w:r w:rsidRPr="004D68B0">
        <w:rPr>
          <w:rFonts w:ascii="Garamond" w:hAnsi="Garamond" w:cs="Garamond"/>
          <w:color w:val="000000"/>
        </w:rPr>
        <w:tab/>
      </w:r>
      <w:r w:rsidRPr="004D68B0">
        <w:rPr>
          <w:rFonts w:ascii="Garamond" w:hAnsi="Garamond" w:cs="Garamond"/>
          <w:color w:val="000000"/>
        </w:rPr>
        <w:tab/>
        <w:t>0.046</w:t>
      </w:r>
      <w:r w:rsidRPr="004D68B0">
        <w:rPr>
          <w:rFonts w:ascii="Garamond" w:hAnsi="Garamond" w:cs="Garamond"/>
          <w:color w:val="000000"/>
        </w:rPr>
        <w:tab/>
      </w:r>
      <w:r w:rsidRPr="004D68B0">
        <w:rPr>
          <w:rFonts w:ascii="Garamond" w:hAnsi="Garamond" w:cs="Garamond"/>
          <w:color w:val="000000"/>
        </w:rPr>
        <w:tab/>
        <w:t>$1,016</w:t>
      </w:r>
      <w:r w:rsidRPr="004D68B0">
        <w:rPr>
          <w:rFonts w:ascii="Garamond" w:hAnsi="Garamond" w:cs="Garamond"/>
          <w:color w:val="000000"/>
        </w:rPr>
        <w:tab/>
      </w:r>
      <w:r w:rsidRPr="004D68B0">
        <w:rPr>
          <w:rFonts w:ascii="Garamond" w:hAnsi="Garamond" w:cs="Garamond"/>
          <w:color w:val="000000"/>
        </w:rPr>
        <w:tab/>
      </w:r>
      <w:r w:rsidRPr="004D68B0">
        <w:rPr>
          <w:rFonts w:ascii="Garamond" w:hAnsi="Garamond" w:cs="Garamond"/>
          <w:color w:val="000000"/>
        </w:rPr>
        <w:tab/>
      </w:r>
    </w:p>
    <w:p w:rsidR="00CE2F9D" w:rsidRPr="004D68B0" w:rsidRDefault="00CE2F9D" w:rsidP="00E13FC4">
      <w:pPr>
        <w:tabs>
          <w:tab w:val="clear" w:pos="432"/>
          <w:tab w:val="left" w:pos="2924"/>
          <w:tab w:val="left" w:pos="3900"/>
          <w:tab w:val="left" w:pos="4616"/>
          <w:tab w:val="left" w:pos="5592"/>
          <w:tab w:val="left" w:pos="6628"/>
          <w:tab w:val="left" w:pos="7624"/>
          <w:tab w:val="left" w:pos="7890"/>
          <w:tab w:val="left" w:pos="8866"/>
        </w:tabs>
        <w:spacing w:line="240" w:lineRule="auto"/>
        <w:ind w:left="108" w:firstLine="0"/>
        <w:jc w:val="left"/>
        <w:rPr>
          <w:rFonts w:ascii="Garamond" w:hAnsi="Garamond" w:cs="Garamond"/>
          <w:color w:val="000000"/>
        </w:rPr>
      </w:pPr>
      <w:r w:rsidRPr="004D68B0">
        <w:rPr>
          <w:rFonts w:ascii="Garamond" w:hAnsi="Garamond" w:cs="Garamond"/>
          <w:color w:val="000000"/>
        </w:rPr>
        <w:tab/>
      </w:r>
      <w:r w:rsidRPr="004D68B0">
        <w:rPr>
          <w:rFonts w:ascii="Garamond" w:hAnsi="Garamond" w:cs="Garamond"/>
          <w:color w:val="000000"/>
        </w:rPr>
        <w:tab/>
      </w:r>
      <w:r w:rsidRPr="004D68B0">
        <w:rPr>
          <w:rFonts w:ascii="Garamond" w:hAnsi="Garamond" w:cs="Garamond"/>
          <w:color w:val="000000"/>
        </w:rPr>
        <w:tab/>
      </w:r>
      <w:r w:rsidRPr="004D68B0">
        <w:rPr>
          <w:rFonts w:ascii="Garamond" w:hAnsi="Garamond" w:cs="Garamond"/>
          <w:color w:val="000000"/>
        </w:rPr>
        <w:tab/>
      </w:r>
      <w:r w:rsidRPr="004D68B0">
        <w:rPr>
          <w:rFonts w:ascii="Garamond" w:hAnsi="Garamond" w:cs="Garamond"/>
          <w:color w:val="000000"/>
        </w:rPr>
        <w:tab/>
      </w:r>
      <w:r w:rsidRPr="004D68B0">
        <w:rPr>
          <w:rFonts w:ascii="Garamond" w:hAnsi="Garamond" w:cs="Garamond"/>
          <w:color w:val="000000"/>
        </w:rPr>
        <w:tab/>
      </w:r>
      <w:r w:rsidRPr="004D68B0">
        <w:rPr>
          <w:rFonts w:ascii="Garamond" w:hAnsi="Garamond" w:cs="Garamond"/>
          <w:color w:val="000000"/>
        </w:rPr>
        <w:tab/>
      </w:r>
      <w:r w:rsidRPr="004D68B0">
        <w:rPr>
          <w:rFonts w:ascii="Garamond" w:hAnsi="Garamond" w:cs="Garamond"/>
          <w:color w:val="000000"/>
        </w:rPr>
        <w:tab/>
      </w:r>
    </w:p>
    <w:p w:rsidR="00CE2F9D" w:rsidRPr="004D68B0" w:rsidRDefault="00CE2F9D" w:rsidP="00E13FC4">
      <w:pPr>
        <w:tabs>
          <w:tab w:val="clear" w:pos="432"/>
          <w:tab w:val="left" w:pos="2924"/>
          <w:tab w:val="left" w:pos="3900"/>
          <w:tab w:val="left" w:pos="4616"/>
          <w:tab w:val="left" w:pos="5592"/>
          <w:tab w:val="left" w:pos="6628"/>
          <w:tab w:val="left" w:pos="7624"/>
          <w:tab w:val="left" w:pos="7890"/>
          <w:tab w:val="left" w:pos="8866"/>
        </w:tabs>
        <w:spacing w:line="240" w:lineRule="auto"/>
        <w:ind w:left="108" w:firstLine="0"/>
        <w:jc w:val="left"/>
        <w:rPr>
          <w:rFonts w:ascii="Garamond" w:hAnsi="Garamond" w:cs="Garamond"/>
          <w:color w:val="000000"/>
        </w:rPr>
      </w:pPr>
      <w:r w:rsidRPr="004D68B0">
        <w:rPr>
          <w:rFonts w:ascii="Garamond" w:hAnsi="Garamond" w:cs="Garamond"/>
          <w:color w:val="000000"/>
        </w:rPr>
        <w:t>Key subgroup (1,360)</w:t>
      </w:r>
      <w:r w:rsidRPr="004D68B0">
        <w:rPr>
          <w:rFonts w:ascii="Garamond" w:hAnsi="Garamond" w:cs="Garamond"/>
          <w:color w:val="000000"/>
        </w:rPr>
        <w:tab/>
        <w:t>0.065</w:t>
      </w:r>
      <w:r w:rsidRPr="004D68B0">
        <w:rPr>
          <w:rFonts w:ascii="Garamond" w:hAnsi="Garamond" w:cs="Garamond"/>
          <w:color w:val="000000"/>
        </w:rPr>
        <w:tab/>
      </w:r>
      <w:r w:rsidRPr="004D68B0">
        <w:rPr>
          <w:rFonts w:ascii="Garamond" w:hAnsi="Garamond" w:cs="Garamond"/>
          <w:color w:val="000000"/>
        </w:rPr>
        <w:tab/>
        <w:t>0.065</w:t>
      </w:r>
      <w:r w:rsidRPr="004D68B0">
        <w:rPr>
          <w:rFonts w:ascii="Garamond" w:hAnsi="Garamond" w:cs="Garamond"/>
          <w:color w:val="000000"/>
        </w:rPr>
        <w:tab/>
      </w:r>
      <w:r w:rsidRPr="004D68B0">
        <w:rPr>
          <w:rFonts w:ascii="Garamond" w:hAnsi="Garamond" w:cs="Garamond"/>
          <w:color w:val="000000"/>
        </w:rPr>
        <w:tab/>
        <w:t>$1,436</w:t>
      </w:r>
      <w:r w:rsidRPr="004D68B0">
        <w:rPr>
          <w:rFonts w:ascii="Garamond" w:hAnsi="Garamond" w:cs="Garamond"/>
          <w:color w:val="000000"/>
        </w:rPr>
        <w:tab/>
      </w:r>
      <w:r w:rsidRPr="004D68B0">
        <w:rPr>
          <w:rFonts w:ascii="Garamond" w:hAnsi="Garamond" w:cs="Garamond"/>
          <w:color w:val="000000"/>
        </w:rPr>
        <w:tab/>
      </w:r>
      <w:r w:rsidRPr="004D68B0">
        <w:rPr>
          <w:rFonts w:ascii="Garamond" w:hAnsi="Garamond" w:cs="Garamond"/>
          <w:color w:val="000000"/>
        </w:rPr>
        <w:tab/>
      </w:r>
    </w:p>
    <w:p w:rsidR="00CE2F9D" w:rsidRPr="004D68B0" w:rsidRDefault="00CE2F9D" w:rsidP="00E13FC4">
      <w:pPr>
        <w:tabs>
          <w:tab w:val="clear" w:pos="432"/>
          <w:tab w:val="left" w:pos="2924"/>
          <w:tab w:val="left" w:pos="3900"/>
          <w:tab w:val="left" w:pos="4616"/>
          <w:tab w:val="left" w:pos="5592"/>
          <w:tab w:val="left" w:pos="6628"/>
          <w:tab w:val="left" w:pos="7624"/>
          <w:tab w:val="left" w:pos="7890"/>
          <w:tab w:val="left" w:pos="8866"/>
        </w:tabs>
        <w:spacing w:line="240" w:lineRule="auto"/>
        <w:ind w:left="108" w:firstLine="0"/>
        <w:jc w:val="left"/>
        <w:rPr>
          <w:rFonts w:ascii="Garamond" w:hAnsi="Garamond" w:cs="Garamond"/>
          <w:color w:val="000000"/>
        </w:rPr>
      </w:pPr>
      <w:r w:rsidRPr="004D68B0">
        <w:rPr>
          <w:rFonts w:ascii="Garamond" w:hAnsi="Garamond" w:cs="Garamond"/>
          <w:color w:val="000000"/>
        </w:rPr>
        <w:tab/>
      </w:r>
      <w:r w:rsidRPr="004D68B0">
        <w:rPr>
          <w:rFonts w:ascii="Garamond" w:hAnsi="Garamond" w:cs="Garamond"/>
          <w:color w:val="000000"/>
        </w:rPr>
        <w:tab/>
      </w:r>
      <w:r w:rsidRPr="004D68B0">
        <w:rPr>
          <w:rFonts w:ascii="Garamond" w:hAnsi="Garamond" w:cs="Garamond"/>
          <w:color w:val="000000"/>
        </w:rPr>
        <w:tab/>
      </w:r>
      <w:r w:rsidRPr="004D68B0">
        <w:rPr>
          <w:rFonts w:ascii="Garamond" w:hAnsi="Garamond" w:cs="Garamond"/>
          <w:color w:val="000000"/>
        </w:rPr>
        <w:tab/>
      </w:r>
      <w:r w:rsidRPr="004D68B0">
        <w:rPr>
          <w:rFonts w:ascii="Garamond" w:hAnsi="Garamond" w:cs="Garamond"/>
          <w:color w:val="000000"/>
        </w:rPr>
        <w:tab/>
      </w:r>
      <w:r w:rsidRPr="004D68B0">
        <w:rPr>
          <w:rFonts w:ascii="Garamond" w:hAnsi="Garamond" w:cs="Garamond"/>
          <w:color w:val="000000"/>
        </w:rPr>
        <w:tab/>
      </w:r>
      <w:r w:rsidRPr="004D68B0">
        <w:rPr>
          <w:rFonts w:ascii="Garamond" w:hAnsi="Garamond" w:cs="Garamond"/>
          <w:color w:val="000000"/>
        </w:rPr>
        <w:tab/>
      </w:r>
      <w:r w:rsidRPr="004D68B0">
        <w:rPr>
          <w:rFonts w:ascii="Garamond" w:hAnsi="Garamond" w:cs="Garamond"/>
          <w:color w:val="000000"/>
        </w:rPr>
        <w:tab/>
      </w:r>
    </w:p>
    <w:p w:rsidR="00CE2F9D" w:rsidRPr="004D68B0" w:rsidRDefault="00CE2F9D" w:rsidP="00E13FC4">
      <w:pPr>
        <w:pBdr>
          <w:bottom w:val="single" w:sz="4" w:space="1" w:color="auto"/>
        </w:pBdr>
        <w:tabs>
          <w:tab w:val="clear" w:pos="432"/>
          <w:tab w:val="left" w:pos="2924"/>
          <w:tab w:val="left" w:pos="3900"/>
          <w:tab w:val="left" w:pos="4616"/>
          <w:tab w:val="left" w:pos="5592"/>
          <w:tab w:val="left" w:pos="6628"/>
          <w:tab w:val="left" w:pos="7624"/>
          <w:tab w:val="left" w:pos="7890"/>
          <w:tab w:val="left" w:pos="8866"/>
        </w:tabs>
        <w:spacing w:line="240" w:lineRule="auto"/>
        <w:ind w:left="108" w:firstLine="0"/>
        <w:jc w:val="left"/>
        <w:rPr>
          <w:rFonts w:ascii="Garamond" w:hAnsi="Garamond" w:cs="Garamond"/>
          <w:color w:val="000000"/>
        </w:rPr>
      </w:pPr>
      <w:r w:rsidRPr="004D68B0">
        <w:rPr>
          <w:rFonts w:ascii="Garamond" w:hAnsi="Garamond" w:cs="Garamond"/>
          <w:color w:val="000000"/>
        </w:rPr>
        <w:t> </w:t>
      </w:r>
      <w:r w:rsidRPr="004D68B0">
        <w:rPr>
          <w:rFonts w:ascii="Garamond" w:hAnsi="Garamond" w:cs="Garamond"/>
          <w:color w:val="000000"/>
        </w:rPr>
        <w:tab/>
        <w:t> </w:t>
      </w:r>
      <w:r w:rsidRPr="004D68B0">
        <w:rPr>
          <w:rFonts w:ascii="Garamond" w:hAnsi="Garamond" w:cs="Garamond"/>
          <w:color w:val="000000"/>
        </w:rPr>
        <w:tab/>
        <w:t> </w:t>
      </w:r>
      <w:r w:rsidRPr="004D68B0">
        <w:rPr>
          <w:rFonts w:ascii="Garamond" w:hAnsi="Garamond" w:cs="Garamond"/>
          <w:color w:val="000000"/>
        </w:rPr>
        <w:tab/>
        <w:t> </w:t>
      </w:r>
      <w:r w:rsidRPr="004D68B0">
        <w:rPr>
          <w:rFonts w:ascii="Garamond" w:hAnsi="Garamond" w:cs="Garamond"/>
          <w:color w:val="000000"/>
        </w:rPr>
        <w:tab/>
        <w:t> </w:t>
      </w:r>
      <w:r w:rsidRPr="004D68B0">
        <w:rPr>
          <w:rFonts w:ascii="Garamond" w:hAnsi="Garamond" w:cs="Garamond"/>
          <w:color w:val="000000"/>
        </w:rPr>
        <w:tab/>
        <w:t> </w:t>
      </w:r>
      <w:r w:rsidRPr="004D68B0">
        <w:rPr>
          <w:rFonts w:ascii="Garamond" w:hAnsi="Garamond" w:cs="Garamond"/>
          <w:color w:val="000000"/>
        </w:rPr>
        <w:tab/>
        <w:t> </w:t>
      </w:r>
      <w:r w:rsidRPr="004D68B0">
        <w:rPr>
          <w:rFonts w:ascii="Garamond" w:hAnsi="Garamond" w:cs="Garamond"/>
          <w:color w:val="000000"/>
        </w:rPr>
        <w:tab/>
        <w:t> </w:t>
      </w:r>
    </w:p>
    <w:p w:rsidR="00CE2F9D" w:rsidRPr="004D68B0" w:rsidRDefault="00CE2F9D" w:rsidP="00E13FC4">
      <w:pPr>
        <w:tabs>
          <w:tab w:val="clear" w:pos="432"/>
        </w:tabs>
        <w:spacing w:line="240" w:lineRule="auto"/>
        <w:ind w:firstLine="0"/>
        <w:jc w:val="left"/>
        <w:rPr>
          <w:rFonts w:ascii="Garamond" w:hAnsi="Garamond" w:cs="Garamond"/>
          <w:color w:val="000000"/>
        </w:rPr>
      </w:pPr>
    </w:p>
    <w:p w:rsidR="00CE2F9D" w:rsidRDefault="00CE2F9D" w:rsidP="00E13FC4">
      <w:pPr>
        <w:tabs>
          <w:tab w:val="clear" w:pos="432"/>
          <w:tab w:val="left" w:pos="2924"/>
          <w:tab w:val="left" w:pos="3900"/>
          <w:tab w:val="left" w:pos="4616"/>
          <w:tab w:val="left" w:pos="5592"/>
          <w:tab w:val="left" w:pos="6628"/>
          <w:tab w:val="left" w:pos="7624"/>
          <w:tab w:val="left" w:pos="7890"/>
          <w:tab w:val="left" w:pos="8866"/>
        </w:tabs>
        <w:spacing w:line="240" w:lineRule="auto"/>
        <w:ind w:left="108" w:firstLine="0"/>
        <w:jc w:val="left"/>
        <w:rPr>
          <w:rFonts w:ascii="Garamond" w:hAnsi="Garamond" w:cs="Garamond"/>
          <w:color w:val="000000"/>
        </w:rPr>
      </w:pPr>
      <w:r w:rsidRPr="004D68B0">
        <w:rPr>
          <w:rFonts w:ascii="Garamond" w:hAnsi="Garamond" w:cs="Garamond"/>
          <w:color w:val="000000"/>
        </w:rPr>
        <w:lastRenderedPageBreak/>
        <w:tab/>
      </w:r>
      <w:r w:rsidRPr="004D68B0">
        <w:rPr>
          <w:rFonts w:ascii="Garamond" w:hAnsi="Garamond" w:cs="Garamond"/>
          <w:color w:val="000000"/>
        </w:rPr>
        <w:tab/>
      </w:r>
      <w:r w:rsidRPr="004D68B0">
        <w:rPr>
          <w:rFonts w:ascii="Garamond" w:hAnsi="Garamond" w:cs="Garamond"/>
          <w:color w:val="000000"/>
        </w:rPr>
        <w:tab/>
      </w:r>
      <w:r w:rsidRPr="004D68B0">
        <w:rPr>
          <w:rFonts w:ascii="Garamond" w:hAnsi="Garamond" w:cs="Garamond"/>
          <w:color w:val="000000"/>
        </w:rPr>
        <w:tab/>
      </w:r>
    </w:p>
    <w:p w:rsidR="00CE2F9D" w:rsidRPr="00A14171" w:rsidRDefault="00CE2F9D" w:rsidP="00E13FC4">
      <w:pPr>
        <w:tabs>
          <w:tab w:val="clear" w:pos="432"/>
          <w:tab w:val="left" w:pos="2924"/>
          <w:tab w:val="left" w:pos="3900"/>
          <w:tab w:val="left" w:pos="4616"/>
          <w:tab w:val="left" w:pos="5592"/>
          <w:tab w:val="left" w:pos="6628"/>
          <w:tab w:val="left" w:pos="7624"/>
          <w:tab w:val="left" w:pos="7890"/>
          <w:tab w:val="left" w:pos="8866"/>
        </w:tabs>
        <w:spacing w:line="240" w:lineRule="auto"/>
        <w:ind w:firstLine="0"/>
        <w:jc w:val="left"/>
        <w:rPr>
          <w:rFonts w:ascii="Garamond" w:hAnsi="Garamond" w:cs="Garamond"/>
          <w:color w:val="000000"/>
          <w:sz w:val="22"/>
          <w:szCs w:val="22"/>
        </w:rPr>
      </w:pPr>
      <w:r w:rsidRPr="00A14171">
        <w:rPr>
          <w:rFonts w:ascii="Garamond" w:hAnsi="Garamond" w:cs="Garamond"/>
          <w:color w:val="000000"/>
          <w:sz w:val="22"/>
          <w:szCs w:val="22"/>
        </w:rPr>
        <w:t xml:space="preserve">Notes:  Assumes an 80 percent response rate to the follow-up surveys and a random assignment ratio of 60 </w:t>
      </w:r>
      <w:proofErr w:type="gramStart"/>
      <w:r w:rsidRPr="00A14171">
        <w:rPr>
          <w:rFonts w:ascii="Garamond" w:hAnsi="Garamond" w:cs="Garamond"/>
          <w:color w:val="000000"/>
          <w:sz w:val="22"/>
          <w:szCs w:val="22"/>
        </w:rPr>
        <w:t>program</w:t>
      </w:r>
      <w:proofErr w:type="gramEnd"/>
      <w:r w:rsidRPr="00A14171">
        <w:rPr>
          <w:rFonts w:ascii="Garamond" w:hAnsi="Garamond" w:cs="Garamond"/>
          <w:color w:val="000000"/>
          <w:sz w:val="22"/>
          <w:szCs w:val="22"/>
        </w:rPr>
        <w:t xml:space="preserve"> to 40 control.</w:t>
      </w:r>
    </w:p>
    <w:p w:rsidR="00CE2F9D" w:rsidRPr="00A14171" w:rsidRDefault="00CE2F9D" w:rsidP="00E13FC4">
      <w:pPr>
        <w:tabs>
          <w:tab w:val="clear" w:pos="432"/>
          <w:tab w:val="left" w:pos="2924"/>
          <w:tab w:val="left" w:pos="3900"/>
          <w:tab w:val="left" w:pos="4616"/>
          <w:tab w:val="left" w:pos="5592"/>
          <w:tab w:val="left" w:pos="6628"/>
          <w:tab w:val="left" w:pos="7624"/>
          <w:tab w:val="left" w:pos="7890"/>
          <w:tab w:val="left" w:pos="8866"/>
        </w:tabs>
        <w:spacing w:line="240" w:lineRule="auto"/>
        <w:ind w:firstLine="0"/>
        <w:jc w:val="left"/>
        <w:rPr>
          <w:rFonts w:ascii="Garamond" w:hAnsi="Garamond" w:cs="Garamond"/>
          <w:color w:val="000000"/>
          <w:sz w:val="22"/>
          <w:szCs w:val="22"/>
        </w:rPr>
      </w:pPr>
    </w:p>
    <w:p w:rsidR="00CE2F9D" w:rsidRPr="00A14171" w:rsidRDefault="00CE2F9D" w:rsidP="00E13FC4">
      <w:pPr>
        <w:tabs>
          <w:tab w:val="clear" w:pos="432"/>
        </w:tabs>
        <w:spacing w:line="240" w:lineRule="auto"/>
        <w:ind w:firstLine="0"/>
        <w:jc w:val="left"/>
        <w:rPr>
          <w:rFonts w:ascii="Garamond" w:hAnsi="Garamond" w:cs="Garamond"/>
          <w:color w:val="000000"/>
          <w:sz w:val="22"/>
          <w:szCs w:val="22"/>
        </w:rPr>
      </w:pPr>
      <w:r w:rsidRPr="00A14171">
        <w:rPr>
          <w:rFonts w:ascii="Garamond" w:hAnsi="Garamond" w:cs="Garamond"/>
          <w:color w:val="000000"/>
          <w:sz w:val="22"/>
          <w:szCs w:val="22"/>
        </w:rPr>
        <w:t xml:space="preserve">Average rates for high school diploma/GED receipt (45 percent) and employment (52 percent) are based on data from the YouthBuild Youth Offender Grantees. </w:t>
      </w:r>
      <w:r>
        <w:rPr>
          <w:rFonts w:ascii="Garamond" w:hAnsi="Garamond" w:cs="Garamond"/>
          <w:color w:val="000000"/>
          <w:sz w:val="22"/>
          <w:szCs w:val="22"/>
        </w:rPr>
        <w:t xml:space="preserve"> </w:t>
      </w:r>
      <w:r w:rsidRPr="00A14171">
        <w:rPr>
          <w:rFonts w:ascii="Garamond" w:hAnsi="Garamond" w:cs="Garamond"/>
          <w:color w:val="000000"/>
          <w:sz w:val="22"/>
          <w:szCs w:val="22"/>
        </w:rPr>
        <w:t>For annual earnings, the average ($11,000) and standard deviation ($11,000) are based on data for youth with a high school diploma or GED from the CET replication study.  Calculations assume that the R-squared for each impact equation is .10.</w:t>
      </w:r>
    </w:p>
    <w:p w:rsidR="00CE2F9D" w:rsidRPr="004D68B0" w:rsidRDefault="00CE2F9D" w:rsidP="00E13FC4">
      <w:pPr>
        <w:tabs>
          <w:tab w:val="clear" w:pos="432"/>
        </w:tabs>
        <w:spacing w:line="240" w:lineRule="auto"/>
        <w:ind w:firstLine="0"/>
        <w:jc w:val="left"/>
        <w:rPr>
          <w:rFonts w:ascii="Garamond" w:hAnsi="Garamond" w:cs="Garamond"/>
          <w:color w:val="000000"/>
        </w:rPr>
      </w:pPr>
      <w:r w:rsidRPr="004D68B0">
        <w:rPr>
          <w:rFonts w:ascii="Garamond" w:hAnsi="Garamond" w:cs="Garamond"/>
          <w:color w:val="000000"/>
        </w:rPr>
        <w:t xml:space="preserve"> </w:t>
      </w:r>
    </w:p>
    <w:p w:rsidR="00CE2F9D" w:rsidRDefault="00CE2F9D" w:rsidP="00E13FC4">
      <w:pPr>
        <w:tabs>
          <w:tab w:val="clear" w:pos="432"/>
          <w:tab w:val="left" w:pos="2924"/>
          <w:tab w:val="left" w:pos="3900"/>
          <w:tab w:val="left" w:pos="4616"/>
          <w:tab w:val="left" w:pos="5592"/>
          <w:tab w:val="left" w:pos="6628"/>
          <w:tab w:val="left" w:pos="7624"/>
          <w:tab w:val="left" w:pos="7890"/>
          <w:tab w:val="left" w:pos="8866"/>
        </w:tabs>
        <w:spacing w:line="240" w:lineRule="auto"/>
        <w:ind w:left="108" w:firstLine="0"/>
        <w:jc w:val="left"/>
        <w:rPr>
          <w:rFonts w:ascii="Calibri" w:hAnsi="Calibri" w:cs="Calibri"/>
          <w:color w:val="000000"/>
          <w:sz w:val="22"/>
          <w:szCs w:val="22"/>
        </w:rPr>
      </w:pPr>
    </w:p>
    <w:p w:rsidR="00CE2F9D" w:rsidRDefault="00CE2F9D" w:rsidP="00A14171">
      <w:pPr>
        <w:ind w:firstLine="0"/>
        <w:jc w:val="left"/>
        <w:rPr>
          <w:rFonts w:ascii="Garamond" w:hAnsi="Garamond" w:cs="Garamond"/>
        </w:rPr>
      </w:pPr>
      <w:proofErr w:type="gramStart"/>
      <w:r w:rsidRPr="00AD3547">
        <w:rPr>
          <w:rFonts w:ascii="Garamond" w:hAnsi="Garamond" w:cs="Garamond"/>
        </w:rPr>
        <w:t>substantially</w:t>
      </w:r>
      <w:proofErr w:type="gramEnd"/>
      <w:r w:rsidRPr="00AD3547">
        <w:rPr>
          <w:rFonts w:ascii="Garamond" w:hAnsi="Garamond" w:cs="Garamond"/>
        </w:rPr>
        <w:t xml:space="preserve"> smaller, ranging</w:t>
      </w:r>
      <w:r>
        <w:rPr>
          <w:rFonts w:ascii="Garamond" w:hAnsi="Garamond" w:cs="Garamond"/>
        </w:rPr>
        <w:t xml:space="preserve"> </w:t>
      </w:r>
      <w:r w:rsidRPr="00AD3547">
        <w:rPr>
          <w:rFonts w:ascii="Garamond" w:hAnsi="Garamond" w:cs="Garamond"/>
        </w:rPr>
        <w:t>from 3to</w:t>
      </w:r>
      <w:r>
        <w:rPr>
          <w:rFonts w:ascii="Garamond" w:hAnsi="Garamond" w:cs="Garamond"/>
        </w:rPr>
        <w:t>-</w:t>
      </w:r>
      <w:r w:rsidRPr="00AD3547">
        <w:rPr>
          <w:rFonts w:ascii="Garamond" w:hAnsi="Garamond" w:cs="Garamond"/>
        </w:rPr>
        <w:t>5 percentage points per quarter</w:t>
      </w:r>
      <w:r>
        <w:rPr>
          <w:rFonts w:ascii="Garamond" w:hAnsi="Garamond" w:cs="Garamond"/>
        </w:rPr>
        <w:t xml:space="preserve">.  </w:t>
      </w:r>
      <w:r w:rsidRPr="00AD3547">
        <w:rPr>
          <w:rFonts w:ascii="Garamond" w:hAnsi="Garamond" w:cs="Garamond"/>
        </w:rPr>
        <w:t xml:space="preserve">Other effects on employment include an impact of 4.9 percentage points after 21 months in </w:t>
      </w:r>
      <w:proofErr w:type="spellStart"/>
      <w:r w:rsidRPr="00AD3547">
        <w:rPr>
          <w:rFonts w:ascii="Garamond" w:hAnsi="Garamond" w:cs="Garamond"/>
        </w:rPr>
        <w:t>ChalleNGe</w:t>
      </w:r>
      <w:proofErr w:type="spellEnd"/>
      <w:r w:rsidRPr="00AD3547">
        <w:rPr>
          <w:rFonts w:ascii="Garamond" w:hAnsi="Garamond" w:cs="Garamond"/>
        </w:rPr>
        <w:t xml:space="preserve"> and an impact of 9.3 percentage points after 30 months for women in the high fidelity CET replication sites. </w:t>
      </w:r>
    </w:p>
    <w:p w:rsidR="00CE2F9D" w:rsidRPr="004D68B0" w:rsidRDefault="00CE2F9D" w:rsidP="00E13FC4">
      <w:pPr>
        <w:tabs>
          <w:tab w:val="clear" w:pos="432"/>
          <w:tab w:val="left" w:pos="2924"/>
          <w:tab w:val="left" w:pos="3900"/>
          <w:tab w:val="left" w:pos="4616"/>
          <w:tab w:val="left" w:pos="5592"/>
          <w:tab w:val="left" w:pos="6628"/>
          <w:tab w:val="left" w:pos="7624"/>
          <w:tab w:val="left" w:pos="7890"/>
          <w:tab w:val="left" w:pos="8866"/>
        </w:tabs>
        <w:spacing w:line="240" w:lineRule="auto"/>
        <w:ind w:left="108" w:firstLine="0"/>
        <w:jc w:val="left"/>
        <w:rPr>
          <w:rFonts w:ascii="Calibri" w:hAnsi="Calibri" w:cs="Calibri"/>
          <w:color w:val="000000"/>
          <w:sz w:val="22"/>
          <w:szCs w:val="22"/>
        </w:rPr>
      </w:pPr>
      <w:r w:rsidRPr="004D68B0">
        <w:rPr>
          <w:rFonts w:ascii="Calibri" w:hAnsi="Calibri" w:cs="Calibri"/>
          <w:color w:val="000000"/>
          <w:sz w:val="22"/>
          <w:szCs w:val="22"/>
        </w:rPr>
        <w:tab/>
      </w:r>
      <w:r w:rsidRPr="004D68B0">
        <w:rPr>
          <w:rFonts w:ascii="Calibri" w:hAnsi="Calibri" w:cs="Calibri"/>
          <w:color w:val="000000"/>
          <w:sz w:val="22"/>
          <w:szCs w:val="22"/>
        </w:rPr>
        <w:tab/>
      </w:r>
      <w:r w:rsidRPr="004D68B0">
        <w:rPr>
          <w:rFonts w:ascii="Calibri" w:hAnsi="Calibri" w:cs="Calibri"/>
          <w:color w:val="000000"/>
          <w:sz w:val="22"/>
          <w:szCs w:val="22"/>
        </w:rPr>
        <w:tab/>
      </w:r>
      <w:r w:rsidRPr="004D68B0">
        <w:rPr>
          <w:rFonts w:ascii="Calibri" w:hAnsi="Calibri" w:cs="Calibri"/>
          <w:color w:val="000000"/>
          <w:sz w:val="22"/>
          <w:szCs w:val="22"/>
        </w:rPr>
        <w:tab/>
      </w:r>
      <w:r w:rsidRPr="004D68B0">
        <w:rPr>
          <w:rFonts w:ascii="Calibri" w:hAnsi="Calibri" w:cs="Calibri"/>
          <w:color w:val="000000"/>
          <w:sz w:val="22"/>
          <w:szCs w:val="22"/>
        </w:rPr>
        <w:tab/>
      </w:r>
      <w:r w:rsidRPr="004D68B0">
        <w:rPr>
          <w:rFonts w:ascii="Calibri" w:hAnsi="Calibri" w:cs="Calibri"/>
          <w:color w:val="000000"/>
          <w:sz w:val="22"/>
          <w:szCs w:val="22"/>
        </w:rPr>
        <w:tab/>
      </w:r>
      <w:r w:rsidRPr="004D68B0">
        <w:rPr>
          <w:rFonts w:ascii="Calibri" w:hAnsi="Calibri" w:cs="Calibri"/>
          <w:color w:val="000000"/>
          <w:sz w:val="22"/>
          <w:szCs w:val="22"/>
        </w:rPr>
        <w:tab/>
      </w:r>
    </w:p>
    <w:p w:rsidR="00CE2F9D" w:rsidRDefault="00CE2F9D" w:rsidP="008A590C">
      <w:pPr>
        <w:jc w:val="left"/>
        <w:rPr>
          <w:rFonts w:ascii="Garamond" w:hAnsi="Garamond" w:cs="Garamond"/>
          <w:i/>
          <w:iCs/>
        </w:rPr>
      </w:pPr>
      <w:r w:rsidRPr="00AD3547">
        <w:rPr>
          <w:rFonts w:ascii="Garamond" w:hAnsi="Garamond" w:cs="Garamond"/>
          <w:color w:val="000000"/>
        </w:rPr>
        <w:tab/>
      </w:r>
      <w:r w:rsidRPr="00AD3547">
        <w:rPr>
          <w:rFonts w:ascii="Garamond" w:hAnsi="Garamond" w:cs="Garamond"/>
        </w:rPr>
        <w:t>MDEs for earnings are shown in the final column</w:t>
      </w:r>
      <w:r>
        <w:rPr>
          <w:rFonts w:ascii="Garamond" w:hAnsi="Garamond" w:cs="Garamond"/>
        </w:rPr>
        <w:t xml:space="preserve">.  </w:t>
      </w:r>
      <w:r w:rsidRPr="00AD3547">
        <w:rPr>
          <w:rFonts w:ascii="Garamond" w:hAnsi="Garamond" w:cs="Garamond"/>
        </w:rPr>
        <w:t>With the survey sample size, we would be able to detect as statistically significant an impact of at least $1,016 on annual earnings during a given follow-up year</w:t>
      </w:r>
      <w:r>
        <w:rPr>
          <w:rFonts w:ascii="Garamond" w:hAnsi="Garamond" w:cs="Garamond"/>
        </w:rPr>
        <w:t xml:space="preserve">.  </w:t>
      </w:r>
      <w:r w:rsidRPr="00AD3547">
        <w:rPr>
          <w:rFonts w:ascii="Garamond" w:hAnsi="Garamond" w:cs="Garamond"/>
        </w:rPr>
        <w:t>Assuming a control group average of $11,000</w:t>
      </w:r>
      <w:r>
        <w:rPr>
          <w:rFonts w:ascii="Garamond" w:hAnsi="Garamond" w:cs="Garamond"/>
        </w:rPr>
        <w:t xml:space="preserve"> in annual earnings</w:t>
      </w:r>
      <w:r w:rsidRPr="00AD3547">
        <w:rPr>
          <w:rFonts w:ascii="Garamond" w:hAnsi="Garamond" w:cs="Garamond"/>
        </w:rPr>
        <w:t xml:space="preserve">, for example, this impact would represent a </w:t>
      </w:r>
      <w:r>
        <w:rPr>
          <w:rFonts w:ascii="Garamond" w:hAnsi="Garamond" w:cs="Garamond"/>
        </w:rPr>
        <w:t>nine</w:t>
      </w:r>
      <w:r w:rsidRPr="00AD3547">
        <w:rPr>
          <w:rFonts w:ascii="Garamond" w:hAnsi="Garamond" w:cs="Garamond"/>
        </w:rPr>
        <w:t xml:space="preserve"> percent increase in earnings</w:t>
      </w:r>
      <w:r>
        <w:rPr>
          <w:rFonts w:ascii="Garamond" w:hAnsi="Garamond" w:cs="Garamond"/>
        </w:rPr>
        <w:t xml:space="preserve">.  </w:t>
      </w:r>
      <w:r w:rsidRPr="00AD3547">
        <w:rPr>
          <w:rFonts w:ascii="Garamond" w:hAnsi="Garamond" w:cs="Garamond"/>
        </w:rPr>
        <w:t>MDEs for a subgroup comparison are larger, at $1,436, or a 13 percent increase</w:t>
      </w:r>
      <w:r>
        <w:rPr>
          <w:rFonts w:ascii="Garamond" w:hAnsi="Garamond" w:cs="Garamond"/>
        </w:rPr>
        <w:t>.  T</w:t>
      </w:r>
      <w:r w:rsidRPr="00AD3547">
        <w:rPr>
          <w:rFonts w:ascii="Garamond" w:hAnsi="Garamond" w:cs="Garamond"/>
        </w:rPr>
        <w:t xml:space="preserve">hese effects are large, even relative to the significant effects generated by the Job Corps program. </w:t>
      </w:r>
      <w:r>
        <w:rPr>
          <w:rFonts w:ascii="Garamond" w:hAnsi="Garamond" w:cs="Garamond"/>
        </w:rPr>
        <w:t xml:space="preserve"> </w:t>
      </w:r>
      <w:r w:rsidRPr="00AD3547">
        <w:rPr>
          <w:rFonts w:ascii="Garamond" w:hAnsi="Garamond" w:cs="Garamond"/>
        </w:rPr>
        <w:t xml:space="preserve">Career Academies, however, did lead to substantially larger earnings gains than these, particularly for the men in the sample. </w:t>
      </w:r>
    </w:p>
    <w:p w:rsidR="00CE2F9D" w:rsidRPr="00A7555D" w:rsidRDefault="00CE2F9D" w:rsidP="00E13FC4">
      <w:pPr>
        <w:pStyle w:val="Default"/>
        <w:rPr>
          <w:rFonts w:ascii="Garamond" w:hAnsi="Garamond" w:cs="Garamond"/>
          <w:color w:val="auto"/>
          <w:sz w:val="20"/>
          <w:szCs w:val="20"/>
        </w:rPr>
      </w:pPr>
    </w:p>
    <w:p w:rsidR="00CE2F9D" w:rsidRDefault="00CE2F9D" w:rsidP="008A590C">
      <w:pPr>
        <w:tabs>
          <w:tab w:val="clear" w:pos="432"/>
        </w:tabs>
        <w:ind w:firstLine="0"/>
        <w:jc w:val="left"/>
        <w:rPr>
          <w:rFonts w:ascii="Garamond" w:hAnsi="Garamond" w:cs="Garamond"/>
          <w:b/>
          <w:bCs/>
        </w:rPr>
      </w:pPr>
      <w:r w:rsidRPr="00A7555D">
        <w:rPr>
          <w:rFonts w:ascii="Garamond" w:hAnsi="Garamond" w:cs="Garamond"/>
          <w:b/>
          <w:bCs/>
        </w:rPr>
        <w:t xml:space="preserve">2. </w:t>
      </w:r>
      <w:r w:rsidRPr="00A7555D">
        <w:rPr>
          <w:rFonts w:ascii="Garamond" w:hAnsi="Garamond" w:cs="Garamond"/>
          <w:b/>
          <w:bCs/>
        </w:rPr>
        <w:tab/>
        <w:t>Procedures for the Collection of Information</w:t>
      </w:r>
    </w:p>
    <w:p w:rsidR="00CE2F9D" w:rsidRDefault="00CE2F9D" w:rsidP="008A590C">
      <w:pPr>
        <w:tabs>
          <w:tab w:val="clear" w:pos="432"/>
        </w:tabs>
        <w:ind w:firstLine="0"/>
        <w:jc w:val="left"/>
        <w:rPr>
          <w:rFonts w:ascii="Garamond" w:hAnsi="Garamond" w:cs="Garamond"/>
        </w:rPr>
      </w:pPr>
      <w:r w:rsidRPr="00A7555D">
        <w:rPr>
          <w:rFonts w:ascii="Garamond" w:hAnsi="Garamond" w:cs="Garamond"/>
        </w:rPr>
        <w:tab/>
        <w:t xml:space="preserve">The follow-up surveys are the primary source of outcome data to assess program impacts. These data will inform DOL and CNCS on how YouthBuild programs affect program participants’ educational attainment, postsecondary planning, employment, earnings, delinquency and involvement with the criminal justice system, and youth social and emotional development. </w:t>
      </w:r>
    </w:p>
    <w:p w:rsidR="00CE2F9D" w:rsidRDefault="00CE2F9D" w:rsidP="008A590C">
      <w:pPr>
        <w:tabs>
          <w:tab w:val="clear" w:pos="432"/>
        </w:tabs>
        <w:ind w:firstLine="720"/>
        <w:jc w:val="left"/>
        <w:rPr>
          <w:rFonts w:ascii="Garamond" w:hAnsi="Garamond" w:cs="Garamond"/>
        </w:rPr>
      </w:pPr>
      <w:r w:rsidRPr="00A7555D">
        <w:rPr>
          <w:rFonts w:ascii="Garamond" w:hAnsi="Garamond" w:cs="Garamond"/>
        </w:rPr>
        <w:t>For the YouthBuild evaluation, we will use a multi-mode survey that begins on the web, and then moves to more intensive methods – Computer Assisted Telephone Interviewing (CATI) and in-person locating – as part of our non</w:t>
      </w:r>
      <w:r>
        <w:rPr>
          <w:rFonts w:ascii="Garamond" w:hAnsi="Garamond" w:cs="Garamond"/>
        </w:rPr>
        <w:t>-</w:t>
      </w:r>
      <w:r w:rsidRPr="00A7555D">
        <w:rPr>
          <w:rFonts w:ascii="Garamond" w:hAnsi="Garamond" w:cs="Garamond"/>
        </w:rPr>
        <w:t>response follow-up strategy</w:t>
      </w:r>
      <w:r>
        <w:rPr>
          <w:rFonts w:ascii="Garamond" w:hAnsi="Garamond" w:cs="Garamond"/>
        </w:rPr>
        <w:t xml:space="preserve">.  </w:t>
      </w:r>
      <w:r w:rsidRPr="00A7555D">
        <w:rPr>
          <w:rFonts w:ascii="Garamond" w:hAnsi="Garamond" w:cs="Garamond"/>
        </w:rPr>
        <w:t xml:space="preserve">To encourage youth to </w:t>
      </w:r>
      <w:r w:rsidRPr="00A7555D">
        <w:rPr>
          <w:rFonts w:ascii="Garamond" w:hAnsi="Garamond" w:cs="Garamond"/>
        </w:rPr>
        <w:lastRenderedPageBreak/>
        <w:t>complete the survey early and online, we will conduct an experiment during the 12-month follow-up survey that will inform our data collection strategy for the subsequent rounds</w:t>
      </w:r>
      <w:r>
        <w:rPr>
          <w:rFonts w:ascii="Garamond" w:hAnsi="Garamond" w:cs="Garamond"/>
        </w:rPr>
        <w:t xml:space="preserve">.  </w:t>
      </w:r>
      <w:r w:rsidRPr="00A7555D">
        <w:rPr>
          <w:rFonts w:ascii="Garamond" w:hAnsi="Garamond" w:cs="Garamond"/>
        </w:rPr>
        <w:t>S</w:t>
      </w:r>
      <w:r>
        <w:rPr>
          <w:rFonts w:ascii="Garamond" w:hAnsi="Garamond" w:cs="Garamond"/>
        </w:rPr>
        <w:t>urvey s</w:t>
      </w:r>
      <w:r w:rsidRPr="00A7555D">
        <w:rPr>
          <w:rFonts w:ascii="Garamond" w:hAnsi="Garamond" w:cs="Garamond"/>
        </w:rPr>
        <w:t>ample members will be randomly assigned to one of two incentive conditions: 1) “the early bird” and 2) the control condition</w:t>
      </w:r>
      <w:r>
        <w:rPr>
          <w:rFonts w:ascii="Garamond" w:hAnsi="Garamond" w:cs="Garamond"/>
        </w:rPr>
        <w:t xml:space="preserve">.  </w:t>
      </w:r>
      <w:r w:rsidRPr="00A7555D">
        <w:rPr>
          <w:rFonts w:ascii="Garamond" w:hAnsi="Garamond" w:cs="Garamond"/>
        </w:rPr>
        <w:t>The “early bird” group will receive a higher incentive of $40 for completing their survey online within the first four weeks of the field period, or $25 for completing the survey thereafter</w:t>
      </w:r>
      <w:r>
        <w:rPr>
          <w:rFonts w:ascii="Garamond" w:hAnsi="Garamond" w:cs="Garamond"/>
        </w:rPr>
        <w:t xml:space="preserve"> regardless of mode of completion.  </w:t>
      </w:r>
      <w:r w:rsidRPr="00A7555D">
        <w:rPr>
          <w:rFonts w:ascii="Garamond" w:hAnsi="Garamond" w:cs="Garamond"/>
        </w:rPr>
        <w:t xml:space="preserve">The control group </w:t>
      </w:r>
      <w:r>
        <w:rPr>
          <w:rFonts w:ascii="Garamond" w:hAnsi="Garamond" w:cs="Garamond"/>
        </w:rPr>
        <w:t xml:space="preserve">(which will consist of members of the YouthBuild evaluation’s treatment and control group) </w:t>
      </w:r>
      <w:r w:rsidRPr="00A7555D">
        <w:rPr>
          <w:rFonts w:ascii="Garamond" w:hAnsi="Garamond" w:cs="Garamond"/>
        </w:rPr>
        <w:t>will receive $25 regardless of when they complete the survey</w:t>
      </w:r>
      <w:r>
        <w:rPr>
          <w:rFonts w:ascii="Garamond" w:hAnsi="Garamond" w:cs="Garamond"/>
        </w:rPr>
        <w:t xml:space="preserve">.  We will share the findings, along with other findings from the 12-month follow-up survey, with DOL shortly after completion of the survey.  </w:t>
      </w:r>
      <w:r w:rsidRPr="00A7555D">
        <w:rPr>
          <w:rFonts w:ascii="Garamond" w:hAnsi="Garamond" w:cs="Garamond"/>
        </w:rPr>
        <w:t xml:space="preserve">For those sample members who do not complete </w:t>
      </w:r>
      <w:r>
        <w:rPr>
          <w:rFonts w:ascii="Garamond" w:hAnsi="Garamond" w:cs="Garamond"/>
        </w:rPr>
        <w:t xml:space="preserve">the survey </w:t>
      </w:r>
      <w:r w:rsidRPr="00A7555D">
        <w:rPr>
          <w:rFonts w:ascii="Garamond" w:hAnsi="Garamond" w:cs="Garamond"/>
        </w:rPr>
        <w:t xml:space="preserve">on the web, </w:t>
      </w:r>
      <w:r>
        <w:rPr>
          <w:rFonts w:ascii="Garamond" w:hAnsi="Garamond" w:cs="Garamond"/>
        </w:rPr>
        <w:t>evaluation team members</w:t>
      </w:r>
      <w:r w:rsidRPr="00A7555D">
        <w:rPr>
          <w:rFonts w:ascii="Garamond" w:hAnsi="Garamond" w:cs="Garamond"/>
        </w:rPr>
        <w:t xml:space="preserve"> will attempt to complete the survey over the phone using a CATI survey</w:t>
      </w:r>
      <w:r>
        <w:rPr>
          <w:rFonts w:ascii="Garamond" w:hAnsi="Garamond" w:cs="Garamond"/>
        </w:rPr>
        <w:t xml:space="preserve">.  </w:t>
      </w:r>
      <w:r w:rsidRPr="00A7555D">
        <w:rPr>
          <w:rFonts w:ascii="Garamond" w:hAnsi="Garamond" w:cs="Garamond"/>
        </w:rPr>
        <w:t xml:space="preserve">For those sample members who cannot be located by telephone, </w:t>
      </w:r>
      <w:r>
        <w:rPr>
          <w:rFonts w:ascii="Garamond" w:hAnsi="Garamond" w:cs="Garamond"/>
        </w:rPr>
        <w:t>evaluation team members</w:t>
      </w:r>
      <w:r w:rsidRPr="00A7555D">
        <w:rPr>
          <w:rFonts w:ascii="Garamond" w:hAnsi="Garamond" w:cs="Garamond"/>
        </w:rPr>
        <w:t xml:space="preserve"> will use custom database searches and telephone contacts to locate sample members. </w:t>
      </w:r>
      <w:r>
        <w:rPr>
          <w:rFonts w:ascii="Garamond" w:hAnsi="Garamond" w:cs="Garamond"/>
        </w:rPr>
        <w:t xml:space="preserve"> </w:t>
      </w:r>
      <w:r w:rsidRPr="00A7555D">
        <w:rPr>
          <w:rFonts w:ascii="Garamond" w:hAnsi="Garamond" w:cs="Garamond"/>
        </w:rPr>
        <w:t>Field locators will use the last known address of residency and field locating techniques to attempt to find sample members who cannot be found using electronic locating methods.</w:t>
      </w:r>
      <w:r>
        <w:rPr>
          <w:rFonts w:ascii="Garamond" w:hAnsi="Garamond" w:cs="Garamond"/>
        </w:rPr>
        <w:t xml:space="preserve"> </w:t>
      </w:r>
      <w:r w:rsidRPr="00A7555D">
        <w:rPr>
          <w:rFonts w:ascii="Garamond" w:hAnsi="Garamond" w:cs="Garamond"/>
        </w:rPr>
        <w:t xml:space="preserve"> Field locators will be equipped with cell phones and will be able to dial into Mathematica’s Survey Operations Center</w:t>
      </w:r>
      <w:r>
        <w:rPr>
          <w:rFonts w:ascii="Garamond" w:hAnsi="Garamond" w:cs="Garamond"/>
        </w:rPr>
        <w:t xml:space="preserve"> before giving the phone to the sample group member</w:t>
      </w:r>
      <w:r w:rsidRPr="00A7555D">
        <w:rPr>
          <w:rFonts w:ascii="Garamond" w:hAnsi="Garamond" w:cs="Garamond"/>
        </w:rPr>
        <w:t xml:space="preserve"> to complete </w:t>
      </w:r>
      <w:r>
        <w:rPr>
          <w:rFonts w:ascii="Garamond" w:hAnsi="Garamond" w:cs="Garamond"/>
        </w:rPr>
        <w:t>the</w:t>
      </w:r>
      <w:r w:rsidRPr="00A7555D">
        <w:rPr>
          <w:rFonts w:ascii="Garamond" w:hAnsi="Garamond" w:cs="Garamond"/>
        </w:rPr>
        <w:t xml:space="preserve"> CATI survey. </w:t>
      </w:r>
      <w:r>
        <w:rPr>
          <w:rFonts w:ascii="Garamond" w:hAnsi="Garamond" w:cs="Garamond"/>
        </w:rPr>
        <w:t xml:space="preserve"> </w:t>
      </w:r>
      <w:r w:rsidRPr="00A7555D">
        <w:rPr>
          <w:rFonts w:ascii="Garamond" w:hAnsi="Garamond" w:cs="Garamond"/>
        </w:rPr>
        <w:t>We expect that each of the follow-up surveys will take approximately 40 minutes to complete.</w:t>
      </w:r>
    </w:p>
    <w:p w:rsidR="00CE2F9D" w:rsidRDefault="00CE2F9D" w:rsidP="008A590C">
      <w:pPr>
        <w:tabs>
          <w:tab w:val="clear" w:pos="432"/>
        </w:tabs>
        <w:ind w:firstLine="720"/>
        <w:jc w:val="left"/>
        <w:rPr>
          <w:rFonts w:ascii="Garamond" w:hAnsi="Garamond" w:cs="Garamond"/>
        </w:rPr>
      </w:pPr>
      <w:r w:rsidRPr="00A7555D">
        <w:rPr>
          <w:rFonts w:ascii="Garamond" w:hAnsi="Garamond" w:cs="Garamond"/>
        </w:rPr>
        <w:t xml:space="preserve">Earlier </w:t>
      </w:r>
      <w:r>
        <w:rPr>
          <w:rFonts w:ascii="Garamond" w:hAnsi="Garamond" w:cs="Garamond"/>
        </w:rPr>
        <w:t>Paperwork Reduction Act clearance packages</w:t>
      </w:r>
      <w:r w:rsidRPr="00A7555D">
        <w:rPr>
          <w:rFonts w:ascii="Garamond" w:hAnsi="Garamond" w:cs="Garamond"/>
        </w:rPr>
        <w:t xml:space="preserve"> requested </w:t>
      </w:r>
      <w:r>
        <w:rPr>
          <w:rFonts w:ascii="Garamond" w:hAnsi="Garamond" w:cs="Garamond"/>
        </w:rPr>
        <w:t xml:space="preserve">Office of Management and Budget (OMB) </w:t>
      </w:r>
      <w:r w:rsidRPr="00A7555D">
        <w:rPr>
          <w:rFonts w:ascii="Garamond" w:hAnsi="Garamond" w:cs="Garamond"/>
        </w:rPr>
        <w:t xml:space="preserve">clearance for </w:t>
      </w:r>
      <w:r>
        <w:rPr>
          <w:rFonts w:ascii="Garamond" w:hAnsi="Garamond" w:cs="Garamond"/>
        </w:rPr>
        <w:t xml:space="preserve">a site selection questionnaire, </w:t>
      </w:r>
      <w:r w:rsidRPr="001D4C41">
        <w:rPr>
          <w:rFonts w:ascii="Garamond" w:hAnsi="Garamond" w:cs="Garamond"/>
        </w:rPr>
        <w:t xml:space="preserve">the baseline </w:t>
      </w:r>
      <w:r w:rsidR="00E7520A">
        <w:rPr>
          <w:rFonts w:ascii="Garamond" w:hAnsi="Garamond" w:cs="Garamond"/>
        </w:rPr>
        <w:t xml:space="preserve">forms </w:t>
      </w:r>
      <w:r w:rsidRPr="001D4C41">
        <w:rPr>
          <w:rFonts w:ascii="Garamond" w:hAnsi="Garamond" w:cs="Garamond"/>
        </w:rPr>
        <w:t>and participant service data,</w:t>
      </w:r>
      <w:r>
        <w:rPr>
          <w:rFonts w:ascii="Garamond" w:hAnsi="Garamond" w:cs="Garamond"/>
        </w:rPr>
        <w:t xml:space="preserve"> </w:t>
      </w:r>
      <w:r w:rsidRPr="00A7555D">
        <w:rPr>
          <w:rFonts w:ascii="Garamond" w:hAnsi="Garamond" w:cs="Garamond"/>
        </w:rPr>
        <w:t xml:space="preserve">the grantee </w:t>
      </w:r>
      <w:proofErr w:type="gramStart"/>
      <w:r w:rsidRPr="00A7555D">
        <w:rPr>
          <w:rFonts w:ascii="Garamond" w:hAnsi="Garamond" w:cs="Garamond"/>
        </w:rPr>
        <w:t>survey</w:t>
      </w:r>
      <w:r>
        <w:rPr>
          <w:rFonts w:ascii="Garamond" w:hAnsi="Garamond" w:cs="Garamond"/>
        </w:rPr>
        <w:t>,</w:t>
      </w:r>
      <w:proofErr w:type="gramEnd"/>
      <w:r w:rsidRPr="00A7555D">
        <w:rPr>
          <w:rFonts w:ascii="Garamond" w:hAnsi="Garamond" w:cs="Garamond"/>
        </w:rPr>
        <w:t xml:space="preserve"> site visits protocols</w:t>
      </w:r>
      <w:r>
        <w:rPr>
          <w:rFonts w:ascii="Garamond" w:hAnsi="Garamond" w:cs="Garamond"/>
        </w:rPr>
        <w:t xml:space="preserve"> and </w:t>
      </w:r>
      <w:r w:rsidR="00E7520A">
        <w:rPr>
          <w:rFonts w:ascii="Garamond" w:hAnsi="Garamond" w:cs="Garamond"/>
        </w:rPr>
        <w:t xml:space="preserve">the </w:t>
      </w:r>
      <w:r>
        <w:rPr>
          <w:rFonts w:ascii="Garamond" w:hAnsi="Garamond" w:cs="Garamond"/>
        </w:rPr>
        <w:t>cost</w:t>
      </w:r>
      <w:r w:rsidR="008B0F44">
        <w:rPr>
          <w:rFonts w:ascii="Garamond" w:hAnsi="Garamond" w:cs="Garamond"/>
        </w:rPr>
        <w:t xml:space="preserve"> of</w:t>
      </w:r>
      <w:r>
        <w:rPr>
          <w:rFonts w:ascii="Garamond" w:hAnsi="Garamond" w:cs="Garamond"/>
        </w:rPr>
        <w:t xml:space="preserve"> data collection</w:t>
      </w:r>
      <w:r w:rsidRPr="00A7555D">
        <w:rPr>
          <w:rFonts w:ascii="Garamond" w:hAnsi="Garamond" w:cs="Garamond"/>
        </w:rPr>
        <w:t>.</w:t>
      </w:r>
      <w:r>
        <w:rPr>
          <w:rFonts w:ascii="Garamond" w:hAnsi="Garamond" w:cs="Garamond"/>
        </w:rPr>
        <w:t xml:space="preserve"> </w:t>
      </w:r>
      <w:r w:rsidRPr="00A7555D">
        <w:rPr>
          <w:rFonts w:ascii="Garamond" w:hAnsi="Garamond" w:cs="Garamond"/>
        </w:rPr>
        <w:t xml:space="preserve"> This OMB package pertains only to the follow-up survey</w:t>
      </w:r>
      <w:r>
        <w:rPr>
          <w:rFonts w:ascii="Garamond" w:hAnsi="Garamond" w:cs="Garamond"/>
        </w:rPr>
        <w:t xml:space="preserve">s to be </w:t>
      </w:r>
      <w:r w:rsidRPr="00A7555D">
        <w:rPr>
          <w:rFonts w:ascii="Garamond" w:hAnsi="Garamond" w:cs="Garamond"/>
        </w:rPr>
        <w:t xml:space="preserve">administered to </w:t>
      </w:r>
      <w:r>
        <w:rPr>
          <w:rFonts w:ascii="Garamond" w:hAnsi="Garamond" w:cs="Garamond"/>
        </w:rPr>
        <w:t>study participants</w:t>
      </w:r>
      <w:r w:rsidRPr="00A7555D">
        <w:rPr>
          <w:rFonts w:ascii="Garamond" w:hAnsi="Garamond" w:cs="Garamond"/>
        </w:rPr>
        <w:t xml:space="preserve">. </w:t>
      </w:r>
    </w:p>
    <w:p w:rsidR="00CE2F9D" w:rsidRDefault="00CE2F9D" w:rsidP="008A590C">
      <w:pPr>
        <w:tabs>
          <w:tab w:val="clear" w:pos="432"/>
        </w:tabs>
        <w:ind w:firstLine="0"/>
        <w:jc w:val="left"/>
        <w:rPr>
          <w:rFonts w:ascii="Garamond" w:hAnsi="Garamond" w:cs="Garamond"/>
        </w:rPr>
      </w:pPr>
      <w:r w:rsidRPr="00A7555D">
        <w:rPr>
          <w:rFonts w:ascii="Garamond" w:hAnsi="Garamond" w:cs="Garamond"/>
        </w:rPr>
        <w:tab/>
      </w:r>
    </w:p>
    <w:p w:rsidR="00CE2F9D" w:rsidRDefault="00CE2F9D" w:rsidP="008A590C">
      <w:pPr>
        <w:tabs>
          <w:tab w:val="clear" w:pos="432"/>
        </w:tabs>
        <w:ind w:firstLine="0"/>
        <w:jc w:val="left"/>
        <w:rPr>
          <w:rFonts w:ascii="Garamond" w:hAnsi="Garamond" w:cs="Garamond"/>
          <w:b/>
          <w:bCs/>
        </w:rPr>
      </w:pPr>
      <w:r w:rsidRPr="00A7555D">
        <w:rPr>
          <w:rFonts w:ascii="Garamond" w:hAnsi="Garamond" w:cs="Garamond"/>
          <w:b/>
          <w:bCs/>
        </w:rPr>
        <w:t>3.</w:t>
      </w:r>
      <w:r w:rsidRPr="00A7555D">
        <w:rPr>
          <w:rFonts w:ascii="Garamond" w:hAnsi="Garamond" w:cs="Garamond"/>
          <w:b/>
          <w:bCs/>
        </w:rPr>
        <w:tab/>
        <w:t>Methods to Maximize Response Rates and Data Reliability</w:t>
      </w:r>
    </w:p>
    <w:p w:rsidR="00CE2F9D" w:rsidRDefault="00CE2F9D" w:rsidP="008A590C">
      <w:pPr>
        <w:tabs>
          <w:tab w:val="clear" w:pos="432"/>
        </w:tabs>
        <w:ind w:firstLine="0"/>
        <w:jc w:val="left"/>
        <w:rPr>
          <w:rFonts w:ascii="Garamond" w:hAnsi="Garamond" w:cs="Garamond"/>
        </w:rPr>
      </w:pPr>
      <w:r w:rsidRPr="00A7555D">
        <w:rPr>
          <w:rFonts w:ascii="Garamond" w:hAnsi="Garamond" w:cs="Garamond"/>
        </w:rPr>
        <w:lastRenderedPageBreak/>
        <w:tab/>
        <w:t xml:space="preserve">We expect to achieve an 80 percent response rate for each </w:t>
      </w:r>
      <w:r>
        <w:rPr>
          <w:rFonts w:ascii="Garamond" w:hAnsi="Garamond" w:cs="Garamond"/>
        </w:rPr>
        <w:t xml:space="preserve">round </w:t>
      </w:r>
      <w:r w:rsidRPr="00A7555D">
        <w:rPr>
          <w:rFonts w:ascii="Garamond" w:hAnsi="Garamond" w:cs="Garamond"/>
        </w:rPr>
        <w:t xml:space="preserve">of the follow-up surveys. The YouthBuild data collection plan incorporates strategies that have proven successful in our other random assignment evaluations of disadvantaged youth. </w:t>
      </w:r>
      <w:r>
        <w:rPr>
          <w:rFonts w:ascii="Garamond" w:hAnsi="Garamond" w:cs="Garamond"/>
        </w:rPr>
        <w:t xml:space="preserve"> </w:t>
      </w:r>
      <w:r w:rsidRPr="00A7555D">
        <w:rPr>
          <w:rFonts w:ascii="Garamond" w:hAnsi="Garamond" w:cs="Garamond"/>
        </w:rPr>
        <w:t>The key components of the plan include:</w:t>
      </w:r>
    </w:p>
    <w:p w:rsidR="00CE2F9D" w:rsidRDefault="00CE2F9D" w:rsidP="008A590C">
      <w:pPr>
        <w:pStyle w:val="Bullet"/>
        <w:jc w:val="left"/>
        <w:rPr>
          <w:rFonts w:ascii="Garamond" w:hAnsi="Garamond" w:cs="Garamond"/>
        </w:rPr>
      </w:pPr>
      <w:r w:rsidRPr="00A7555D">
        <w:rPr>
          <w:rFonts w:ascii="Garamond" w:hAnsi="Garamond" w:cs="Garamond"/>
        </w:rPr>
        <w:t>Selecting data collection modes that maximize data quality and are appropriate for the population under study;</w:t>
      </w:r>
    </w:p>
    <w:p w:rsidR="00CE2F9D" w:rsidRDefault="00CE2F9D" w:rsidP="008A590C">
      <w:pPr>
        <w:pStyle w:val="Bullet"/>
        <w:jc w:val="left"/>
        <w:rPr>
          <w:rFonts w:ascii="Garamond" w:hAnsi="Garamond" w:cs="Garamond"/>
        </w:rPr>
      </w:pPr>
      <w:r w:rsidRPr="00A7555D">
        <w:rPr>
          <w:rFonts w:ascii="Garamond" w:hAnsi="Garamond" w:cs="Garamond"/>
        </w:rPr>
        <w:t xml:space="preserve">Designing questionnaires that are easily understood by people with low-literacy levels and/or limited English-language proficiency; </w:t>
      </w:r>
    </w:p>
    <w:p w:rsidR="00CE2F9D" w:rsidRDefault="00CE2F9D" w:rsidP="008A590C">
      <w:pPr>
        <w:pStyle w:val="Bullet"/>
        <w:jc w:val="left"/>
        <w:rPr>
          <w:rFonts w:ascii="Garamond" w:hAnsi="Garamond" w:cs="Garamond"/>
        </w:rPr>
      </w:pPr>
      <w:r w:rsidRPr="00A7555D">
        <w:rPr>
          <w:rFonts w:ascii="Garamond" w:hAnsi="Garamond" w:cs="Garamond"/>
        </w:rPr>
        <w:t>Implementing innovative outreach and locating strategies through social media outlets such as Facebook, MySpace and Twitter; and</w:t>
      </w:r>
    </w:p>
    <w:p w:rsidR="00CE2F9D" w:rsidRDefault="00CE2F9D" w:rsidP="008A590C">
      <w:pPr>
        <w:pStyle w:val="Bullet"/>
        <w:jc w:val="left"/>
        <w:rPr>
          <w:rFonts w:ascii="Garamond" w:hAnsi="Garamond" w:cs="Garamond"/>
        </w:rPr>
      </w:pPr>
      <w:r w:rsidRPr="00A7555D">
        <w:rPr>
          <w:rFonts w:ascii="Garamond" w:hAnsi="Garamond" w:cs="Garamond"/>
        </w:rPr>
        <w:t>Achieving high response rates efficiently and cost effectively by identifying and overcoming possible barriers to participation.</w:t>
      </w:r>
      <w:r w:rsidR="00BB6471">
        <w:rPr>
          <w:rStyle w:val="FootnoteReference"/>
          <w:rFonts w:ascii="Garamond" w:hAnsi="Garamond"/>
        </w:rPr>
        <w:footnoteReference w:id="3"/>
      </w:r>
    </w:p>
    <w:p w:rsidR="00CE2F9D" w:rsidRDefault="00CE2F9D" w:rsidP="008A590C">
      <w:pPr>
        <w:tabs>
          <w:tab w:val="clear" w:pos="432"/>
        </w:tabs>
        <w:ind w:firstLine="720"/>
        <w:jc w:val="left"/>
        <w:rPr>
          <w:rFonts w:ascii="Garamond" w:hAnsi="Garamond" w:cs="Garamond"/>
        </w:rPr>
      </w:pPr>
      <w:r w:rsidRPr="00A7555D">
        <w:rPr>
          <w:rFonts w:ascii="Garamond" w:hAnsi="Garamond" w:cs="Garamond"/>
        </w:rPr>
        <w:t xml:space="preserve">As mentioned earlier, we will use a multi-mode approach that will begin on the web and then move to CATI and in-person locating. </w:t>
      </w:r>
      <w:r>
        <w:rPr>
          <w:rFonts w:ascii="Garamond" w:hAnsi="Garamond" w:cs="Garamond"/>
        </w:rPr>
        <w:t xml:space="preserve"> </w:t>
      </w:r>
      <w:r w:rsidRPr="00A7555D">
        <w:rPr>
          <w:rFonts w:ascii="Garamond" w:hAnsi="Garamond" w:cs="Garamond"/>
        </w:rPr>
        <w:t xml:space="preserve">The advantage of this multi-mode approach is that it allows participation by people who do not have listed telephone numbers, </w:t>
      </w:r>
      <w:r>
        <w:rPr>
          <w:rFonts w:ascii="Garamond" w:hAnsi="Garamond" w:cs="Garamond"/>
        </w:rPr>
        <w:t xml:space="preserve">telephone </w:t>
      </w:r>
      <w:r w:rsidRPr="00A7555D">
        <w:rPr>
          <w:rFonts w:ascii="Garamond" w:hAnsi="Garamond" w:cs="Garamond"/>
        </w:rPr>
        <w:t xml:space="preserve">land lines, or access to a computer or the internet; it also accommodates those who have a preference for self-administration. </w:t>
      </w:r>
      <w:r>
        <w:rPr>
          <w:rFonts w:ascii="Garamond" w:hAnsi="Garamond" w:cs="Garamond"/>
        </w:rPr>
        <w:t xml:space="preserve"> </w:t>
      </w:r>
      <w:r w:rsidRPr="00A7555D">
        <w:rPr>
          <w:rFonts w:ascii="Garamond" w:hAnsi="Garamond" w:cs="Garamond"/>
        </w:rPr>
        <w:t xml:space="preserve">The use of field locators instead of in-person interviewing minimizes possible mode effects by limiting the number of modes to two: (1) self-administered via the web, and (2) interviewer-administered over the telephone. </w:t>
      </w:r>
      <w:r>
        <w:rPr>
          <w:rFonts w:ascii="Garamond" w:hAnsi="Garamond" w:cs="Garamond"/>
        </w:rPr>
        <w:t xml:space="preserve"> </w:t>
      </w:r>
      <w:r w:rsidRPr="00A7555D">
        <w:rPr>
          <w:rFonts w:ascii="Garamond" w:hAnsi="Garamond" w:cs="Garamond"/>
        </w:rPr>
        <w:t>We gave careful consideration to offering a mail option; however, youth’s high mobility rates and increasing use of the internet suggest that a mail option would not be cost-effective.</w:t>
      </w:r>
      <w:r w:rsidRPr="00A7555D">
        <w:rPr>
          <w:rStyle w:val="FootnoteReference"/>
          <w:rFonts w:ascii="Garamond" w:hAnsi="Garamond" w:cs="Garamond"/>
        </w:rPr>
        <w:t xml:space="preserve"> </w:t>
      </w:r>
      <w:r w:rsidRPr="00A7555D">
        <w:rPr>
          <w:rStyle w:val="FootnoteReference"/>
          <w:rFonts w:ascii="Garamond" w:hAnsi="Garamond" w:cs="Garamond"/>
        </w:rPr>
        <w:footnoteReference w:id="4"/>
      </w:r>
      <w:r w:rsidRPr="00A7555D">
        <w:rPr>
          <w:rStyle w:val="FootnoteReference"/>
          <w:rFonts w:ascii="Garamond" w:hAnsi="Garamond" w:cs="Garamond"/>
        </w:rPr>
        <w:t>,</w:t>
      </w:r>
      <w:r w:rsidRPr="00A7555D">
        <w:rPr>
          <w:rStyle w:val="FootnoteReference"/>
          <w:rFonts w:ascii="Garamond" w:hAnsi="Garamond" w:cs="Garamond"/>
        </w:rPr>
        <w:footnoteReference w:id="5"/>
      </w:r>
      <w:r w:rsidRPr="00A7555D">
        <w:rPr>
          <w:rFonts w:ascii="Garamond" w:hAnsi="Garamond" w:cs="Garamond"/>
        </w:rPr>
        <w:t xml:space="preserve">  We will provide a hardcopy questionnaire to any sample </w:t>
      </w:r>
      <w:r w:rsidRPr="00A7555D">
        <w:rPr>
          <w:rFonts w:ascii="Garamond" w:hAnsi="Garamond" w:cs="Garamond"/>
        </w:rPr>
        <w:lastRenderedPageBreak/>
        <w:t>member who requests one but, increasingly, studies of youth find a preference for completing surveys online.</w:t>
      </w:r>
      <w:r>
        <w:rPr>
          <w:rStyle w:val="FootnoteReference"/>
          <w:rFonts w:ascii="Garamond" w:hAnsi="Garamond"/>
        </w:rPr>
        <w:footnoteReference w:id="6"/>
      </w:r>
      <w:r w:rsidRPr="00A14171">
        <w:rPr>
          <w:rFonts w:ascii="Garamond" w:hAnsi="Garamond" w:cs="Garamond"/>
          <w:vertAlign w:val="superscript"/>
        </w:rPr>
        <w:t>,</w:t>
      </w:r>
      <w:r>
        <w:rPr>
          <w:rStyle w:val="FootnoteReference"/>
          <w:rFonts w:ascii="Garamond" w:hAnsi="Garamond"/>
        </w:rPr>
        <w:footnoteReference w:id="7"/>
      </w:r>
      <w:r>
        <w:rPr>
          <w:rFonts w:ascii="Garamond" w:hAnsi="Garamond" w:cs="Garamond"/>
          <w:vertAlign w:val="superscript"/>
        </w:rPr>
        <w:t>,</w:t>
      </w:r>
      <w:r>
        <w:rPr>
          <w:rStyle w:val="FootnoteReference"/>
          <w:rFonts w:ascii="Garamond" w:hAnsi="Garamond"/>
        </w:rPr>
        <w:footnoteReference w:id="8"/>
      </w:r>
    </w:p>
    <w:p w:rsidR="00CE2F9D" w:rsidRDefault="00CE2F9D" w:rsidP="008A590C">
      <w:pPr>
        <w:tabs>
          <w:tab w:val="clear" w:pos="432"/>
        </w:tabs>
        <w:ind w:firstLine="720"/>
        <w:jc w:val="left"/>
        <w:rPr>
          <w:rFonts w:ascii="Garamond" w:hAnsi="Garamond" w:cs="Garamond"/>
        </w:rPr>
      </w:pPr>
      <w:r w:rsidRPr="00A7555D">
        <w:rPr>
          <w:rFonts w:ascii="Garamond" w:hAnsi="Garamond" w:cs="Garamond"/>
        </w:rPr>
        <w:t xml:space="preserve">The questionnaire itself will be designed to be accessible at the 6th grade reading level. </w:t>
      </w:r>
      <w:r>
        <w:rPr>
          <w:rFonts w:ascii="Garamond" w:hAnsi="Garamond" w:cs="Garamond"/>
        </w:rPr>
        <w:t xml:space="preserve"> </w:t>
      </w:r>
      <w:r w:rsidRPr="00A7555D">
        <w:rPr>
          <w:rFonts w:ascii="Garamond" w:hAnsi="Garamond" w:cs="Garamond"/>
        </w:rPr>
        <w:t xml:space="preserve">This will ensure that the questionnaire is appropriate for respondents with low literacy levels and/or limited English proficiency. </w:t>
      </w:r>
    </w:p>
    <w:p w:rsidR="00CE2F9D" w:rsidRDefault="00CE2F9D" w:rsidP="008A590C">
      <w:pPr>
        <w:tabs>
          <w:tab w:val="clear" w:pos="432"/>
        </w:tabs>
        <w:ind w:firstLine="720"/>
        <w:jc w:val="left"/>
        <w:rPr>
          <w:rFonts w:ascii="Garamond" w:hAnsi="Garamond" w:cs="Garamond"/>
        </w:rPr>
      </w:pPr>
      <w:r w:rsidRPr="00A7555D">
        <w:rPr>
          <w:rFonts w:ascii="Garamond" w:hAnsi="Garamond" w:cs="Garamond"/>
        </w:rPr>
        <w:t xml:space="preserve">Throughout the data collection process, we will implement a variety of outreach strategies to encourage respondent participation and facilitate locating for the </w:t>
      </w:r>
      <w:r>
        <w:rPr>
          <w:rFonts w:ascii="Garamond" w:hAnsi="Garamond" w:cs="Garamond"/>
        </w:rPr>
        <w:t>12-, 30-</w:t>
      </w:r>
      <w:r w:rsidRPr="00A7555D">
        <w:rPr>
          <w:rFonts w:ascii="Garamond" w:hAnsi="Garamond" w:cs="Garamond"/>
        </w:rPr>
        <w:t xml:space="preserve"> and </w:t>
      </w:r>
      <w:r>
        <w:rPr>
          <w:rFonts w:ascii="Garamond" w:hAnsi="Garamond" w:cs="Garamond"/>
        </w:rPr>
        <w:t>48-</w:t>
      </w:r>
      <w:r w:rsidRPr="00A7555D">
        <w:rPr>
          <w:rFonts w:ascii="Garamond" w:hAnsi="Garamond" w:cs="Garamond"/>
        </w:rPr>
        <w:t xml:space="preserve">month follow-up surveys. </w:t>
      </w:r>
      <w:r>
        <w:rPr>
          <w:rFonts w:ascii="Garamond" w:hAnsi="Garamond" w:cs="Garamond"/>
        </w:rPr>
        <w:t xml:space="preserve"> </w:t>
      </w:r>
      <w:r w:rsidRPr="00A7555D">
        <w:rPr>
          <w:rFonts w:ascii="Garamond" w:hAnsi="Garamond" w:cs="Garamond"/>
        </w:rPr>
        <w:t xml:space="preserve">A key component of this outreach strategy will be the development of a YouthBuild Evaluation presence on social media outlets, such as Facebook, MySpace and Twitter. </w:t>
      </w:r>
      <w:r>
        <w:rPr>
          <w:rFonts w:ascii="Garamond" w:hAnsi="Garamond" w:cs="Garamond"/>
        </w:rPr>
        <w:t xml:space="preserve"> </w:t>
      </w:r>
      <w:r w:rsidRPr="00A7555D">
        <w:rPr>
          <w:rFonts w:ascii="Garamond" w:hAnsi="Garamond" w:cs="Garamond"/>
        </w:rPr>
        <w:t xml:space="preserve">Because youth are more likely to have a stable electronic presence than physical address, we will use social media platforms to communicate information about the study, including the timing of follow-up surveys, and assist in locating efforts as necessary. </w:t>
      </w:r>
      <w:r>
        <w:rPr>
          <w:rFonts w:ascii="Garamond" w:hAnsi="Garamond" w:cs="Garamond"/>
        </w:rPr>
        <w:t xml:space="preserve"> </w:t>
      </w:r>
      <w:r w:rsidRPr="00A7555D">
        <w:rPr>
          <w:rFonts w:ascii="Garamond" w:hAnsi="Garamond" w:cs="Garamond"/>
        </w:rPr>
        <w:t>We will also use a</w:t>
      </w:r>
      <w:r>
        <w:rPr>
          <w:rFonts w:ascii="Garamond" w:hAnsi="Garamond" w:cs="Garamond"/>
        </w:rPr>
        <w:t xml:space="preserve"> participant</w:t>
      </w:r>
      <w:r w:rsidRPr="00A7555D">
        <w:rPr>
          <w:rFonts w:ascii="Garamond" w:hAnsi="Garamond" w:cs="Garamond"/>
        </w:rPr>
        <w:t xml:space="preserve"> advance letter </w:t>
      </w:r>
      <w:r>
        <w:rPr>
          <w:rFonts w:ascii="Garamond" w:hAnsi="Garamond" w:cs="Garamond"/>
        </w:rPr>
        <w:t xml:space="preserve">(Appendix B) </w:t>
      </w:r>
      <w:r w:rsidRPr="00A7555D">
        <w:rPr>
          <w:rFonts w:ascii="Garamond" w:hAnsi="Garamond" w:cs="Garamond"/>
        </w:rPr>
        <w:t>to introduce each round of data collection, and will send</w:t>
      </w:r>
      <w:r w:rsidR="008B0F44">
        <w:rPr>
          <w:rFonts w:ascii="Garamond" w:hAnsi="Garamond" w:cs="Garamond"/>
        </w:rPr>
        <w:t xml:space="preserve"> a round of</w:t>
      </w:r>
      <w:r w:rsidRPr="00A7555D">
        <w:rPr>
          <w:rFonts w:ascii="Garamond" w:hAnsi="Garamond" w:cs="Garamond"/>
        </w:rPr>
        <w:t xml:space="preserve"> interim letters </w:t>
      </w:r>
      <w:r>
        <w:rPr>
          <w:rFonts w:ascii="Garamond" w:hAnsi="Garamond" w:cs="Garamond"/>
        </w:rPr>
        <w:t xml:space="preserve">(Appendix C) </w:t>
      </w:r>
      <w:r w:rsidRPr="00A7555D">
        <w:rPr>
          <w:rFonts w:ascii="Garamond" w:hAnsi="Garamond" w:cs="Garamond"/>
        </w:rPr>
        <w:t xml:space="preserve">that include YouthBuild </w:t>
      </w:r>
      <w:r>
        <w:rPr>
          <w:rFonts w:ascii="Garamond" w:hAnsi="Garamond" w:cs="Garamond"/>
        </w:rPr>
        <w:t>e</w:t>
      </w:r>
      <w:r w:rsidRPr="00A7555D">
        <w:rPr>
          <w:rFonts w:ascii="Garamond" w:hAnsi="Garamond" w:cs="Garamond"/>
        </w:rPr>
        <w:t>valuation</w:t>
      </w:r>
      <w:r>
        <w:rPr>
          <w:rFonts w:ascii="Garamond" w:hAnsi="Garamond" w:cs="Garamond"/>
        </w:rPr>
        <w:t>-</w:t>
      </w:r>
      <w:r w:rsidRPr="00A7555D">
        <w:rPr>
          <w:rFonts w:ascii="Garamond" w:hAnsi="Garamond" w:cs="Garamond"/>
        </w:rPr>
        <w:t xml:space="preserve">branded items, such as USB drives or pens. </w:t>
      </w:r>
    </w:p>
    <w:p w:rsidR="00CE2F9D" w:rsidRDefault="00CE2F9D" w:rsidP="008A590C">
      <w:pPr>
        <w:tabs>
          <w:tab w:val="clear" w:pos="432"/>
        </w:tabs>
        <w:ind w:firstLine="720"/>
        <w:jc w:val="left"/>
        <w:rPr>
          <w:rFonts w:ascii="Garamond" w:hAnsi="Garamond" w:cs="Garamond"/>
        </w:rPr>
      </w:pPr>
      <w:r w:rsidRPr="00A7555D">
        <w:rPr>
          <w:rFonts w:ascii="Garamond" w:hAnsi="Garamond" w:cs="Garamond"/>
        </w:rPr>
        <w:lastRenderedPageBreak/>
        <w:t xml:space="preserve">Mathematica will begin making phone calls approximately four weeks after the launch of the web survey. </w:t>
      </w:r>
      <w:r>
        <w:rPr>
          <w:rFonts w:ascii="Garamond" w:hAnsi="Garamond" w:cs="Garamond"/>
        </w:rPr>
        <w:t xml:space="preserve"> </w:t>
      </w:r>
      <w:r w:rsidRPr="00A7555D">
        <w:rPr>
          <w:rFonts w:ascii="Garamond" w:hAnsi="Garamond" w:cs="Garamond"/>
        </w:rPr>
        <w:t>The web survey will r</w:t>
      </w:r>
      <w:r>
        <w:rPr>
          <w:rFonts w:ascii="Garamond" w:hAnsi="Garamond" w:cs="Garamond"/>
        </w:rPr>
        <w:t xml:space="preserve">emain active during this time.  Mathematica’s sample management system allows for concurrent multi-mode administrations and prevents surveys from being completed in more than one mode.  </w:t>
      </w:r>
      <w:r w:rsidRPr="00A7555D">
        <w:rPr>
          <w:rFonts w:ascii="Garamond" w:hAnsi="Garamond" w:cs="Garamond"/>
        </w:rPr>
        <w:t xml:space="preserve">Bilingual interviewers </w:t>
      </w:r>
      <w:r>
        <w:rPr>
          <w:rFonts w:ascii="Garamond" w:hAnsi="Garamond" w:cs="Garamond"/>
        </w:rPr>
        <w:t>conduct</w:t>
      </w:r>
      <w:r w:rsidRPr="00A7555D">
        <w:rPr>
          <w:rFonts w:ascii="Garamond" w:hAnsi="Garamond" w:cs="Garamond"/>
        </w:rPr>
        <w:t xml:space="preserve"> interviews in languages other than English.</w:t>
      </w:r>
    </w:p>
    <w:p w:rsidR="00CE2F9D" w:rsidRDefault="00CE2F9D" w:rsidP="008A590C">
      <w:pPr>
        <w:tabs>
          <w:tab w:val="clear" w:pos="432"/>
        </w:tabs>
        <w:ind w:firstLine="720"/>
        <w:jc w:val="left"/>
        <w:rPr>
          <w:rFonts w:ascii="Garamond" w:hAnsi="Garamond" w:cs="Garamond"/>
        </w:rPr>
      </w:pPr>
      <w:r w:rsidRPr="00A7555D">
        <w:rPr>
          <w:rFonts w:ascii="Garamond" w:hAnsi="Garamond" w:cs="Garamond"/>
        </w:rPr>
        <w:t xml:space="preserve">Sample members will be assigned to field </w:t>
      </w:r>
      <w:r>
        <w:rPr>
          <w:rFonts w:ascii="Garamond" w:hAnsi="Garamond" w:cs="Garamond"/>
        </w:rPr>
        <w:t>locators</w:t>
      </w:r>
      <w:r w:rsidRPr="00A7555D">
        <w:rPr>
          <w:rFonts w:ascii="Garamond" w:hAnsi="Garamond" w:cs="Garamond"/>
        </w:rPr>
        <w:t xml:space="preserve"> if they do not have a published telephone number, cannot be contacted aft</w:t>
      </w:r>
      <w:r>
        <w:rPr>
          <w:rFonts w:ascii="Garamond" w:hAnsi="Garamond" w:cs="Garamond"/>
        </w:rPr>
        <w:t>er multiple attempts, or refuse</w:t>
      </w:r>
      <w:r w:rsidRPr="00A7555D">
        <w:rPr>
          <w:rFonts w:ascii="Garamond" w:hAnsi="Garamond" w:cs="Garamond"/>
        </w:rPr>
        <w:t xml:space="preserve"> to complete the survey. </w:t>
      </w:r>
      <w:r>
        <w:rPr>
          <w:rFonts w:ascii="Garamond" w:hAnsi="Garamond" w:cs="Garamond"/>
        </w:rPr>
        <w:t xml:space="preserve"> </w:t>
      </w:r>
      <w:r w:rsidRPr="00A7555D">
        <w:rPr>
          <w:rFonts w:ascii="Garamond" w:hAnsi="Garamond" w:cs="Garamond"/>
        </w:rPr>
        <w:t xml:space="preserve">Field </w:t>
      </w:r>
      <w:r>
        <w:rPr>
          <w:rFonts w:ascii="Garamond" w:hAnsi="Garamond" w:cs="Garamond"/>
        </w:rPr>
        <w:t>locators</w:t>
      </w:r>
      <w:r w:rsidRPr="00A7555D">
        <w:rPr>
          <w:rFonts w:ascii="Garamond" w:hAnsi="Garamond" w:cs="Garamond"/>
        </w:rPr>
        <w:t xml:space="preserve"> will be informed of previous locating efforts, including efforts conducted through social media outlets, as well as interviewing attempts. </w:t>
      </w:r>
      <w:r>
        <w:rPr>
          <w:rFonts w:ascii="Garamond" w:hAnsi="Garamond" w:cs="Garamond"/>
        </w:rPr>
        <w:t xml:space="preserve"> </w:t>
      </w:r>
      <w:r w:rsidRPr="00A7555D">
        <w:rPr>
          <w:rFonts w:ascii="Garamond" w:hAnsi="Garamond" w:cs="Garamond"/>
        </w:rPr>
        <w:t xml:space="preserve">When field </w:t>
      </w:r>
      <w:r>
        <w:rPr>
          <w:rFonts w:ascii="Garamond" w:hAnsi="Garamond" w:cs="Garamond"/>
        </w:rPr>
        <w:t>locators</w:t>
      </w:r>
      <w:r w:rsidRPr="00A7555D">
        <w:rPr>
          <w:rFonts w:ascii="Garamond" w:hAnsi="Garamond" w:cs="Garamond"/>
        </w:rPr>
        <w:t xml:space="preserve"> find a sample member, they will</w:t>
      </w:r>
      <w:r>
        <w:rPr>
          <w:rFonts w:ascii="Garamond" w:hAnsi="Garamond" w:cs="Garamond"/>
        </w:rPr>
        <w:t xml:space="preserve"> gain cooperation, offer the sample member the use of a cell phone to call into Mathematica’s S</w:t>
      </w:r>
      <w:r w:rsidR="008B0F44">
        <w:rPr>
          <w:rFonts w:ascii="Garamond" w:hAnsi="Garamond" w:cs="Garamond"/>
        </w:rPr>
        <w:t>urvey</w:t>
      </w:r>
      <w:r>
        <w:rPr>
          <w:rFonts w:ascii="Garamond" w:hAnsi="Garamond" w:cs="Garamond"/>
        </w:rPr>
        <w:t xml:space="preserve"> Operations Center and wait to ensure the completion of the interview.  Table B.2</w:t>
      </w:r>
      <w:r w:rsidRPr="00A7555D">
        <w:rPr>
          <w:rFonts w:ascii="Garamond" w:hAnsi="Garamond" w:cs="Garamond"/>
        </w:rPr>
        <w:t xml:space="preserve"> shows the expected response rates by</w:t>
      </w:r>
      <w:r>
        <w:rPr>
          <w:rFonts w:ascii="Garamond" w:hAnsi="Garamond" w:cs="Garamond"/>
        </w:rPr>
        <w:t xml:space="preserve"> mode for each follow-up survey.  Because the results of the incentive experiment are unknown at this time, Table B.2 assumes that the higher incentive payment did not have a significant effect on response rates or costs.  If the “early bird” incentive proves effective, we would expect to see a larger proportion of cases completed on the web over time.  This table will be updated as part of our report on the findings from 12-month follow-up survey’s incentive experiment.  As shown in Table B.2, our expected response rates are based on our previous experiences with similarly aged populations.  On the 2008 NSRCG study, Mathematica completed 66 percent of the surveys via a web instrument, and the College Experiences Survey was able to complete 80 percent of its surveys by web.</w:t>
      </w:r>
      <w:r>
        <w:rPr>
          <w:rStyle w:val="FootnoteReference"/>
          <w:rFonts w:ascii="Garamond" w:hAnsi="Garamond"/>
        </w:rPr>
        <w:footnoteReference w:id="9"/>
      </w:r>
      <w:r w:rsidRPr="00D8100D">
        <w:rPr>
          <w:rFonts w:ascii="Garamond" w:hAnsi="Garamond" w:cs="Garamond"/>
          <w:vertAlign w:val="superscript"/>
        </w:rPr>
        <w:t>,</w:t>
      </w:r>
      <w:r>
        <w:rPr>
          <w:rFonts w:ascii="Garamond" w:hAnsi="Garamond" w:cs="Garamond"/>
        </w:rPr>
        <w:t xml:space="preserve"> </w:t>
      </w:r>
      <w:r>
        <w:rPr>
          <w:rStyle w:val="FootnoteReference"/>
          <w:rFonts w:ascii="Garamond" w:hAnsi="Garamond"/>
        </w:rPr>
        <w:footnoteReference w:id="10"/>
      </w:r>
      <w:r>
        <w:rPr>
          <w:rFonts w:ascii="Garamond" w:hAnsi="Garamond" w:cs="Garamond"/>
        </w:rPr>
        <w:t xml:space="preserve"> We reduced our expected proportion of web </w:t>
      </w:r>
      <w:r>
        <w:rPr>
          <w:rFonts w:ascii="Garamond" w:hAnsi="Garamond" w:cs="Garamond"/>
        </w:rPr>
        <w:lastRenderedPageBreak/>
        <w:t>completes for the YouthBuild survey because this is a more disadvantaged population, and we anticipate needing more interaction with sample members in order to have them complete the survey.  Our experience with longitudinal samples indicates that, over time, we will need to do more locating and require more direct interaction with sample members to get them to complete a survey, therefore our assumptions for the percentage of completes from field staff were increased for the second and third follow-ups.</w:t>
      </w:r>
    </w:p>
    <w:p w:rsidR="00CE2F9D" w:rsidRDefault="00CE2F9D" w:rsidP="008A590C">
      <w:pPr>
        <w:tabs>
          <w:tab w:val="clear" w:pos="432"/>
        </w:tabs>
        <w:autoSpaceDE w:val="0"/>
        <w:autoSpaceDN w:val="0"/>
        <w:adjustRightInd w:val="0"/>
        <w:spacing w:line="240" w:lineRule="auto"/>
        <w:ind w:firstLine="0"/>
        <w:jc w:val="left"/>
        <w:rPr>
          <w:rFonts w:ascii="Garamond" w:hAnsi="Garamond" w:cs="Garamond"/>
          <w:b/>
          <w:bCs/>
          <w:color w:val="000000"/>
          <w:sz w:val="23"/>
          <w:szCs w:val="23"/>
        </w:rPr>
      </w:pPr>
      <w:r w:rsidRPr="00A7555D">
        <w:rPr>
          <w:rFonts w:ascii="Garamond" w:hAnsi="Garamond" w:cs="Garamond"/>
          <w:b/>
          <w:bCs/>
          <w:color w:val="000000"/>
          <w:sz w:val="23"/>
          <w:szCs w:val="23"/>
        </w:rPr>
        <w:t>Table B.</w:t>
      </w:r>
      <w:r>
        <w:rPr>
          <w:rFonts w:ascii="Garamond" w:hAnsi="Garamond" w:cs="Garamond"/>
          <w:b/>
          <w:bCs/>
          <w:color w:val="000000"/>
          <w:sz w:val="23"/>
          <w:szCs w:val="23"/>
        </w:rPr>
        <w:t>2</w:t>
      </w:r>
    </w:p>
    <w:p w:rsidR="00CE2F9D" w:rsidRDefault="00CE2F9D" w:rsidP="008A590C">
      <w:pPr>
        <w:tabs>
          <w:tab w:val="clear" w:pos="432"/>
        </w:tabs>
        <w:autoSpaceDE w:val="0"/>
        <w:autoSpaceDN w:val="0"/>
        <w:adjustRightInd w:val="0"/>
        <w:spacing w:line="240" w:lineRule="auto"/>
        <w:ind w:firstLine="0"/>
        <w:jc w:val="left"/>
        <w:rPr>
          <w:rFonts w:ascii="Garamond" w:hAnsi="Garamond" w:cs="Garamond"/>
          <w:color w:val="000000"/>
          <w:sz w:val="23"/>
          <w:szCs w:val="23"/>
        </w:rPr>
      </w:pPr>
    </w:p>
    <w:p w:rsidR="00CE2F9D" w:rsidRDefault="00CE2F9D" w:rsidP="008A590C">
      <w:pPr>
        <w:tabs>
          <w:tab w:val="clear" w:pos="432"/>
        </w:tabs>
        <w:autoSpaceDE w:val="0"/>
        <w:autoSpaceDN w:val="0"/>
        <w:adjustRightInd w:val="0"/>
        <w:spacing w:line="240" w:lineRule="auto"/>
        <w:ind w:firstLine="0"/>
        <w:jc w:val="left"/>
        <w:rPr>
          <w:rFonts w:ascii="Garamond" w:hAnsi="Garamond" w:cs="Garamond"/>
          <w:b/>
          <w:bCs/>
          <w:color w:val="000000"/>
          <w:sz w:val="23"/>
          <w:szCs w:val="23"/>
        </w:rPr>
      </w:pPr>
      <w:r>
        <w:rPr>
          <w:rFonts w:ascii="Garamond" w:hAnsi="Garamond" w:cs="Garamond"/>
          <w:b/>
          <w:bCs/>
          <w:color w:val="000000"/>
          <w:sz w:val="23"/>
          <w:szCs w:val="23"/>
        </w:rPr>
        <w:t xml:space="preserve">Anticipated </w:t>
      </w:r>
      <w:r w:rsidRPr="00A7555D">
        <w:rPr>
          <w:rFonts w:ascii="Garamond" w:hAnsi="Garamond" w:cs="Garamond"/>
          <w:b/>
          <w:bCs/>
          <w:color w:val="000000"/>
          <w:sz w:val="23"/>
          <w:szCs w:val="23"/>
        </w:rPr>
        <w:t>Response Rates by Mode of Administration</w:t>
      </w:r>
    </w:p>
    <w:p w:rsidR="00CE2F9D" w:rsidRDefault="00CE2F9D" w:rsidP="008A590C">
      <w:pPr>
        <w:tabs>
          <w:tab w:val="clear" w:pos="432"/>
        </w:tabs>
        <w:autoSpaceDE w:val="0"/>
        <w:autoSpaceDN w:val="0"/>
        <w:adjustRightInd w:val="0"/>
        <w:spacing w:line="240" w:lineRule="auto"/>
        <w:ind w:firstLine="0"/>
        <w:jc w:val="left"/>
        <w:rPr>
          <w:rFonts w:ascii="Garamond" w:hAnsi="Garamond" w:cs="Garamond"/>
          <w:color w:val="000000"/>
          <w:sz w:val="23"/>
          <w:szCs w:val="23"/>
        </w:rPr>
      </w:pPr>
    </w:p>
    <w:tbl>
      <w:tblPr>
        <w:tblStyle w:val="TableGrid"/>
        <w:tblW w:w="9664" w:type="dxa"/>
        <w:tblLayout w:type="fixed"/>
        <w:tblLook w:val="0000"/>
      </w:tblPr>
      <w:tblGrid>
        <w:gridCol w:w="1834"/>
        <w:gridCol w:w="635"/>
        <w:gridCol w:w="1155"/>
        <w:gridCol w:w="1180"/>
        <w:gridCol w:w="1260"/>
        <w:gridCol w:w="990"/>
        <w:gridCol w:w="1260"/>
        <w:gridCol w:w="1350"/>
      </w:tblGrid>
      <w:tr w:rsidR="00CE2F9D" w:rsidRPr="00A7555D" w:rsidTr="00D70172">
        <w:trPr>
          <w:trHeight w:val="532"/>
        </w:trPr>
        <w:tc>
          <w:tcPr>
            <w:tcW w:w="1834" w:type="dxa"/>
          </w:tcPr>
          <w:p w:rsidR="00CE2F9D" w:rsidRDefault="00CE2F9D" w:rsidP="008A590C">
            <w:pPr>
              <w:tabs>
                <w:tab w:val="clear" w:pos="432"/>
              </w:tabs>
              <w:autoSpaceDE w:val="0"/>
              <w:autoSpaceDN w:val="0"/>
              <w:adjustRightInd w:val="0"/>
              <w:spacing w:line="240" w:lineRule="auto"/>
              <w:ind w:firstLine="0"/>
              <w:jc w:val="left"/>
              <w:rPr>
                <w:rFonts w:ascii="Garamond" w:hAnsi="Garamond" w:cs="Garamond"/>
                <w:color w:val="000000"/>
                <w:sz w:val="20"/>
                <w:szCs w:val="20"/>
              </w:rPr>
            </w:pPr>
          </w:p>
        </w:tc>
        <w:tc>
          <w:tcPr>
            <w:tcW w:w="4230" w:type="dxa"/>
            <w:gridSpan w:val="4"/>
          </w:tcPr>
          <w:p w:rsidR="00CE2F9D" w:rsidRDefault="00CE2F9D" w:rsidP="008A590C">
            <w:pPr>
              <w:tabs>
                <w:tab w:val="clear" w:pos="432"/>
              </w:tabs>
              <w:autoSpaceDE w:val="0"/>
              <w:autoSpaceDN w:val="0"/>
              <w:adjustRightInd w:val="0"/>
              <w:spacing w:line="240" w:lineRule="auto"/>
              <w:ind w:firstLine="0"/>
              <w:jc w:val="left"/>
              <w:rPr>
                <w:rFonts w:ascii="Garamond" w:hAnsi="Garamond" w:cs="Garamond"/>
                <w:b/>
                <w:bCs/>
                <w:color w:val="000000"/>
                <w:sz w:val="20"/>
                <w:szCs w:val="20"/>
              </w:rPr>
            </w:pPr>
            <w:r w:rsidRPr="00A7555D">
              <w:rPr>
                <w:rFonts w:ascii="Garamond" w:hAnsi="Garamond" w:cs="Garamond"/>
                <w:b/>
                <w:bCs/>
                <w:color w:val="000000"/>
                <w:sz w:val="20"/>
                <w:szCs w:val="20"/>
              </w:rPr>
              <w:t>Completion Rates (Percents)</w:t>
            </w:r>
          </w:p>
        </w:tc>
        <w:tc>
          <w:tcPr>
            <w:tcW w:w="3600" w:type="dxa"/>
            <w:gridSpan w:val="3"/>
          </w:tcPr>
          <w:p w:rsidR="00CE2F9D" w:rsidRDefault="00CE2F9D" w:rsidP="008A590C">
            <w:pPr>
              <w:tabs>
                <w:tab w:val="clear" w:pos="432"/>
              </w:tabs>
              <w:autoSpaceDE w:val="0"/>
              <w:autoSpaceDN w:val="0"/>
              <w:adjustRightInd w:val="0"/>
              <w:spacing w:line="240" w:lineRule="auto"/>
              <w:ind w:firstLine="0"/>
              <w:jc w:val="left"/>
              <w:rPr>
                <w:rFonts w:ascii="Garamond" w:hAnsi="Garamond" w:cs="Garamond"/>
                <w:color w:val="000000"/>
                <w:sz w:val="20"/>
                <w:szCs w:val="20"/>
              </w:rPr>
            </w:pPr>
            <w:r w:rsidRPr="00A7555D">
              <w:rPr>
                <w:rFonts w:ascii="Garamond" w:hAnsi="Garamond" w:cs="Garamond"/>
                <w:b/>
                <w:bCs/>
                <w:color w:val="000000"/>
                <w:sz w:val="20"/>
                <w:szCs w:val="20"/>
              </w:rPr>
              <w:t>Nonresponse</w:t>
            </w:r>
          </w:p>
          <w:p w:rsidR="00CE2F9D" w:rsidRDefault="00CE2F9D" w:rsidP="008A590C">
            <w:pPr>
              <w:tabs>
                <w:tab w:val="clear" w:pos="432"/>
              </w:tabs>
              <w:autoSpaceDE w:val="0"/>
              <w:autoSpaceDN w:val="0"/>
              <w:adjustRightInd w:val="0"/>
              <w:spacing w:line="240" w:lineRule="auto"/>
              <w:ind w:firstLine="0"/>
              <w:jc w:val="left"/>
              <w:rPr>
                <w:rFonts w:ascii="Garamond" w:hAnsi="Garamond" w:cs="Garamond"/>
                <w:b/>
                <w:bCs/>
                <w:color w:val="000000"/>
                <w:sz w:val="20"/>
                <w:szCs w:val="20"/>
              </w:rPr>
            </w:pPr>
            <w:r w:rsidRPr="00A7555D">
              <w:rPr>
                <w:rFonts w:ascii="Garamond" w:hAnsi="Garamond" w:cs="Garamond"/>
                <w:b/>
                <w:bCs/>
                <w:color w:val="000000"/>
                <w:sz w:val="20"/>
                <w:szCs w:val="20"/>
              </w:rPr>
              <w:t>(Percents)</w:t>
            </w:r>
          </w:p>
        </w:tc>
      </w:tr>
      <w:tr w:rsidR="00CE2F9D" w:rsidRPr="00A7555D" w:rsidTr="00D70172">
        <w:trPr>
          <w:trHeight w:val="532"/>
        </w:trPr>
        <w:tc>
          <w:tcPr>
            <w:tcW w:w="1834" w:type="dxa"/>
          </w:tcPr>
          <w:p w:rsidR="00CE2F9D" w:rsidRDefault="00CE2F9D" w:rsidP="008A590C">
            <w:pPr>
              <w:tabs>
                <w:tab w:val="clear" w:pos="432"/>
              </w:tabs>
              <w:autoSpaceDE w:val="0"/>
              <w:autoSpaceDN w:val="0"/>
              <w:adjustRightInd w:val="0"/>
              <w:spacing w:line="240" w:lineRule="auto"/>
              <w:ind w:firstLine="0"/>
              <w:jc w:val="left"/>
              <w:rPr>
                <w:rFonts w:ascii="Garamond" w:hAnsi="Garamond" w:cs="Garamond"/>
                <w:color w:val="000000"/>
                <w:sz w:val="20"/>
                <w:szCs w:val="20"/>
              </w:rPr>
            </w:pPr>
            <w:r w:rsidRPr="00A7555D">
              <w:rPr>
                <w:rFonts w:ascii="Garamond" w:hAnsi="Garamond" w:cs="Garamond"/>
                <w:b/>
                <w:bCs/>
                <w:color w:val="000000"/>
                <w:sz w:val="20"/>
                <w:szCs w:val="20"/>
              </w:rPr>
              <w:t>Survey Round</w:t>
            </w:r>
          </w:p>
        </w:tc>
        <w:tc>
          <w:tcPr>
            <w:tcW w:w="635" w:type="dxa"/>
          </w:tcPr>
          <w:p w:rsidR="00CE2F9D" w:rsidRDefault="00CE2F9D" w:rsidP="008A590C">
            <w:pPr>
              <w:tabs>
                <w:tab w:val="clear" w:pos="432"/>
              </w:tabs>
              <w:autoSpaceDE w:val="0"/>
              <w:autoSpaceDN w:val="0"/>
              <w:adjustRightInd w:val="0"/>
              <w:spacing w:line="240" w:lineRule="auto"/>
              <w:ind w:firstLine="0"/>
              <w:jc w:val="left"/>
              <w:rPr>
                <w:rFonts w:ascii="Garamond" w:hAnsi="Garamond" w:cs="Garamond"/>
                <w:color w:val="000000"/>
                <w:sz w:val="20"/>
                <w:szCs w:val="20"/>
              </w:rPr>
            </w:pPr>
            <w:r w:rsidRPr="00A7555D">
              <w:rPr>
                <w:rFonts w:ascii="Garamond" w:hAnsi="Garamond" w:cs="Garamond"/>
                <w:b/>
                <w:bCs/>
                <w:color w:val="000000"/>
                <w:sz w:val="20"/>
                <w:szCs w:val="20"/>
              </w:rPr>
              <w:t>Web</w:t>
            </w:r>
          </w:p>
        </w:tc>
        <w:tc>
          <w:tcPr>
            <w:tcW w:w="1155" w:type="dxa"/>
          </w:tcPr>
          <w:p w:rsidR="00CE2F9D" w:rsidRDefault="00CE2F9D" w:rsidP="008A590C">
            <w:pPr>
              <w:tabs>
                <w:tab w:val="clear" w:pos="432"/>
              </w:tabs>
              <w:autoSpaceDE w:val="0"/>
              <w:autoSpaceDN w:val="0"/>
              <w:adjustRightInd w:val="0"/>
              <w:spacing w:line="240" w:lineRule="auto"/>
              <w:ind w:firstLine="0"/>
              <w:jc w:val="left"/>
              <w:rPr>
                <w:rFonts w:ascii="Garamond" w:hAnsi="Garamond" w:cs="Garamond"/>
                <w:color w:val="000000"/>
                <w:sz w:val="20"/>
                <w:szCs w:val="20"/>
              </w:rPr>
            </w:pPr>
            <w:r w:rsidRPr="00A7555D">
              <w:rPr>
                <w:rFonts w:ascii="Garamond" w:hAnsi="Garamond" w:cs="Garamond"/>
                <w:b/>
                <w:bCs/>
                <w:color w:val="000000"/>
                <w:sz w:val="20"/>
                <w:szCs w:val="20"/>
              </w:rPr>
              <w:t>Telephone</w:t>
            </w:r>
          </w:p>
          <w:p w:rsidR="00CE2F9D" w:rsidRDefault="00CE2F9D" w:rsidP="008A590C">
            <w:pPr>
              <w:tabs>
                <w:tab w:val="clear" w:pos="432"/>
              </w:tabs>
              <w:autoSpaceDE w:val="0"/>
              <w:autoSpaceDN w:val="0"/>
              <w:adjustRightInd w:val="0"/>
              <w:spacing w:line="240" w:lineRule="auto"/>
              <w:ind w:firstLine="0"/>
              <w:jc w:val="left"/>
              <w:rPr>
                <w:rFonts w:ascii="Garamond" w:hAnsi="Garamond" w:cs="Garamond"/>
                <w:color w:val="000000"/>
                <w:sz w:val="20"/>
                <w:szCs w:val="20"/>
              </w:rPr>
            </w:pPr>
            <w:r w:rsidRPr="00A7555D">
              <w:rPr>
                <w:rFonts w:ascii="Garamond" w:hAnsi="Garamond" w:cs="Garamond"/>
                <w:b/>
                <w:bCs/>
                <w:color w:val="000000"/>
                <w:sz w:val="20"/>
                <w:szCs w:val="20"/>
              </w:rPr>
              <w:t>(CATI)</w:t>
            </w:r>
          </w:p>
        </w:tc>
        <w:tc>
          <w:tcPr>
            <w:tcW w:w="1180" w:type="dxa"/>
          </w:tcPr>
          <w:p w:rsidR="00CE2F9D" w:rsidRDefault="00CE2F9D" w:rsidP="008A590C">
            <w:pPr>
              <w:tabs>
                <w:tab w:val="clear" w:pos="432"/>
              </w:tabs>
              <w:autoSpaceDE w:val="0"/>
              <w:autoSpaceDN w:val="0"/>
              <w:adjustRightInd w:val="0"/>
              <w:spacing w:line="240" w:lineRule="auto"/>
              <w:ind w:firstLine="0"/>
              <w:jc w:val="left"/>
              <w:rPr>
                <w:rFonts w:ascii="Garamond" w:hAnsi="Garamond" w:cs="Garamond"/>
                <w:color w:val="000000"/>
                <w:sz w:val="20"/>
                <w:szCs w:val="20"/>
              </w:rPr>
            </w:pPr>
            <w:r w:rsidRPr="00A7555D">
              <w:rPr>
                <w:rFonts w:ascii="Garamond" w:hAnsi="Garamond" w:cs="Garamond"/>
                <w:b/>
                <w:bCs/>
                <w:color w:val="000000"/>
                <w:sz w:val="20"/>
                <w:szCs w:val="20"/>
              </w:rPr>
              <w:t>Field/Cell Phone</w:t>
            </w:r>
          </w:p>
        </w:tc>
        <w:tc>
          <w:tcPr>
            <w:tcW w:w="1260" w:type="dxa"/>
          </w:tcPr>
          <w:p w:rsidR="00CE2F9D" w:rsidRDefault="00CE2F9D" w:rsidP="008A590C">
            <w:pPr>
              <w:tabs>
                <w:tab w:val="clear" w:pos="432"/>
              </w:tabs>
              <w:autoSpaceDE w:val="0"/>
              <w:autoSpaceDN w:val="0"/>
              <w:adjustRightInd w:val="0"/>
              <w:spacing w:line="240" w:lineRule="auto"/>
              <w:ind w:firstLine="0"/>
              <w:jc w:val="left"/>
              <w:rPr>
                <w:rFonts w:ascii="Garamond" w:hAnsi="Garamond" w:cs="Garamond"/>
                <w:b/>
                <w:bCs/>
                <w:color w:val="000000"/>
                <w:sz w:val="20"/>
                <w:szCs w:val="20"/>
              </w:rPr>
            </w:pPr>
            <w:r w:rsidRPr="00A7555D">
              <w:rPr>
                <w:rFonts w:ascii="Garamond" w:hAnsi="Garamond" w:cs="Garamond"/>
                <w:b/>
                <w:bCs/>
                <w:color w:val="000000"/>
                <w:sz w:val="20"/>
                <w:szCs w:val="20"/>
              </w:rPr>
              <w:t>Total Completion Rate</w:t>
            </w:r>
          </w:p>
        </w:tc>
        <w:tc>
          <w:tcPr>
            <w:tcW w:w="990" w:type="dxa"/>
          </w:tcPr>
          <w:p w:rsidR="00CE2F9D" w:rsidRDefault="00CE2F9D" w:rsidP="008A590C">
            <w:pPr>
              <w:tabs>
                <w:tab w:val="clear" w:pos="432"/>
              </w:tabs>
              <w:autoSpaceDE w:val="0"/>
              <w:autoSpaceDN w:val="0"/>
              <w:adjustRightInd w:val="0"/>
              <w:spacing w:line="240" w:lineRule="auto"/>
              <w:ind w:firstLine="0"/>
              <w:jc w:val="left"/>
              <w:rPr>
                <w:rFonts w:ascii="Garamond" w:hAnsi="Garamond" w:cs="Garamond"/>
                <w:color w:val="000000"/>
                <w:sz w:val="20"/>
                <w:szCs w:val="20"/>
              </w:rPr>
            </w:pPr>
            <w:r w:rsidRPr="00A7555D">
              <w:rPr>
                <w:rFonts w:ascii="Garamond" w:hAnsi="Garamond" w:cs="Garamond"/>
                <w:b/>
                <w:bCs/>
                <w:color w:val="000000"/>
                <w:sz w:val="20"/>
                <w:szCs w:val="20"/>
              </w:rPr>
              <w:t>Refusals</w:t>
            </w:r>
          </w:p>
        </w:tc>
        <w:tc>
          <w:tcPr>
            <w:tcW w:w="1260" w:type="dxa"/>
          </w:tcPr>
          <w:p w:rsidR="00CE2F9D" w:rsidRDefault="00CE2F9D" w:rsidP="008A590C">
            <w:pPr>
              <w:tabs>
                <w:tab w:val="clear" w:pos="432"/>
              </w:tabs>
              <w:autoSpaceDE w:val="0"/>
              <w:autoSpaceDN w:val="0"/>
              <w:adjustRightInd w:val="0"/>
              <w:spacing w:line="240" w:lineRule="auto"/>
              <w:ind w:firstLine="0"/>
              <w:jc w:val="left"/>
              <w:rPr>
                <w:rFonts w:ascii="Garamond" w:hAnsi="Garamond" w:cs="Garamond"/>
                <w:color w:val="000000"/>
                <w:sz w:val="20"/>
                <w:szCs w:val="20"/>
              </w:rPr>
            </w:pPr>
            <w:proofErr w:type="spellStart"/>
            <w:r w:rsidRPr="00A7555D">
              <w:rPr>
                <w:rFonts w:ascii="Garamond" w:hAnsi="Garamond" w:cs="Garamond"/>
                <w:b/>
                <w:bCs/>
                <w:color w:val="000000"/>
                <w:sz w:val="20"/>
                <w:szCs w:val="20"/>
              </w:rPr>
              <w:t>Unlocatable</w:t>
            </w:r>
            <w:proofErr w:type="spellEnd"/>
          </w:p>
        </w:tc>
        <w:tc>
          <w:tcPr>
            <w:tcW w:w="1350" w:type="dxa"/>
          </w:tcPr>
          <w:p w:rsidR="00CE2F9D" w:rsidRDefault="00CE2F9D" w:rsidP="008A590C">
            <w:pPr>
              <w:tabs>
                <w:tab w:val="clear" w:pos="432"/>
              </w:tabs>
              <w:autoSpaceDE w:val="0"/>
              <w:autoSpaceDN w:val="0"/>
              <w:adjustRightInd w:val="0"/>
              <w:spacing w:line="240" w:lineRule="auto"/>
              <w:ind w:firstLine="0"/>
              <w:jc w:val="left"/>
              <w:rPr>
                <w:rFonts w:ascii="Garamond" w:hAnsi="Garamond" w:cs="Garamond"/>
                <w:b/>
                <w:bCs/>
                <w:color w:val="000000"/>
                <w:sz w:val="20"/>
                <w:szCs w:val="20"/>
              </w:rPr>
            </w:pPr>
            <w:r w:rsidRPr="00A7555D">
              <w:rPr>
                <w:rFonts w:ascii="Garamond" w:hAnsi="Garamond" w:cs="Garamond"/>
                <w:b/>
                <w:bCs/>
                <w:color w:val="000000"/>
                <w:sz w:val="20"/>
                <w:szCs w:val="20"/>
              </w:rPr>
              <w:t>Total Nonresponse</w:t>
            </w:r>
          </w:p>
        </w:tc>
      </w:tr>
      <w:tr w:rsidR="00CE2F9D" w:rsidRPr="00A7555D" w:rsidTr="00D70172">
        <w:trPr>
          <w:trHeight w:val="263"/>
        </w:trPr>
        <w:tc>
          <w:tcPr>
            <w:tcW w:w="1834" w:type="dxa"/>
          </w:tcPr>
          <w:p w:rsidR="00CE2F9D" w:rsidRDefault="00CE2F9D" w:rsidP="008A590C">
            <w:pPr>
              <w:tabs>
                <w:tab w:val="clear" w:pos="432"/>
              </w:tabs>
              <w:autoSpaceDE w:val="0"/>
              <w:autoSpaceDN w:val="0"/>
              <w:adjustRightInd w:val="0"/>
              <w:spacing w:line="240" w:lineRule="auto"/>
              <w:ind w:firstLine="0"/>
              <w:jc w:val="left"/>
              <w:rPr>
                <w:rFonts w:ascii="Garamond" w:hAnsi="Garamond" w:cs="Garamond"/>
                <w:color w:val="000000"/>
                <w:sz w:val="20"/>
                <w:szCs w:val="20"/>
              </w:rPr>
            </w:pPr>
            <w:r>
              <w:rPr>
                <w:rFonts w:ascii="Garamond" w:hAnsi="Garamond" w:cs="Garamond"/>
                <w:color w:val="000000"/>
                <w:sz w:val="20"/>
                <w:szCs w:val="20"/>
              </w:rPr>
              <w:t>12</w:t>
            </w:r>
            <w:r w:rsidRPr="00A7555D">
              <w:rPr>
                <w:rFonts w:ascii="Garamond" w:hAnsi="Garamond" w:cs="Garamond"/>
                <w:color w:val="000000"/>
                <w:sz w:val="20"/>
                <w:szCs w:val="20"/>
              </w:rPr>
              <w:t>-Month Survey</w:t>
            </w:r>
          </w:p>
        </w:tc>
        <w:tc>
          <w:tcPr>
            <w:tcW w:w="635" w:type="dxa"/>
          </w:tcPr>
          <w:p w:rsidR="00CE2F9D" w:rsidRDefault="00CE2F9D" w:rsidP="008A590C">
            <w:pPr>
              <w:tabs>
                <w:tab w:val="clear" w:pos="432"/>
              </w:tabs>
              <w:autoSpaceDE w:val="0"/>
              <w:autoSpaceDN w:val="0"/>
              <w:adjustRightInd w:val="0"/>
              <w:spacing w:line="240" w:lineRule="auto"/>
              <w:ind w:firstLine="0"/>
              <w:jc w:val="left"/>
              <w:rPr>
                <w:rFonts w:ascii="Garamond" w:hAnsi="Garamond" w:cs="Garamond"/>
                <w:color w:val="000000"/>
                <w:sz w:val="20"/>
                <w:szCs w:val="20"/>
              </w:rPr>
            </w:pPr>
            <w:r w:rsidRPr="00A7555D">
              <w:rPr>
                <w:rFonts w:ascii="Garamond" w:hAnsi="Garamond" w:cs="Garamond"/>
                <w:color w:val="000000"/>
                <w:sz w:val="20"/>
                <w:szCs w:val="20"/>
              </w:rPr>
              <w:t>20</w:t>
            </w:r>
          </w:p>
        </w:tc>
        <w:tc>
          <w:tcPr>
            <w:tcW w:w="1155" w:type="dxa"/>
          </w:tcPr>
          <w:p w:rsidR="00CE2F9D" w:rsidRDefault="00CE2F9D" w:rsidP="008A590C">
            <w:pPr>
              <w:tabs>
                <w:tab w:val="clear" w:pos="432"/>
              </w:tabs>
              <w:autoSpaceDE w:val="0"/>
              <w:autoSpaceDN w:val="0"/>
              <w:adjustRightInd w:val="0"/>
              <w:spacing w:line="240" w:lineRule="auto"/>
              <w:ind w:firstLine="0"/>
              <w:jc w:val="left"/>
              <w:rPr>
                <w:rFonts w:ascii="Garamond" w:hAnsi="Garamond" w:cs="Garamond"/>
                <w:color w:val="000000"/>
                <w:sz w:val="20"/>
                <w:szCs w:val="20"/>
              </w:rPr>
            </w:pPr>
            <w:r w:rsidRPr="00A7555D">
              <w:rPr>
                <w:rFonts w:ascii="Garamond" w:hAnsi="Garamond" w:cs="Garamond"/>
                <w:color w:val="000000"/>
                <w:sz w:val="20"/>
                <w:szCs w:val="20"/>
              </w:rPr>
              <w:t>40</w:t>
            </w:r>
          </w:p>
        </w:tc>
        <w:tc>
          <w:tcPr>
            <w:tcW w:w="1180" w:type="dxa"/>
          </w:tcPr>
          <w:p w:rsidR="00CE2F9D" w:rsidRDefault="00CE2F9D" w:rsidP="008A590C">
            <w:pPr>
              <w:tabs>
                <w:tab w:val="clear" w:pos="432"/>
              </w:tabs>
              <w:autoSpaceDE w:val="0"/>
              <w:autoSpaceDN w:val="0"/>
              <w:adjustRightInd w:val="0"/>
              <w:spacing w:line="240" w:lineRule="auto"/>
              <w:ind w:firstLine="0"/>
              <w:jc w:val="left"/>
              <w:rPr>
                <w:rFonts w:ascii="Garamond" w:hAnsi="Garamond" w:cs="Garamond"/>
                <w:color w:val="000000"/>
                <w:sz w:val="20"/>
                <w:szCs w:val="20"/>
              </w:rPr>
            </w:pPr>
            <w:r w:rsidRPr="00A7555D">
              <w:rPr>
                <w:rFonts w:ascii="Garamond" w:hAnsi="Garamond" w:cs="Garamond"/>
                <w:color w:val="000000"/>
                <w:sz w:val="20"/>
                <w:szCs w:val="20"/>
              </w:rPr>
              <w:t>20</w:t>
            </w:r>
          </w:p>
        </w:tc>
        <w:tc>
          <w:tcPr>
            <w:tcW w:w="1260" w:type="dxa"/>
          </w:tcPr>
          <w:p w:rsidR="00CE2F9D" w:rsidRDefault="00CE2F9D" w:rsidP="008A590C">
            <w:pPr>
              <w:tabs>
                <w:tab w:val="clear" w:pos="432"/>
              </w:tabs>
              <w:autoSpaceDE w:val="0"/>
              <w:autoSpaceDN w:val="0"/>
              <w:adjustRightInd w:val="0"/>
              <w:spacing w:line="240" w:lineRule="auto"/>
              <w:ind w:firstLine="0"/>
              <w:jc w:val="left"/>
              <w:rPr>
                <w:rFonts w:ascii="Garamond" w:hAnsi="Garamond" w:cs="Garamond"/>
                <w:color w:val="000000"/>
                <w:sz w:val="20"/>
                <w:szCs w:val="20"/>
              </w:rPr>
            </w:pPr>
            <w:r w:rsidRPr="00A7555D">
              <w:rPr>
                <w:rFonts w:ascii="Garamond" w:hAnsi="Garamond" w:cs="Garamond"/>
                <w:color w:val="000000"/>
                <w:sz w:val="20"/>
                <w:szCs w:val="20"/>
              </w:rPr>
              <w:t>80</w:t>
            </w:r>
          </w:p>
        </w:tc>
        <w:tc>
          <w:tcPr>
            <w:tcW w:w="990" w:type="dxa"/>
          </w:tcPr>
          <w:p w:rsidR="00CE2F9D" w:rsidRDefault="00CE2F9D" w:rsidP="008A590C">
            <w:pPr>
              <w:tabs>
                <w:tab w:val="clear" w:pos="432"/>
              </w:tabs>
              <w:autoSpaceDE w:val="0"/>
              <w:autoSpaceDN w:val="0"/>
              <w:adjustRightInd w:val="0"/>
              <w:spacing w:line="240" w:lineRule="auto"/>
              <w:ind w:firstLine="0"/>
              <w:jc w:val="left"/>
              <w:rPr>
                <w:rFonts w:ascii="Garamond" w:hAnsi="Garamond" w:cs="Garamond"/>
                <w:color w:val="000000"/>
                <w:sz w:val="20"/>
                <w:szCs w:val="20"/>
              </w:rPr>
            </w:pPr>
            <w:r w:rsidRPr="00A7555D">
              <w:rPr>
                <w:rFonts w:ascii="Garamond" w:hAnsi="Garamond" w:cs="Garamond"/>
                <w:color w:val="000000"/>
                <w:sz w:val="20"/>
                <w:szCs w:val="20"/>
              </w:rPr>
              <w:t>5</w:t>
            </w:r>
          </w:p>
        </w:tc>
        <w:tc>
          <w:tcPr>
            <w:tcW w:w="1260" w:type="dxa"/>
          </w:tcPr>
          <w:p w:rsidR="00CE2F9D" w:rsidRDefault="00CE2F9D" w:rsidP="008A590C">
            <w:pPr>
              <w:tabs>
                <w:tab w:val="clear" w:pos="432"/>
              </w:tabs>
              <w:autoSpaceDE w:val="0"/>
              <w:autoSpaceDN w:val="0"/>
              <w:adjustRightInd w:val="0"/>
              <w:spacing w:line="240" w:lineRule="auto"/>
              <w:ind w:firstLine="0"/>
              <w:jc w:val="left"/>
              <w:rPr>
                <w:rFonts w:ascii="Garamond" w:hAnsi="Garamond" w:cs="Garamond"/>
                <w:color w:val="000000"/>
                <w:sz w:val="20"/>
                <w:szCs w:val="20"/>
              </w:rPr>
            </w:pPr>
            <w:r w:rsidRPr="00A7555D">
              <w:rPr>
                <w:rFonts w:ascii="Garamond" w:hAnsi="Garamond" w:cs="Garamond"/>
                <w:color w:val="000000"/>
                <w:sz w:val="20"/>
                <w:szCs w:val="20"/>
              </w:rPr>
              <w:t>15</w:t>
            </w:r>
          </w:p>
        </w:tc>
        <w:tc>
          <w:tcPr>
            <w:tcW w:w="1350" w:type="dxa"/>
          </w:tcPr>
          <w:p w:rsidR="00CE2F9D" w:rsidRDefault="00CE2F9D" w:rsidP="008A590C">
            <w:pPr>
              <w:tabs>
                <w:tab w:val="clear" w:pos="432"/>
              </w:tabs>
              <w:autoSpaceDE w:val="0"/>
              <w:autoSpaceDN w:val="0"/>
              <w:adjustRightInd w:val="0"/>
              <w:spacing w:line="240" w:lineRule="auto"/>
              <w:ind w:firstLine="0"/>
              <w:jc w:val="left"/>
              <w:rPr>
                <w:rFonts w:ascii="Garamond" w:hAnsi="Garamond" w:cs="Garamond"/>
                <w:color w:val="000000"/>
                <w:sz w:val="20"/>
                <w:szCs w:val="20"/>
              </w:rPr>
            </w:pPr>
            <w:r w:rsidRPr="00A7555D">
              <w:rPr>
                <w:rFonts w:ascii="Garamond" w:hAnsi="Garamond" w:cs="Garamond"/>
                <w:color w:val="000000"/>
                <w:sz w:val="20"/>
                <w:szCs w:val="20"/>
              </w:rPr>
              <w:t>20</w:t>
            </w:r>
          </w:p>
        </w:tc>
      </w:tr>
      <w:tr w:rsidR="00CE2F9D" w:rsidRPr="00A7555D" w:rsidTr="00D70172">
        <w:trPr>
          <w:trHeight w:val="263"/>
        </w:trPr>
        <w:tc>
          <w:tcPr>
            <w:tcW w:w="1834" w:type="dxa"/>
          </w:tcPr>
          <w:p w:rsidR="00CE2F9D" w:rsidRDefault="00CE2F9D" w:rsidP="008A590C">
            <w:pPr>
              <w:tabs>
                <w:tab w:val="clear" w:pos="432"/>
              </w:tabs>
              <w:autoSpaceDE w:val="0"/>
              <w:autoSpaceDN w:val="0"/>
              <w:adjustRightInd w:val="0"/>
              <w:spacing w:line="240" w:lineRule="auto"/>
              <w:ind w:firstLine="0"/>
              <w:jc w:val="left"/>
              <w:rPr>
                <w:rFonts w:ascii="Garamond" w:hAnsi="Garamond" w:cs="Garamond"/>
                <w:color w:val="000000"/>
                <w:sz w:val="20"/>
                <w:szCs w:val="20"/>
              </w:rPr>
            </w:pPr>
            <w:r>
              <w:rPr>
                <w:rFonts w:ascii="Garamond" w:hAnsi="Garamond" w:cs="Garamond"/>
                <w:color w:val="000000"/>
                <w:sz w:val="20"/>
                <w:szCs w:val="20"/>
              </w:rPr>
              <w:t>30</w:t>
            </w:r>
            <w:r w:rsidRPr="00A7555D">
              <w:rPr>
                <w:rFonts w:ascii="Garamond" w:hAnsi="Garamond" w:cs="Garamond"/>
                <w:color w:val="000000"/>
                <w:sz w:val="20"/>
                <w:szCs w:val="20"/>
              </w:rPr>
              <w:t>-Month Survey</w:t>
            </w:r>
          </w:p>
        </w:tc>
        <w:tc>
          <w:tcPr>
            <w:tcW w:w="635" w:type="dxa"/>
          </w:tcPr>
          <w:p w:rsidR="00CE2F9D" w:rsidRDefault="00CE2F9D" w:rsidP="008A590C">
            <w:pPr>
              <w:tabs>
                <w:tab w:val="clear" w:pos="432"/>
              </w:tabs>
              <w:autoSpaceDE w:val="0"/>
              <w:autoSpaceDN w:val="0"/>
              <w:adjustRightInd w:val="0"/>
              <w:spacing w:line="240" w:lineRule="auto"/>
              <w:ind w:firstLine="0"/>
              <w:jc w:val="left"/>
              <w:rPr>
                <w:rFonts w:ascii="Garamond" w:hAnsi="Garamond" w:cs="Garamond"/>
                <w:color w:val="000000"/>
                <w:sz w:val="20"/>
                <w:szCs w:val="20"/>
              </w:rPr>
            </w:pPr>
            <w:r w:rsidRPr="00A7555D">
              <w:rPr>
                <w:rFonts w:ascii="Garamond" w:hAnsi="Garamond" w:cs="Garamond"/>
                <w:color w:val="000000"/>
                <w:sz w:val="20"/>
                <w:szCs w:val="20"/>
              </w:rPr>
              <w:t>25</w:t>
            </w:r>
          </w:p>
        </w:tc>
        <w:tc>
          <w:tcPr>
            <w:tcW w:w="1155" w:type="dxa"/>
          </w:tcPr>
          <w:p w:rsidR="00CE2F9D" w:rsidRDefault="00CE2F9D" w:rsidP="008A590C">
            <w:pPr>
              <w:tabs>
                <w:tab w:val="clear" w:pos="432"/>
              </w:tabs>
              <w:autoSpaceDE w:val="0"/>
              <w:autoSpaceDN w:val="0"/>
              <w:adjustRightInd w:val="0"/>
              <w:spacing w:line="240" w:lineRule="auto"/>
              <w:ind w:firstLine="0"/>
              <w:jc w:val="left"/>
              <w:rPr>
                <w:rFonts w:ascii="Garamond" w:hAnsi="Garamond" w:cs="Garamond"/>
                <w:color w:val="000000"/>
                <w:sz w:val="20"/>
                <w:szCs w:val="20"/>
              </w:rPr>
            </w:pPr>
            <w:r w:rsidRPr="00A7555D">
              <w:rPr>
                <w:rFonts w:ascii="Garamond" w:hAnsi="Garamond" w:cs="Garamond"/>
                <w:color w:val="000000"/>
                <w:sz w:val="20"/>
                <w:szCs w:val="20"/>
              </w:rPr>
              <w:t>30</w:t>
            </w:r>
          </w:p>
        </w:tc>
        <w:tc>
          <w:tcPr>
            <w:tcW w:w="1180" w:type="dxa"/>
          </w:tcPr>
          <w:p w:rsidR="00CE2F9D" w:rsidRDefault="00CE2F9D" w:rsidP="008A590C">
            <w:pPr>
              <w:tabs>
                <w:tab w:val="clear" w:pos="432"/>
              </w:tabs>
              <w:autoSpaceDE w:val="0"/>
              <w:autoSpaceDN w:val="0"/>
              <w:adjustRightInd w:val="0"/>
              <w:spacing w:line="240" w:lineRule="auto"/>
              <w:ind w:firstLine="0"/>
              <w:jc w:val="left"/>
              <w:rPr>
                <w:rFonts w:ascii="Garamond" w:hAnsi="Garamond" w:cs="Garamond"/>
                <w:color w:val="000000"/>
                <w:sz w:val="20"/>
                <w:szCs w:val="20"/>
              </w:rPr>
            </w:pPr>
            <w:r w:rsidRPr="00A7555D">
              <w:rPr>
                <w:rFonts w:ascii="Garamond" w:hAnsi="Garamond" w:cs="Garamond"/>
                <w:color w:val="000000"/>
                <w:sz w:val="20"/>
                <w:szCs w:val="20"/>
              </w:rPr>
              <w:t>25</w:t>
            </w:r>
          </w:p>
        </w:tc>
        <w:tc>
          <w:tcPr>
            <w:tcW w:w="1260" w:type="dxa"/>
          </w:tcPr>
          <w:p w:rsidR="00CE2F9D" w:rsidRDefault="00CE2F9D" w:rsidP="008A590C">
            <w:pPr>
              <w:tabs>
                <w:tab w:val="clear" w:pos="432"/>
              </w:tabs>
              <w:autoSpaceDE w:val="0"/>
              <w:autoSpaceDN w:val="0"/>
              <w:adjustRightInd w:val="0"/>
              <w:spacing w:line="240" w:lineRule="auto"/>
              <w:ind w:firstLine="0"/>
              <w:jc w:val="left"/>
              <w:rPr>
                <w:rFonts w:ascii="Garamond" w:hAnsi="Garamond" w:cs="Garamond"/>
                <w:color w:val="000000"/>
                <w:sz w:val="20"/>
                <w:szCs w:val="20"/>
              </w:rPr>
            </w:pPr>
            <w:r w:rsidRPr="00A7555D">
              <w:rPr>
                <w:rFonts w:ascii="Garamond" w:hAnsi="Garamond" w:cs="Garamond"/>
                <w:color w:val="000000"/>
                <w:sz w:val="20"/>
                <w:szCs w:val="20"/>
              </w:rPr>
              <w:t>80</w:t>
            </w:r>
          </w:p>
        </w:tc>
        <w:tc>
          <w:tcPr>
            <w:tcW w:w="990" w:type="dxa"/>
          </w:tcPr>
          <w:p w:rsidR="00CE2F9D" w:rsidRDefault="00CE2F9D" w:rsidP="008A590C">
            <w:pPr>
              <w:tabs>
                <w:tab w:val="clear" w:pos="432"/>
              </w:tabs>
              <w:autoSpaceDE w:val="0"/>
              <w:autoSpaceDN w:val="0"/>
              <w:adjustRightInd w:val="0"/>
              <w:spacing w:line="240" w:lineRule="auto"/>
              <w:ind w:firstLine="0"/>
              <w:jc w:val="left"/>
              <w:rPr>
                <w:rFonts w:ascii="Garamond" w:hAnsi="Garamond" w:cs="Garamond"/>
                <w:color w:val="000000"/>
                <w:sz w:val="20"/>
                <w:szCs w:val="20"/>
              </w:rPr>
            </w:pPr>
            <w:r w:rsidRPr="00A7555D">
              <w:rPr>
                <w:rFonts w:ascii="Garamond" w:hAnsi="Garamond" w:cs="Garamond"/>
                <w:color w:val="000000"/>
                <w:sz w:val="20"/>
                <w:szCs w:val="20"/>
              </w:rPr>
              <w:t>5</w:t>
            </w:r>
          </w:p>
        </w:tc>
        <w:tc>
          <w:tcPr>
            <w:tcW w:w="1260" w:type="dxa"/>
          </w:tcPr>
          <w:p w:rsidR="00CE2F9D" w:rsidRDefault="00CE2F9D" w:rsidP="008A590C">
            <w:pPr>
              <w:tabs>
                <w:tab w:val="clear" w:pos="432"/>
              </w:tabs>
              <w:autoSpaceDE w:val="0"/>
              <w:autoSpaceDN w:val="0"/>
              <w:adjustRightInd w:val="0"/>
              <w:spacing w:line="240" w:lineRule="auto"/>
              <w:ind w:firstLine="0"/>
              <w:jc w:val="left"/>
              <w:rPr>
                <w:rFonts w:ascii="Garamond" w:hAnsi="Garamond" w:cs="Garamond"/>
                <w:color w:val="000000"/>
                <w:sz w:val="20"/>
                <w:szCs w:val="20"/>
              </w:rPr>
            </w:pPr>
            <w:r w:rsidRPr="00A7555D">
              <w:rPr>
                <w:rFonts w:ascii="Garamond" w:hAnsi="Garamond" w:cs="Garamond"/>
                <w:color w:val="000000"/>
                <w:sz w:val="20"/>
                <w:szCs w:val="20"/>
              </w:rPr>
              <w:t>15</w:t>
            </w:r>
          </w:p>
        </w:tc>
        <w:tc>
          <w:tcPr>
            <w:tcW w:w="1350" w:type="dxa"/>
          </w:tcPr>
          <w:p w:rsidR="00CE2F9D" w:rsidRDefault="00CE2F9D" w:rsidP="008A590C">
            <w:pPr>
              <w:tabs>
                <w:tab w:val="clear" w:pos="432"/>
              </w:tabs>
              <w:autoSpaceDE w:val="0"/>
              <w:autoSpaceDN w:val="0"/>
              <w:adjustRightInd w:val="0"/>
              <w:spacing w:line="240" w:lineRule="auto"/>
              <w:ind w:firstLine="0"/>
              <w:jc w:val="left"/>
              <w:rPr>
                <w:rFonts w:ascii="Garamond" w:hAnsi="Garamond" w:cs="Garamond"/>
                <w:color w:val="000000"/>
                <w:sz w:val="20"/>
                <w:szCs w:val="20"/>
              </w:rPr>
            </w:pPr>
            <w:r w:rsidRPr="00A7555D">
              <w:rPr>
                <w:rFonts w:ascii="Garamond" w:hAnsi="Garamond" w:cs="Garamond"/>
                <w:color w:val="000000"/>
                <w:sz w:val="20"/>
                <w:szCs w:val="20"/>
              </w:rPr>
              <w:t>20</w:t>
            </w:r>
          </w:p>
        </w:tc>
      </w:tr>
      <w:tr w:rsidR="00CE2F9D" w:rsidRPr="00A7555D" w:rsidTr="00D70172">
        <w:trPr>
          <w:trHeight w:val="263"/>
        </w:trPr>
        <w:tc>
          <w:tcPr>
            <w:tcW w:w="1834" w:type="dxa"/>
          </w:tcPr>
          <w:p w:rsidR="00CE2F9D" w:rsidRDefault="00CE2F9D" w:rsidP="008A590C">
            <w:pPr>
              <w:tabs>
                <w:tab w:val="clear" w:pos="432"/>
              </w:tabs>
              <w:autoSpaceDE w:val="0"/>
              <w:autoSpaceDN w:val="0"/>
              <w:adjustRightInd w:val="0"/>
              <w:spacing w:line="240" w:lineRule="auto"/>
              <w:ind w:firstLine="0"/>
              <w:jc w:val="left"/>
              <w:rPr>
                <w:rFonts w:ascii="Garamond" w:hAnsi="Garamond" w:cs="Garamond"/>
                <w:color w:val="000000"/>
                <w:sz w:val="20"/>
                <w:szCs w:val="20"/>
              </w:rPr>
            </w:pPr>
            <w:r>
              <w:rPr>
                <w:rFonts w:ascii="Garamond" w:hAnsi="Garamond" w:cs="Garamond"/>
                <w:color w:val="000000"/>
                <w:sz w:val="20"/>
                <w:szCs w:val="20"/>
              </w:rPr>
              <w:t>48-</w:t>
            </w:r>
            <w:r w:rsidRPr="00A7555D">
              <w:rPr>
                <w:rFonts w:ascii="Garamond" w:hAnsi="Garamond" w:cs="Garamond"/>
                <w:color w:val="000000"/>
                <w:sz w:val="20"/>
                <w:szCs w:val="20"/>
              </w:rPr>
              <w:t xml:space="preserve"> Month Survey</w:t>
            </w:r>
          </w:p>
        </w:tc>
        <w:tc>
          <w:tcPr>
            <w:tcW w:w="635" w:type="dxa"/>
          </w:tcPr>
          <w:p w:rsidR="00CE2F9D" w:rsidRDefault="00CE2F9D" w:rsidP="008A590C">
            <w:pPr>
              <w:tabs>
                <w:tab w:val="clear" w:pos="432"/>
              </w:tabs>
              <w:autoSpaceDE w:val="0"/>
              <w:autoSpaceDN w:val="0"/>
              <w:adjustRightInd w:val="0"/>
              <w:spacing w:line="240" w:lineRule="auto"/>
              <w:ind w:firstLine="0"/>
              <w:jc w:val="left"/>
              <w:rPr>
                <w:rFonts w:ascii="Garamond" w:hAnsi="Garamond" w:cs="Garamond"/>
                <w:color w:val="000000"/>
                <w:sz w:val="20"/>
                <w:szCs w:val="20"/>
              </w:rPr>
            </w:pPr>
            <w:r w:rsidRPr="00A7555D">
              <w:rPr>
                <w:rFonts w:ascii="Garamond" w:hAnsi="Garamond" w:cs="Garamond"/>
                <w:color w:val="000000"/>
                <w:sz w:val="20"/>
                <w:szCs w:val="20"/>
              </w:rPr>
              <w:t>25</w:t>
            </w:r>
          </w:p>
        </w:tc>
        <w:tc>
          <w:tcPr>
            <w:tcW w:w="1155" w:type="dxa"/>
          </w:tcPr>
          <w:p w:rsidR="00CE2F9D" w:rsidRDefault="00CE2F9D" w:rsidP="008A590C">
            <w:pPr>
              <w:tabs>
                <w:tab w:val="clear" w:pos="432"/>
              </w:tabs>
              <w:autoSpaceDE w:val="0"/>
              <w:autoSpaceDN w:val="0"/>
              <w:adjustRightInd w:val="0"/>
              <w:spacing w:line="240" w:lineRule="auto"/>
              <w:ind w:firstLine="0"/>
              <w:jc w:val="left"/>
              <w:rPr>
                <w:rFonts w:ascii="Garamond" w:hAnsi="Garamond" w:cs="Garamond"/>
                <w:color w:val="000000"/>
                <w:sz w:val="20"/>
                <w:szCs w:val="20"/>
              </w:rPr>
            </w:pPr>
            <w:r w:rsidRPr="00A7555D">
              <w:rPr>
                <w:rFonts w:ascii="Garamond" w:hAnsi="Garamond" w:cs="Garamond"/>
                <w:color w:val="000000"/>
                <w:sz w:val="20"/>
                <w:szCs w:val="20"/>
              </w:rPr>
              <w:t>25</w:t>
            </w:r>
          </w:p>
        </w:tc>
        <w:tc>
          <w:tcPr>
            <w:tcW w:w="1180" w:type="dxa"/>
          </w:tcPr>
          <w:p w:rsidR="00CE2F9D" w:rsidRDefault="00CE2F9D" w:rsidP="008A590C">
            <w:pPr>
              <w:tabs>
                <w:tab w:val="clear" w:pos="432"/>
              </w:tabs>
              <w:autoSpaceDE w:val="0"/>
              <w:autoSpaceDN w:val="0"/>
              <w:adjustRightInd w:val="0"/>
              <w:spacing w:line="240" w:lineRule="auto"/>
              <w:ind w:firstLine="0"/>
              <w:jc w:val="left"/>
              <w:rPr>
                <w:rFonts w:ascii="Garamond" w:hAnsi="Garamond" w:cs="Garamond"/>
                <w:color w:val="000000"/>
                <w:sz w:val="20"/>
                <w:szCs w:val="20"/>
              </w:rPr>
            </w:pPr>
            <w:r w:rsidRPr="00A7555D">
              <w:rPr>
                <w:rFonts w:ascii="Garamond" w:hAnsi="Garamond" w:cs="Garamond"/>
                <w:color w:val="000000"/>
                <w:sz w:val="20"/>
                <w:szCs w:val="20"/>
              </w:rPr>
              <w:t>30</w:t>
            </w:r>
          </w:p>
        </w:tc>
        <w:tc>
          <w:tcPr>
            <w:tcW w:w="1260" w:type="dxa"/>
          </w:tcPr>
          <w:p w:rsidR="00CE2F9D" w:rsidRDefault="00CE2F9D" w:rsidP="008A590C">
            <w:pPr>
              <w:tabs>
                <w:tab w:val="clear" w:pos="432"/>
              </w:tabs>
              <w:autoSpaceDE w:val="0"/>
              <w:autoSpaceDN w:val="0"/>
              <w:adjustRightInd w:val="0"/>
              <w:spacing w:line="240" w:lineRule="auto"/>
              <w:ind w:firstLine="0"/>
              <w:jc w:val="left"/>
              <w:rPr>
                <w:rFonts w:ascii="Garamond" w:hAnsi="Garamond" w:cs="Garamond"/>
                <w:color w:val="000000"/>
                <w:sz w:val="20"/>
                <w:szCs w:val="20"/>
              </w:rPr>
            </w:pPr>
            <w:r w:rsidRPr="00A7555D">
              <w:rPr>
                <w:rFonts w:ascii="Garamond" w:hAnsi="Garamond" w:cs="Garamond"/>
                <w:color w:val="000000"/>
                <w:sz w:val="20"/>
                <w:szCs w:val="20"/>
              </w:rPr>
              <w:t>80</w:t>
            </w:r>
          </w:p>
        </w:tc>
        <w:tc>
          <w:tcPr>
            <w:tcW w:w="990" w:type="dxa"/>
          </w:tcPr>
          <w:p w:rsidR="00CE2F9D" w:rsidRDefault="00CE2F9D" w:rsidP="008A590C">
            <w:pPr>
              <w:tabs>
                <w:tab w:val="clear" w:pos="432"/>
              </w:tabs>
              <w:autoSpaceDE w:val="0"/>
              <w:autoSpaceDN w:val="0"/>
              <w:adjustRightInd w:val="0"/>
              <w:spacing w:line="240" w:lineRule="auto"/>
              <w:ind w:firstLine="0"/>
              <w:jc w:val="left"/>
              <w:rPr>
                <w:rFonts w:ascii="Garamond" w:hAnsi="Garamond" w:cs="Garamond"/>
                <w:color w:val="000000"/>
                <w:sz w:val="20"/>
                <w:szCs w:val="20"/>
              </w:rPr>
            </w:pPr>
            <w:r w:rsidRPr="00A7555D">
              <w:rPr>
                <w:rFonts w:ascii="Garamond" w:hAnsi="Garamond" w:cs="Garamond"/>
                <w:color w:val="000000"/>
                <w:sz w:val="20"/>
                <w:szCs w:val="20"/>
              </w:rPr>
              <w:t>5</w:t>
            </w:r>
          </w:p>
        </w:tc>
        <w:tc>
          <w:tcPr>
            <w:tcW w:w="1260" w:type="dxa"/>
          </w:tcPr>
          <w:p w:rsidR="00CE2F9D" w:rsidRDefault="00CE2F9D" w:rsidP="008A590C">
            <w:pPr>
              <w:tabs>
                <w:tab w:val="clear" w:pos="432"/>
              </w:tabs>
              <w:autoSpaceDE w:val="0"/>
              <w:autoSpaceDN w:val="0"/>
              <w:adjustRightInd w:val="0"/>
              <w:spacing w:line="240" w:lineRule="auto"/>
              <w:ind w:firstLine="0"/>
              <w:jc w:val="left"/>
              <w:rPr>
                <w:rFonts w:ascii="Garamond" w:hAnsi="Garamond" w:cs="Garamond"/>
                <w:color w:val="000000"/>
                <w:sz w:val="20"/>
                <w:szCs w:val="20"/>
              </w:rPr>
            </w:pPr>
            <w:r w:rsidRPr="00A7555D">
              <w:rPr>
                <w:rFonts w:ascii="Garamond" w:hAnsi="Garamond" w:cs="Garamond"/>
                <w:color w:val="000000"/>
                <w:sz w:val="20"/>
                <w:szCs w:val="20"/>
              </w:rPr>
              <w:t>15</w:t>
            </w:r>
          </w:p>
        </w:tc>
        <w:tc>
          <w:tcPr>
            <w:tcW w:w="1350" w:type="dxa"/>
          </w:tcPr>
          <w:p w:rsidR="00CE2F9D" w:rsidRDefault="00CE2F9D" w:rsidP="008A590C">
            <w:pPr>
              <w:tabs>
                <w:tab w:val="clear" w:pos="432"/>
              </w:tabs>
              <w:autoSpaceDE w:val="0"/>
              <w:autoSpaceDN w:val="0"/>
              <w:adjustRightInd w:val="0"/>
              <w:spacing w:line="240" w:lineRule="auto"/>
              <w:ind w:firstLine="0"/>
              <w:jc w:val="left"/>
              <w:rPr>
                <w:rFonts w:ascii="Garamond" w:hAnsi="Garamond" w:cs="Garamond"/>
                <w:color w:val="000000"/>
                <w:sz w:val="20"/>
                <w:szCs w:val="20"/>
              </w:rPr>
            </w:pPr>
            <w:r w:rsidRPr="00A7555D">
              <w:rPr>
                <w:rFonts w:ascii="Garamond" w:hAnsi="Garamond" w:cs="Garamond"/>
                <w:color w:val="000000"/>
                <w:sz w:val="20"/>
                <w:szCs w:val="20"/>
              </w:rPr>
              <w:t>20</w:t>
            </w:r>
          </w:p>
        </w:tc>
      </w:tr>
    </w:tbl>
    <w:p w:rsidR="00CE2F9D" w:rsidRDefault="00CE2F9D" w:rsidP="008A590C">
      <w:pPr>
        <w:tabs>
          <w:tab w:val="clear" w:pos="432"/>
        </w:tabs>
        <w:ind w:firstLine="720"/>
        <w:jc w:val="left"/>
        <w:rPr>
          <w:rFonts w:ascii="Garamond" w:hAnsi="Garamond" w:cs="Garamond"/>
        </w:rPr>
      </w:pPr>
    </w:p>
    <w:p w:rsidR="00CE2F9D" w:rsidRDefault="00CE2F9D" w:rsidP="008A590C">
      <w:pPr>
        <w:tabs>
          <w:tab w:val="clear" w:pos="432"/>
        </w:tabs>
        <w:ind w:firstLine="720"/>
        <w:jc w:val="left"/>
        <w:rPr>
          <w:rFonts w:ascii="Garamond" w:hAnsi="Garamond" w:cs="Garamond"/>
        </w:rPr>
      </w:pPr>
      <w:r>
        <w:rPr>
          <w:rFonts w:ascii="Garamond" w:hAnsi="Garamond" w:cs="Garamond"/>
        </w:rPr>
        <w:t>We</w:t>
      </w:r>
      <w:r w:rsidRPr="00A7555D">
        <w:rPr>
          <w:rFonts w:ascii="Garamond" w:hAnsi="Garamond" w:cs="Garamond"/>
        </w:rPr>
        <w:t xml:space="preserve"> will use three key steps to ensure the quality of the survey data: 1) a systematic approach to developing the instrument; 2) in-depth interviewer training; and 3) data reviews, interviewer monitoring and field validations. </w:t>
      </w:r>
      <w:r>
        <w:rPr>
          <w:rFonts w:ascii="Garamond" w:hAnsi="Garamond" w:cs="Garamond"/>
        </w:rPr>
        <w:t xml:space="preserve"> </w:t>
      </w:r>
      <w:r w:rsidRPr="00A7555D">
        <w:rPr>
          <w:rFonts w:ascii="Garamond" w:hAnsi="Garamond" w:cs="Garamond"/>
        </w:rPr>
        <w:t xml:space="preserve">The follow-up surveys include questions and scales with known psychometric properties used in other national studies with similar populations. </w:t>
      </w:r>
      <w:r>
        <w:rPr>
          <w:rFonts w:ascii="Garamond" w:hAnsi="Garamond" w:cs="Garamond"/>
        </w:rPr>
        <w:t xml:space="preserve"> </w:t>
      </w:r>
      <w:r w:rsidRPr="00A7555D">
        <w:rPr>
          <w:rFonts w:ascii="Garamond" w:hAnsi="Garamond" w:cs="Garamond"/>
        </w:rPr>
        <w:t>We will use Computer Assisted Interviewing (CAI) to: manage respondent’s interaction across modes so that respondents cannot complete the questionnaire on both the web and through CATI; ensure that respondents can exit the survey in either mode and return later to the last unanswered question, even if they decide to complete in a different mode; integrate the information from both of the data collection modes into a single database; and build in data validation checks within the survey</w:t>
      </w:r>
      <w:r>
        <w:rPr>
          <w:rFonts w:ascii="Garamond" w:hAnsi="Garamond" w:cs="Garamond"/>
        </w:rPr>
        <w:t>s</w:t>
      </w:r>
      <w:r w:rsidRPr="00A7555D">
        <w:rPr>
          <w:rFonts w:ascii="Garamond" w:hAnsi="Garamond" w:cs="Garamond"/>
        </w:rPr>
        <w:t xml:space="preserve"> to maintain consistency. </w:t>
      </w:r>
    </w:p>
    <w:p w:rsidR="00CE2F9D" w:rsidRDefault="00CE2F9D" w:rsidP="008A590C">
      <w:pPr>
        <w:tabs>
          <w:tab w:val="clear" w:pos="432"/>
        </w:tabs>
        <w:ind w:firstLine="720"/>
        <w:jc w:val="left"/>
        <w:rPr>
          <w:rFonts w:ascii="Garamond" w:hAnsi="Garamond" w:cs="Garamond"/>
        </w:rPr>
      </w:pPr>
      <w:r w:rsidRPr="00A7555D">
        <w:rPr>
          <w:rFonts w:ascii="Garamond" w:hAnsi="Garamond" w:cs="Garamond"/>
        </w:rPr>
        <w:t xml:space="preserve">We will conduct in-depth interview training with select telephone interviewers and locators who have the best track records on prior surveys in gaining cooperation and collecting data from </w:t>
      </w:r>
      <w:r w:rsidRPr="00A7555D">
        <w:rPr>
          <w:rFonts w:ascii="Garamond" w:hAnsi="Garamond" w:cs="Garamond"/>
        </w:rPr>
        <w:lastRenderedPageBreak/>
        <w:t xml:space="preserve">youth or vulnerable populations. </w:t>
      </w:r>
      <w:r>
        <w:rPr>
          <w:rFonts w:ascii="Garamond" w:hAnsi="Garamond" w:cs="Garamond"/>
        </w:rPr>
        <w:t xml:space="preserve"> </w:t>
      </w:r>
      <w:r w:rsidRPr="00A7555D">
        <w:rPr>
          <w:rFonts w:ascii="Garamond" w:hAnsi="Garamond" w:cs="Garamond"/>
        </w:rPr>
        <w:t>The training will include identifying reasons for non</w:t>
      </w:r>
      <w:r>
        <w:rPr>
          <w:rFonts w:ascii="Garamond" w:hAnsi="Garamond" w:cs="Garamond"/>
        </w:rPr>
        <w:t>-</w:t>
      </w:r>
      <w:r w:rsidRPr="00A7555D">
        <w:rPr>
          <w:rFonts w:ascii="Garamond" w:hAnsi="Garamond" w:cs="Garamond"/>
        </w:rPr>
        <w:t xml:space="preserve">response and strategies for gaining cooperation among those who have decided not to participate by web. </w:t>
      </w:r>
      <w:r>
        <w:rPr>
          <w:rFonts w:ascii="Garamond" w:hAnsi="Garamond" w:cs="Garamond"/>
        </w:rPr>
        <w:t xml:space="preserve"> </w:t>
      </w:r>
      <w:r w:rsidRPr="00A7555D">
        <w:rPr>
          <w:rFonts w:ascii="Garamond" w:hAnsi="Garamond" w:cs="Garamond"/>
        </w:rPr>
        <w:t>We will tra</w:t>
      </w:r>
      <w:r>
        <w:rPr>
          <w:rFonts w:ascii="Garamond" w:hAnsi="Garamond" w:cs="Garamond"/>
        </w:rPr>
        <w:t xml:space="preserve">in interviewers to address more </w:t>
      </w:r>
      <w:r w:rsidRPr="00A7555D">
        <w:rPr>
          <w:rFonts w:ascii="Garamond" w:hAnsi="Garamond" w:cs="Garamond"/>
        </w:rPr>
        <w:t xml:space="preserve">common reasons youth do not respond to surveys by using role-playing scenarios. </w:t>
      </w:r>
      <w:r>
        <w:rPr>
          <w:rFonts w:ascii="Garamond" w:hAnsi="Garamond" w:cs="Garamond"/>
        </w:rPr>
        <w:t xml:space="preserve"> </w:t>
      </w:r>
      <w:r w:rsidRPr="00A7555D">
        <w:rPr>
          <w:rFonts w:ascii="Garamond" w:hAnsi="Garamond" w:cs="Garamond"/>
        </w:rPr>
        <w:t>A key component of our training will focus on gaining cooperation from control group members</w:t>
      </w:r>
      <w:r>
        <w:rPr>
          <w:rFonts w:ascii="Garamond" w:hAnsi="Garamond" w:cs="Garamond"/>
        </w:rPr>
        <w:t>, who may feel less inclined to participate in a YouthBuild-related study because they were not invited to participate in the program itself</w:t>
      </w:r>
      <w:r w:rsidRPr="00A7555D">
        <w:rPr>
          <w:rFonts w:ascii="Garamond" w:hAnsi="Garamond" w:cs="Garamond"/>
        </w:rPr>
        <w:t xml:space="preserve">. </w:t>
      </w:r>
    </w:p>
    <w:p w:rsidR="00CE2F9D" w:rsidRDefault="00CE2F9D" w:rsidP="008A590C">
      <w:pPr>
        <w:tabs>
          <w:tab w:val="clear" w:pos="432"/>
        </w:tabs>
        <w:ind w:firstLine="720"/>
        <w:jc w:val="left"/>
        <w:rPr>
          <w:rFonts w:ascii="Garamond" w:hAnsi="Garamond" w:cs="Garamond"/>
        </w:rPr>
      </w:pPr>
      <w:r>
        <w:rPr>
          <w:rFonts w:ascii="Garamond" w:hAnsi="Garamond" w:cs="Garamond"/>
        </w:rPr>
        <w:t>Data</w:t>
      </w:r>
      <w:r w:rsidRPr="00A7555D">
        <w:rPr>
          <w:rFonts w:ascii="Garamond" w:hAnsi="Garamond" w:cs="Garamond"/>
        </w:rPr>
        <w:t xml:space="preserve"> reviews will be conducted throughout the field period to assess the quality of the data. Mathematica will use several standard techniques to monitor the quality of data capture</w:t>
      </w:r>
      <w:r>
        <w:rPr>
          <w:rFonts w:ascii="Garamond" w:hAnsi="Garamond" w:cs="Garamond"/>
        </w:rPr>
        <w:t>d</w:t>
      </w:r>
      <w:r w:rsidRPr="00A7555D">
        <w:rPr>
          <w:rFonts w:ascii="Garamond" w:hAnsi="Garamond" w:cs="Garamond"/>
        </w:rPr>
        <w:t xml:space="preserve"> and the performance of both web and CATI instruments. </w:t>
      </w:r>
      <w:r>
        <w:rPr>
          <w:rFonts w:ascii="Garamond" w:hAnsi="Garamond" w:cs="Garamond"/>
        </w:rPr>
        <w:t xml:space="preserve"> </w:t>
      </w:r>
      <w:r w:rsidRPr="00A7555D">
        <w:rPr>
          <w:rFonts w:ascii="Garamond" w:hAnsi="Garamond" w:cs="Garamond"/>
        </w:rPr>
        <w:t xml:space="preserve">We will review frequencies and cross tabulations for inconsistencies a few days after the start of data collection, as well as throughout the data collection period. </w:t>
      </w:r>
      <w:r>
        <w:rPr>
          <w:rFonts w:ascii="Garamond" w:hAnsi="Garamond" w:cs="Garamond"/>
        </w:rPr>
        <w:t xml:space="preserve"> </w:t>
      </w:r>
      <w:r w:rsidRPr="00A7555D">
        <w:rPr>
          <w:rFonts w:ascii="Garamond" w:hAnsi="Garamond" w:cs="Garamond"/>
        </w:rPr>
        <w:t>It is standard Mathematica practice to monitor ten percent of the hours each interviewer spends contacting sample members and administering interviewers</w:t>
      </w:r>
      <w:r>
        <w:rPr>
          <w:rFonts w:ascii="Garamond" w:hAnsi="Garamond" w:cs="Garamond"/>
        </w:rPr>
        <w:t xml:space="preserve"> ensuring that</w:t>
      </w:r>
      <w:r w:rsidRPr="00A7555D">
        <w:rPr>
          <w:rFonts w:ascii="Garamond" w:hAnsi="Garamond" w:cs="Garamond"/>
        </w:rPr>
        <w:t xml:space="preserve"> interviewer performance</w:t>
      </w:r>
      <w:r>
        <w:rPr>
          <w:rFonts w:ascii="Garamond" w:hAnsi="Garamond" w:cs="Garamond"/>
        </w:rPr>
        <w:t xml:space="preserve"> and survey administration are carefully monitored </w:t>
      </w:r>
      <w:r w:rsidRPr="00A7555D">
        <w:rPr>
          <w:rFonts w:ascii="Garamond" w:hAnsi="Garamond" w:cs="Garamond"/>
        </w:rPr>
        <w:t>throughout data collection</w:t>
      </w:r>
      <w:r>
        <w:rPr>
          <w:rFonts w:ascii="Garamond" w:hAnsi="Garamond" w:cs="Garamond"/>
        </w:rPr>
        <w:t>.</w:t>
      </w:r>
      <w:r w:rsidRPr="00A7555D">
        <w:rPr>
          <w:rFonts w:ascii="Garamond" w:hAnsi="Garamond" w:cs="Garamond"/>
        </w:rPr>
        <w:t xml:space="preserve"> </w:t>
      </w:r>
      <w:r>
        <w:rPr>
          <w:rFonts w:ascii="Garamond" w:hAnsi="Garamond" w:cs="Garamond"/>
        </w:rPr>
        <w:t xml:space="preserve"> </w:t>
      </w:r>
      <w:r w:rsidRPr="00A7555D">
        <w:rPr>
          <w:rFonts w:ascii="Garamond" w:hAnsi="Garamond" w:cs="Garamond"/>
        </w:rPr>
        <w:t xml:space="preserve">Interviewers will be trained to enter comments when respondents provide responses that do not match any of the response categories or when respondents insist on providing out-of-range responses. </w:t>
      </w:r>
      <w:r>
        <w:rPr>
          <w:rFonts w:ascii="Garamond" w:hAnsi="Garamond" w:cs="Garamond"/>
        </w:rPr>
        <w:t xml:space="preserve"> </w:t>
      </w:r>
      <w:r w:rsidRPr="00A7555D">
        <w:rPr>
          <w:rFonts w:ascii="Garamond" w:hAnsi="Garamond" w:cs="Garamond"/>
        </w:rPr>
        <w:t xml:space="preserve">Ten percent of the field-generated completes will be validated through a combination of mail and telephone validation techniques that ensure that the proper sample member was reached, the locator behaved professionally, and the date of the interview was reported correctly. </w:t>
      </w:r>
    </w:p>
    <w:p w:rsidR="00CE2F9D" w:rsidRDefault="00CE2F9D" w:rsidP="008A590C">
      <w:pPr>
        <w:tabs>
          <w:tab w:val="clear" w:pos="432"/>
        </w:tabs>
        <w:ind w:firstLine="720"/>
        <w:jc w:val="left"/>
        <w:rPr>
          <w:rFonts w:ascii="Garamond" w:hAnsi="Garamond" w:cs="Garamond"/>
        </w:rPr>
      </w:pPr>
      <w:r w:rsidRPr="00A7555D">
        <w:rPr>
          <w:rFonts w:ascii="Garamond" w:hAnsi="Garamond" w:cs="Garamond"/>
        </w:rPr>
        <w:t xml:space="preserve">The follow-up questionnaire </w:t>
      </w:r>
      <w:r w:rsidR="00E074EF">
        <w:rPr>
          <w:rFonts w:ascii="Garamond" w:hAnsi="Garamond" w:cs="Garamond"/>
        </w:rPr>
        <w:t>was</w:t>
      </w:r>
      <w:r w:rsidRPr="00A7555D">
        <w:rPr>
          <w:rFonts w:ascii="Garamond" w:hAnsi="Garamond" w:cs="Garamond"/>
        </w:rPr>
        <w:t xml:space="preserve"> pretested, as discussed in section </w:t>
      </w:r>
      <w:r w:rsidR="00E074EF">
        <w:rPr>
          <w:rFonts w:ascii="Garamond" w:hAnsi="Garamond" w:cs="Garamond"/>
        </w:rPr>
        <w:t xml:space="preserve">4 </w:t>
      </w:r>
      <w:r w:rsidRPr="00A7555D">
        <w:rPr>
          <w:rFonts w:ascii="Garamond" w:hAnsi="Garamond" w:cs="Garamond"/>
        </w:rPr>
        <w:t>below.</w:t>
      </w:r>
    </w:p>
    <w:p w:rsidR="00CE2F9D" w:rsidRDefault="00CE2F9D" w:rsidP="008A590C">
      <w:pPr>
        <w:tabs>
          <w:tab w:val="clear" w:pos="432"/>
        </w:tabs>
        <w:ind w:firstLine="720"/>
        <w:jc w:val="left"/>
        <w:rPr>
          <w:rFonts w:ascii="Garamond" w:hAnsi="Garamond" w:cs="Garamond"/>
        </w:rPr>
      </w:pPr>
      <w:r>
        <w:rPr>
          <w:rFonts w:ascii="Garamond" w:hAnsi="Garamond" w:cs="Garamond"/>
        </w:rPr>
        <w:t xml:space="preserve">Finally, we will conduct a response analysis for each survey prior to using the data to estimate program impacts.  First steps in this analysis are to:  1) compare respondents to non-respondents on a range of background characteristics; 2) compare program group respondents with control group respondents on a range of background characteristics; and 3) compare impacts calculated using administrative records data for respondents versus non-respondents.  If these </w:t>
      </w:r>
      <w:r>
        <w:rPr>
          <w:rFonts w:ascii="Garamond" w:hAnsi="Garamond" w:cs="Garamond"/>
        </w:rPr>
        <w:lastRenderedPageBreak/>
        <w:t xml:space="preserve">analyses suggest that the findings from the respondent sample cannot be generalized to the full sample, we will consider weighting (using the inverse predicted probability of response) or multiple </w:t>
      </w:r>
      <w:proofErr w:type="gramStart"/>
      <w:r>
        <w:rPr>
          <w:rFonts w:ascii="Garamond" w:hAnsi="Garamond" w:cs="Garamond"/>
        </w:rPr>
        <w:t>imputation</w:t>
      </w:r>
      <w:proofErr w:type="gramEnd"/>
      <w:r>
        <w:rPr>
          <w:rFonts w:ascii="Garamond" w:hAnsi="Garamond" w:cs="Garamond"/>
        </w:rPr>
        <w:t>.  However, the combined adjustment methods are not a complete fix, since both assume that respondents and non-respondents are similar on unobservable characteristics.  For this reason, results from this adjustment will be presented with the appropriate caveats.</w:t>
      </w:r>
    </w:p>
    <w:p w:rsidR="00CE2F9D" w:rsidRDefault="00CE2F9D" w:rsidP="008A590C">
      <w:pPr>
        <w:tabs>
          <w:tab w:val="clear" w:pos="432"/>
        </w:tabs>
        <w:ind w:firstLine="720"/>
        <w:jc w:val="left"/>
        <w:rPr>
          <w:rFonts w:ascii="Garamond" w:hAnsi="Garamond" w:cs="Garamond"/>
        </w:rPr>
      </w:pPr>
      <w:r>
        <w:rPr>
          <w:rFonts w:ascii="Garamond" w:hAnsi="Garamond" w:cs="Garamond"/>
        </w:rPr>
        <w:t xml:space="preserve">    </w:t>
      </w:r>
    </w:p>
    <w:p w:rsidR="00CE2F9D" w:rsidRDefault="00CE2F9D" w:rsidP="008A590C">
      <w:pPr>
        <w:tabs>
          <w:tab w:val="clear" w:pos="432"/>
        </w:tabs>
        <w:ind w:firstLine="0"/>
        <w:jc w:val="left"/>
        <w:rPr>
          <w:rFonts w:ascii="Garamond" w:hAnsi="Garamond" w:cs="Garamond"/>
          <w:b/>
          <w:bCs/>
        </w:rPr>
      </w:pPr>
      <w:r w:rsidRPr="00A7555D">
        <w:rPr>
          <w:rFonts w:ascii="Garamond" w:hAnsi="Garamond" w:cs="Garamond"/>
          <w:b/>
          <w:bCs/>
        </w:rPr>
        <w:t>4.</w:t>
      </w:r>
      <w:r w:rsidRPr="00A7555D">
        <w:rPr>
          <w:rFonts w:ascii="Garamond" w:hAnsi="Garamond" w:cs="Garamond"/>
          <w:b/>
          <w:bCs/>
        </w:rPr>
        <w:tab/>
        <w:t>Test of Procedures or Methods</w:t>
      </w:r>
    </w:p>
    <w:p w:rsidR="00CE2F9D" w:rsidRDefault="00CE2F9D" w:rsidP="00E074EF">
      <w:pPr>
        <w:tabs>
          <w:tab w:val="clear" w:pos="432"/>
        </w:tabs>
        <w:ind w:firstLine="720"/>
        <w:jc w:val="left"/>
        <w:rPr>
          <w:rFonts w:ascii="Garamond" w:hAnsi="Garamond" w:cs="Garamond"/>
        </w:rPr>
      </w:pPr>
      <w:proofErr w:type="gramStart"/>
      <w:r w:rsidRPr="00A7555D">
        <w:rPr>
          <w:rFonts w:ascii="Garamond" w:hAnsi="Garamond" w:cs="Garamond"/>
        </w:rPr>
        <w:t>Pretesting</w:t>
      </w:r>
      <w:proofErr w:type="gramEnd"/>
      <w:r w:rsidRPr="00A7555D">
        <w:rPr>
          <w:rFonts w:ascii="Garamond" w:hAnsi="Garamond" w:cs="Garamond"/>
        </w:rPr>
        <w:t xml:space="preserve"> all surveys is vital to the integrity of data collection. </w:t>
      </w:r>
      <w:r>
        <w:rPr>
          <w:rFonts w:ascii="Garamond" w:hAnsi="Garamond" w:cs="Garamond"/>
        </w:rPr>
        <w:t xml:space="preserve"> </w:t>
      </w:r>
      <w:r w:rsidRPr="00A7555D">
        <w:rPr>
          <w:rFonts w:ascii="Garamond" w:hAnsi="Garamond" w:cs="Garamond"/>
        </w:rPr>
        <w:t>We reviewed previously used questions and developed new questions for the evaluation according to the following guidelines:</w:t>
      </w:r>
    </w:p>
    <w:p w:rsidR="00CE2F9D" w:rsidRDefault="00CE2F9D" w:rsidP="008A590C">
      <w:pPr>
        <w:pStyle w:val="ListParagraph"/>
        <w:numPr>
          <w:ilvl w:val="0"/>
          <w:numId w:val="11"/>
        </w:numPr>
        <w:spacing w:after="120"/>
        <w:ind w:left="1170"/>
        <w:jc w:val="left"/>
        <w:rPr>
          <w:rFonts w:ascii="Garamond" w:hAnsi="Garamond" w:cs="Garamond"/>
        </w:rPr>
      </w:pPr>
      <w:r w:rsidRPr="00A7555D">
        <w:rPr>
          <w:rFonts w:ascii="Garamond" w:hAnsi="Garamond" w:cs="Garamond"/>
        </w:rPr>
        <w:t>Questions will be worded simply, clearly, and briefly, as well as in an unbiased manner, so that respondents can readily understand key terms and concepts.</w:t>
      </w:r>
    </w:p>
    <w:p w:rsidR="00CE2F9D" w:rsidRDefault="00CE2F9D" w:rsidP="008A590C">
      <w:pPr>
        <w:pStyle w:val="ListParagraph"/>
        <w:numPr>
          <w:ilvl w:val="0"/>
          <w:numId w:val="11"/>
        </w:numPr>
        <w:spacing w:after="120"/>
        <w:ind w:left="1170"/>
        <w:jc w:val="left"/>
        <w:rPr>
          <w:rFonts w:ascii="Garamond" w:hAnsi="Garamond" w:cs="Garamond"/>
        </w:rPr>
      </w:pPr>
      <w:r w:rsidRPr="00A7555D">
        <w:rPr>
          <w:rFonts w:ascii="Garamond" w:hAnsi="Garamond" w:cs="Garamond"/>
        </w:rPr>
        <w:t>Questions will request information that can reasonably be expected of youth.</w:t>
      </w:r>
    </w:p>
    <w:p w:rsidR="00CE2F9D" w:rsidRDefault="00CE2F9D" w:rsidP="008A590C">
      <w:pPr>
        <w:pStyle w:val="ListParagraph"/>
        <w:numPr>
          <w:ilvl w:val="0"/>
          <w:numId w:val="11"/>
        </w:numPr>
        <w:spacing w:after="120"/>
        <w:ind w:left="1170"/>
        <w:jc w:val="left"/>
        <w:rPr>
          <w:rFonts w:ascii="Garamond" w:hAnsi="Garamond" w:cs="Garamond"/>
        </w:rPr>
      </w:pPr>
      <w:r w:rsidRPr="00A7555D">
        <w:rPr>
          <w:rFonts w:ascii="Garamond" w:hAnsi="Garamond" w:cs="Garamond"/>
        </w:rPr>
        <w:t>Question response categories will be appropriate, mutually exclusive, and reasonably exhaustive, given the intent of the questions.</w:t>
      </w:r>
    </w:p>
    <w:p w:rsidR="00CE2F9D" w:rsidRDefault="00CE2F9D" w:rsidP="008A590C">
      <w:pPr>
        <w:pStyle w:val="ListParagraph"/>
        <w:numPr>
          <w:ilvl w:val="0"/>
          <w:numId w:val="11"/>
        </w:numPr>
        <w:spacing w:after="120"/>
        <w:ind w:left="1170"/>
        <w:jc w:val="left"/>
        <w:rPr>
          <w:rFonts w:ascii="Garamond" w:hAnsi="Garamond" w:cs="Garamond"/>
        </w:rPr>
      </w:pPr>
      <w:r w:rsidRPr="00A7555D">
        <w:rPr>
          <w:rFonts w:ascii="Garamond" w:hAnsi="Garamond" w:cs="Garamond"/>
        </w:rPr>
        <w:t>Questions will be accompanied by clear, concise instructions and probes so that respondents will know exactly what is expected of them.</w:t>
      </w:r>
    </w:p>
    <w:p w:rsidR="00CE2F9D" w:rsidRDefault="00CE2F9D" w:rsidP="008A590C">
      <w:pPr>
        <w:pStyle w:val="ListParagraph"/>
        <w:numPr>
          <w:ilvl w:val="0"/>
          <w:numId w:val="11"/>
        </w:numPr>
        <w:spacing w:after="120"/>
        <w:ind w:left="1170"/>
        <w:jc w:val="left"/>
        <w:rPr>
          <w:rFonts w:ascii="Garamond" w:hAnsi="Garamond" w:cs="Garamond"/>
        </w:rPr>
      </w:pPr>
      <w:r w:rsidRPr="00A7555D">
        <w:rPr>
          <w:rFonts w:ascii="Garamond" w:hAnsi="Garamond" w:cs="Garamond"/>
        </w:rPr>
        <w:t>For the YouthBuild population, all questions will be easily understood by someone with a sixth-grade reading level.</w:t>
      </w:r>
    </w:p>
    <w:p w:rsidR="00CE2F9D" w:rsidRDefault="00CE2F9D" w:rsidP="008A590C">
      <w:pPr>
        <w:jc w:val="left"/>
        <w:rPr>
          <w:rFonts w:ascii="Garamond" w:hAnsi="Garamond" w:cs="Garamond"/>
        </w:rPr>
      </w:pPr>
      <w:r>
        <w:rPr>
          <w:rFonts w:ascii="Garamond" w:hAnsi="Garamond" w:cs="Garamond"/>
        </w:rPr>
        <w:t>Prior to formal pretesting, the evaluation team completed internal testing of the instrument to estimate the amount of time it will take respondents to complete each follow-up survey.  We found that the survey took approximately forty minutes when averaged across four internal tests.</w:t>
      </w:r>
    </w:p>
    <w:p w:rsidR="00CE2F9D" w:rsidRDefault="00CE2F9D" w:rsidP="008A590C">
      <w:pPr>
        <w:jc w:val="left"/>
        <w:rPr>
          <w:rFonts w:ascii="Garamond" w:hAnsi="Garamond" w:cs="Garamond"/>
        </w:rPr>
      </w:pPr>
      <w:r>
        <w:rPr>
          <w:rFonts w:ascii="Garamond" w:hAnsi="Garamond" w:cs="Garamond"/>
        </w:rPr>
        <w:t>During formal pretesting, w</w:t>
      </w:r>
      <w:r w:rsidRPr="00A7555D">
        <w:rPr>
          <w:rFonts w:ascii="Garamond" w:hAnsi="Garamond" w:cs="Garamond"/>
        </w:rPr>
        <w:t xml:space="preserve">e </w:t>
      </w:r>
      <w:r w:rsidR="00E074EF">
        <w:rPr>
          <w:rFonts w:ascii="Garamond" w:hAnsi="Garamond" w:cs="Garamond"/>
        </w:rPr>
        <w:t>pretested</w:t>
      </w:r>
      <w:r w:rsidRPr="00A7555D">
        <w:rPr>
          <w:rFonts w:ascii="Garamond" w:hAnsi="Garamond" w:cs="Garamond"/>
        </w:rPr>
        <w:t xml:space="preserve"> each of the follow-up surveys with nine respondents </w:t>
      </w:r>
      <w:r w:rsidR="00E074EF">
        <w:rPr>
          <w:rFonts w:ascii="Garamond" w:hAnsi="Garamond" w:cs="Garamond"/>
        </w:rPr>
        <w:t xml:space="preserve">some of whom are participating in YouthBuild programs that are not in the study and others </w:t>
      </w:r>
      <w:r w:rsidRPr="00A7555D">
        <w:rPr>
          <w:rFonts w:ascii="Garamond" w:hAnsi="Garamond" w:cs="Garamond"/>
        </w:rPr>
        <w:t>who are similar to the YouthBuild target population</w:t>
      </w:r>
      <w:r w:rsidR="00E074EF">
        <w:rPr>
          <w:rFonts w:ascii="Garamond" w:hAnsi="Garamond" w:cs="Garamond"/>
        </w:rPr>
        <w:t xml:space="preserve"> but not participating in the program. Cognitive interviews administered as either think-aloud protocols or retrospective protocols were conducted as part of our pretest efforts. </w:t>
      </w:r>
      <w:r w:rsidRPr="00A7555D">
        <w:rPr>
          <w:rFonts w:ascii="Garamond" w:hAnsi="Garamond" w:cs="Garamond"/>
        </w:rPr>
        <w:t>We pretest</w:t>
      </w:r>
      <w:r w:rsidR="00E074EF">
        <w:rPr>
          <w:rFonts w:ascii="Garamond" w:hAnsi="Garamond" w:cs="Garamond"/>
        </w:rPr>
        <w:t>ed</w:t>
      </w:r>
      <w:r w:rsidRPr="00A7555D">
        <w:rPr>
          <w:rFonts w:ascii="Garamond" w:hAnsi="Garamond" w:cs="Garamond"/>
        </w:rPr>
        <w:t xml:space="preserve"> in each survey mode by having five participants complete a self-administered version of the questionnaire and four complete an in</w:t>
      </w:r>
      <w:r w:rsidR="00E074EF">
        <w:rPr>
          <w:rFonts w:ascii="Garamond" w:hAnsi="Garamond" w:cs="Garamond"/>
        </w:rPr>
        <w:t xml:space="preserve">terviewer-administered </w:t>
      </w:r>
      <w:r w:rsidR="00E074EF">
        <w:rPr>
          <w:rFonts w:ascii="Garamond" w:hAnsi="Garamond" w:cs="Garamond"/>
        </w:rPr>
        <w:lastRenderedPageBreak/>
        <w:t>version.</w:t>
      </w:r>
      <w:r>
        <w:rPr>
          <w:rFonts w:ascii="Garamond" w:hAnsi="Garamond" w:cs="Garamond"/>
        </w:rPr>
        <w:t xml:space="preserve"> </w:t>
      </w:r>
      <w:r w:rsidRPr="00A7555D">
        <w:rPr>
          <w:rFonts w:ascii="Garamond" w:hAnsi="Garamond" w:cs="Garamond"/>
        </w:rPr>
        <w:t xml:space="preserve">Each interview </w:t>
      </w:r>
      <w:r w:rsidR="00E074EF">
        <w:rPr>
          <w:rFonts w:ascii="Garamond" w:hAnsi="Garamond" w:cs="Garamond"/>
        </w:rPr>
        <w:t>included</w:t>
      </w:r>
      <w:r w:rsidRPr="00A7555D">
        <w:rPr>
          <w:rFonts w:ascii="Garamond" w:hAnsi="Garamond" w:cs="Garamond"/>
        </w:rPr>
        <w:t xml:space="preserve"> a respondent debriefing, administered by senior project staff that assess</w:t>
      </w:r>
      <w:r w:rsidR="00265E2F">
        <w:rPr>
          <w:rFonts w:ascii="Garamond" w:hAnsi="Garamond" w:cs="Garamond"/>
        </w:rPr>
        <w:t>ed</w:t>
      </w:r>
      <w:r w:rsidRPr="00A7555D">
        <w:rPr>
          <w:rFonts w:ascii="Garamond" w:hAnsi="Garamond" w:cs="Garamond"/>
        </w:rPr>
        <w:t xml:space="preserve"> respondent comprehension, clarity of instruction, question flow, and skip logic. </w:t>
      </w:r>
      <w:r>
        <w:rPr>
          <w:rFonts w:ascii="Garamond" w:hAnsi="Garamond" w:cs="Garamond"/>
        </w:rPr>
        <w:t xml:space="preserve"> </w:t>
      </w:r>
      <w:r w:rsidRPr="00A7555D">
        <w:rPr>
          <w:rFonts w:ascii="Garamond" w:hAnsi="Garamond" w:cs="Garamond"/>
        </w:rPr>
        <w:t>We also conduct</w:t>
      </w:r>
      <w:r w:rsidR="00E074EF">
        <w:rPr>
          <w:rFonts w:ascii="Garamond" w:hAnsi="Garamond" w:cs="Garamond"/>
        </w:rPr>
        <w:t>ed</w:t>
      </w:r>
      <w:r w:rsidRPr="00A7555D">
        <w:rPr>
          <w:rFonts w:ascii="Garamond" w:hAnsi="Garamond" w:cs="Garamond"/>
        </w:rPr>
        <w:t xml:space="preserve"> debriefings with interviewers to assess the survey timing and ease of administration. </w:t>
      </w:r>
      <w:r w:rsidR="00E074EF">
        <w:rPr>
          <w:rFonts w:ascii="Garamond" w:hAnsi="Garamond" w:cs="Garamond"/>
        </w:rPr>
        <w:t>Detailed finding</w:t>
      </w:r>
      <w:r w:rsidR="00265E2F">
        <w:rPr>
          <w:rFonts w:ascii="Garamond" w:hAnsi="Garamond" w:cs="Garamond"/>
        </w:rPr>
        <w:t xml:space="preserve">s from the cognitive interview </w:t>
      </w:r>
      <w:r w:rsidR="00E074EF">
        <w:rPr>
          <w:rFonts w:ascii="Garamond" w:hAnsi="Garamond" w:cs="Garamond"/>
        </w:rPr>
        <w:t xml:space="preserve">pretest are included </w:t>
      </w:r>
      <w:r w:rsidR="00E074EF" w:rsidRPr="00265E2F">
        <w:rPr>
          <w:rFonts w:ascii="Garamond" w:hAnsi="Garamond" w:cs="Garamond"/>
        </w:rPr>
        <w:t>in Appendix G.</w:t>
      </w:r>
    </w:p>
    <w:p w:rsidR="00CE2F9D" w:rsidRDefault="00CE2F9D" w:rsidP="008A590C">
      <w:pPr>
        <w:tabs>
          <w:tab w:val="clear" w:pos="432"/>
        </w:tabs>
        <w:ind w:firstLine="0"/>
        <w:jc w:val="left"/>
        <w:rPr>
          <w:rFonts w:ascii="Garamond" w:hAnsi="Garamond" w:cs="Garamond"/>
          <w:b/>
          <w:bCs/>
        </w:rPr>
      </w:pPr>
      <w:r w:rsidRPr="00A7555D">
        <w:rPr>
          <w:rFonts w:ascii="Garamond" w:hAnsi="Garamond" w:cs="Garamond"/>
          <w:b/>
          <w:bCs/>
        </w:rPr>
        <w:t>5.</w:t>
      </w:r>
      <w:r w:rsidRPr="00A7555D">
        <w:rPr>
          <w:rFonts w:ascii="Garamond" w:hAnsi="Garamond" w:cs="Garamond"/>
          <w:b/>
          <w:bCs/>
        </w:rPr>
        <w:tab/>
        <w:t>Individuals Consulted on Statistical Methods</w:t>
      </w:r>
    </w:p>
    <w:p w:rsidR="00CE2F9D" w:rsidRDefault="00CE2F9D">
      <w:pPr>
        <w:tabs>
          <w:tab w:val="clear" w:pos="432"/>
        </w:tabs>
        <w:ind w:firstLine="0"/>
        <w:jc w:val="left"/>
        <w:rPr>
          <w:rFonts w:ascii="Garamond" w:hAnsi="Garamond" w:cs="Garamond"/>
        </w:rPr>
      </w:pPr>
      <w:r w:rsidRPr="00A7555D">
        <w:rPr>
          <w:rFonts w:ascii="Garamond" w:hAnsi="Garamond" w:cs="Garamond"/>
          <w:b/>
          <w:bCs/>
        </w:rPr>
        <w:tab/>
      </w:r>
      <w:r w:rsidRPr="00A7555D">
        <w:rPr>
          <w:rFonts w:ascii="Garamond" w:hAnsi="Garamond" w:cs="Garamond"/>
        </w:rPr>
        <w:t xml:space="preserve">There </w:t>
      </w:r>
      <w:r>
        <w:rPr>
          <w:rFonts w:ascii="Garamond" w:hAnsi="Garamond" w:cs="Garamond"/>
        </w:rPr>
        <w:t>we</w:t>
      </w:r>
      <w:r w:rsidRPr="00A7555D">
        <w:rPr>
          <w:rFonts w:ascii="Garamond" w:hAnsi="Garamond" w:cs="Garamond"/>
        </w:rPr>
        <w:t>re no consulta</w:t>
      </w:r>
      <w:r>
        <w:rPr>
          <w:rFonts w:ascii="Garamond" w:hAnsi="Garamond" w:cs="Garamond"/>
        </w:rPr>
        <w:t>tions</w:t>
      </w:r>
      <w:r w:rsidRPr="00A7555D">
        <w:rPr>
          <w:rFonts w:ascii="Garamond" w:hAnsi="Garamond" w:cs="Garamond"/>
        </w:rPr>
        <w:t xml:space="preserve"> on the statistical aspects of the design for the youth follow-up surveys</w:t>
      </w:r>
      <w:r w:rsidR="00BC2746">
        <w:rPr>
          <w:rFonts w:ascii="Garamond" w:hAnsi="Garamond" w:cs="Garamond"/>
        </w:rPr>
        <w:t>.</w:t>
      </w:r>
    </w:p>
    <w:p w:rsidR="00BC2746" w:rsidRDefault="00BC2746" w:rsidP="00BC2746">
      <w:pPr>
        <w:widowControl w:val="0"/>
        <w:autoSpaceDE w:val="0"/>
        <w:autoSpaceDN w:val="0"/>
        <w:adjustRightInd w:val="0"/>
      </w:pPr>
      <w:r>
        <w:t>Contact information for key individuals responsible for collecting and analyzing the data:</w:t>
      </w:r>
    </w:p>
    <w:p w:rsidR="00BC2746" w:rsidRDefault="00BC2746" w:rsidP="00BC2746">
      <w:pPr>
        <w:widowControl w:val="0"/>
        <w:autoSpaceDE w:val="0"/>
        <w:autoSpaceDN w:val="0"/>
        <w:adjustRightInd w:val="0"/>
      </w:pPr>
    </w:p>
    <w:p w:rsidR="004E680B" w:rsidRDefault="00BC2746" w:rsidP="004E680B">
      <w:pPr>
        <w:widowControl w:val="0"/>
        <w:autoSpaceDE w:val="0"/>
        <w:autoSpaceDN w:val="0"/>
        <w:adjustRightInd w:val="0"/>
        <w:spacing w:line="240" w:lineRule="auto"/>
      </w:pPr>
      <w:r>
        <w:t>Lisa Schwartz, Task Leader for the Surveys</w:t>
      </w:r>
    </w:p>
    <w:p w:rsidR="004E680B" w:rsidRDefault="00BC2746" w:rsidP="004E680B">
      <w:pPr>
        <w:widowControl w:val="0"/>
        <w:autoSpaceDE w:val="0"/>
        <w:autoSpaceDN w:val="0"/>
        <w:adjustRightInd w:val="0"/>
        <w:spacing w:line="240" w:lineRule="auto"/>
      </w:pPr>
      <w:r>
        <w:t>Mathematic Policy Research</w:t>
      </w:r>
    </w:p>
    <w:p w:rsidR="004E680B" w:rsidRDefault="00BC2746" w:rsidP="004E680B">
      <w:pPr>
        <w:widowControl w:val="0"/>
        <w:autoSpaceDE w:val="0"/>
        <w:autoSpaceDN w:val="0"/>
        <w:adjustRightInd w:val="0"/>
        <w:spacing w:line="240" w:lineRule="auto"/>
      </w:pPr>
      <w:r>
        <w:t>P.O. Box 2393</w:t>
      </w:r>
    </w:p>
    <w:p w:rsidR="004E680B" w:rsidRDefault="00BC2746" w:rsidP="004E680B">
      <w:pPr>
        <w:widowControl w:val="0"/>
        <w:autoSpaceDE w:val="0"/>
        <w:autoSpaceDN w:val="0"/>
        <w:adjustRightInd w:val="0"/>
        <w:spacing w:line="240" w:lineRule="auto"/>
      </w:pPr>
      <w:r>
        <w:t>Princeton, NJ 08543</w:t>
      </w:r>
    </w:p>
    <w:p w:rsidR="004E680B" w:rsidRDefault="00BC2746" w:rsidP="004E680B">
      <w:pPr>
        <w:widowControl w:val="0"/>
        <w:autoSpaceDE w:val="0"/>
        <w:autoSpaceDN w:val="0"/>
        <w:adjustRightInd w:val="0"/>
        <w:spacing w:line="240" w:lineRule="auto"/>
      </w:pPr>
      <w:r>
        <w:t>609-945-3386</w:t>
      </w:r>
    </w:p>
    <w:p w:rsidR="004E680B" w:rsidRDefault="008C3BA5" w:rsidP="004E680B">
      <w:pPr>
        <w:widowControl w:val="0"/>
        <w:autoSpaceDE w:val="0"/>
        <w:autoSpaceDN w:val="0"/>
        <w:adjustRightInd w:val="0"/>
        <w:spacing w:line="240" w:lineRule="auto"/>
      </w:pPr>
      <w:hyperlink r:id="rId11" w:history="1">
        <w:r w:rsidR="00BC2746" w:rsidRPr="00FE5FA9">
          <w:rPr>
            <w:rStyle w:val="Hyperlink"/>
          </w:rPr>
          <w:t>lschwartz@</w:t>
        </w:r>
        <w:r w:rsidR="0028233E">
          <w:rPr>
            <w:rStyle w:val="Hyperlink"/>
          </w:rPr>
          <w:t>mathematica-mpr.com</w:t>
        </w:r>
      </w:hyperlink>
    </w:p>
    <w:p w:rsidR="004E680B" w:rsidRDefault="004E680B" w:rsidP="004E680B">
      <w:pPr>
        <w:widowControl w:val="0"/>
        <w:autoSpaceDE w:val="0"/>
        <w:autoSpaceDN w:val="0"/>
        <w:adjustRightInd w:val="0"/>
        <w:spacing w:line="240" w:lineRule="auto"/>
      </w:pPr>
    </w:p>
    <w:p w:rsidR="004E680B" w:rsidRDefault="00BC2746" w:rsidP="004E680B">
      <w:pPr>
        <w:widowControl w:val="0"/>
        <w:autoSpaceDE w:val="0"/>
        <w:autoSpaceDN w:val="0"/>
        <w:adjustRightInd w:val="0"/>
        <w:spacing w:line="240" w:lineRule="auto"/>
      </w:pPr>
      <w:r>
        <w:t>Cynthia Miller, Project Director and Task Leader for the Impact Component</w:t>
      </w:r>
    </w:p>
    <w:p w:rsidR="004E680B" w:rsidRDefault="00BC2746" w:rsidP="004E680B">
      <w:pPr>
        <w:widowControl w:val="0"/>
        <w:autoSpaceDE w:val="0"/>
        <w:autoSpaceDN w:val="0"/>
        <w:adjustRightInd w:val="0"/>
        <w:spacing w:line="240" w:lineRule="auto"/>
      </w:pPr>
      <w:r>
        <w:t>MDRC</w:t>
      </w:r>
    </w:p>
    <w:p w:rsidR="004E680B" w:rsidRDefault="00BC2746" w:rsidP="004E680B">
      <w:pPr>
        <w:widowControl w:val="0"/>
        <w:autoSpaceDE w:val="0"/>
        <w:autoSpaceDN w:val="0"/>
        <w:adjustRightInd w:val="0"/>
        <w:spacing w:line="240" w:lineRule="auto"/>
      </w:pPr>
      <w:r>
        <w:t>16 East 34</w:t>
      </w:r>
      <w:r w:rsidRPr="00F65ABC">
        <w:rPr>
          <w:vertAlign w:val="superscript"/>
        </w:rPr>
        <w:t>th</w:t>
      </w:r>
      <w:r>
        <w:t xml:space="preserve"> Street</w:t>
      </w:r>
    </w:p>
    <w:p w:rsidR="004E680B" w:rsidRDefault="00BC2746" w:rsidP="004E680B">
      <w:pPr>
        <w:widowControl w:val="0"/>
        <w:autoSpaceDE w:val="0"/>
        <w:autoSpaceDN w:val="0"/>
        <w:adjustRightInd w:val="0"/>
        <w:spacing w:line="240" w:lineRule="auto"/>
      </w:pPr>
      <w:r>
        <w:t>New York, NY 10016</w:t>
      </w:r>
    </w:p>
    <w:p w:rsidR="004E680B" w:rsidRDefault="008C3BA5" w:rsidP="004E680B">
      <w:pPr>
        <w:widowControl w:val="0"/>
        <w:autoSpaceDE w:val="0"/>
        <w:autoSpaceDN w:val="0"/>
        <w:adjustRightInd w:val="0"/>
        <w:spacing w:line="240" w:lineRule="auto"/>
      </w:pPr>
      <w:hyperlink r:id="rId12" w:history="1">
        <w:r w:rsidR="00BC2746" w:rsidRPr="0064711D">
          <w:rPr>
            <w:rStyle w:val="Hyperlink"/>
          </w:rPr>
          <w:t>Cynthia.miller@mdrc.org</w:t>
        </w:r>
      </w:hyperlink>
    </w:p>
    <w:p w:rsidR="004E680B" w:rsidRDefault="00BC2746" w:rsidP="004E680B">
      <w:pPr>
        <w:widowControl w:val="0"/>
        <w:autoSpaceDE w:val="0"/>
        <w:autoSpaceDN w:val="0"/>
        <w:adjustRightInd w:val="0"/>
        <w:spacing w:line="240" w:lineRule="auto"/>
      </w:pPr>
      <w:r>
        <w:t>212-532-3200</w:t>
      </w:r>
    </w:p>
    <w:p w:rsidR="004E680B" w:rsidRDefault="004E680B" w:rsidP="004E680B">
      <w:pPr>
        <w:widowControl w:val="0"/>
        <w:autoSpaceDE w:val="0"/>
        <w:autoSpaceDN w:val="0"/>
        <w:adjustRightInd w:val="0"/>
        <w:spacing w:line="240" w:lineRule="auto"/>
      </w:pPr>
    </w:p>
    <w:p w:rsidR="00BC2746" w:rsidRDefault="00BC2746">
      <w:pPr>
        <w:tabs>
          <w:tab w:val="clear" w:pos="432"/>
        </w:tabs>
        <w:ind w:firstLine="0"/>
        <w:jc w:val="left"/>
        <w:rPr>
          <w:rFonts w:ascii="Garamond" w:hAnsi="Garamond" w:cs="Garamond"/>
        </w:rPr>
      </w:pPr>
    </w:p>
    <w:p w:rsidR="00BC2746" w:rsidRDefault="00BC2746">
      <w:pPr>
        <w:tabs>
          <w:tab w:val="clear" w:pos="432"/>
        </w:tabs>
        <w:ind w:firstLine="0"/>
        <w:jc w:val="left"/>
        <w:rPr>
          <w:rFonts w:ascii="Garamond" w:hAnsi="Garamond" w:cs="Garamond"/>
        </w:rPr>
      </w:pPr>
    </w:p>
    <w:sectPr w:rsidR="00BC2746" w:rsidSect="003A1506">
      <w:footerReference w:type="default" r:id="rId13"/>
      <w:endnotePr>
        <w:numFmt w:val="decimal"/>
      </w:endnotePr>
      <w:pgSz w:w="12240" w:h="15840" w:code="1"/>
      <w:pgMar w:top="1440" w:right="1440" w:bottom="576" w:left="1440" w:header="720" w:footer="576" w:gutter="0"/>
      <w:cols w:space="720"/>
      <w:rtlGutter/>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5E9" w:rsidRDefault="000765E9">
      <w:pPr>
        <w:spacing w:line="240" w:lineRule="auto"/>
        <w:ind w:firstLine="0"/>
      </w:pPr>
    </w:p>
  </w:endnote>
  <w:endnote w:type="continuationSeparator" w:id="0">
    <w:p w:rsidR="000765E9" w:rsidRDefault="000765E9">
      <w:pPr>
        <w:spacing w:line="240" w:lineRule="auto"/>
        <w:ind w:firstLine="0"/>
      </w:pPr>
    </w:p>
  </w:endnote>
  <w:endnote w:type="continuationNotice" w:id="1">
    <w:p w:rsidR="000765E9" w:rsidRDefault="000765E9">
      <w:pPr>
        <w:spacing w:line="240" w:lineRule="auto"/>
        <w:ind w:firstLine="0"/>
      </w:pPr>
    </w:p>
    <w:p w:rsidR="000765E9" w:rsidRDefault="000765E9"/>
    <w:p w:rsidR="000765E9" w:rsidRDefault="000765E9">
      <w:r>
        <w:rPr>
          <w:b/>
          <w:bCs/>
          <w:snapToGrid w:val="0"/>
        </w:rPr>
        <w:t>DRAFT</w:t>
      </w:r>
      <w:r>
        <w:rPr>
          <w:snapToGrid w:val="0"/>
          <w:sz w:val="16"/>
          <w:szCs w:val="16"/>
        </w:rPr>
        <w:t xml:space="preserve"> </w:t>
      </w:r>
      <w:r w:rsidR="008C3BA5">
        <w:rPr>
          <w:snapToGrid w:val="0"/>
          <w:sz w:val="16"/>
          <w:szCs w:val="16"/>
        </w:rPr>
        <w:fldChar w:fldCharType="begin"/>
      </w:r>
      <w:r>
        <w:rPr>
          <w:snapToGrid w:val="0"/>
          <w:sz w:val="16"/>
          <w:szCs w:val="16"/>
        </w:rPr>
        <w:instrText xml:space="preserve"> FILENAME \p </w:instrText>
      </w:r>
      <w:r w:rsidR="008C3BA5">
        <w:rPr>
          <w:snapToGrid w:val="0"/>
          <w:sz w:val="16"/>
          <w:szCs w:val="16"/>
        </w:rPr>
        <w:fldChar w:fldCharType="separate"/>
      </w:r>
      <w:r>
        <w:rPr>
          <w:noProof/>
          <w:snapToGrid w:val="0"/>
          <w:sz w:val="16"/>
          <w:szCs w:val="16"/>
        </w:rPr>
        <w:t>U:\Files Nov 29 2011\Data\Youthbuild\OMB pkge number 3\revised feb 2012\YouthBuild_OMB4_SuppState_Part B_feb 2012.docx</w:t>
      </w:r>
      <w:r w:rsidR="008C3BA5">
        <w:rPr>
          <w:snapToGrid w:val="0"/>
          <w:sz w:val="16"/>
          <w:szCs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panose1 w:val="020B0602030504020204"/>
    <w:charset w:val="00"/>
    <w:family w:val="swiss"/>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100" w:rsidRDefault="00F87100">
    <w:pPr>
      <w:pStyle w:val="Footer"/>
      <w:tabs>
        <w:tab w:val="clear" w:pos="432"/>
        <w:tab w:val="clear" w:pos="4320"/>
        <w:tab w:val="clear" w:pos="8640"/>
        <w:tab w:val="center" w:pos="4770"/>
        <w:tab w:val="right" w:pos="9360"/>
      </w:tabs>
      <w:spacing w:before="360" w:line="240" w:lineRule="auto"/>
      <w:ind w:firstLine="0"/>
      <w:rPr>
        <w:rStyle w:val="PageNumber"/>
        <w:b/>
        <w:bCs/>
        <w:sz w:val="17"/>
        <w:szCs w:val="17"/>
      </w:rPr>
    </w:pPr>
    <w:r>
      <w:rPr>
        <w:sz w:val="16"/>
        <w:szCs w:val="16"/>
      </w:rPr>
      <w:tab/>
    </w:r>
    <w:r w:rsidR="008C3BA5">
      <w:rPr>
        <w:rStyle w:val="PageNumber"/>
      </w:rPr>
      <w:fldChar w:fldCharType="begin"/>
    </w:r>
    <w:r>
      <w:rPr>
        <w:rStyle w:val="PageNumber"/>
      </w:rPr>
      <w:instrText xml:space="preserve"> PAGE </w:instrText>
    </w:r>
    <w:r w:rsidR="008C3BA5">
      <w:rPr>
        <w:rStyle w:val="PageNumber"/>
      </w:rPr>
      <w:fldChar w:fldCharType="separate"/>
    </w:r>
    <w:r w:rsidR="00D70172">
      <w:rPr>
        <w:rStyle w:val="PageNumber"/>
        <w:noProof/>
      </w:rPr>
      <w:t>9</w:t>
    </w:r>
    <w:r w:rsidR="008C3BA5">
      <w:rPr>
        <w:rStyle w:val="PageNumber"/>
      </w:rPr>
      <w:fldChar w:fldCharType="end"/>
    </w:r>
    <w:r>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5E9" w:rsidRDefault="000765E9">
      <w:pPr>
        <w:spacing w:line="240" w:lineRule="auto"/>
        <w:ind w:firstLine="0"/>
      </w:pPr>
      <w:r>
        <w:separator/>
      </w:r>
    </w:p>
  </w:footnote>
  <w:footnote w:type="continuationSeparator" w:id="0">
    <w:p w:rsidR="000765E9" w:rsidRDefault="000765E9">
      <w:pPr>
        <w:spacing w:line="240" w:lineRule="auto"/>
        <w:ind w:firstLine="0"/>
      </w:pPr>
      <w:r>
        <w:separator/>
      </w:r>
    </w:p>
    <w:p w:rsidR="000765E9" w:rsidRDefault="000765E9">
      <w:pPr>
        <w:spacing w:line="240" w:lineRule="auto"/>
        <w:ind w:firstLine="0"/>
        <w:rPr>
          <w:i/>
          <w:iCs/>
        </w:rPr>
      </w:pPr>
      <w:r>
        <w:rPr>
          <w:i/>
          <w:iCs/>
        </w:rPr>
        <w:t>(</w:t>
      </w:r>
      <w:proofErr w:type="gramStart"/>
      <w:r>
        <w:rPr>
          <w:i/>
          <w:iCs/>
        </w:rPr>
        <w:t>continued</w:t>
      </w:r>
      <w:proofErr w:type="gramEnd"/>
      <w:r>
        <w:rPr>
          <w:i/>
          <w:iCs/>
        </w:rPr>
        <w:t>)</w:t>
      </w:r>
    </w:p>
  </w:footnote>
  <w:footnote w:type="continuationNotice" w:id="1">
    <w:p w:rsidR="000765E9" w:rsidRDefault="000765E9">
      <w:pPr>
        <w:pStyle w:val="Footer"/>
        <w:spacing w:line="240" w:lineRule="auto"/>
      </w:pPr>
    </w:p>
  </w:footnote>
  <w:footnote w:id="2">
    <w:p w:rsidR="00F87100" w:rsidRDefault="00F87100">
      <w:pPr>
        <w:pStyle w:val="FootnoteText"/>
      </w:pPr>
      <w:r>
        <w:rPr>
          <w:rStyle w:val="FootnoteReference"/>
        </w:rPr>
        <w:footnoteRef/>
      </w:r>
      <w:r>
        <w:t xml:space="preserve"> </w:t>
      </w:r>
      <w:r w:rsidRPr="00A14171">
        <w:rPr>
          <w:rFonts w:ascii="Garamond" w:hAnsi="Garamond"/>
        </w:rPr>
        <w:t>The embargo period for this study is two years. After the embargo period, control group members can receive YouthBuild services if deemed eligible by the program.</w:t>
      </w:r>
    </w:p>
  </w:footnote>
  <w:footnote w:id="3">
    <w:p w:rsidR="00BB6471" w:rsidRDefault="00BB6471" w:rsidP="00BE5F75">
      <w:pPr>
        <w:pStyle w:val="FootnoteText"/>
      </w:pPr>
      <w:r>
        <w:rPr>
          <w:rStyle w:val="FootnoteReference"/>
        </w:rPr>
        <w:footnoteRef/>
      </w:r>
      <w:r>
        <w:t xml:space="preserve"> </w:t>
      </w:r>
      <w:r w:rsidR="00BE5F75" w:rsidRPr="00BE5F75">
        <w:t xml:space="preserve">These procedures have proven highly effective in other Mathematica studies, such as the evaluation of AT&amp;T Foundation’s Aspire Program. For this study, we implemented a web-only survey of 172 grantees: school districts, school district foundations, and non-profit organizations that provided support to at-risk high school students. During a one-month field period, we achieved a 97 percent response rate. While this high rate demonstrates the potential of web-based surveys, our experience with other projects indicates that more than one month is often needed to achieve a high response rate with web surveys. For example, in an evaluation of Early Head Start Programs that serve low-income pregnant woman and children aged 0-3, we achieved an 89 percent response rate using web surveys, with telephone and mail follow-up over a five-month period. Based on our past experience, we propose conducting the web-based grantee survey for this study across a three-month period. </w:t>
      </w:r>
    </w:p>
  </w:footnote>
  <w:footnote w:id="4">
    <w:p w:rsidR="00F87100" w:rsidRPr="00A14171" w:rsidRDefault="00F87100" w:rsidP="00A7555D">
      <w:pPr>
        <w:pStyle w:val="CommentText"/>
        <w:rPr>
          <w:rFonts w:ascii="Garamond" w:hAnsi="Garamond"/>
        </w:rPr>
      </w:pPr>
      <w:r w:rsidRPr="00A14171">
        <w:rPr>
          <w:rStyle w:val="FootnoteReference"/>
          <w:rFonts w:ascii="Garamond" w:hAnsi="Garamond"/>
        </w:rPr>
        <w:footnoteRef/>
      </w:r>
      <w:r w:rsidRPr="00A14171">
        <w:rPr>
          <w:rFonts w:ascii="Garamond" w:hAnsi="Garamond"/>
        </w:rPr>
        <w:t xml:space="preserve"> The Census Bureau estimates that about 14 percent of the overall population moves within a one-year period. However, the highest mobility rates are found among young adults in their twenties. Thirty percent of young adults between the ages of 20-24 and twenty-eight percent of those between the ages of 25-29 moved between 2004 and 2005, the most recent years for which these data are available (.http://www.census.gov/population/www/pop-profile/files/dynamic/Mobility.pdf) For the YouthBuild evaluation, this means that approximately one-third of our sample is expected to move between the time of random assignment and the first follow-up survey; and a higher percentage is likely to relocate prior to the second and third follow-up surveys. </w:t>
      </w:r>
    </w:p>
    <w:p w:rsidR="00F87100" w:rsidRDefault="00F87100" w:rsidP="00A7555D">
      <w:pPr>
        <w:pStyle w:val="CommentText"/>
      </w:pPr>
    </w:p>
  </w:footnote>
  <w:footnote w:id="5">
    <w:p w:rsidR="00F87100" w:rsidRDefault="00F87100" w:rsidP="00A7555D">
      <w:pPr>
        <w:pStyle w:val="FootnoteText"/>
      </w:pPr>
      <w:r>
        <w:rPr>
          <w:rStyle w:val="FootnoteReference"/>
        </w:rPr>
        <w:footnoteRef/>
      </w:r>
      <w:r w:rsidRPr="00A14171">
        <w:rPr>
          <w:rFonts w:ascii="Garamond" w:hAnsi="Garamond"/>
        </w:rPr>
        <w:t xml:space="preserve"> </w:t>
      </w:r>
      <w:proofErr w:type="spellStart"/>
      <w:proofErr w:type="gramStart"/>
      <w:r w:rsidRPr="00A14171">
        <w:rPr>
          <w:rFonts w:ascii="Garamond" w:hAnsi="Garamond"/>
        </w:rPr>
        <w:t>Lenhart</w:t>
      </w:r>
      <w:proofErr w:type="spellEnd"/>
      <w:r w:rsidRPr="00A14171">
        <w:rPr>
          <w:rFonts w:ascii="Garamond" w:hAnsi="Garamond"/>
        </w:rPr>
        <w:t xml:space="preserve">, Amanda and Kristen Purcell, Aaron Smith and Kathryn </w:t>
      </w:r>
      <w:proofErr w:type="spellStart"/>
      <w:r w:rsidRPr="00A14171">
        <w:rPr>
          <w:rFonts w:ascii="Garamond" w:hAnsi="Garamond"/>
        </w:rPr>
        <w:t>Zickuhr</w:t>
      </w:r>
      <w:proofErr w:type="spellEnd"/>
      <w:r w:rsidRPr="00A14171">
        <w:rPr>
          <w:rFonts w:ascii="Garamond" w:hAnsi="Garamond"/>
        </w:rPr>
        <w:t>.</w:t>
      </w:r>
      <w:proofErr w:type="gramEnd"/>
      <w:r w:rsidRPr="00A14171">
        <w:rPr>
          <w:rFonts w:ascii="Garamond" w:hAnsi="Garamond"/>
        </w:rPr>
        <w:t xml:space="preserve"> </w:t>
      </w:r>
      <w:proofErr w:type="gramStart"/>
      <w:r w:rsidRPr="00A14171">
        <w:rPr>
          <w:rFonts w:ascii="Garamond" w:hAnsi="Garamond"/>
        </w:rPr>
        <w:t>“Social Media and Young Adults.”</w:t>
      </w:r>
      <w:proofErr w:type="gramEnd"/>
      <w:r w:rsidRPr="00A14171">
        <w:rPr>
          <w:rFonts w:ascii="Garamond" w:hAnsi="Garamond"/>
        </w:rPr>
        <w:t xml:space="preserve"> February 2010. http://www.pewinternet.org/Reports/2010/Social-Media-and-Young-Adults.aspx  </w:t>
      </w:r>
    </w:p>
  </w:footnote>
  <w:footnote w:id="6">
    <w:p w:rsidR="00F87100" w:rsidRDefault="00F87100">
      <w:pPr>
        <w:pStyle w:val="FootnoteText"/>
      </w:pPr>
      <w:r w:rsidRPr="00A14171">
        <w:rPr>
          <w:rStyle w:val="FootnoteReference"/>
          <w:rFonts w:ascii="Garamond" w:hAnsi="Garamond"/>
        </w:rPr>
        <w:footnoteRef/>
      </w:r>
      <w:r w:rsidRPr="00A14171">
        <w:rPr>
          <w:rFonts w:ascii="Garamond" w:hAnsi="Garamond"/>
        </w:rPr>
        <w:t xml:space="preserve"> </w:t>
      </w:r>
      <w:proofErr w:type="spellStart"/>
      <w:r w:rsidRPr="00A14171">
        <w:rPr>
          <w:rFonts w:ascii="Garamond" w:hAnsi="Garamond"/>
        </w:rPr>
        <w:t>Lygidakis</w:t>
      </w:r>
      <w:proofErr w:type="spellEnd"/>
      <w:r w:rsidRPr="00A14171">
        <w:rPr>
          <w:rFonts w:ascii="Garamond" w:hAnsi="Garamond"/>
        </w:rPr>
        <w:t xml:space="preserve">, </w:t>
      </w:r>
      <w:proofErr w:type="spellStart"/>
      <w:r w:rsidRPr="00A14171">
        <w:rPr>
          <w:rFonts w:ascii="Garamond" w:hAnsi="Garamond"/>
        </w:rPr>
        <w:t>Charilaos</w:t>
      </w:r>
      <w:proofErr w:type="spellEnd"/>
      <w:r w:rsidRPr="00A14171">
        <w:rPr>
          <w:rFonts w:ascii="Garamond" w:hAnsi="Garamond"/>
        </w:rPr>
        <w:t xml:space="preserve">, Sara </w:t>
      </w:r>
      <w:proofErr w:type="spellStart"/>
      <w:r w:rsidRPr="00A14171">
        <w:rPr>
          <w:rFonts w:ascii="Garamond" w:hAnsi="Garamond"/>
        </w:rPr>
        <w:t>Rigon</w:t>
      </w:r>
      <w:proofErr w:type="spellEnd"/>
      <w:r w:rsidRPr="00A14171">
        <w:rPr>
          <w:rFonts w:ascii="Garamond" w:hAnsi="Garamond"/>
        </w:rPr>
        <w:t xml:space="preserve">, </w:t>
      </w:r>
      <w:proofErr w:type="spellStart"/>
      <w:r w:rsidRPr="00A14171">
        <w:rPr>
          <w:rFonts w:ascii="Garamond" w:hAnsi="Garamond"/>
        </w:rPr>
        <w:t>Silvio</w:t>
      </w:r>
      <w:proofErr w:type="spellEnd"/>
      <w:r w:rsidRPr="00A14171">
        <w:rPr>
          <w:rFonts w:ascii="Garamond" w:hAnsi="Garamond"/>
        </w:rPr>
        <w:t xml:space="preserve"> </w:t>
      </w:r>
      <w:proofErr w:type="spellStart"/>
      <w:r w:rsidRPr="00A14171">
        <w:rPr>
          <w:rFonts w:ascii="Garamond" w:hAnsi="Garamond"/>
        </w:rPr>
        <w:t>Cambiaso</w:t>
      </w:r>
      <w:proofErr w:type="spellEnd"/>
      <w:r w:rsidRPr="00A14171">
        <w:rPr>
          <w:rFonts w:ascii="Garamond" w:hAnsi="Garamond"/>
        </w:rPr>
        <w:t xml:space="preserve">, Elena </w:t>
      </w:r>
      <w:proofErr w:type="spellStart"/>
      <w:r w:rsidRPr="00A14171">
        <w:rPr>
          <w:rFonts w:ascii="Garamond" w:hAnsi="Garamond"/>
        </w:rPr>
        <w:t>Bottoli</w:t>
      </w:r>
      <w:proofErr w:type="spellEnd"/>
      <w:r w:rsidRPr="00A14171">
        <w:rPr>
          <w:rFonts w:ascii="Garamond" w:hAnsi="Garamond"/>
        </w:rPr>
        <w:t xml:space="preserve">, Federica </w:t>
      </w:r>
      <w:proofErr w:type="spellStart"/>
      <w:r w:rsidRPr="00A14171">
        <w:rPr>
          <w:rFonts w:ascii="Garamond" w:hAnsi="Garamond"/>
        </w:rPr>
        <w:t>Cuozzo</w:t>
      </w:r>
      <w:proofErr w:type="spellEnd"/>
      <w:r w:rsidRPr="00A14171">
        <w:rPr>
          <w:rFonts w:ascii="Garamond" w:hAnsi="Garamond"/>
        </w:rPr>
        <w:t xml:space="preserve">, Silvia </w:t>
      </w:r>
      <w:proofErr w:type="spellStart"/>
      <w:r w:rsidRPr="00A14171">
        <w:rPr>
          <w:rFonts w:ascii="Garamond" w:hAnsi="Garamond"/>
        </w:rPr>
        <w:t>Bonetti</w:t>
      </w:r>
      <w:proofErr w:type="spellEnd"/>
      <w:r w:rsidRPr="00A14171">
        <w:rPr>
          <w:rFonts w:ascii="Garamond" w:hAnsi="Garamond"/>
        </w:rPr>
        <w:t xml:space="preserve">, Cristina Della Bella, and Carla </w:t>
      </w:r>
      <w:proofErr w:type="spellStart"/>
      <w:r w:rsidRPr="00A14171">
        <w:rPr>
          <w:rFonts w:ascii="Garamond" w:hAnsi="Garamond"/>
        </w:rPr>
        <w:t>Marzo</w:t>
      </w:r>
      <w:proofErr w:type="spellEnd"/>
      <w:r w:rsidRPr="00A14171">
        <w:rPr>
          <w:rFonts w:ascii="Garamond" w:hAnsi="Garamond"/>
        </w:rPr>
        <w:t xml:space="preserve">. </w:t>
      </w:r>
      <w:proofErr w:type="gramStart"/>
      <w:r w:rsidRPr="00A14171">
        <w:rPr>
          <w:rFonts w:ascii="Garamond" w:hAnsi="Garamond"/>
        </w:rPr>
        <w:t>“A Web-Based Versus Paper Questionnaire on Alcohol and Tobacco in Adolescents.”</w:t>
      </w:r>
      <w:proofErr w:type="gramEnd"/>
      <w:r w:rsidRPr="00A14171">
        <w:rPr>
          <w:rFonts w:ascii="Garamond" w:hAnsi="Garamond"/>
        </w:rPr>
        <w:t> </w:t>
      </w:r>
      <w:r w:rsidRPr="00A14171">
        <w:rPr>
          <w:rFonts w:ascii="Garamond" w:hAnsi="Garamond"/>
          <w:i/>
          <w:iCs/>
        </w:rPr>
        <w:t xml:space="preserve">Telemedicine Journal &amp; E-Health, </w:t>
      </w:r>
      <w:r w:rsidRPr="00A14171">
        <w:rPr>
          <w:rFonts w:ascii="Garamond" w:hAnsi="Garamond"/>
        </w:rPr>
        <w:t>vol. 16, no. 9, 2010, pp. 925-930.</w:t>
      </w:r>
    </w:p>
  </w:footnote>
  <w:footnote w:id="7">
    <w:p w:rsidR="00F87100" w:rsidRDefault="00F87100">
      <w:pPr>
        <w:pStyle w:val="FootnoteText"/>
      </w:pPr>
      <w:r w:rsidRPr="00A14171">
        <w:rPr>
          <w:rStyle w:val="FootnoteReference"/>
          <w:rFonts w:ascii="Garamond" w:hAnsi="Garamond"/>
        </w:rPr>
        <w:footnoteRef/>
      </w:r>
      <w:r w:rsidRPr="00A14171">
        <w:rPr>
          <w:rFonts w:ascii="Garamond" w:hAnsi="Garamond"/>
        </w:rPr>
        <w:t xml:space="preserve"> McCabe, Sean E. “Comparison of Web and Mail Surveys in Collecting Illicit Drug Use Data: A Randomized Experiment.” </w:t>
      </w:r>
      <w:r w:rsidRPr="00A14171">
        <w:rPr>
          <w:rFonts w:ascii="Garamond" w:hAnsi="Garamond"/>
          <w:i/>
          <w:iCs/>
        </w:rPr>
        <w:t xml:space="preserve">Journal of Drug Education, </w:t>
      </w:r>
      <w:r w:rsidRPr="00A14171">
        <w:rPr>
          <w:rFonts w:ascii="Garamond" w:hAnsi="Garamond"/>
        </w:rPr>
        <w:t>vol. 34, no. 1, 2004, pp. 61-72.</w:t>
      </w:r>
    </w:p>
  </w:footnote>
  <w:footnote w:id="8">
    <w:p w:rsidR="00F87100" w:rsidRDefault="00F87100">
      <w:pPr>
        <w:pStyle w:val="FootnoteText"/>
      </w:pPr>
      <w:r w:rsidRPr="00A14171">
        <w:rPr>
          <w:rStyle w:val="FootnoteReference"/>
          <w:rFonts w:ascii="Garamond" w:hAnsi="Garamond"/>
        </w:rPr>
        <w:footnoteRef/>
      </w:r>
      <w:r w:rsidRPr="00A14171">
        <w:rPr>
          <w:rFonts w:ascii="Garamond" w:hAnsi="Garamond"/>
        </w:rPr>
        <w:t xml:space="preserve"> </w:t>
      </w:r>
      <w:proofErr w:type="gramStart"/>
      <w:r w:rsidRPr="00A14171">
        <w:rPr>
          <w:rFonts w:ascii="Garamond" w:hAnsi="Garamond"/>
        </w:rPr>
        <w:t xml:space="preserve">McCabe, Sean E., Carol J. Boyd, Mick P. </w:t>
      </w:r>
      <w:proofErr w:type="spellStart"/>
      <w:r w:rsidRPr="00A14171">
        <w:rPr>
          <w:rFonts w:ascii="Garamond" w:hAnsi="Garamond"/>
        </w:rPr>
        <w:t>Couper</w:t>
      </w:r>
      <w:proofErr w:type="spellEnd"/>
      <w:r w:rsidRPr="00A14171">
        <w:rPr>
          <w:rFonts w:ascii="Garamond" w:hAnsi="Garamond"/>
        </w:rPr>
        <w:t>, Scott Crawford, and Hannah D'Arcy.</w:t>
      </w:r>
      <w:proofErr w:type="gramEnd"/>
      <w:r w:rsidRPr="00A14171">
        <w:rPr>
          <w:rFonts w:ascii="Garamond" w:hAnsi="Garamond"/>
        </w:rPr>
        <w:t xml:space="preserve"> “Mode Effects for Collecting Alcohol and Other Drug Use Data: Web and U.S. Mail.” </w:t>
      </w:r>
      <w:r w:rsidRPr="00A14171">
        <w:rPr>
          <w:rFonts w:ascii="Garamond" w:hAnsi="Garamond"/>
          <w:i/>
          <w:iCs/>
        </w:rPr>
        <w:t xml:space="preserve">Journal of Studies on Alcohol, </w:t>
      </w:r>
      <w:r w:rsidRPr="00A14171">
        <w:rPr>
          <w:rFonts w:ascii="Garamond" w:hAnsi="Garamond"/>
        </w:rPr>
        <w:t>vol. 63, no. 6, 2002, pp. 755.</w:t>
      </w:r>
    </w:p>
  </w:footnote>
  <w:footnote w:id="9">
    <w:p w:rsidR="00F87100" w:rsidRDefault="00F87100">
      <w:pPr>
        <w:pStyle w:val="FootnoteText"/>
      </w:pPr>
      <w:r w:rsidRPr="00A14171">
        <w:rPr>
          <w:rStyle w:val="FootnoteReference"/>
          <w:rFonts w:ascii="Garamond" w:hAnsi="Garamond"/>
        </w:rPr>
        <w:footnoteRef/>
      </w:r>
      <w:r w:rsidRPr="00A14171">
        <w:rPr>
          <w:rFonts w:ascii="Garamond" w:hAnsi="Garamond"/>
        </w:rPr>
        <w:t xml:space="preserve"> Mooney, Geraldine M. “National Survey of Recent College Graduates (NSRCG) 2008: Impact of the 2008 Incentive Experiment on 2008 NSRCG Costs.” Report submitted to the National Science Foundation. Princeton, NJ: Mathematica Policy Research, October 2011.</w:t>
      </w:r>
    </w:p>
  </w:footnote>
  <w:footnote w:id="10">
    <w:p w:rsidR="00F87100" w:rsidRDefault="00F87100">
      <w:pPr>
        <w:pStyle w:val="FootnoteText"/>
      </w:pPr>
      <w:r w:rsidRPr="00A14171">
        <w:rPr>
          <w:rStyle w:val="FootnoteReference"/>
          <w:rFonts w:ascii="Garamond" w:hAnsi="Garamond"/>
        </w:rPr>
        <w:footnoteRef/>
      </w:r>
      <w:r w:rsidRPr="00A14171">
        <w:rPr>
          <w:rFonts w:ascii="Garamond" w:hAnsi="Garamond"/>
        </w:rPr>
        <w:t xml:space="preserve"> </w:t>
      </w:r>
      <w:proofErr w:type="gramStart"/>
      <w:r w:rsidRPr="00A14171">
        <w:rPr>
          <w:rFonts w:ascii="Garamond" w:hAnsi="Garamond"/>
        </w:rPr>
        <w:t>DesRoches, David, John Hall and Betsy Santos.</w:t>
      </w:r>
      <w:proofErr w:type="gramEnd"/>
      <w:r w:rsidRPr="00A14171">
        <w:rPr>
          <w:rFonts w:ascii="Garamond" w:hAnsi="Garamond"/>
        </w:rPr>
        <w:t xml:space="preserve"> “College Experience Survey: Methodological Summary.” Draft Report. Princeton, NJ: Mathematica Policy Research. November 2009.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50C4B"/>
    <w:multiLevelType w:val="hybridMultilevel"/>
    <w:tmpl w:val="825A4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hint="default"/>
      </w:rPr>
    </w:lvl>
    <w:lvl w:ilvl="8" w:tplc="04090005">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hint="default"/>
      </w:rPr>
    </w:lvl>
    <w:lvl w:ilvl="8" w:tplc="04090005">
      <w:start w:val="1"/>
      <w:numFmt w:val="bullet"/>
      <w:lvlText w:val=""/>
      <w:lvlJc w:val="left"/>
      <w:pPr>
        <w:ind w:left="6912" w:hanging="360"/>
      </w:pPr>
      <w:rPr>
        <w:rFonts w:ascii="Wingdings" w:hAnsi="Wingdings" w:hint="default"/>
      </w:rPr>
    </w:lvl>
  </w:abstractNum>
  <w:abstractNum w:abstractNumId="3">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2C4345A2"/>
    <w:multiLevelType w:val="hybridMultilevel"/>
    <w:tmpl w:val="571C357A"/>
    <w:lvl w:ilvl="0" w:tplc="BB72A36A">
      <w:start w:val="1"/>
      <w:numFmt w:val="decimal"/>
      <w:lvlText w:val="%1."/>
      <w:lvlJc w:val="left"/>
      <w:pPr>
        <w:ind w:left="1755" w:hanging="1035"/>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2F7B450E"/>
    <w:multiLevelType w:val="hybridMultilevel"/>
    <w:tmpl w:val="CAF6C6B4"/>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6">
    <w:nsid w:val="330743A1"/>
    <w:multiLevelType w:val="hybridMultilevel"/>
    <w:tmpl w:val="52248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F68289A"/>
    <w:multiLevelType w:val="hybridMultilevel"/>
    <w:tmpl w:val="9432D906"/>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hint="default"/>
      </w:rPr>
    </w:lvl>
    <w:lvl w:ilvl="8" w:tplc="04090005">
      <w:start w:val="1"/>
      <w:numFmt w:val="bullet"/>
      <w:lvlText w:val=""/>
      <w:lvlJc w:val="left"/>
      <w:pPr>
        <w:ind w:left="6912" w:hanging="360"/>
      </w:pPr>
      <w:rPr>
        <w:rFonts w:ascii="Wingdings" w:hAnsi="Wingdings" w:hint="default"/>
      </w:rPr>
    </w:lvl>
  </w:abstractNum>
  <w:abstractNum w:abstractNumId="8">
    <w:nsid w:val="406351D1"/>
    <w:multiLevelType w:val="hybridMultilevel"/>
    <w:tmpl w:val="B78645E4"/>
    <w:lvl w:ilvl="0" w:tplc="BB72A36A">
      <w:start w:val="1"/>
      <w:numFmt w:val="decimal"/>
      <w:lvlText w:val="%1."/>
      <w:lvlJc w:val="left"/>
      <w:pPr>
        <w:ind w:left="1755" w:hanging="1035"/>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nsid w:val="44FD6ECB"/>
    <w:multiLevelType w:val="hybridMultilevel"/>
    <w:tmpl w:val="04EAB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11">
    <w:nsid w:val="58656A3D"/>
    <w:multiLevelType w:val="hybridMultilevel"/>
    <w:tmpl w:val="F1FE2F94"/>
    <w:lvl w:ilvl="0" w:tplc="2A684B92">
      <w:start w:val="1"/>
      <w:numFmt w:val="decimal"/>
      <w:lvlText w:val="%1."/>
      <w:lvlJc w:val="left"/>
      <w:pPr>
        <w:ind w:left="720" w:hanging="360"/>
      </w:pPr>
      <w:rPr>
        <w:rFonts w:cs="Times New Roman" w:hint="default"/>
      </w:rPr>
    </w:lvl>
    <w:lvl w:ilvl="1" w:tplc="04090019">
      <w:start w:val="1"/>
      <w:numFmt w:val="bullet"/>
      <w:lvlText w:val="o"/>
      <w:lvlJc w:val="left"/>
      <w:pPr>
        <w:ind w:left="1440" w:hanging="360"/>
      </w:pPr>
      <w:rPr>
        <w:rFonts w:ascii="Courier New" w:hAnsi="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hint="default"/>
      </w:rPr>
    </w:lvl>
    <w:lvl w:ilvl="8" w:tplc="0409001B">
      <w:start w:val="1"/>
      <w:numFmt w:val="bullet"/>
      <w:lvlText w:val=""/>
      <w:lvlJc w:val="left"/>
      <w:pPr>
        <w:ind w:left="6480" w:hanging="360"/>
      </w:pPr>
      <w:rPr>
        <w:rFonts w:ascii="Wingdings" w:hAnsi="Wingdings" w:hint="default"/>
      </w:rPr>
    </w:lvl>
  </w:abstractNum>
  <w:abstractNum w:abstractNumId="12">
    <w:nsid w:val="61DB597B"/>
    <w:multiLevelType w:val="hybridMultilevel"/>
    <w:tmpl w:val="2530E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hint="default"/>
      </w:rPr>
    </w:lvl>
    <w:lvl w:ilvl="8" w:tplc="04090005">
      <w:start w:val="1"/>
      <w:numFmt w:val="bullet"/>
      <w:lvlText w:val=""/>
      <w:lvlJc w:val="left"/>
      <w:pPr>
        <w:ind w:left="6912" w:hanging="360"/>
      </w:pPr>
      <w:rPr>
        <w:rFonts w:ascii="Wingdings" w:hAnsi="Wingdings" w:hint="default"/>
      </w:rPr>
    </w:lvl>
  </w:abstractNum>
  <w:abstractNum w:abstractNumId="14">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start w:val="1"/>
      <w:numFmt w:val="bullet"/>
      <w:lvlText w:val="o"/>
      <w:lvlJc w:val="left"/>
      <w:pPr>
        <w:ind w:left="1872" w:hanging="360"/>
      </w:pPr>
      <w:rPr>
        <w:rFonts w:ascii="Courier New" w:hAnsi="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hint="default"/>
      </w:rPr>
    </w:lvl>
    <w:lvl w:ilvl="8" w:tplc="04090005">
      <w:start w:val="1"/>
      <w:numFmt w:val="bullet"/>
      <w:lvlText w:val=""/>
      <w:lvlJc w:val="left"/>
      <w:pPr>
        <w:ind w:left="6912" w:hanging="360"/>
      </w:pPr>
      <w:rPr>
        <w:rFonts w:ascii="Wingdings" w:hAnsi="Wingdings" w:hint="default"/>
      </w:rPr>
    </w:lvl>
  </w:abstractNum>
  <w:abstractNum w:abstractNumId="15">
    <w:nsid w:val="74BD3D44"/>
    <w:multiLevelType w:val="hybridMultilevel"/>
    <w:tmpl w:val="0FCA0D7E"/>
    <w:lvl w:ilvl="0" w:tplc="4A946B26">
      <w:start w:val="1"/>
      <w:numFmt w:val="decimal"/>
      <w:lvlText w:val="%1."/>
      <w:lvlJc w:val="left"/>
      <w:pPr>
        <w:ind w:left="1152" w:hanging="360"/>
      </w:pPr>
      <w:rPr>
        <w:rFonts w:ascii="Times New Roman" w:hAnsi="Times New Roman" w:cs="Times New Roman" w:hint="default"/>
        <w:sz w:val="24"/>
        <w:szCs w:val="24"/>
      </w:rPr>
    </w:lvl>
    <w:lvl w:ilvl="1" w:tplc="04090019">
      <w:start w:val="1"/>
      <w:numFmt w:val="lowerLetter"/>
      <w:lvlText w:val="%2."/>
      <w:lvlJc w:val="left"/>
      <w:pPr>
        <w:ind w:left="1872" w:hanging="360"/>
      </w:pPr>
      <w:rPr>
        <w:rFonts w:cs="Times New Roman"/>
      </w:rPr>
    </w:lvl>
    <w:lvl w:ilvl="2" w:tplc="0409001B">
      <w:start w:val="1"/>
      <w:numFmt w:val="lowerRoman"/>
      <w:lvlText w:val="%3."/>
      <w:lvlJc w:val="right"/>
      <w:pPr>
        <w:ind w:left="2592" w:hanging="180"/>
      </w:pPr>
      <w:rPr>
        <w:rFonts w:cs="Times New Roman"/>
      </w:rPr>
    </w:lvl>
    <w:lvl w:ilvl="3" w:tplc="0409000F">
      <w:start w:val="1"/>
      <w:numFmt w:val="decimal"/>
      <w:lvlText w:val="%4."/>
      <w:lvlJc w:val="left"/>
      <w:pPr>
        <w:ind w:left="3312" w:hanging="360"/>
      </w:pPr>
      <w:rPr>
        <w:rFonts w:cs="Times New Roman"/>
      </w:rPr>
    </w:lvl>
    <w:lvl w:ilvl="4" w:tplc="04090019">
      <w:start w:val="1"/>
      <w:numFmt w:val="lowerLetter"/>
      <w:lvlText w:val="%5."/>
      <w:lvlJc w:val="left"/>
      <w:pPr>
        <w:ind w:left="4032" w:hanging="360"/>
      </w:pPr>
      <w:rPr>
        <w:rFonts w:cs="Times New Roman"/>
      </w:rPr>
    </w:lvl>
    <w:lvl w:ilvl="5" w:tplc="0409001B">
      <w:start w:val="1"/>
      <w:numFmt w:val="lowerRoman"/>
      <w:lvlText w:val="%6."/>
      <w:lvlJc w:val="right"/>
      <w:pPr>
        <w:ind w:left="4752" w:hanging="180"/>
      </w:pPr>
      <w:rPr>
        <w:rFonts w:cs="Times New Roman"/>
      </w:rPr>
    </w:lvl>
    <w:lvl w:ilvl="6" w:tplc="0409000F">
      <w:start w:val="1"/>
      <w:numFmt w:val="decimal"/>
      <w:lvlText w:val="%7."/>
      <w:lvlJc w:val="left"/>
      <w:pPr>
        <w:ind w:left="5472" w:hanging="360"/>
      </w:pPr>
      <w:rPr>
        <w:rFonts w:cs="Times New Roman"/>
      </w:rPr>
    </w:lvl>
    <w:lvl w:ilvl="7" w:tplc="04090019">
      <w:start w:val="1"/>
      <w:numFmt w:val="lowerLetter"/>
      <w:lvlText w:val="%8."/>
      <w:lvlJc w:val="left"/>
      <w:pPr>
        <w:ind w:left="6192" w:hanging="360"/>
      </w:pPr>
      <w:rPr>
        <w:rFonts w:cs="Times New Roman"/>
      </w:rPr>
    </w:lvl>
    <w:lvl w:ilvl="8" w:tplc="0409001B">
      <w:start w:val="1"/>
      <w:numFmt w:val="lowerRoman"/>
      <w:lvlText w:val="%9."/>
      <w:lvlJc w:val="right"/>
      <w:pPr>
        <w:ind w:left="6912" w:hanging="180"/>
      </w:pPr>
      <w:rPr>
        <w:rFonts w:cs="Times New Roman"/>
      </w:rPr>
    </w:lvl>
  </w:abstractNum>
  <w:abstractNum w:abstractNumId="16">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start w:val="1"/>
      <w:numFmt w:val="bullet"/>
      <w:lvlText w:val="o"/>
      <w:lvlJc w:val="left"/>
      <w:pPr>
        <w:ind w:left="1872" w:hanging="360"/>
      </w:pPr>
      <w:rPr>
        <w:rFonts w:ascii="Courier New" w:hAnsi="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hint="default"/>
      </w:rPr>
    </w:lvl>
    <w:lvl w:ilvl="8" w:tplc="04090005">
      <w:start w:val="1"/>
      <w:numFmt w:val="bullet"/>
      <w:lvlText w:val=""/>
      <w:lvlJc w:val="left"/>
      <w:pPr>
        <w:ind w:left="6912" w:hanging="360"/>
      </w:pPr>
      <w:rPr>
        <w:rFonts w:ascii="Wingdings" w:hAnsi="Wingdings" w:hint="default"/>
      </w:rPr>
    </w:lvl>
  </w:abstractNum>
  <w:num w:numId="1">
    <w:abstractNumId w:val="10"/>
  </w:num>
  <w:num w:numId="2">
    <w:abstractNumId w:val="15"/>
  </w:num>
  <w:num w:numId="3">
    <w:abstractNumId w:val="13"/>
  </w:num>
  <w:num w:numId="4">
    <w:abstractNumId w:val="2"/>
  </w:num>
  <w:num w:numId="5">
    <w:abstractNumId w:val="1"/>
  </w:num>
  <w:num w:numId="6">
    <w:abstractNumId w:val="16"/>
  </w:num>
  <w:num w:numId="7">
    <w:abstractNumId w:val="14"/>
  </w:num>
  <w:num w:numId="8">
    <w:abstractNumId w:val="3"/>
  </w:num>
  <w:num w:numId="9">
    <w:abstractNumId w:val="9"/>
  </w:num>
  <w:num w:numId="10">
    <w:abstractNumId w:val="0"/>
  </w:num>
  <w:num w:numId="11">
    <w:abstractNumId w:val="12"/>
  </w:num>
  <w:num w:numId="12">
    <w:abstractNumId w:val="6"/>
  </w:num>
  <w:num w:numId="13">
    <w:abstractNumId w:val="7"/>
  </w:num>
  <w:num w:numId="14">
    <w:abstractNumId w:val="5"/>
  </w:num>
  <w:num w:numId="15">
    <w:abstractNumId w:val="8"/>
  </w:num>
  <w:num w:numId="16">
    <w:abstractNumId w:val="4"/>
  </w:num>
  <w:num w:numId="17">
    <w:abstractNumId w:val="14"/>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trackRevisions/>
  <w:defaultTabStop w:val="720"/>
  <w:doNotHyphenateCaps/>
  <w:drawingGridHorizontalSpacing w:val="55"/>
  <w:drawingGridVerticalSpacing w:val="75"/>
  <w:displayHorizontalDrawingGridEvery w:val="0"/>
  <w:displayVerticalDrawingGridEvery w:val="0"/>
  <w:noPunctuationKerning/>
  <w:characterSpacingControl w:val="doNotCompress"/>
  <w:doNotValidateAgainstSchema/>
  <w:doNotDemarcateInvalidXml/>
  <w:footnotePr>
    <w:footnote w:id="-1"/>
    <w:footnote w:id="0"/>
    <w:footnote w:id="1"/>
  </w:footnotePr>
  <w:endnotePr>
    <w:pos w:val="sectEnd"/>
    <w:numFmt w:val="decimal"/>
    <w:endnote w:id="-1"/>
    <w:endnote w:id="0"/>
    <w:endnote w:id="1"/>
  </w:endnotePr>
  <w:compat/>
  <w:rsids>
    <w:rsidRoot w:val="00BE0048"/>
    <w:rsid w:val="00003B95"/>
    <w:rsid w:val="00010DDF"/>
    <w:rsid w:val="00020558"/>
    <w:rsid w:val="00024C6D"/>
    <w:rsid w:val="00031366"/>
    <w:rsid w:val="00031AD9"/>
    <w:rsid w:val="000356F7"/>
    <w:rsid w:val="00037098"/>
    <w:rsid w:val="00037500"/>
    <w:rsid w:val="00053B34"/>
    <w:rsid w:val="00053BF3"/>
    <w:rsid w:val="00055D27"/>
    <w:rsid w:val="00057FED"/>
    <w:rsid w:val="00060047"/>
    <w:rsid w:val="000765E9"/>
    <w:rsid w:val="000812AE"/>
    <w:rsid w:val="00081D47"/>
    <w:rsid w:val="00087DD7"/>
    <w:rsid w:val="00091EFC"/>
    <w:rsid w:val="000962C7"/>
    <w:rsid w:val="000A1101"/>
    <w:rsid w:val="000A18C8"/>
    <w:rsid w:val="000B14D4"/>
    <w:rsid w:val="000B25C0"/>
    <w:rsid w:val="000B3A77"/>
    <w:rsid w:val="000C0118"/>
    <w:rsid w:val="000E402B"/>
    <w:rsid w:val="000E4553"/>
    <w:rsid w:val="000E6176"/>
    <w:rsid w:val="000E6D11"/>
    <w:rsid w:val="000E6E3C"/>
    <w:rsid w:val="000F0417"/>
    <w:rsid w:val="000F4B5F"/>
    <w:rsid w:val="00105D23"/>
    <w:rsid w:val="00105E63"/>
    <w:rsid w:val="00110812"/>
    <w:rsid w:val="00110FB6"/>
    <w:rsid w:val="00115677"/>
    <w:rsid w:val="00121A3A"/>
    <w:rsid w:val="001230C0"/>
    <w:rsid w:val="00130BBD"/>
    <w:rsid w:val="0013282C"/>
    <w:rsid w:val="00133C2D"/>
    <w:rsid w:val="0013580D"/>
    <w:rsid w:val="00135DCD"/>
    <w:rsid w:val="00150198"/>
    <w:rsid w:val="00153FDE"/>
    <w:rsid w:val="001556C8"/>
    <w:rsid w:val="001916CD"/>
    <w:rsid w:val="001933B1"/>
    <w:rsid w:val="001A07D4"/>
    <w:rsid w:val="001B574B"/>
    <w:rsid w:val="001C1603"/>
    <w:rsid w:val="001D3871"/>
    <w:rsid w:val="001D4C2B"/>
    <w:rsid w:val="001D4C41"/>
    <w:rsid w:val="001D63B4"/>
    <w:rsid w:val="001E6BB9"/>
    <w:rsid w:val="00200B10"/>
    <w:rsid w:val="002228EB"/>
    <w:rsid w:val="00226282"/>
    <w:rsid w:val="00227E5B"/>
    <w:rsid w:val="0023389A"/>
    <w:rsid w:val="00236FD3"/>
    <w:rsid w:val="002457DB"/>
    <w:rsid w:val="00255DDA"/>
    <w:rsid w:val="00263BEA"/>
    <w:rsid w:val="00265E2F"/>
    <w:rsid w:val="00274EA0"/>
    <w:rsid w:val="0028233E"/>
    <w:rsid w:val="00282AC0"/>
    <w:rsid w:val="002849EE"/>
    <w:rsid w:val="00294795"/>
    <w:rsid w:val="00297508"/>
    <w:rsid w:val="002A046B"/>
    <w:rsid w:val="002A11F5"/>
    <w:rsid w:val="002B45AD"/>
    <w:rsid w:val="002C413C"/>
    <w:rsid w:val="002C5280"/>
    <w:rsid w:val="002C690A"/>
    <w:rsid w:val="002C78BA"/>
    <w:rsid w:val="002E03A9"/>
    <w:rsid w:val="002E0B45"/>
    <w:rsid w:val="002E7338"/>
    <w:rsid w:val="002F6D13"/>
    <w:rsid w:val="002F7C83"/>
    <w:rsid w:val="00302E49"/>
    <w:rsid w:val="00305BD2"/>
    <w:rsid w:val="003150BB"/>
    <w:rsid w:val="00336A60"/>
    <w:rsid w:val="00342CD8"/>
    <w:rsid w:val="003504B6"/>
    <w:rsid w:val="00353552"/>
    <w:rsid w:val="00356480"/>
    <w:rsid w:val="00360361"/>
    <w:rsid w:val="003761F3"/>
    <w:rsid w:val="00381BCC"/>
    <w:rsid w:val="00382A22"/>
    <w:rsid w:val="003861D9"/>
    <w:rsid w:val="00392C26"/>
    <w:rsid w:val="003A1506"/>
    <w:rsid w:val="003A1774"/>
    <w:rsid w:val="003A17E0"/>
    <w:rsid w:val="003A26BB"/>
    <w:rsid w:val="003A76BE"/>
    <w:rsid w:val="003A7BF5"/>
    <w:rsid w:val="003C4C91"/>
    <w:rsid w:val="003D0AE9"/>
    <w:rsid w:val="003D3EFF"/>
    <w:rsid w:val="003D7D00"/>
    <w:rsid w:val="003F4A9B"/>
    <w:rsid w:val="00406FFE"/>
    <w:rsid w:val="00411EAA"/>
    <w:rsid w:val="00412EE4"/>
    <w:rsid w:val="00413107"/>
    <w:rsid w:val="00416A6C"/>
    <w:rsid w:val="00417B7A"/>
    <w:rsid w:val="0042174E"/>
    <w:rsid w:val="00421A5D"/>
    <w:rsid w:val="00421B3D"/>
    <w:rsid w:val="00427F41"/>
    <w:rsid w:val="00430B5C"/>
    <w:rsid w:val="00446CE2"/>
    <w:rsid w:val="004544B4"/>
    <w:rsid w:val="00462281"/>
    <w:rsid w:val="00466744"/>
    <w:rsid w:val="0046798A"/>
    <w:rsid w:val="00473AAD"/>
    <w:rsid w:val="0047478B"/>
    <w:rsid w:val="00477E14"/>
    <w:rsid w:val="0049652F"/>
    <w:rsid w:val="004A5E5A"/>
    <w:rsid w:val="004B0D54"/>
    <w:rsid w:val="004B1FE1"/>
    <w:rsid w:val="004B7F03"/>
    <w:rsid w:val="004D3F08"/>
    <w:rsid w:val="004D595B"/>
    <w:rsid w:val="004D62CD"/>
    <w:rsid w:val="004D68B0"/>
    <w:rsid w:val="004E680B"/>
    <w:rsid w:val="004F11C0"/>
    <w:rsid w:val="004F1DA7"/>
    <w:rsid w:val="004F6322"/>
    <w:rsid w:val="00500297"/>
    <w:rsid w:val="0050527B"/>
    <w:rsid w:val="0051526D"/>
    <w:rsid w:val="00531424"/>
    <w:rsid w:val="00546AF3"/>
    <w:rsid w:val="00546CBB"/>
    <w:rsid w:val="00556B21"/>
    <w:rsid w:val="00562344"/>
    <w:rsid w:val="00563ABC"/>
    <w:rsid w:val="00563C94"/>
    <w:rsid w:val="00564CD1"/>
    <w:rsid w:val="00580CCE"/>
    <w:rsid w:val="00581EE2"/>
    <w:rsid w:val="005906DE"/>
    <w:rsid w:val="0059195E"/>
    <w:rsid w:val="00591AE6"/>
    <w:rsid w:val="0059472A"/>
    <w:rsid w:val="00594F74"/>
    <w:rsid w:val="005950AD"/>
    <w:rsid w:val="005A1F68"/>
    <w:rsid w:val="005A66CB"/>
    <w:rsid w:val="005B2CDB"/>
    <w:rsid w:val="005B3310"/>
    <w:rsid w:val="005C6AA5"/>
    <w:rsid w:val="005D2481"/>
    <w:rsid w:val="005D3AA3"/>
    <w:rsid w:val="005D669A"/>
    <w:rsid w:val="005D79F8"/>
    <w:rsid w:val="005F4CA3"/>
    <w:rsid w:val="005F560A"/>
    <w:rsid w:val="005F6D3A"/>
    <w:rsid w:val="00602FCC"/>
    <w:rsid w:val="00603A65"/>
    <w:rsid w:val="0060568A"/>
    <w:rsid w:val="006150A8"/>
    <w:rsid w:val="006178B1"/>
    <w:rsid w:val="00624424"/>
    <w:rsid w:val="00625B30"/>
    <w:rsid w:val="00633ACE"/>
    <w:rsid w:val="00635EC3"/>
    <w:rsid w:val="00641AC0"/>
    <w:rsid w:val="00644264"/>
    <w:rsid w:val="00647565"/>
    <w:rsid w:val="00650CE1"/>
    <w:rsid w:val="0065663B"/>
    <w:rsid w:val="006668BC"/>
    <w:rsid w:val="00681DFC"/>
    <w:rsid w:val="00690B57"/>
    <w:rsid w:val="00693AB9"/>
    <w:rsid w:val="006959AF"/>
    <w:rsid w:val="00696189"/>
    <w:rsid w:val="006A0FE5"/>
    <w:rsid w:val="006A70D6"/>
    <w:rsid w:val="006A7614"/>
    <w:rsid w:val="006B669A"/>
    <w:rsid w:val="006B670E"/>
    <w:rsid w:val="006C0079"/>
    <w:rsid w:val="006C772E"/>
    <w:rsid w:val="006D1803"/>
    <w:rsid w:val="006D301C"/>
    <w:rsid w:val="006E2AEF"/>
    <w:rsid w:val="006E3DE1"/>
    <w:rsid w:val="006E6BC9"/>
    <w:rsid w:val="006F053F"/>
    <w:rsid w:val="0070786D"/>
    <w:rsid w:val="00712A21"/>
    <w:rsid w:val="007211A3"/>
    <w:rsid w:val="007214EF"/>
    <w:rsid w:val="00726DD4"/>
    <w:rsid w:val="007443EE"/>
    <w:rsid w:val="00747B99"/>
    <w:rsid w:val="00754DB7"/>
    <w:rsid w:val="00763CCE"/>
    <w:rsid w:val="00770643"/>
    <w:rsid w:val="007749F1"/>
    <w:rsid w:val="00776723"/>
    <w:rsid w:val="00777331"/>
    <w:rsid w:val="00786587"/>
    <w:rsid w:val="00787C8C"/>
    <w:rsid w:val="0079341E"/>
    <w:rsid w:val="00793DEF"/>
    <w:rsid w:val="007A1B6E"/>
    <w:rsid w:val="007B763F"/>
    <w:rsid w:val="007C22B7"/>
    <w:rsid w:val="007C4167"/>
    <w:rsid w:val="007D0310"/>
    <w:rsid w:val="007D64C8"/>
    <w:rsid w:val="007D7A3B"/>
    <w:rsid w:val="007D7F7E"/>
    <w:rsid w:val="007E1522"/>
    <w:rsid w:val="007E3110"/>
    <w:rsid w:val="007E4B90"/>
    <w:rsid w:val="007F1C0F"/>
    <w:rsid w:val="007F686C"/>
    <w:rsid w:val="007F6EA3"/>
    <w:rsid w:val="007F76BA"/>
    <w:rsid w:val="00801AB6"/>
    <w:rsid w:val="008034CB"/>
    <w:rsid w:val="00811C9F"/>
    <w:rsid w:val="00813AA9"/>
    <w:rsid w:val="00816DF1"/>
    <w:rsid w:val="00825106"/>
    <w:rsid w:val="00832B55"/>
    <w:rsid w:val="00837876"/>
    <w:rsid w:val="00851257"/>
    <w:rsid w:val="0086314C"/>
    <w:rsid w:val="00865710"/>
    <w:rsid w:val="00870FC3"/>
    <w:rsid w:val="00872923"/>
    <w:rsid w:val="00875F9E"/>
    <w:rsid w:val="0088022A"/>
    <w:rsid w:val="00883AD2"/>
    <w:rsid w:val="00884350"/>
    <w:rsid w:val="00893B1D"/>
    <w:rsid w:val="00895A2A"/>
    <w:rsid w:val="008A590C"/>
    <w:rsid w:val="008A6066"/>
    <w:rsid w:val="008B032B"/>
    <w:rsid w:val="008B0F44"/>
    <w:rsid w:val="008B3998"/>
    <w:rsid w:val="008C3BA5"/>
    <w:rsid w:val="008C44C4"/>
    <w:rsid w:val="008E1D01"/>
    <w:rsid w:val="008E27F1"/>
    <w:rsid w:val="008E3BD5"/>
    <w:rsid w:val="008F320D"/>
    <w:rsid w:val="008F5A8F"/>
    <w:rsid w:val="009009D0"/>
    <w:rsid w:val="00900BF4"/>
    <w:rsid w:val="00901944"/>
    <w:rsid w:val="00902516"/>
    <w:rsid w:val="00902B68"/>
    <w:rsid w:val="00907FD4"/>
    <w:rsid w:val="00912344"/>
    <w:rsid w:val="00912C70"/>
    <w:rsid w:val="00931BDB"/>
    <w:rsid w:val="00937141"/>
    <w:rsid w:val="00940093"/>
    <w:rsid w:val="00947A13"/>
    <w:rsid w:val="009522C3"/>
    <w:rsid w:val="0095754B"/>
    <w:rsid w:val="00965E16"/>
    <w:rsid w:val="009675AC"/>
    <w:rsid w:val="00980C10"/>
    <w:rsid w:val="00980C79"/>
    <w:rsid w:val="00980DB0"/>
    <w:rsid w:val="00987393"/>
    <w:rsid w:val="00987B00"/>
    <w:rsid w:val="00994EDD"/>
    <w:rsid w:val="00995521"/>
    <w:rsid w:val="00996A04"/>
    <w:rsid w:val="00997375"/>
    <w:rsid w:val="009A10C4"/>
    <w:rsid w:val="009A4889"/>
    <w:rsid w:val="009A5C89"/>
    <w:rsid w:val="009B20BD"/>
    <w:rsid w:val="009B61A1"/>
    <w:rsid w:val="009C3C5C"/>
    <w:rsid w:val="009C731E"/>
    <w:rsid w:val="009C7524"/>
    <w:rsid w:val="009D0D78"/>
    <w:rsid w:val="009D4F15"/>
    <w:rsid w:val="009D7861"/>
    <w:rsid w:val="009E156D"/>
    <w:rsid w:val="009E5603"/>
    <w:rsid w:val="009E73D5"/>
    <w:rsid w:val="009F6FE4"/>
    <w:rsid w:val="00A00890"/>
    <w:rsid w:val="00A0160E"/>
    <w:rsid w:val="00A14171"/>
    <w:rsid w:val="00A16BBB"/>
    <w:rsid w:val="00A2422A"/>
    <w:rsid w:val="00A46D58"/>
    <w:rsid w:val="00A52A76"/>
    <w:rsid w:val="00A54E84"/>
    <w:rsid w:val="00A5657F"/>
    <w:rsid w:val="00A603B2"/>
    <w:rsid w:val="00A60FFF"/>
    <w:rsid w:val="00A66F60"/>
    <w:rsid w:val="00A72871"/>
    <w:rsid w:val="00A7555D"/>
    <w:rsid w:val="00A80A4F"/>
    <w:rsid w:val="00A80C91"/>
    <w:rsid w:val="00A83C4E"/>
    <w:rsid w:val="00AA1C25"/>
    <w:rsid w:val="00AC0A36"/>
    <w:rsid w:val="00AC65DD"/>
    <w:rsid w:val="00AC704A"/>
    <w:rsid w:val="00AD07E5"/>
    <w:rsid w:val="00AD3547"/>
    <w:rsid w:val="00AD3BA4"/>
    <w:rsid w:val="00AE313F"/>
    <w:rsid w:val="00AE547A"/>
    <w:rsid w:val="00AE7F3D"/>
    <w:rsid w:val="00AF3D17"/>
    <w:rsid w:val="00AF74FD"/>
    <w:rsid w:val="00B03E55"/>
    <w:rsid w:val="00B06A01"/>
    <w:rsid w:val="00B13000"/>
    <w:rsid w:val="00B1523E"/>
    <w:rsid w:val="00B27A61"/>
    <w:rsid w:val="00B4375F"/>
    <w:rsid w:val="00B526E0"/>
    <w:rsid w:val="00B560F4"/>
    <w:rsid w:val="00B574A2"/>
    <w:rsid w:val="00B60A13"/>
    <w:rsid w:val="00B61B3F"/>
    <w:rsid w:val="00B62514"/>
    <w:rsid w:val="00B63611"/>
    <w:rsid w:val="00B714B7"/>
    <w:rsid w:val="00B82E71"/>
    <w:rsid w:val="00B83493"/>
    <w:rsid w:val="00B8482E"/>
    <w:rsid w:val="00B915FC"/>
    <w:rsid w:val="00B939B9"/>
    <w:rsid w:val="00B960A1"/>
    <w:rsid w:val="00BA65A5"/>
    <w:rsid w:val="00BB6471"/>
    <w:rsid w:val="00BC2746"/>
    <w:rsid w:val="00BD25A6"/>
    <w:rsid w:val="00BD7699"/>
    <w:rsid w:val="00BE0048"/>
    <w:rsid w:val="00BE208C"/>
    <w:rsid w:val="00BE5F75"/>
    <w:rsid w:val="00BF7411"/>
    <w:rsid w:val="00C00E7C"/>
    <w:rsid w:val="00C00FA0"/>
    <w:rsid w:val="00C0512A"/>
    <w:rsid w:val="00C1288B"/>
    <w:rsid w:val="00C12E65"/>
    <w:rsid w:val="00C14296"/>
    <w:rsid w:val="00C2695D"/>
    <w:rsid w:val="00C44051"/>
    <w:rsid w:val="00C450AE"/>
    <w:rsid w:val="00C575DF"/>
    <w:rsid w:val="00C652AC"/>
    <w:rsid w:val="00C70C37"/>
    <w:rsid w:val="00C758F5"/>
    <w:rsid w:val="00C7598B"/>
    <w:rsid w:val="00C8564D"/>
    <w:rsid w:val="00C86CA9"/>
    <w:rsid w:val="00C90E85"/>
    <w:rsid w:val="00C92E5D"/>
    <w:rsid w:val="00C9342D"/>
    <w:rsid w:val="00C93509"/>
    <w:rsid w:val="00C9777C"/>
    <w:rsid w:val="00CA58CB"/>
    <w:rsid w:val="00CB0E16"/>
    <w:rsid w:val="00CB137C"/>
    <w:rsid w:val="00CB165F"/>
    <w:rsid w:val="00CB4E54"/>
    <w:rsid w:val="00CC1878"/>
    <w:rsid w:val="00CC45A2"/>
    <w:rsid w:val="00CC602E"/>
    <w:rsid w:val="00CD1B23"/>
    <w:rsid w:val="00CD6F65"/>
    <w:rsid w:val="00CE16E0"/>
    <w:rsid w:val="00CE2F9D"/>
    <w:rsid w:val="00CE5CB7"/>
    <w:rsid w:val="00CE70FF"/>
    <w:rsid w:val="00CF48AC"/>
    <w:rsid w:val="00CF59AC"/>
    <w:rsid w:val="00D013AE"/>
    <w:rsid w:val="00D03452"/>
    <w:rsid w:val="00D1073F"/>
    <w:rsid w:val="00D14FDB"/>
    <w:rsid w:val="00D172BB"/>
    <w:rsid w:val="00D20BD0"/>
    <w:rsid w:val="00D3769F"/>
    <w:rsid w:val="00D37DDD"/>
    <w:rsid w:val="00D42C39"/>
    <w:rsid w:val="00D43C1A"/>
    <w:rsid w:val="00D451FE"/>
    <w:rsid w:val="00D61553"/>
    <w:rsid w:val="00D62AA3"/>
    <w:rsid w:val="00D70172"/>
    <w:rsid w:val="00D77566"/>
    <w:rsid w:val="00D8100D"/>
    <w:rsid w:val="00D8332B"/>
    <w:rsid w:val="00DA2AD2"/>
    <w:rsid w:val="00DA39C5"/>
    <w:rsid w:val="00DA4236"/>
    <w:rsid w:val="00DA617E"/>
    <w:rsid w:val="00DB0B7C"/>
    <w:rsid w:val="00DB1DEA"/>
    <w:rsid w:val="00DB49EF"/>
    <w:rsid w:val="00DB6478"/>
    <w:rsid w:val="00DC05C1"/>
    <w:rsid w:val="00DC494E"/>
    <w:rsid w:val="00DD2401"/>
    <w:rsid w:val="00DD27EB"/>
    <w:rsid w:val="00DE59C7"/>
    <w:rsid w:val="00E03491"/>
    <w:rsid w:val="00E0458C"/>
    <w:rsid w:val="00E0544B"/>
    <w:rsid w:val="00E05DA7"/>
    <w:rsid w:val="00E074EF"/>
    <w:rsid w:val="00E1152E"/>
    <w:rsid w:val="00E13FC4"/>
    <w:rsid w:val="00E223E8"/>
    <w:rsid w:val="00E22DF7"/>
    <w:rsid w:val="00E25E01"/>
    <w:rsid w:val="00E33FB4"/>
    <w:rsid w:val="00E34EA3"/>
    <w:rsid w:val="00E35802"/>
    <w:rsid w:val="00E434C9"/>
    <w:rsid w:val="00E51012"/>
    <w:rsid w:val="00E601C1"/>
    <w:rsid w:val="00E627D0"/>
    <w:rsid w:val="00E65640"/>
    <w:rsid w:val="00E7520A"/>
    <w:rsid w:val="00E76EB5"/>
    <w:rsid w:val="00E83624"/>
    <w:rsid w:val="00E845DA"/>
    <w:rsid w:val="00E94485"/>
    <w:rsid w:val="00E96AB8"/>
    <w:rsid w:val="00E97991"/>
    <w:rsid w:val="00EA0DC9"/>
    <w:rsid w:val="00EC04B9"/>
    <w:rsid w:val="00EC10DE"/>
    <w:rsid w:val="00EC2D74"/>
    <w:rsid w:val="00EC3691"/>
    <w:rsid w:val="00EC487D"/>
    <w:rsid w:val="00EC7B8A"/>
    <w:rsid w:val="00ED47C6"/>
    <w:rsid w:val="00ED7C38"/>
    <w:rsid w:val="00EF0937"/>
    <w:rsid w:val="00EF0CC5"/>
    <w:rsid w:val="00EF47B1"/>
    <w:rsid w:val="00EF776D"/>
    <w:rsid w:val="00F0498B"/>
    <w:rsid w:val="00F06B06"/>
    <w:rsid w:val="00F07E75"/>
    <w:rsid w:val="00F12B44"/>
    <w:rsid w:val="00F142BF"/>
    <w:rsid w:val="00F2445D"/>
    <w:rsid w:val="00F33F6D"/>
    <w:rsid w:val="00F34539"/>
    <w:rsid w:val="00F40E54"/>
    <w:rsid w:val="00F42119"/>
    <w:rsid w:val="00F42E7E"/>
    <w:rsid w:val="00F45261"/>
    <w:rsid w:val="00F47324"/>
    <w:rsid w:val="00F5243D"/>
    <w:rsid w:val="00F52830"/>
    <w:rsid w:val="00F545AE"/>
    <w:rsid w:val="00F561E4"/>
    <w:rsid w:val="00F65085"/>
    <w:rsid w:val="00F75008"/>
    <w:rsid w:val="00F76D1C"/>
    <w:rsid w:val="00F87100"/>
    <w:rsid w:val="00F92D4D"/>
    <w:rsid w:val="00F951BB"/>
    <w:rsid w:val="00FA7B29"/>
    <w:rsid w:val="00FB5950"/>
    <w:rsid w:val="00FC2165"/>
    <w:rsid w:val="00FC5611"/>
    <w:rsid w:val="00FE2BAF"/>
    <w:rsid w:val="00FE43E6"/>
    <w:rsid w:val="00FE5C4F"/>
    <w:rsid w:val="00FE644C"/>
    <w:rsid w:val="00FE6511"/>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47B99"/>
    <w:pPr>
      <w:tabs>
        <w:tab w:val="left" w:pos="432"/>
      </w:tabs>
      <w:spacing w:line="480" w:lineRule="auto"/>
      <w:ind w:firstLine="432"/>
      <w:jc w:val="both"/>
    </w:pPr>
    <w:rPr>
      <w:sz w:val="24"/>
      <w:szCs w:val="24"/>
    </w:rPr>
  </w:style>
  <w:style w:type="paragraph" w:styleId="Heading1">
    <w:name w:val="heading 1"/>
    <w:basedOn w:val="Normal"/>
    <w:next w:val="Normal"/>
    <w:link w:val="Heading1Char"/>
    <w:uiPriority w:val="99"/>
    <w:qFormat/>
    <w:rsid w:val="003A1506"/>
    <w:pPr>
      <w:spacing w:after="840" w:line="240" w:lineRule="auto"/>
      <w:ind w:firstLine="0"/>
      <w:jc w:val="center"/>
      <w:outlineLvl w:val="0"/>
    </w:pPr>
    <w:rPr>
      <w:b/>
      <w:bCs/>
      <w:caps/>
    </w:rPr>
  </w:style>
  <w:style w:type="paragraph" w:styleId="Heading2">
    <w:name w:val="heading 2"/>
    <w:basedOn w:val="Normal"/>
    <w:next w:val="Normal"/>
    <w:link w:val="Heading2Char"/>
    <w:uiPriority w:val="99"/>
    <w:qFormat/>
    <w:rsid w:val="003A1506"/>
    <w:pPr>
      <w:keepNext/>
      <w:spacing w:after="240" w:line="240" w:lineRule="auto"/>
      <w:ind w:left="432" w:hanging="432"/>
      <w:outlineLvl w:val="1"/>
    </w:pPr>
    <w:rPr>
      <w:b/>
      <w:bCs/>
      <w:caps/>
    </w:rPr>
  </w:style>
  <w:style w:type="paragraph" w:styleId="Heading3">
    <w:name w:val="heading 3"/>
    <w:basedOn w:val="Normal"/>
    <w:next w:val="Normal"/>
    <w:link w:val="Heading3Char"/>
    <w:uiPriority w:val="99"/>
    <w:qFormat/>
    <w:rsid w:val="003A1506"/>
    <w:pPr>
      <w:keepNext/>
      <w:spacing w:after="240" w:line="240" w:lineRule="auto"/>
      <w:ind w:left="432" w:hanging="432"/>
      <w:outlineLvl w:val="2"/>
    </w:pPr>
    <w:rPr>
      <w:b/>
      <w:bCs/>
    </w:rPr>
  </w:style>
  <w:style w:type="paragraph" w:styleId="Heading4">
    <w:name w:val="heading 4"/>
    <w:aliases w:val="Heading 4 (business proposal only)"/>
    <w:basedOn w:val="Normal"/>
    <w:next w:val="Normal"/>
    <w:link w:val="Heading4Char"/>
    <w:uiPriority w:val="99"/>
    <w:qFormat/>
    <w:rsid w:val="003A1506"/>
    <w:pPr>
      <w:spacing w:after="240" w:line="240" w:lineRule="auto"/>
      <w:ind w:left="432" w:hanging="432"/>
      <w:outlineLvl w:val="3"/>
    </w:pPr>
    <w:rPr>
      <w:b/>
      <w:bCs/>
    </w:rPr>
  </w:style>
  <w:style w:type="paragraph" w:styleId="Heading5">
    <w:name w:val="heading 5"/>
    <w:aliases w:val="Heading 5 (business proposal only)"/>
    <w:basedOn w:val="Normal"/>
    <w:next w:val="Normal"/>
    <w:link w:val="Heading5Char"/>
    <w:uiPriority w:val="99"/>
    <w:qFormat/>
    <w:rsid w:val="003A1506"/>
    <w:pPr>
      <w:spacing w:after="240" w:line="240" w:lineRule="auto"/>
      <w:ind w:left="432" w:hanging="432"/>
      <w:outlineLvl w:val="4"/>
    </w:pPr>
    <w:rPr>
      <w:b/>
      <w:bCs/>
    </w:rPr>
  </w:style>
  <w:style w:type="paragraph" w:styleId="Heading6">
    <w:name w:val="heading 6"/>
    <w:aliases w:val="Heading 6 (business proposal only)"/>
    <w:basedOn w:val="Normal"/>
    <w:next w:val="Normal"/>
    <w:link w:val="Heading6Char"/>
    <w:uiPriority w:val="99"/>
    <w:qFormat/>
    <w:rsid w:val="003A1506"/>
    <w:pPr>
      <w:outlineLvl w:val="5"/>
    </w:pPr>
  </w:style>
  <w:style w:type="paragraph" w:styleId="Heading7">
    <w:name w:val="heading 7"/>
    <w:aliases w:val="Heading 7 (business proposal only)"/>
    <w:basedOn w:val="Normal"/>
    <w:next w:val="Normal"/>
    <w:link w:val="Heading7Char"/>
    <w:uiPriority w:val="99"/>
    <w:qFormat/>
    <w:rsid w:val="003A1506"/>
    <w:pPr>
      <w:outlineLvl w:val="6"/>
    </w:pPr>
  </w:style>
  <w:style w:type="paragraph" w:styleId="Heading8">
    <w:name w:val="heading 8"/>
    <w:aliases w:val="Heading 8 (business proposal only)"/>
    <w:basedOn w:val="Normal"/>
    <w:next w:val="Normal"/>
    <w:link w:val="Heading8Char"/>
    <w:uiPriority w:val="99"/>
    <w:qFormat/>
    <w:rsid w:val="003A1506"/>
    <w:pPr>
      <w:outlineLvl w:val="7"/>
    </w:pPr>
  </w:style>
  <w:style w:type="paragraph" w:styleId="Heading9">
    <w:name w:val="heading 9"/>
    <w:aliases w:val="Heading 9 (business proposal only)"/>
    <w:basedOn w:val="Normal"/>
    <w:next w:val="Normal"/>
    <w:link w:val="Heading9Char"/>
    <w:uiPriority w:val="99"/>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37141"/>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3714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37141"/>
    <w:rPr>
      <w:rFonts w:ascii="Cambria" w:hAnsi="Cambria" w:cs="Times New Roman"/>
      <w:b/>
      <w:bCs/>
      <w:sz w:val="26"/>
      <w:szCs w:val="26"/>
    </w:rPr>
  </w:style>
  <w:style w:type="character" w:customStyle="1" w:styleId="Heading4Char">
    <w:name w:val="Heading 4 Char"/>
    <w:aliases w:val="Heading 4 (business proposal only) Char"/>
    <w:basedOn w:val="DefaultParagraphFont"/>
    <w:link w:val="Heading4"/>
    <w:uiPriority w:val="99"/>
    <w:semiHidden/>
    <w:locked/>
    <w:rsid w:val="00937141"/>
    <w:rPr>
      <w:rFonts w:ascii="Calibri" w:hAnsi="Calibri" w:cs="Times New Roman"/>
      <w:b/>
      <w:bCs/>
      <w:sz w:val="28"/>
      <w:szCs w:val="28"/>
    </w:rPr>
  </w:style>
  <w:style w:type="character" w:customStyle="1" w:styleId="Heading5Char">
    <w:name w:val="Heading 5 Char"/>
    <w:aliases w:val="Heading 5 (business proposal only) Char"/>
    <w:basedOn w:val="DefaultParagraphFont"/>
    <w:link w:val="Heading5"/>
    <w:uiPriority w:val="99"/>
    <w:semiHidden/>
    <w:locked/>
    <w:rsid w:val="00937141"/>
    <w:rPr>
      <w:rFonts w:ascii="Calibri" w:hAnsi="Calibri" w:cs="Times New Roman"/>
      <w:b/>
      <w:bCs/>
      <w:i/>
      <w:iCs/>
      <w:sz w:val="26"/>
      <w:szCs w:val="26"/>
    </w:rPr>
  </w:style>
  <w:style w:type="character" w:customStyle="1" w:styleId="Heading6Char">
    <w:name w:val="Heading 6 Char"/>
    <w:aliases w:val="Heading 6 (business proposal only) Char"/>
    <w:basedOn w:val="DefaultParagraphFont"/>
    <w:link w:val="Heading6"/>
    <w:uiPriority w:val="99"/>
    <w:semiHidden/>
    <w:locked/>
    <w:rsid w:val="00937141"/>
    <w:rPr>
      <w:rFonts w:ascii="Calibri" w:hAnsi="Calibri" w:cs="Times New Roman"/>
      <w:b/>
      <w:bCs/>
    </w:rPr>
  </w:style>
  <w:style w:type="character" w:customStyle="1" w:styleId="Heading7Char">
    <w:name w:val="Heading 7 Char"/>
    <w:aliases w:val="Heading 7 (business proposal only) Char"/>
    <w:basedOn w:val="DefaultParagraphFont"/>
    <w:link w:val="Heading7"/>
    <w:uiPriority w:val="99"/>
    <w:semiHidden/>
    <w:locked/>
    <w:rsid w:val="00937141"/>
    <w:rPr>
      <w:rFonts w:ascii="Calibri" w:hAnsi="Calibri" w:cs="Times New Roman"/>
      <w:sz w:val="24"/>
      <w:szCs w:val="24"/>
    </w:rPr>
  </w:style>
  <w:style w:type="character" w:customStyle="1" w:styleId="Heading8Char">
    <w:name w:val="Heading 8 Char"/>
    <w:aliases w:val="Heading 8 (business proposal only) Char"/>
    <w:basedOn w:val="DefaultParagraphFont"/>
    <w:link w:val="Heading8"/>
    <w:uiPriority w:val="99"/>
    <w:semiHidden/>
    <w:locked/>
    <w:rsid w:val="00937141"/>
    <w:rPr>
      <w:rFonts w:ascii="Calibri" w:hAnsi="Calibri" w:cs="Times New Roman"/>
      <w:i/>
      <w:iCs/>
      <w:sz w:val="24"/>
      <w:szCs w:val="24"/>
    </w:rPr>
  </w:style>
  <w:style w:type="character" w:customStyle="1" w:styleId="Heading9Char">
    <w:name w:val="Heading 9 Char"/>
    <w:aliases w:val="Heading 9 (business proposal only) Char"/>
    <w:basedOn w:val="DefaultParagraphFont"/>
    <w:link w:val="Heading9"/>
    <w:uiPriority w:val="99"/>
    <w:semiHidden/>
    <w:locked/>
    <w:rsid w:val="00937141"/>
    <w:rPr>
      <w:rFonts w:ascii="Cambria" w:hAnsi="Cambria" w:cs="Times New Roman"/>
    </w:rPr>
  </w:style>
  <w:style w:type="paragraph" w:styleId="TOC1">
    <w:name w:val="toc 1"/>
    <w:basedOn w:val="Normal"/>
    <w:next w:val="Normal"/>
    <w:autoRedefine/>
    <w:uiPriority w:val="99"/>
    <w:semiHidden/>
    <w:rsid w:val="003A1506"/>
    <w:pPr>
      <w:tabs>
        <w:tab w:val="center" w:pos="432"/>
        <w:tab w:val="left" w:pos="1008"/>
        <w:tab w:val="right" w:leader="dot" w:pos="9360"/>
      </w:tabs>
      <w:spacing w:line="240" w:lineRule="auto"/>
      <w:ind w:firstLine="0"/>
    </w:pPr>
    <w:rPr>
      <w:caps/>
    </w:rPr>
  </w:style>
  <w:style w:type="paragraph" w:customStyle="1" w:styleId="NormalSS">
    <w:name w:val="NormalSS"/>
    <w:basedOn w:val="Normal"/>
    <w:uiPriority w:val="99"/>
    <w:rsid w:val="003A1506"/>
    <w:pPr>
      <w:spacing w:line="240" w:lineRule="auto"/>
    </w:pPr>
  </w:style>
  <w:style w:type="paragraph" w:styleId="Footer">
    <w:name w:val="footer"/>
    <w:basedOn w:val="Normal"/>
    <w:link w:val="FooterChar"/>
    <w:uiPriority w:val="99"/>
    <w:semiHidden/>
    <w:rsid w:val="003A1506"/>
    <w:pPr>
      <w:tabs>
        <w:tab w:val="center" w:pos="4320"/>
        <w:tab w:val="right" w:pos="8640"/>
      </w:tabs>
    </w:pPr>
  </w:style>
  <w:style w:type="character" w:customStyle="1" w:styleId="FooterChar">
    <w:name w:val="Footer Char"/>
    <w:basedOn w:val="DefaultParagraphFont"/>
    <w:link w:val="Footer"/>
    <w:uiPriority w:val="99"/>
    <w:semiHidden/>
    <w:locked/>
    <w:rsid w:val="00937141"/>
    <w:rPr>
      <w:rFonts w:cs="Times New Roman"/>
      <w:sz w:val="24"/>
      <w:szCs w:val="24"/>
    </w:rPr>
  </w:style>
  <w:style w:type="character" w:styleId="PageNumber">
    <w:name w:val="page number"/>
    <w:basedOn w:val="DefaultParagraphFont"/>
    <w:uiPriority w:val="99"/>
    <w:semiHidden/>
    <w:rsid w:val="003A1506"/>
    <w:rPr>
      <w:rFonts w:cs="Times New Roman"/>
    </w:rPr>
  </w:style>
  <w:style w:type="paragraph" w:customStyle="1" w:styleId="Bullet">
    <w:name w:val="Bullet"/>
    <w:uiPriority w:val="99"/>
    <w:rsid w:val="00A60FFF"/>
    <w:pPr>
      <w:numPr>
        <w:numId w:val="7"/>
      </w:numPr>
      <w:tabs>
        <w:tab w:val="left" w:pos="360"/>
      </w:tabs>
      <w:spacing w:after="180"/>
      <w:ind w:left="720" w:right="360" w:hanging="288"/>
      <w:jc w:val="both"/>
    </w:pPr>
    <w:rPr>
      <w:sz w:val="24"/>
      <w:szCs w:val="24"/>
    </w:rPr>
  </w:style>
  <w:style w:type="paragraph" w:customStyle="1" w:styleId="BulletLAST">
    <w:name w:val="Bullet (LAST)"/>
    <w:basedOn w:val="Bullet"/>
    <w:next w:val="Normal"/>
    <w:uiPriority w:val="99"/>
    <w:rsid w:val="00902B68"/>
    <w:pPr>
      <w:tabs>
        <w:tab w:val="num" w:pos="360"/>
      </w:tabs>
      <w:spacing w:after="480"/>
    </w:pPr>
  </w:style>
  <w:style w:type="paragraph" w:customStyle="1" w:styleId="ParagraphLAST">
    <w:name w:val="Paragraph (LAST)"/>
    <w:basedOn w:val="Normal"/>
    <w:next w:val="Normal"/>
    <w:uiPriority w:val="99"/>
    <w:rsid w:val="003A1506"/>
    <w:pPr>
      <w:spacing w:after="240"/>
    </w:pPr>
  </w:style>
  <w:style w:type="paragraph" w:styleId="TOC2">
    <w:name w:val="toc 2"/>
    <w:basedOn w:val="Normal"/>
    <w:next w:val="Normal"/>
    <w:autoRedefine/>
    <w:uiPriority w:val="99"/>
    <w:semiHidden/>
    <w:rsid w:val="003A1506"/>
    <w:pPr>
      <w:tabs>
        <w:tab w:val="clear" w:pos="432"/>
        <w:tab w:val="left" w:pos="1008"/>
        <w:tab w:val="left" w:pos="1440"/>
        <w:tab w:val="right" w:leader="dot" w:pos="9360"/>
      </w:tabs>
      <w:spacing w:line="240" w:lineRule="auto"/>
      <w:ind w:left="1008" w:right="475" w:firstLine="0"/>
    </w:pPr>
    <w:rPr>
      <w:caps/>
    </w:rPr>
  </w:style>
  <w:style w:type="paragraph" w:customStyle="1" w:styleId="Center">
    <w:name w:val="Center"/>
    <w:basedOn w:val="Normal"/>
    <w:uiPriority w:val="99"/>
    <w:rsid w:val="003A1506"/>
    <w:pPr>
      <w:ind w:firstLine="0"/>
      <w:jc w:val="center"/>
    </w:pPr>
  </w:style>
  <w:style w:type="paragraph" w:styleId="TOC3">
    <w:name w:val="toc 3"/>
    <w:basedOn w:val="Normal"/>
    <w:next w:val="Normal"/>
    <w:autoRedefine/>
    <w:uiPriority w:val="99"/>
    <w:semiHidden/>
    <w:rsid w:val="003A1506"/>
    <w:pPr>
      <w:tabs>
        <w:tab w:val="clear" w:pos="432"/>
        <w:tab w:val="left" w:pos="1915"/>
        <w:tab w:val="right" w:leader="dot" w:pos="9360"/>
      </w:tabs>
      <w:spacing w:line="240" w:lineRule="auto"/>
      <w:ind w:left="1915" w:right="475" w:hanging="475"/>
    </w:pPr>
  </w:style>
  <w:style w:type="paragraph" w:styleId="TOC4">
    <w:name w:val="toc 4"/>
    <w:basedOn w:val="Normal"/>
    <w:next w:val="Normal"/>
    <w:autoRedefine/>
    <w:uiPriority w:val="99"/>
    <w:semiHidden/>
    <w:rsid w:val="003A1506"/>
    <w:pPr>
      <w:tabs>
        <w:tab w:val="clear" w:pos="432"/>
        <w:tab w:val="left" w:pos="1440"/>
        <w:tab w:val="right" w:leader="dot" w:pos="9360"/>
      </w:tabs>
      <w:spacing w:before="240" w:line="240" w:lineRule="auto"/>
      <w:ind w:left="2390" w:hanging="475"/>
    </w:pPr>
    <w:rPr>
      <w:noProof/>
    </w:rPr>
  </w:style>
  <w:style w:type="paragraph" w:styleId="FootnoteText">
    <w:name w:val="footnote text"/>
    <w:aliases w:val="*Footnote Text,F1,Footnote Text ERA,Footnote Text ERA1,Footnote Text ERA2,Footnote Text ERA11,Footnote Text ERA3,Footnote Text ERA12,Footnote Text ERA21,Footnote Text ERA111,Footnote Text ERA4,Footnote Text ERA5,Footnote Text ERA13,F1 Cha"/>
    <w:basedOn w:val="Normal"/>
    <w:link w:val="FootnoteTextChar1"/>
    <w:uiPriority w:val="99"/>
    <w:semiHidden/>
    <w:rsid w:val="003A1506"/>
    <w:pPr>
      <w:spacing w:after="240" w:line="240" w:lineRule="auto"/>
    </w:pPr>
    <w:rPr>
      <w:sz w:val="20"/>
      <w:szCs w:val="20"/>
    </w:rPr>
  </w:style>
  <w:style w:type="character" w:customStyle="1" w:styleId="FootnoteTextChar">
    <w:name w:val="Footnote Text Char"/>
    <w:aliases w:val="*Footnote Text Char,F1 Char,Footnote Text ERA Char,Footnote Text ERA1 Char,Footnote Text ERA2 Char,Footnote Text ERA11 Char,Footnote Text ERA3 Char,Footnote Text ERA12 Char,Footnote Text ERA21 Char,Footnote Text ERA111 Char"/>
    <w:basedOn w:val="DefaultParagraphFont"/>
    <w:uiPriority w:val="99"/>
    <w:semiHidden/>
    <w:locked/>
    <w:rsid w:val="00937141"/>
    <w:rPr>
      <w:rFonts w:cs="Times New Roman"/>
      <w:sz w:val="20"/>
      <w:szCs w:val="20"/>
    </w:rPr>
  </w:style>
  <w:style w:type="paragraph" w:customStyle="1" w:styleId="Dash">
    <w:name w:val="Dash"/>
    <w:uiPriority w:val="99"/>
    <w:rsid w:val="00747B99"/>
    <w:pPr>
      <w:numPr>
        <w:numId w:val="8"/>
      </w:numPr>
      <w:tabs>
        <w:tab w:val="left" w:pos="1080"/>
      </w:tabs>
      <w:spacing w:after="120"/>
      <w:ind w:left="1080" w:right="720"/>
      <w:jc w:val="both"/>
    </w:pPr>
    <w:rPr>
      <w:sz w:val="24"/>
      <w:szCs w:val="24"/>
    </w:rPr>
  </w:style>
  <w:style w:type="paragraph" w:customStyle="1" w:styleId="DashLAST">
    <w:name w:val="Dash (LAST)"/>
    <w:basedOn w:val="Dash"/>
    <w:next w:val="Normal"/>
    <w:uiPriority w:val="99"/>
    <w:rsid w:val="00747B99"/>
    <w:pPr>
      <w:tabs>
        <w:tab w:val="num" w:pos="1080"/>
      </w:tabs>
      <w:spacing w:after="480"/>
    </w:pPr>
  </w:style>
  <w:style w:type="paragraph" w:customStyle="1" w:styleId="NumberedBullet">
    <w:name w:val="Numbered Bullet"/>
    <w:uiPriority w:val="99"/>
    <w:rsid w:val="003A1506"/>
    <w:pPr>
      <w:numPr>
        <w:numId w:val="1"/>
      </w:numPr>
      <w:tabs>
        <w:tab w:val="left" w:pos="360"/>
      </w:tabs>
      <w:spacing w:after="180"/>
      <w:ind w:left="720" w:right="360" w:hanging="288"/>
      <w:jc w:val="both"/>
    </w:pPr>
    <w:rPr>
      <w:sz w:val="24"/>
      <w:szCs w:val="24"/>
    </w:rPr>
  </w:style>
  <w:style w:type="paragraph" w:customStyle="1" w:styleId="Outline">
    <w:name w:val="Outline"/>
    <w:basedOn w:val="Normal"/>
    <w:uiPriority w:val="99"/>
    <w:rsid w:val="003A1506"/>
    <w:pPr>
      <w:tabs>
        <w:tab w:val="clear" w:pos="432"/>
      </w:tabs>
      <w:spacing w:after="240" w:line="240" w:lineRule="auto"/>
      <w:ind w:left="720" w:hanging="720"/>
    </w:pPr>
  </w:style>
  <w:style w:type="character" w:styleId="FootnoteReference">
    <w:name w:val="footnote reference"/>
    <w:aliases w:val="*Footnote Reference"/>
    <w:basedOn w:val="DefaultParagraphFont"/>
    <w:uiPriority w:val="99"/>
    <w:semiHidden/>
    <w:rsid w:val="003A1506"/>
    <w:rPr>
      <w:rFonts w:cs="Times New Roman"/>
      <w:spacing w:val="0"/>
      <w:position w:val="0"/>
      <w:u w:color="000080"/>
      <w:effect w:val="none"/>
      <w:vertAlign w:val="superscript"/>
    </w:rPr>
  </w:style>
  <w:style w:type="paragraph" w:styleId="EndnoteText">
    <w:name w:val="endnote text"/>
    <w:basedOn w:val="Normal"/>
    <w:link w:val="EndnoteTextChar"/>
    <w:uiPriority w:val="99"/>
    <w:semiHidden/>
    <w:rsid w:val="003A1506"/>
    <w:pPr>
      <w:spacing w:after="240" w:line="240" w:lineRule="auto"/>
    </w:pPr>
  </w:style>
  <w:style w:type="character" w:customStyle="1" w:styleId="EndnoteTextChar">
    <w:name w:val="Endnote Text Char"/>
    <w:basedOn w:val="DefaultParagraphFont"/>
    <w:link w:val="EndnoteText"/>
    <w:uiPriority w:val="99"/>
    <w:semiHidden/>
    <w:locked/>
    <w:rsid w:val="00937141"/>
    <w:rPr>
      <w:rFonts w:cs="Times New Roman"/>
      <w:sz w:val="20"/>
      <w:szCs w:val="20"/>
    </w:rPr>
  </w:style>
  <w:style w:type="character" w:styleId="EndnoteReference">
    <w:name w:val="endnote reference"/>
    <w:basedOn w:val="DefaultParagraphFont"/>
    <w:uiPriority w:val="99"/>
    <w:semiHidden/>
    <w:rsid w:val="003A1506"/>
    <w:rPr>
      <w:rFonts w:cs="Times New Roman"/>
      <w:vertAlign w:val="superscript"/>
    </w:rPr>
  </w:style>
  <w:style w:type="paragraph" w:customStyle="1" w:styleId="MarkforTableHeading">
    <w:name w:val="Mark for Table Heading"/>
    <w:next w:val="Normal"/>
    <w:uiPriority w:val="99"/>
    <w:rsid w:val="003A1506"/>
    <w:pPr>
      <w:spacing w:line="480" w:lineRule="auto"/>
      <w:jc w:val="center"/>
    </w:pPr>
    <w:rPr>
      <w:caps/>
      <w:sz w:val="24"/>
      <w:szCs w:val="24"/>
    </w:rPr>
  </w:style>
  <w:style w:type="paragraph" w:customStyle="1" w:styleId="ParagraphSSLAST">
    <w:name w:val="ParagraphSS (LAST)"/>
    <w:basedOn w:val="NormalSS"/>
    <w:next w:val="Normal"/>
    <w:uiPriority w:val="99"/>
    <w:rsid w:val="003A1506"/>
    <w:pPr>
      <w:spacing w:after="480"/>
    </w:pPr>
  </w:style>
  <w:style w:type="paragraph" w:customStyle="1" w:styleId="References">
    <w:name w:val="References"/>
    <w:basedOn w:val="Normal"/>
    <w:next w:val="Normal"/>
    <w:uiPriority w:val="99"/>
    <w:rsid w:val="003A1506"/>
    <w:pPr>
      <w:spacing w:after="240" w:line="240" w:lineRule="auto"/>
      <w:ind w:left="432" w:hanging="432"/>
    </w:pPr>
  </w:style>
  <w:style w:type="paragraph" w:customStyle="1" w:styleId="MarkforFigureHeading">
    <w:name w:val="Mark for Figure Heading"/>
    <w:basedOn w:val="Normal"/>
    <w:next w:val="Normal"/>
    <w:uiPriority w:val="99"/>
    <w:rsid w:val="003A1506"/>
    <w:pPr>
      <w:ind w:firstLine="0"/>
      <w:jc w:val="center"/>
    </w:pPr>
    <w:rPr>
      <w:caps/>
    </w:rPr>
  </w:style>
  <w:style w:type="paragraph" w:customStyle="1" w:styleId="MarkforExhibitHeading">
    <w:name w:val="Mark for Exhibit Heading"/>
    <w:basedOn w:val="Normal"/>
    <w:next w:val="Normal"/>
    <w:uiPriority w:val="99"/>
    <w:rsid w:val="003A1506"/>
    <w:pPr>
      <w:ind w:firstLine="0"/>
      <w:jc w:val="center"/>
    </w:pPr>
    <w:rPr>
      <w:caps/>
    </w:rPr>
  </w:style>
  <w:style w:type="paragraph" w:customStyle="1" w:styleId="MarkforAttachmentHeading">
    <w:name w:val="Mark for Attachment Heading"/>
    <w:basedOn w:val="Normal"/>
    <w:next w:val="Normal"/>
    <w:uiPriority w:val="99"/>
    <w:rsid w:val="003A1506"/>
    <w:pPr>
      <w:spacing w:line="240" w:lineRule="auto"/>
      <w:ind w:firstLine="0"/>
      <w:jc w:val="center"/>
    </w:pPr>
    <w:rPr>
      <w:b/>
      <w:bCs/>
      <w:caps/>
    </w:rPr>
  </w:style>
  <w:style w:type="paragraph" w:styleId="TableofFigures">
    <w:name w:val="table of figures"/>
    <w:basedOn w:val="Normal"/>
    <w:next w:val="Normal"/>
    <w:uiPriority w:val="99"/>
    <w:semiHidden/>
    <w:rsid w:val="003A1506"/>
    <w:pPr>
      <w:tabs>
        <w:tab w:val="clear" w:pos="432"/>
      </w:tabs>
      <w:ind w:left="480" w:hanging="480"/>
    </w:pPr>
  </w:style>
  <w:style w:type="character" w:customStyle="1" w:styleId="MTEquationSection">
    <w:name w:val="MTEquationSection"/>
    <w:basedOn w:val="DefaultParagraphFont"/>
    <w:uiPriority w:val="99"/>
    <w:rsid w:val="003A1506"/>
    <w:rPr>
      <w:rFonts w:cs="Times New Roman"/>
      <w:color w:val="FF0000"/>
    </w:rPr>
  </w:style>
  <w:style w:type="paragraph" w:customStyle="1" w:styleId="MarkforAppendixHeading">
    <w:name w:val="Mark for Appendix Heading"/>
    <w:basedOn w:val="Normal"/>
    <w:uiPriority w:val="99"/>
    <w:rsid w:val="003A1506"/>
    <w:pPr>
      <w:ind w:firstLine="0"/>
      <w:jc w:val="center"/>
    </w:pPr>
    <w:rPr>
      <w:b/>
      <w:bCs/>
      <w:caps/>
    </w:rPr>
  </w:style>
  <w:style w:type="paragraph" w:customStyle="1" w:styleId="NumberedBulletLAST">
    <w:name w:val="Numbered Bullet (LAST)"/>
    <w:basedOn w:val="NumberedBullet"/>
    <w:next w:val="Normal"/>
    <w:uiPriority w:val="99"/>
    <w:rsid w:val="006150A8"/>
    <w:pPr>
      <w:spacing w:after="480"/>
    </w:pPr>
  </w:style>
  <w:style w:type="paragraph" w:styleId="ListParagraph">
    <w:name w:val="List Paragraph"/>
    <w:basedOn w:val="Bullet"/>
    <w:next w:val="Bullet"/>
    <w:uiPriority w:val="99"/>
    <w:qFormat/>
    <w:rsid w:val="00E33FB4"/>
    <w:pPr>
      <w:numPr>
        <w:numId w:val="6"/>
      </w:numPr>
    </w:pPr>
  </w:style>
  <w:style w:type="paragraph" w:styleId="Header">
    <w:name w:val="header"/>
    <w:basedOn w:val="Normal"/>
    <w:link w:val="HeaderChar"/>
    <w:uiPriority w:val="99"/>
    <w:semiHidden/>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locked/>
    <w:rsid w:val="000E6D11"/>
    <w:rPr>
      <w:rFonts w:cs="Times New Roman"/>
    </w:rPr>
  </w:style>
  <w:style w:type="paragraph" w:styleId="BalloonText">
    <w:name w:val="Balloon Text"/>
    <w:basedOn w:val="Normal"/>
    <w:link w:val="BalloonTextChar"/>
    <w:uiPriority w:val="99"/>
    <w:semiHidden/>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7F686C"/>
    <w:pPr>
      <w:ind w:firstLine="0"/>
    </w:pPr>
  </w:style>
  <w:style w:type="paragraph" w:customStyle="1" w:styleId="TableHeaderCenter">
    <w:name w:val="Table Header Center"/>
    <w:basedOn w:val="NormalSS"/>
    <w:uiPriority w:val="99"/>
    <w:rsid w:val="007F686C"/>
    <w:pPr>
      <w:spacing w:before="120" w:after="60"/>
      <w:ind w:firstLine="0"/>
      <w:jc w:val="center"/>
    </w:pPr>
  </w:style>
  <w:style w:type="paragraph" w:customStyle="1" w:styleId="TableHeaderLeft">
    <w:name w:val="Table Header Left"/>
    <w:basedOn w:val="NormalSS"/>
    <w:uiPriority w:val="99"/>
    <w:rsid w:val="007F686C"/>
    <w:pPr>
      <w:spacing w:before="120" w:after="60"/>
      <w:ind w:firstLine="0"/>
      <w:jc w:val="left"/>
    </w:pPr>
  </w:style>
  <w:style w:type="paragraph" w:customStyle="1" w:styleId="Normalcontinued">
    <w:name w:val="Normal (continued)"/>
    <w:basedOn w:val="Normal"/>
    <w:next w:val="Normal"/>
    <w:uiPriority w:val="99"/>
    <w:rsid w:val="007F686C"/>
    <w:pPr>
      <w:ind w:firstLine="0"/>
    </w:pPr>
  </w:style>
  <w:style w:type="paragraph" w:customStyle="1" w:styleId="NormalSScontinued">
    <w:name w:val="NormalSS (continued)"/>
    <w:basedOn w:val="NormalSS"/>
    <w:next w:val="NormalSS"/>
    <w:uiPriority w:val="99"/>
    <w:rsid w:val="007F686C"/>
    <w:pPr>
      <w:ind w:firstLine="0"/>
    </w:pPr>
  </w:style>
  <w:style w:type="paragraph" w:customStyle="1" w:styleId="NormalSS12">
    <w:name w:val="NormalSS 12"/>
    <w:basedOn w:val="NormalSS"/>
    <w:uiPriority w:val="99"/>
    <w:rsid w:val="007F686C"/>
    <w:pPr>
      <w:spacing w:after="240"/>
    </w:pPr>
  </w:style>
  <w:style w:type="paragraph" w:customStyle="1" w:styleId="NormalSS12continued">
    <w:name w:val="NormalSS 12 (continued)"/>
    <w:basedOn w:val="NormalSS12"/>
    <w:uiPriority w:val="99"/>
    <w:rsid w:val="007F686C"/>
    <w:pPr>
      <w:ind w:firstLine="0"/>
    </w:pPr>
  </w:style>
  <w:style w:type="paragraph" w:customStyle="1" w:styleId="ParagraphLASTcontinued">
    <w:name w:val="Paragraph (LAST_continued)"/>
    <w:basedOn w:val="ParagraphLAST"/>
    <w:next w:val="Normal"/>
    <w:uiPriority w:val="99"/>
    <w:rsid w:val="007F686C"/>
    <w:pPr>
      <w:ind w:firstLine="0"/>
    </w:pPr>
  </w:style>
  <w:style w:type="paragraph" w:customStyle="1" w:styleId="ParagraphSSLASTcontinued">
    <w:name w:val="ParagraphSS (LAST_continued)"/>
    <w:basedOn w:val="ParagraphSSLAST"/>
    <w:next w:val="NormalSS"/>
    <w:uiPriority w:val="99"/>
    <w:rsid w:val="007F686C"/>
    <w:pPr>
      <w:ind w:firstLine="0"/>
    </w:pPr>
  </w:style>
  <w:style w:type="paragraph" w:customStyle="1" w:styleId="TableText">
    <w:name w:val="Table Text"/>
    <w:basedOn w:val="NormalSS"/>
    <w:uiPriority w:val="99"/>
    <w:rsid w:val="007F686C"/>
    <w:pPr>
      <w:tabs>
        <w:tab w:val="clear" w:pos="432"/>
      </w:tabs>
      <w:ind w:firstLine="0"/>
      <w:jc w:val="left"/>
    </w:pPr>
  </w:style>
  <w:style w:type="paragraph" w:customStyle="1" w:styleId="TableSourceCaption">
    <w:name w:val="Table Source_Caption"/>
    <w:basedOn w:val="NormalSS"/>
    <w:uiPriority w:val="99"/>
    <w:rsid w:val="007F686C"/>
    <w:pPr>
      <w:tabs>
        <w:tab w:val="clear" w:pos="432"/>
      </w:tabs>
      <w:ind w:left="1080" w:hanging="1080"/>
    </w:pPr>
  </w:style>
  <w:style w:type="paragraph" w:customStyle="1" w:styleId="Heading1Black">
    <w:name w:val="Heading 1_Black"/>
    <w:basedOn w:val="Normal"/>
    <w:next w:val="Normal"/>
    <w:uiPriority w:val="99"/>
    <w:rsid w:val="00CF48AC"/>
    <w:pPr>
      <w:spacing w:before="240" w:after="240" w:line="240" w:lineRule="auto"/>
      <w:ind w:firstLine="0"/>
      <w:jc w:val="center"/>
    </w:pPr>
    <w:rPr>
      <w:rFonts w:ascii="Lucida Sans" w:hAnsi="Lucida Sans" w:cs="Lucida Sans"/>
      <w:b/>
      <w:bCs/>
      <w:caps/>
    </w:rPr>
  </w:style>
  <w:style w:type="character" w:styleId="CommentReference">
    <w:name w:val="annotation reference"/>
    <w:basedOn w:val="DefaultParagraphFont"/>
    <w:uiPriority w:val="99"/>
    <w:semiHidden/>
    <w:rsid w:val="00DB49EF"/>
    <w:rPr>
      <w:rFonts w:cs="Times New Roman"/>
      <w:sz w:val="16"/>
      <w:szCs w:val="16"/>
    </w:rPr>
  </w:style>
  <w:style w:type="paragraph" w:styleId="CommentText">
    <w:name w:val="annotation text"/>
    <w:basedOn w:val="Normal"/>
    <w:link w:val="CommentTextChar"/>
    <w:uiPriority w:val="99"/>
    <w:semiHidden/>
    <w:rsid w:val="00DB49EF"/>
    <w:pPr>
      <w:spacing w:line="240" w:lineRule="auto"/>
    </w:pPr>
    <w:rPr>
      <w:sz w:val="20"/>
      <w:szCs w:val="20"/>
    </w:rPr>
  </w:style>
  <w:style w:type="character" w:customStyle="1" w:styleId="CommentTextChar">
    <w:name w:val="Comment Text Char"/>
    <w:basedOn w:val="DefaultParagraphFont"/>
    <w:link w:val="CommentText"/>
    <w:uiPriority w:val="99"/>
    <w:locked/>
    <w:rsid w:val="00DB49EF"/>
    <w:rPr>
      <w:rFonts w:cs="Times New Roman"/>
      <w:sz w:val="20"/>
      <w:szCs w:val="20"/>
    </w:rPr>
  </w:style>
  <w:style w:type="paragraph" w:styleId="CommentSubject">
    <w:name w:val="annotation subject"/>
    <w:basedOn w:val="CommentText"/>
    <w:next w:val="CommentText"/>
    <w:link w:val="CommentSubjectChar"/>
    <w:uiPriority w:val="99"/>
    <w:semiHidden/>
    <w:rsid w:val="00DB49EF"/>
    <w:rPr>
      <w:b/>
      <w:bCs/>
    </w:rPr>
  </w:style>
  <w:style w:type="character" w:customStyle="1" w:styleId="CommentSubjectChar">
    <w:name w:val="Comment Subject Char"/>
    <w:basedOn w:val="CommentTextChar"/>
    <w:link w:val="CommentSubject"/>
    <w:uiPriority w:val="99"/>
    <w:semiHidden/>
    <w:locked/>
    <w:rsid w:val="00DB49EF"/>
    <w:rPr>
      <w:rFonts w:cs="Times New Roman"/>
      <w:b/>
      <w:bCs/>
      <w:sz w:val="20"/>
      <w:szCs w:val="20"/>
    </w:rPr>
  </w:style>
  <w:style w:type="paragraph" w:customStyle="1" w:styleId="Default">
    <w:name w:val="Default"/>
    <w:uiPriority w:val="99"/>
    <w:rsid w:val="005950AD"/>
    <w:pPr>
      <w:widowControl w:val="0"/>
      <w:autoSpaceDE w:val="0"/>
      <w:autoSpaceDN w:val="0"/>
      <w:adjustRightInd w:val="0"/>
    </w:pPr>
    <w:rPr>
      <w:color w:val="000000"/>
      <w:sz w:val="24"/>
      <w:szCs w:val="24"/>
    </w:rPr>
  </w:style>
  <w:style w:type="paragraph" w:styleId="Revision">
    <w:name w:val="Revision"/>
    <w:hidden/>
    <w:uiPriority w:val="99"/>
    <w:semiHidden/>
    <w:rsid w:val="005D79F8"/>
    <w:rPr>
      <w:sz w:val="24"/>
      <w:szCs w:val="24"/>
    </w:rPr>
  </w:style>
  <w:style w:type="paragraph" w:styleId="NoSpacing">
    <w:name w:val="No Spacing"/>
    <w:uiPriority w:val="1"/>
    <w:qFormat/>
    <w:rsid w:val="001E6BB9"/>
    <w:rPr>
      <w:rFonts w:ascii="Calibri" w:hAnsi="Calibri" w:cs="Calibri"/>
    </w:rPr>
  </w:style>
  <w:style w:type="character" w:customStyle="1" w:styleId="FootnoteTextChar1">
    <w:name w:val="Footnote Text Char1"/>
    <w:aliases w:val="*Footnote Text Char1,F1 Char1,Footnote Text ERA Char1,Footnote Text ERA1 Char1,Footnote Text ERA2 Char1,Footnote Text ERA11 Char1,Footnote Text ERA3 Char1,Footnote Text ERA12 Char1,Footnote Text ERA21 Char1,Footnote Text ERA111 Char1"/>
    <w:basedOn w:val="DefaultParagraphFont"/>
    <w:link w:val="FootnoteText"/>
    <w:uiPriority w:val="99"/>
    <w:locked/>
    <w:rsid w:val="00AD3547"/>
    <w:rPr>
      <w:rFonts w:cs="Times New Roman"/>
      <w:sz w:val="20"/>
      <w:szCs w:val="20"/>
    </w:rPr>
  </w:style>
  <w:style w:type="character" w:styleId="Hyperlink">
    <w:name w:val="Hyperlink"/>
    <w:basedOn w:val="DefaultParagraphFont"/>
    <w:uiPriority w:val="99"/>
    <w:locked/>
    <w:rsid w:val="00BC2746"/>
    <w:rPr>
      <w:rFonts w:cs="Times New Roman"/>
      <w:color w:val="0000FF"/>
      <w:u w:val="single"/>
    </w:rPr>
  </w:style>
  <w:style w:type="table" w:styleId="TableGrid">
    <w:name w:val="Table Grid"/>
    <w:basedOn w:val="TableNormal"/>
    <w:uiPriority w:val="59"/>
    <w:locked/>
    <w:rsid w:val="00D701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47B99"/>
    <w:pPr>
      <w:tabs>
        <w:tab w:val="left" w:pos="432"/>
      </w:tabs>
      <w:spacing w:line="480" w:lineRule="auto"/>
      <w:ind w:firstLine="432"/>
      <w:jc w:val="both"/>
    </w:pPr>
    <w:rPr>
      <w:sz w:val="24"/>
      <w:szCs w:val="24"/>
    </w:rPr>
  </w:style>
  <w:style w:type="paragraph" w:styleId="Heading1">
    <w:name w:val="heading 1"/>
    <w:basedOn w:val="Normal"/>
    <w:next w:val="Normal"/>
    <w:link w:val="Heading1Char"/>
    <w:uiPriority w:val="99"/>
    <w:qFormat/>
    <w:rsid w:val="003A1506"/>
    <w:pPr>
      <w:spacing w:after="840" w:line="240" w:lineRule="auto"/>
      <w:ind w:firstLine="0"/>
      <w:jc w:val="center"/>
      <w:outlineLvl w:val="0"/>
    </w:pPr>
    <w:rPr>
      <w:b/>
      <w:bCs/>
      <w:caps/>
    </w:rPr>
  </w:style>
  <w:style w:type="paragraph" w:styleId="Heading2">
    <w:name w:val="heading 2"/>
    <w:basedOn w:val="Normal"/>
    <w:next w:val="Normal"/>
    <w:link w:val="Heading2Char"/>
    <w:uiPriority w:val="99"/>
    <w:qFormat/>
    <w:rsid w:val="003A1506"/>
    <w:pPr>
      <w:keepNext/>
      <w:spacing w:after="240" w:line="240" w:lineRule="auto"/>
      <w:ind w:left="432" w:hanging="432"/>
      <w:outlineLvl w:val="1"/>
    </w:pPr>
    <w:rPr>
      <w:b/>
      <w:bCs/>
      <w:caps/>
    </w:rPr>
  </w:style>
  <w:style w:type="paragraph" w:styleId="Heading3">
    <w:name w:val="heading 3"/>
    <w:basedOn w:val="Normal"/>
    <w:next w:val="Normal"/>
    <w:link w:val="Heading3Char"/>
    <w:uiPriority w:val="99"/>
    <w:qFormat/>
    <w:rsid w:val="003A1506"/>
    <w:pPr>
      <w:keepNext/>
      <w:spacing w:after="240" w:line="240" w:lineRule="auto"/>
      <w:ind w:left="432" w:hanging="432"/>
      <w:outlineLvl w:val="2"/>
    </w:pPr>
    <w:rPr>
      <w:b/>
      <w:bCs/>
    </w:rPr>
  </w:style>
  <w:style w:type="paragraph" w:styleId="Heading4">
    <w:name w:val="heading 4"/>
    <w:aliases w:val="Heading 4 (business proposal only)"/>
    <w:basedOn w:val="Normal"/>
    <w:next w:val="Normal"/>
    <w:link w:val="Heading4Char"/>
    <w:uiPriority w:val="99"/>
    <w:qFormat/>
    <w:rsid w:val="003A1506"/>
    <w:pPr>
      <w:spacing w:after="240" w:line="240" w:lineRule="auto"/>
      <w:ind w:left="432" w:hanging="432"/>
      <w:outlineLvl w:val="3"/>
    </w:pPr>
    <w:rPr>
      <w:b/>
      <w:bCs/>
    </w:rPr>
  </w:style>
  <w:style w:type="paragraph" w:styleId="Heading5">
    <w:name w:val="heading 5"/>
    <w:aliases w:val="Heading 5 (business proposal only)"/>
    <w:basedOn w:val="Normal"/>
    <w:next w:val="Normal"/>
    <w:link w:val="Heading5Char"/>
    <w:uiPriority w:val="99"/>
    <w:qFormat/>
    <w:rsid w:val="003A1506"/>
    <w:pPr>
      <w:spacing w:after="240" w:line="240" w:lineRule="auto"/>
      <w:ind w:left="432" w:hanging="432"/>
      <w:outlineLvl w:val="4"/>
    </w:pPr>
    <w:rPr>
      <w:b/>
      <w:bCs/>
    </w:rPr>
  </w:style>
  <w:style w:type="paragraph" w:styleId="Heading6">
    <w:name w:val="heading 6"/>
    <w:aliases w:val="Heading 6 (business proposal only)"/>
    <w:basedOn w:val="Normal"/>
    <w:next w:val="Normal"/>
    <w:link w:val="Heading6Char"/>
    <w:uiPriority w:val="99"/>
    <w:qFormat/>
    <w:rsid w:val="003A1506"/>
    <w:pPr>
      <w:outlineLvl w:val="5"/>
    </w:pPr>
  </w:style>
  <w:style w:type="paragraph" w:styleId="Heading7">
    <w:name w:val="heading 7"/>
    <w:aliases w:val="Heading 7 (business proposal only)"/>
    <w:basedOn w:val="Normal"/>
    <w:next w:val="Normal"/>
    <w:link w:val="Heading7Char"/>
    <w:uiPriority w:val="99"/>
    <w:qFormat/>
    <w:rsid w:val="003A1506"/>
    <w:pPr>
      <w:outlineLvl w:val="6"/>
    </w:pPr>
  </w:style>
  <w:style w:type="paragraph" w:styleId="Heading8">
    <w:name w:val="heading 8"/>
    <w:aliases w:val="Heading 8 (business proposal only)"/>
    <w:basedOn w:val="Normal"/>
    <w:next w:val="Normal"/>
    <w:link w:val="Heading8Char"/>
    <w:uiPriority w:val="99"/>
    <w:qFormat/>
    <w:rsid w:val="003A1506"/>
    <w:pPr>
      <w:outlineLvl w:val="7"/>
    </w:pPr>
  </w:style>
  <w:style w:type="paragraph" w:styleId="Heading9">
    <w:name w:val="heading 9"/>
    <w:aliases w:val="Heading 9 (business proposal only)"/>
    <w:basedOn w:val="Normal"/>
    <w:next w:val="Normal"/>
    <w:link w:val="Heading9Char"/>
    <w:uiPriority w:val="99"/>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37141"/>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3714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37141"/>
    <w:rPr>
      <w:rFonts w:ascii="Cambria" w:hAnsi="Cambria" w:cs="Times New Roman"/>
      <w:b/>
      <w:bCs/>
      <w:sz w:val="26"/>
      <w:szCs w:val="26"/>
    </w:rPr>
  </w:style>
  <w:style w:type="character" w:customStyle="1" w:styleId="Heading4Char">
    <w:name w:val="Heading 4 Char"/>
    <w:aliases w:val="Heading 4 (business proposal only) Char"/>
    <w:basedOn w:val="DefaultParagraphFont"/>
    <w:link w:val="Heading4"/>
    <w:uiPriority w:val="99"/>
    <w:semiHidden/>
    <w:locked/>
    <w:rsid w:val="00937141"/>
    <w:rPr>
      <w:rFonts w:ascii="Calibri" w:hAnsi="Calibri" w:cs="Times New Roman"/>
      <w:b/>
      <w:bCs/>
      <w:sz w:val="28"/>
      <w:szCs w:val="28"/>
    </w:rPr>
  </w:style>
  <w:style w:type="character" w:customStyle="1" w:styleId="Heading5Char">
    <w:name w:val="Heading 5 Char"/>
    <w:aliases w:val="Heading 5 (business proposal only) Char"/>
    <w:basedOn w:val="DefaultParagraphFont"/>
    <w:link w:val="Heading5"/>
    <w:uiPriority w:val="99"/>
    <w:semiHidden/>
    <w:locked/>
    <w:rsid w:val="00937141"/>
    <w:rPr>
      <w:rFonts w:ascii="Calibri" w:hAnsi="Calibri" w:cs="Times New Roman"/>
      <w:b/>
      <w:bCs/>
      <w:i/>
      <w:iCs/>
      <w:sz w:val="26"/>
      <w:szCs w:val="26"/>
    </w:rPr>
  </w:style>
  <w:style w:type="character" w:customStyle="1" w:styleId="Heading6Char">
    <w:name w:val="Heading 6 Char"/>
    <w:aliases w:val="Heading 6 (business proposal only) Char"/>
    <w:basedOn w:val="DefaultParagraphFont"/>
    <w:link w:val="Heading6"/>
    <w:uiPriority w:val="99"/>
    <w:semiHidden/>
    <w:locked/>
    <w:rsid w:val="00937141"/>
    <w:rPr>
      <w:rFonts w:ascii="Calibri" w:hAnsi="Calibri" w:cs="Times New Roman"/>
      <w:b/>
      <w:bCs/>
    </w:rPr>
  </w:style>
  <w:style w:type="character" w:customStyle="1" w:styleId="Heading7Char">
    <w:name w:val="Heading 7 Char"/>
    <w:aliases w:val="Heading 7 (business proposal only) Char"/>
    <w:basedOn w:val="DefaultParagraphFont"/>
    <w:link w:val="Heading7"/>
    <w:uiPriority w:val="99"/>
    <w:semiHidden/>
    <w:locked/>
    <w:rsid w:val="00937141"/>
    <w:rPr>
      <w:rFonts w:ascii="Calibri" w:hAnsi="Calibri" w:cs="Times New Roman"/>
      <w:sz w:val="24"/>
      <w:szCs w:val="24"/>
    </w:rPr>
  </w:style>
  <w:style w:type="character" w:customStyle="1" w:styleId="Heading8Char">
    <w:name w:val="Heading 8 Char"/>
    <w:aliases w:val="Heading 8 (business proposal only) Char"/>
    <w:basedOn w:val="DefaultParagraphFont"/>
    <w:link w:val="Heading8"/>
    <w:uiPriority w:val="99"/>
    <w:semiHidden/>
    <w:locked/>
    <w:rsid w:val="00937141"/>
    <w:rPr>
      <w:rFonts w:ascii="Calibri" w:hAnsi="Calibri" w:cs="Times New Roman"/>
      <w:i/>
      <w:iCs/>
      <w:sz w:val="24"/>
      <w:szCs w:val="24"/>
    </w:rPr>
  </w:style>
  <w:style w:type="character" w:customStyle="1" w:styleId="Heading9Char">
    <w:name w:val="Heading 9 Char"/>
    <w:aliases w:val="Heading 9 (business proposal only) Char"/>
    <w:basedOn w:val="DefaultParagraphFont"/>
    <w:link w:val="Heading9"/>
    <w:uiPriority w:val="99"/>
    <w:semiHidden/>
    <w:locked/>
    <w:rsid w:val="00937141"/>
    <w:rPr>
      <w:rFonts w:ascii="Cambria" w:hAnsi="Cambria" w:cs="Times New Roman"/>
    </w:rPr>
  </w:style>
  <w:style w:type="paragraph" w:styleId="TOC1">
    <w:name w:val="toc 1"/>
    <w:basedOn w:val="Normal"/>
    <w:next w:val="Normal"/>
    <w:autoRedefine/>
    <w:uiPriority w:val="99"/>
    <w:semiHidden/>
    <w:rsid w:val="003A1506"/>
    <w:pPr>
      <w:tabs>
        <w:tab w:val="center" w:pos="432"/>
        <w:tab w:val="left" w:pos="1008"/>
        <w:tab w:val="right" w:leader="dot" w:pos="9360"/>
      </w:tabs>
      <w:spacing w:line="240" w:lineRule="auto"/>
      <w:ind w:firstLine="0"/>
    </w:pPr>
    <w:rPr>
      <w:caps/>
    </w:rPr>
  </w:style>
  <w:style w:type="paragraph" w:customStyle="1" w:styleId="NormalSS">
    <w:name w:val="NormalSS"/>
    <w:basedOn w:val="Normal"/>
    <w:uiPriority w:val="99"/>
    <w:rsid w:val="003A1506"/>
    <w:pPr>
      <w:spacing w:line="240" w:lineRule="auto"/>
    </w:pPr>
  </w:style>
  <w:style w:type="paragraph" w:styleId="Footer">
    <w:name w:val="footer"/>
    <w:basedOn w:val="Normal"/>
    <w:link w:val="FooterChar"/>
    <w:uiPriority w:val="99"/>
    <w:semiHidden/>
    <w:rsid w:val="003A1506"/>
    <w:pPr>
      <w:tabs>
        <w:tab w:val="center" w:pos="4320"/>
        <w:tab w:val="right" w:pos="8640"/>
      </w:tabs>
    </w:pPr>
  </w:style>
  <w:style w:type="character" w:customStyle="1" w:styleId="FooterChar">
    <w:name w:val="Footer Char"/>
    <w:basedOn w:val="DefaultParagraphFont"/>
    <w:link w:val="Footer"/>
    <w:uiPriority w:val="99"/>
    <w:semiHidden/>
    <w:locked/>
    <w:rsid w:val="00937141"/>
    <w:rPr>
      <w:rFonts w:cs="Times New Roman"/>
      <w:sz w:val="24"/>
      <w:szCs w:val="24"/>
    </w:rPr>
  </w:style>
  <w:style w:type="character" w:styleId="PageNumber">
    <w:name w:val="page number"/>
    <w:basedOn w:val="DefaultParagraphFont"/>
    <w:uiPriority w:val="99"/>
    <w:semiHidden/>
    <w:rsid w:val="003A1506"/>
    <w:rPr>
      <w:rFonts w:cs="Times New Roman"/>
    </w:rPr>
  </w:style>
  <w:style w:type="paragraph" w:customStyle="1" w:styleId="Bullet">
    <w:name w:val="Bullet"/>
    <w:uiPriority w:val="99"/>
    <w:rsid w:val="00A60FFF"/>
    <w:pPr>
      <w:numPr>
        <w:numId w:val="7"/>
      </w:numPr>
      <w:tabs>
        <w:tab w:val="left" w:pos="360"/>
      </w:tabs>
      <w:spacing w:after="180"/>
      <w:ind w:left="720" w:right="360" w:hanging="288"/>
      <w:jc w:val="both"/>
    </w:pPr>
    <w:rPr>
      <w:sz w:val="24"/>
      <w:szCs w:val="24"/>
    </w:rPr>
  </w:style>
  <w:style w:type="paragraph" w:customStyle="1" w:styleId="BulletLAST">
    <w:name w:val="Bullet (LAST)"/>
    <w:basedOn w:val="Bullet"/>
    <w:next w:val="Normal"/>
    <w:uiPriority w:val="99"/>
    <w:rsid w:val="00902B68"/>
    <w:pPr>
      <w:tabs>
        <w:tab w:val="num" w:pos="360"/>
      </w:tabs>
      <w:spacing w:after="480"/>
    </w:pPr>
  </w:style>
  <w:style w:type="paragraph" w:customStyle="1" w:styleId="ParagraphLAST">
    <w:name w:val="Paragraph (LAST)"/>
    <w:basedOn w:val="Normal"/>
    <w:next w:val="Normal"/>
    <w:uiPriority w:val="99"/>
    <w:rsid w:val="003A1506"/>
    <w:pPr>
      <w:spacing w:after="240"/>
    </w:pPr>
  </w:style>
  <w:style w:type="paragraph" w:styleId="TOC2">
    <w:name w:val="toc 2"/>
    <w:basedOn w:val="Normal"/>
    <w:next w:val="Normal"/>
    <w:autoRedefine/>
    <w:uiPriority w:val="99"/>
    <w:semiHidden/>
    <w:rsid w:val="003A1506"/>
    <w:pPr>
      <w:tabs>
        <w:tab w:val="clear" w:pos="432"/>
        <w:tab w:val="left" w:pos="1008"/>
        <w:tab w:val="left" w:pos="1440"/>
        <w:tab w:val="right" w:leader="dot" w:pos="9360"/>
      </w:tabs>
      <w:spacing w:line="240" w:lineRule="auto"/>
      <w:ind w:left="1008" w:right="475" w:firstLine="0"/>
    </w:pPr>
    <w:rPr>
      <w:caps/>
    </w:rPr>
  </w:style>
  <w:style w:type="paragraph" w:customStyle="1" w:styleId="Center">
    <w:name w:val="Center"/>
    <w:basedOn w:val="Normal"/>
    <w:uiPriority w:val="99"/>
    <w:rsid w:val="003A1506"/>
    <w:pPr>
      <w:ind w:firstLine="0"/>
      <w:jc w:val="center"/>
    </w:pPr>
  </w:style>
  <w:style w:type="paragraph" w:styleId="TOC3">
    <w:name w:val="toc 3"/>
    <w:basedOn w:val="Normal"/>
    <w:next w:val="Normal"/>
    <w:autoRedefine/>
    <w:uiPriority w:val="99"/>
    <w:semiHidden/>
    <w:rsid w:val="003A1506"/>
    <w:pPr>
      <w:tabs>
        <w:tab w:val="clear" w:pos="432"/>
        <w:tab w:val="left" w:pos="1915"/>
        <w:tab w:val="right" w:leader="dot" w:pos="9360"/>
      </w:tabs>
      <w:spacing w:line="240" w:lineRule="auto"/>
      <w:ind w:left="1915" w:right="475" w:hanging="475"/>
    </w:pPr>
  </w:style>
  <w:style w:type="paragraph" w:styleId="TOC4">
    <w:name w:val="toc 4"/>
    <w:basedOn w:val="Normal"/>
    <w:next w:val="Normal"/>
    <w:autoRedefine/>
    <w:uiPriority w:val="99"/>
    <w:semiHidden/>
    <w:rsid w:val="003A1506"/>
    <w:pPr>
      <w:tabs>
        <w:tab w:val="clear" w:pos="432"/>
        <w:tab w:val="left" w:pos="1440"/>
        <w:tab w:val="right" w:leader="dot" w:pos="9360"/>
      </w:tabs>
      <w:spacing w:before="240" w:line="240" w:lineRule="auto"/>
      <w:ind w:left="2390" w:hanging="475"/>
    </w:pPr>
    <w:rPr>
      <w:noProof/>
    </w:rPr>
  </w:style>
  <w:style w:type="paragraph" w:styleId="FootnoteText">
    <w:name w:val="footnote text"/>
    <w:aliases w:val="*Footnote Text,F1,Footnote Text ERA,Footnote Text ERA1,Footnote Text ERA2,Footnote Text ERA11,Footnote Text ERA3,Footnote Text ERA12,Footnote Text ERA21,Footnote Text ERA111,Footnote Text ERA4,Footnote Text ERA5,Footnote Text ERA13,F1 Cha"/>
    <w:basedOn w:val="Normal"/>
    <w:link w:val="FootnoteTextChar1"/>
    <w:uiPriority w:val="99"/>
    <w:semiHidden/>
    <w:rsid w:val="003A1506"/>
    <w:pPr>
      <w:spacing w:after="240" w:line="240" w:lineRule="auto"/>
    </w:pPr>
    <w:rPr>
      <w:sz w:val="20"/>
      <w:szCs w:val="20"/>
    </w:rPr>
  </w:style>
  <w:style w:type="character" w:customStyle="1" w:styleId="FootnoteTextChar">
    <w:name w:val="Footnote Text Char"/>
    <w:aliases w:val="*Footnote Text Char,F1 Char,Footnote Text ERA Char,Footnote Text ERA1 Char,Footnote Text ERA2 Char,Footnote Text ERA11 Char,Footnote Text ERA3 Char,Footnote Text ERA12 Char,Footnote Text ERA21 Char,Footnote Text ERA111 Char"/>
    <w:basedOn w:val="DefaultParagraphFont"/>
    <w:uiPriority w:val="99"/>
    <w:semiHidden/>
    <w:locked/>
    <w:rsid w:val="00937141"/>
    <w:rPr>
      <w:rFonts w:cs="Times New Roman"/>
      <w:sz w:val="20"/>
      <w:szCs w:val="20"/>
    </w:rPr>
  </w:style>
  <w:style w:type="paragraph" w:customStyle="1" w:styleId="Dash">
    <w:name w:val="Dash"/>
    <w:uiPriority w:val="99"/>
    <w:rsid w:val="00747B99"/>
    <w:pPr>
      <w:numPr>
        <w:numId w:val="8"/>
      </w:numPr>
      <w:tabs>
        <w:tab w:val="left" w:pos="1080"/>
      </w:tabs>
      <w:spacing w:after="120"/>
      <w:ind w:left="1080" w:right="720"/>
      <w:jc w:val="both"/>
    </w:pPr>
    <w:rPr>
      <w:sz w:val="24"/>
      <w:szCs w:val="24"/>
    </w:rPr>
  </w:style>
  <w:style w:type="paragraph" w:customStyle="1" w:styleId="DashLAST">
    <w:name w:val="Dash (LAST)"/>
    <w:basedOn w:val="Dash"/>
    <w:next w:val="Normal"/>
    <w:uiPriority w:val="99"/>
    <w:rsid w:val="00747B99"/>
    <w:pPr>
      <w:tabs>
        <w:tab w:val="num" w:pos="1080"/>
      </w:tabs>
      <w:spacing w:after="480"/>
    </w:pPr>
  </w:style>
  <w:style w:type="paragraph" w:customStyle="1" w:styleId="NumberedBullet">
    <w:name w:val="Numbered Bullet"/>
    <w:uiPriority w:val="99"/>
    <w:rsid w:val="003A1506"/>
    <w:pPr>
      <w:numPr>
        <w:numId w:val="1"/>
      </w:numPr>
      <w:tabs>
        <w:tab w:val="left" w:pos="360"/>
      </w:tabs>
      <w:spacing w:after="180"/>
      <w:ind w:left="720" w:right="360" w:hanging="288"/>
      <w:jc w:val="both"/>
    </w:pPr>
    <w:rPr>
      <w:sz w:val="24"/>
      <w:szCs w:val="24"/>
    </w:rPr>
  </w:style>
  <w:style w:type="paragraph" w:customStyle="1" w:styleId="Outline">
    <w:name w:val="Outline"/>
    <w:basedOn w:val="Normal"/>
    <w:uiPriority w:val="99"/>
    <w:rsid w:val="003A1506"/>
    <w:pPr>
      <w:tabs>
        <w:tab w:val="clear" w:pos="432"/>
      </w:tabs>
      <w:spacing w:after="240" w:line="240" w:lineRule="auto"/>
      <w:ind w:left="720" w:hanging="720"/>
    </w:pPr>
  </w:style>
  <w:style w:type="character" w:styleId="FootnoteReference">
    <w:name w:val="footnote reference"/>
    <w:aliases w:val="*Footnote Reference"/>
    <w:basedOn w:val="DefaultParagraphFont"/>
    <w:uiPriority w:val="99"/>
    <w:semiHidden/>
    <w:rsid w:val="003A1506"/>
    <w:rPr>
      <w:rFonts w:cs="Times New Roman"/>
      <w:spacing w:val="0"/>
      <w:position w:val="0"/>
      <w:u w:color="000080"/>
      <w:effect w:val="none"/>
      <w:vertAlign w:val="superscript"/>
    </w:rPr>
  </w:style>
  <w:style w:type="paragraph" w:styleId="EndnoteText">
    <w:name w:val="endnote text"/>
    <w:basedOn w:val="Normal"/>
    <w:link w:val="EndnoteTextChar"/>
    <w:uiPriority w:val="99"/>
    <w:semiHidden/>
    <w:rsid w:val="003A1506"/>
    <w:pPr>
      <w:spacing w:after="240" w:line="240" w:lineRule="auto"/>
    </w:pPr>
  </w:style>
  <w:style w:type="character" w:customStyle="1" w:styleId="EndnoteTextChar">
    <w:name w:val="Endnote Text Char"/>
    <w:basedOn w:val="DefaultParagraphFont"/>
    <w:link w:val="EndnoteText"/>
    <w:uiPriority w:val="99"/>
    <w:semiHidden/>
    <w:locked/>
    <w:rsid w:val="00937141"/>
    <w:rPr>
      <w:rFonts w:cs="Times New Roman"/>
      <w:sz w:val="20"/>
      <w:szCs w:val="20"/>
    </w:rPr>
  </w:style>
  <w:style w:type="character" w:styleId="EndnoteReference">
    <w:name w:val="endnote reference"/>
    <w:basedOn w:val="DefaultParagraphFont"/>
    <w:uiPriority w:val="99"/>
    <w:semiHidden/>
    <w:rsid w:val="003A1506"/>
    <w:rPr>
      <w:rFonts w:cs="Times New Roman"/>
      <w:vertAlign w:val="superscript"/>
    </w:rPr>
  </w:style>
  <w:style w:type="paragraph" w:customStyle="1" w:styleId="MarkforTableHeading">
    <w:name w:val="Mark for Table Heading"/>
    <w:next w:val="Normal"/>
    <w:uiPriority w:val="99"/>
    <w:rsid w:val="003A1506"/>
    <w:pPr>
      <w:spacing w:line="480" w:lineRule="auto"/>
      <w:jc w:val="center"/>
    </w:pPr>
    <w:rPr>
      <w:caps/>
      <w:sz w:val="24"/>
      <w:szCs w:val="24"/>
    </w:rPr>
  </w:style>
  <w:style w:type="paragraph" w:customStyle="1" w:styleId="ParagraphSSLAST">
    <w:name w:val="ParagraphSS (LAST)"/>
    <w:basedOn w:val="NormalSS"/>
    <w:next w:val="Normal"/>
    <w:uiPriority w:val="99"/>
    <w:rsid w:val="003A1506"/>
    <w:pPr>
      <w:spacing w:after="480"/>
    </w:pPr>
  </w:style>
  <w:style w:type="paragraph" w:customStyle="1" w:styleId="References">
    <w:name w:val="References"/>
    <w:basedOn w:val="Normal"/>
    <w:next w:val="Normal"/>
    <w:uiPriority w:val="99"/>
    <w:rsid w:val="003A1506"/>
    <w:pPr>
      <w:spacing w:after="240" w:line="240" w:lineRule="auto"/>
      <w:ind w:left="432" w:hanging="432"/>
    </w:pPr>
  </w:style>
  <w:style w:type="paragraph" w:customStyle="1" w:styleId="MarkforFigureHeading">
    <w:name w:val="Mark for Figure Heading"/>
    <w:basedOn w:val="Normal"/>
    <w:next w:val="Normal"/>
    <w:uiPriority w:val="99"/>
    <w:rsid w:val="003A1506"/>
    <w:pPr>
      <w:ind w:firstLine="0"/>
      <w:jc w:val="center"/>
    </w:pPr>
    <w:rPr>
      <w:caps/>
    </w:rPr>
  </w:style>
  <w:style w:type="paragraph" w:customStyle="1" w:styleId="MarkforExhibitHeading">
    <w:name w:val="Mark for Exhibit Heading"/>
    <w:basedOn w:val="Normal"/>
    <w:next w:val="Normal"/>
    <w:uiPriority w:val="99"/>
    <w:rsid w:val="003A1506"/>
    <w:pPr>
      <w:ind w:firstLine="0"/>
      <w:jc w:val="center"/>
    </w:pPr>
    <w:rPr>
      <w:caps/>
    </w:rPr>
  </w:style>
  <w:style w:type="paragraph" w:customStyle="1" w:styleId="MarkforAttachmentHeading">
    <w:name w:val="Mark for Attachment Heading"/>
    <w:basedOn w:val="Normal"/>
    <w:next w:val="Normal"/>
    <w:uiPriority w:val="99"/>
    <w:rsid w:val="003A1506"/>
    <w:pPr>
      <w:spacing w:line="240" w:lineRule="auto"/>
      <w:ind w:firstLine="0"/>
      <w:jc w:val="center"/>
    </w:pPr>
    <w:rPr>
      <w:b/>
      <w:bCs/>
      <w:caps/>
    </w:rPr>
  </w:style>
  <w:style w:type="paragraph" w:styleId="TableofFigures">
    <w:name w:val="table of figures"/>
    <w:basedOn w:val="Normal"/>
    <w:next w:val="Normal"/>
    <w:uiPriority w:val="99"/>
    <w:semiHidden/>
    <w:rsid w:val="003A1506"/>
    <w:pPr>
      <w:tabs>
        <w:tab w:val="clear" w:pos="432"/>
      </w:tabs>
      <w:ind w:left="480" w:hanging="480"/>
    </w:pPr>
  </w:style>
  <w:style w:type="character" w:customStyle="1" w:styleId="MTEquationSection">
    <w:name w:val="MTEquationSection"/>
    <w:basedOn w:val="DefaultParagraphFont"/>
    <w:uiPriority w:val="99"/>
    <w:rsid w:val="003A1506"/>
    <w:rPr>
      <w:rFonts w:cs="Times New Roman"/>
      <w:color w:val="FF0000"/>
    </w:rPr>
  </w:style>
  <w:style w:type="paragraph" w:customStyle="1" w:styleId="MarkforAppendixHeading">
    <w:name w:val="Mark for Appendix Heading"/>
    <w:basedOn w:val="Normal"/>
    <w:uiPriority w:val="99"/>
    <w:rsid w:val="003A1506"/>
    <w:pPr>
      <w:ind w:firstLine="0"/>
      <w:jc w:val="center"/>
    </w:pPr>
    <w:rPr>
      <w:b/>
      <w:bCs/>
      <w:caps/>
    </w:rPr>
  </w:style>
  <w:style w:type="paragraph" w:customStyle="1" w:styleId="NumberedBulletLAST">
    <w:name w:val="Numbered Bullet (LAST)"/>
    <w:basedOn w:val="NumberedBullet"/>
    <w:next w:val="Normal"/>
    <w:uiPriority w:val="99"/>
    <w:rsid w:val="006150A8"/>
    <w:pPr>
      <w:spacing w:after="480"/>
    </w:pPr>
  </w:style>
  <w:style w:type="paragraph" w:styleId="ListParagraph">
    <w:name w:val="List Paragraph"/>
    <w:basedOn w:val="Bullet"/>
    <w:next w:val="Bullet"/>
    <w:uiPriority w:val="99"/>
    <w:qFormat/>
    <w:rsid w:val="00E33FB4"/>
    <w:pPr>
      <w:numPr>
        <w:numId w:val="6"/>
      </w:numPr>
    </w:pPr>
  </w:style>
  <w:style w:type="paragraph" w:styleId="Header">
    <w:name w:val="header"/>
    <w:basedOn w:val="Normal"/>
    <w:link w:val="HeaderChar"/>
    <w:uiPriority w:val="99"/>
    <w:semiHidden/>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locked/>
    <w:rsid w:val="000E6D11"/>
    <w:rPr>
      <w:rFonts w:cs="Times New Roman"/>
    </w:rPr>
  </w:style>
  <w:style w:type="paragraph" w:styleId="BalloonText">
    <w:name w:val="Balloon Text"/>
    <w:basedOn w:val="Normal"/>
    <w:link w:val="BalloonTextChar"/>
    <w:uiPriority w:val="99"/>
    <w:semiHidden/>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7F686C"/>
    <w:pPr>
      <w:ind w:firstLine="0"/>
    </w:pPr>
  </w:style>
  <w:style w:type="paragraph" w:customStyle="1" w:styleId="TableHeaderCenter">
    <w:name w:val="Table Header Center"/>
    <w:basedOn w:val="NormalSS"/>
    <w:uiPriority w:val="99"/>
    <w:rsid w:val="007F686C"/>
    <w:pPr>
      <w:spacing w:before="120" w:after="60"/>
      <w:ind w:firstLine="0"/>
      <w:jc w:val="center"/>
    </w:pPr>
  </w:style>
  <w:style w:type="paragraph" w:customStyle="1" w:styleId="TableHeaderLeft">
    <w:name w:val="Table Header Left"/>
    <w:basedOn w:val="NormalSS"/>
    <w:uiPriority w:val="99"/>
    <w:rsid w:val="007F686C"/>
    <w:pPr>
      <w:spacing w:before="120" w:after="60"/>
      <w:ind w:firstLine="0"/>
      <w:jc w:val="left"/>
    </w:pPr>
  </w:style>
  <w:style w:type="paragraph" w:customStyle="1" w:styleId="Normalcontinued">
    <w:name w:val="Normal (continued)"/>
    <w:basedOn w:val="Normal"/>
    <w:next w:val="Normal"/>
    <w:uiPriority w:val="99"/>
    <w:rsid w:val="007F686C"/>
    <w:pPr>
      <w:ind w:firstLine="0"/>
    </w:pPr>
  </w:style>
  <w:style w:type="paragraph" w:customStyle="1" w:styleId="NormalSScontinued">
    <w:name w:val="NormalSS (continued)"/>
    <w:basedOn w:val="NormalSS"/>
    <w:next w:val="NormalSS"/>
    <w:uiPriority w:val="99"/>
    <w:rsid w:val="007F686C"/>
    <w:pPr>
      <w:ind w:firstLine="0"/>
    </w:pPr>
  </w:style>
  <w:style w:type="paragraph" w:customStyle="1" w:styleId="NormalSS12">
    <w:name w:val="NormalSS 12"/>
    <w:basedOn w:val="NormalSS"/>
    <w:uiPriority w:val="99"/>
    <w:rsid w:val="007F686C"/>
    <w:pPr>
      <w:spacing w:after="240"/>
    </w:pPr>
  </w:style>
  <w:style w:type="paragraph" w:customStyle="1" w:styleId="NormalSS12continued">
    <w:name w:val="NormalSS 12 (continued)"/>
    <w:basedOn w:val="NormalSS12"/>
    <w:uiPriority w:val="99"/>
    <w:rsid w:val="007F686C"/>
    <w:pPr>
      <w:ind w:firstLine="0"/>
    </w:pPr>
  </w:style>
  <w:style w:type="paragraph" w:customStyle="1" w:styleId="ParagraphLASTcontinued">
    <w:name w:val="Paragraph (LAST_continued)"/>
    <w:basedOn w:val="ParagraphLAST"/>
    <w:next w:val="Normal"/>
    <w:uiPriority w:val="99"/>
    <w:rsid w:val="007F686C"/>
    <w:pPr>
      <w:ind w:firstLine="0"/>
    </w:pPr>
  </w:style>
  <w:style w:type="paragraph" w:customStyle="1" w:styleId="ParagraphSSLASTcontinued">
    <w:name w:val="ParagraphSS (LAST_continued)"/>
    <w:basedOn w:val="ParagraphSSLAST"/>
    <w:next w:val="NormalSS"/>
    <w:uiPriority w:val="99"/>
    <w:rsid w:val="007F686C"/>
    <w:pPr>
      <w:ind w:firstLine="0"/>
    </w:pPr>
  </w:style>
  <w:style w:type="paragraph" w:customStyle="1" w:styleId="TableText">
    <w:name w:val="Table Text"/>
    <w:basedOn w:val="NormalSS"/>
    <w:uiPriority w:val="99"/>
    <w:rsid w:val="007F686C"/>
    <w:pPr>
      <w:tabs>
        <w:tab w:val="clear" w:pos="432"/>
      </w:tabs>
      <w:ind w:firstLine="0"/>
      <w:jc w:val="left"/>
    </w:pPr>
  </w:style>
  <w:style w:type="paragraph" w:customStyle="1" w:styleId="TableSourceCaption">
    <w:name w:val="Table Source_Caption"/>
    <w:basedOn w:val="NormalSS"/>
    <w:uiPriority w:val="99"/>
    <w:rsid w:val="007F686C"/>
    <w:pPr>
      <w:tabs>
        <w:tab w:val="clear" w:pos="432"/>
      </w:tabs>
      <w:ind w:left="1080" w:hanging="1080"/>
    </w:pPr>
  </w:style>
  <w:style w:type="paragraph" w:customStyle="1" w:styleId="Heading1Black">
    <w:name w:val="Heading 1_Black"/>
    <w:basedOn w:val="Normal"/>
    <w:next w:val="Normal"/>
    <w:uiPriority w:val="99"/>
    <w:rsid w:val="00CF48AC"/>
    <w:pPr>
      <w:spacing w:before="240" w:after="240" w:line="240" w:lineRule="auto"/>
      <w:ind w:firstLine="0"/>
      <w:jc w:val="center"/>
    </w:pPr>
    <w:rPr>
      <w:rFonts w:ascii="Lucida Sans" w:hAnsi="Lucida Sans" w:cs="Lucida Sans"/>
      <w:b/>
      <w:bCs/>
      <w:caps/>
    </w:rPr>
  </w:style>
  <w:style w:type="character" w:styleId="CommentReference">
    <w:name w:val="annotation reference"/>
    <w:basedOn w:val="DefaultParagraphFont"/>
    <w:uiPriority w:val="99"/>
    <w:semiHidden/>
    <w:rsid w:val="00DB49EF"/>
    <w:rPr>
      <w:rFonts w:cs="Times New Roman"/>
      <w:sz w:val="16"/>
      <w:szCs w:val="16"/>
    </w:rPr>
  </w:style>
  <w:style w:type="paragraph" w:styleId="CommentText">
    <w:name w:val="annotation text"/>
    <w:basedOn w:val="Normal"/>
    <w:link w:val="CommentTextChar"/>
    <w:uiPriority w:val="99"/>
    <w:semiHidden/>
    <w:rsid w:val="00DB49EF"/>
    <w:pPr>
      <w:spacing w:line="240" w:lineRule="auto"/>
    </w:pPr>
    <w:rPr>
      <w:sz w:val="20"/>
      <w:szCs w:val="20"/>
    </w:rPr>
  </w:style>
  <w:style w:type="character" w:customStyle="1" w:styleId="CommentTextChar">
    <w:name w:val="Comment Text Char"/>
    <w:basedOn w:val="DefaultParagraphFont"/>
    <w:link w:val="CommentText"/>
    <w:uiPriority w:val="99"/>
    <w:locked/>
    <w:rsid w:val="00DB49EF"/>
    <w:rPr>
      <w:rFonts w:cs="Times New Roman"/>
      <w:sz w:val="20"/>
      <w:szCs w:val="20"/>
    </w:rPr>
  </w:style>
  <w:style w:type="paragraph" w:styleId="CommentSubject">
    <w:name w:val="annotation subject"/>
    <w:basedOn w:val="CommentText"/>
    <w:next w:val="CommentText"/>
    <w:link w:val="CommentSubjectChar"/>
    <w:uiPriority w:val="99"/>
    <w:semiHidden/>
    <w:rsid w:val="00DB49EF"/>
    <w:rPr>
      <w:b/>
      <w:bCs/>
    </w:rPr>
  </w:style>
  <w:style w:type="character" w:customStyle="1" w:styleId="CommentSubjectChar">
    <w:name w:val="Comment Subject Char"/>
    <w:basedOn w:val="CommentTextChar"/>
    <w:link w:val="CommentSubject"/>
    <w:uiPriority w:val="99"/>
    <w:semiHidden/>
    <w:locked/>
    <w:rsid w:val="00DB49EF"/>
    <w:rPr>
      <w:rFonts w:cs="Times New Roman"/>
      <w:b/>
      <w:bCs/>
      <w:sz w:val="20"/>
      <w:szCs w:val="20"/>
    </w:rPr>
  </w:style>
  <w:style w:type="paragraph" w:customStyle="1" w:styleId="Default">
    <w:name w:val="Default"/>
    <w:uiPriority w:val="99"/>
    <w:rsid w:val="005950AD"/>
    <w:pPr>
      <w:widowControl w:val="0"/>
      <w:autoSpaceDE w:val="0"/>
      <w:autoSpaceDN w:val="0"/>
      <w:adjustRightInd w:val="0"/>
    </w:pPr>
    <w:rPr>
      <w:color w:val="000000"/>
      <w:sz w:val="24"/>
      <w:szCs w:val="24"/>
    </w:rPr>
  </w:style>
  <w:style w:type="paragraph" w:styleId="Revision">
    <w:name w:val="Revision"/>
    <w:hidden/>
    <w:uiPriority w:val="99"/>
    <w:semiHidden/>
    <w:rsid w:val="005D79F8"/>
    <w:rPr>
      <w:sz w:val="24"/>
      <w:szCs w:val="24"/>
    </w:rPr>
  </w:style>
  <w:style w:type="paragraph" w:styleId="NoSpacing">
    <w:name w:val="No Spacing"/>
    <w:uiPriority w:val="1"/>
    <w:qFormat/>
    <w:rsid w:val="001E6BB9"/>
    <w:rPr>
      <w:rFonts w:ascii="Calibri" w:hAnsi="Calibri" w:cs="Calibri"/>
    </w:rPr>
  </w:style>
  <w:style w:type="character" w:customStyle="1" w:styleId="FootnoteTextChar1">
    <w:name w:val="Footnote Text Char1"/>
    <w:aliases w:val="*Footnote Text Char1,F1 Char1,Footnote Text ERA Char1,Footnote Text ERA1 Char1,Footnote Text ERA2 Char1,Footnote Text ERA11 Char1,Footnote Text ERA3 Char1,Footnote Text ERA12 Char1,Footnote Text ERA21 Char1,Footnote Text ERA111 Char1"/>
    <w:basedOn w:val="DefaultParagraphFont"/>
    <w:link w:val="FootnoteText"/>
    <w:uiPriority w:val="99"/>
    <w:locked/>
    <w:rsid w:val="00AD3547"/>
    <w:rPr>
      <w:rFonts w:cs="Times New Roman"/>
      <w:sz w:val="20"/>
      <w:szCs w:val="20"/>
    </w:rPr>
  </w:style>
  <w:style w:type="character" w:styleId="Hyperlink">
    <w:name w:val="Hyperlink"/>
    <w:basedOn w:val="DefaultParagraphFont"/>
    <w:uiPriority w:val="99"/>
    <w:locked/>
    <w:rsid w:val="00BC274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350986599">
      <w:marLeft w:val="0"/>
      <w:marRight w:val="0"/>
      <w:marTop w:val="0"/>
      <w:marBottom w:val="0"/>
      <w:divBdr>
        <w:top w:val="none" w:sz="0" w:space="0" w:color="auto"/>
        <w:left w:val="none" w:sz="0" w:space="0" w:color="auto"/>
        <w:bottom w:val="none" w:sz="0" w:space="0" w:color="auto"/>
        <w:right w:val="none" w:sz="0" w:space="0" w:color="auto"/>
      </w:divBdr>
    </w:div>
    <w:div w:id="1350986600">
      <w:marLeft w:val="0"/>
      <w:marRight w:val="0"/>
      <w:marTop w:val="0"/>
      <w:marBottom w:val="0"/>
      <w:divBdr>
        <w:top w:val="none" w:sz="0" w:space="0" w:color="auto"/>
        <w:left w:val="none" w:sz="0" w:space="0" w:color="auto"/>
        <w:bottom w:val="none" w:sz="0" w:space="0" w:color="auto"/>
        <w:right w:val="none" w:sz="0" w:space="0" w:color="auto"/>
      </w:divBdr>
    </w:div>
    <w:div w:id="13509866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ynthia.miller@mdrc.org" TargetMode="External"/><Relationship Id="rId1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schwartz@mathematica-mpr.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0B9CEC38BD5B4F8756B751EA9F12F6" ma:contentTypeVersion="0" ma:contentTypeDescription="Create a new document." ma:contentTypeScope="" ma:versionID="0f8f2d33fbdb1afbf9ad4d01a17d3e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E8FCC-A807-437A-A898-DCC292E30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D2063D3-02B0-49A4-86EE-C3E1875C200B}">
  <ds:schemaRefs>
    <ds:schemaRef ds:uri="http://schemas.microsoft.com/sharepoint/v3/contenttype/forms"/>
  </ds:schemaRefs>
</ds:datastoreItem>
</file>

<file path=customXml/itemProps3.xml><?xml version="1.0" encoding="utf-8"?>
<ds:datastoreItem xmlns:ds="http://schemas.openxmlformats.org/officeDocument/2006/customXml" ds:itemID="{463FCFFA-737F-47E3-9491-F689102247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F8C7F1-34FC-4379-95D5-27E7E758D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3983</Words>
  <Characters>22116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PART B: COLLECTION OF INFORMATION INVOLVING STATISTICAL METHODS</vt:lpstr>
    </vt:vector>
  </TitlesOfParts>
  <Company>Mathematica, Inc</Company>
  <LinksUpToDate>false</LinksUpToDate>
  <CharactersWithSpaces>26047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B: COLLECTION OF INFORMATION INVOLVING STATISTICAL METHODS</dc:title>
  <dc:creator>Computer &amp; Network Services</dc:creator>
  <cp:lastModifiedBy>LocalAdmin</cp:lastModifiedBy>
  <cp:revision>5</cp:revision>
  <cp:lastPrinted>2012-02-29T16:40:00Z</cp:lastPrinted>
  <dcterms:created xsi:type="dcterms:W3CDTF">2012-09-06T21:33:00Z</dcterms:created>
  <dcterms:modified xsi:type="dcterms:W3CDTF">2012-09-06T22:21:00Z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0x010100E60B9CEC38BD5B4F8756B751EA9F12F6</vt:lpwstr>
  </property>
</Properties>
</file>