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539" w:rsidRDefault="001D02B3" w:rsidP="00000539">
      <w:pPr>
        <w:widowControl/>
        <w:tabs>
          <w:tab w:val="center" w:pos="4680"/>
        </w:tabs>
        <w:jc w:val="center"/>
        <w:rPr>
          <w:b/>
        </w:rPr>
      </w:pPr>
      <w:r w:rsidRPr="00000539">
        <w:rPr>
          <w:b/>
        </w:rPr>
        <w:t xml:space="preserve">PRA SUPPORTING STATEMENTS </w:t>
      </w:r>
      <w:r w:rsidR="00A61C40" w:rsidRPr="00000539">
        <w:rPr>
          <w:b/>
        </w:rPr>
        <w:t>FOR</w:t>
      </w:r>
      <w:r w:rsidRPr="00000539">
        <w:rPr>
          <w:b/>
        </w:rPr>
        <w:t xml:space="preserve"> </w:t>
      </w:r>
      <w:r w:rsidR="00A61C40" w:rsidRPr="00000539">
        <w:rPr>
          <w:b/>
        </w:rPr>
        <w:t xml:space="preserve">REEMPLOYMENT </w:t>
      </w:r>
      <w:r w:rsidR="00F938CA" w:rsidRPr="00000539">
        <w:rPr>
          <w:b/>
        </w:rPr>
        <w:t xml:space="preserve">AND ELIGIBILITY ASSESSMENT </w:t>
      </w:r>
      <w:r w:rsidR="00A61C40" w:rsidRPr="00000539">
        <w:rPr>
          <w:b/>
        </w:rPr>
        <w:t>(</w:t>
      </w:r>
      <w:r w:rsidR="00F938CA" w:rsidRPr="00000539">
        <w:rPr>
          <w:b/>
        </w:rPr>
        <w:t>REA</w:t>
      </w:r>
      <w:r w:rsidR="00A61C40" w:rsidRPr="00000539">
        <w:rPr>
          <w:b/>
        </w:rPr>
        <w:t>) REPORTS</w:t>
      </w:r>
      <w:r w:rsidRPr="00000539">
        <w:rPr>
          <w:b/>
        </w:rPr>
        <w:t>:  OMB Control Number 1205-0456</w:t>
      </w:r>
      <w:r w:rsidR="00000539" w:rsidRPr="00000539">
        <w:rPr>
          <w:b/>
        </w:rPr>
        <w:t xml:space="preserve"> </w:t>
      </w:r>
    </w:p>
    <w:p w:rsidR="00A51A32" w:rsidRDefault="00A51A32" w:rsidP="001D02B3">
      <w:pPr>
        <w:widowControl/>
        <w:tabs>
          <w:tab w:val="center" w:pos="4680"/>
        </w:tabs>
      </w:pPr>
    </w:p>
    <w:p w:rsidR="00A61C40" w:rsidRPr="008069C8" w:rsidRDefault="00A61C40">
      <w:pPr>
        <w:widowControl/>
        <w:tabs>
          <w:tab w:val="left" w:pos="-1440"/>
        </w:tabs>
        <w:ind w:left="720" w:hanging="720"/>
      </w:pPr>
      <w:r>
        <w:t>A.</w:t>
      </w:r>
      <w:r>
        <w:tab/>
      </w:r>
      <w:r w:rsidRPr="008069C8">
        <w:rPr>
          <w:u w:val="single"/>
        </w:rPr>
        <w:t>Justification</w:t>
      </w:r>
      <w:r w:rsidR="008069C8">
        <w:t>.</w:t>
      </w:r>
    </w:p>
    <w:p w:rsidR="00A61C40" w:rsidRDefault="00A61C40">
      <w:pPr>
        <w:widowControl/>
      </w:pPr>
    </w:p>
    <w:p w:rsidR="00DE0CD9" w:rsidRDefault="00E926F0">
      <w:pPr>
        <w:widowControl/>
      </w:pPr>
      <w:r w:rsidRPr="00E926F0">
        <w:rPr>
          <w:b/>
        </w:rPr>
        <w:t xml:space="preserve">Extension </w:t>
      </w:r>
      <w:r w:rsidR="000E1423">
        <w:rPr>
          <w:b/>
        </w:rPr>
        <w:t>for existing approved forms, ETA</w:t>
      </w:r>
      <w:r w:rsidRPr="00E926F0">
        <w:rPr>
          <w:b/>
        </w:rPr>
        <w:t xml:space="preserve"> 9128 and ETA 9129</w:t>
      </w:r>
      <w:r>
        <w:t xml:space="preserve">:  </w:t>
      </w:r>
      <w:r w:rsidR="00DE0CD9">
        <w:t xml:space="preserve">This is a justification for the Department of Labor’s (DOL) request to </w:t>
      </w:r>
      <w:r w:rsidR="00A94F3E">
        <w:t xml:space="preserve">extend the information collection by </w:t>
      </w:r>
      <w:r w:rsidR="00DE0CD9">
        <w:t xml:space="preserve">State Workforce Agencies (SWAs) </w:t>
      </w:r>
      <w:r w:rsidR="00A94F3E">
        <w:t>o</w:t>
      </w:r>
      <w:r w:rsidR="00DE0CD9">
        <w:t xml:space="preserve">n the Reemployment and Eligibility Assessments </w:t>
      </w:r>
      <w:r w:rsidR="00476669">
        <w:t xml:space="preserve">(REAs) </w:t>
      </w:r>
      <w:r w:rsidR="003B62BB">
        <w:t xml:space="preserve">they </w:t>
      </w:r>
      <w:r w:rsidR="00DE0CD9">
        <w:t>conduct</w:t>
      </w:r>
      <w:r w:rsidR="00C04E0B">
        <w:t xml:space="preserve">.  </w:t>
      </w:r>
      <w:r w:rsidR="00DE0CD9">
        <w:t xml:space="preserve">The Secretary’s authority to implement this reporting requirement is found in the Social Security Act (SSA) </w:t>
      </w:r>
      <w:r w:rsidR="003B62BB">
        <w:t>s</w:t>
      </w:r>
      <w:r w:rsidR="00DE0CD9">
        <w:t xml:space="preserve">ection 303(a)(6), 42 U.S.C. 503 (a)(6), </w:t>
      </w:r>
      <w:r w:rsidR="003B62BB">
        <w:t xml:space="preserve">which </w:t>
      </w:r>
      <w:r w:rsidR="00DE0CD9">
        <w:t>requires that state law include provision for:</w:t>
      </w:r>
    </w:p>
    <w:p w:rsidR="00DE0CD9" w:rsidRDefault="00DE0CD9">
      <w:pPr>
        <w:widowControl/>
      </w:pPr>
    </w:p>
    <w:p w:rsidR="00DE0CD9" w:rsidRDefault="00DE0CD9" w:rsidP="00DE0CD9">
      <w:pPr>
        <w:widowControl/>
        <w:ind w:left="720" w:right="720"/>
      </w:pPr>
      <w:r>
        <w:t>The making of such reports, in such form and containing such information, as the Secretary of Labor may from time to time require, and compliance with such provisions as the Secretary of Labor may from time to time find necessary to assure the correctness and verification of such reports.</w:t>
      </w:r>
    </w:p>
    <w:p w:rsidR="00DE0CD9" w:rsidRDefault="00DE0CD9" w:rsidP="00DE0CD9">
      <w:pPr>
        <w:widowControl/>
        <w:ind w:left="720" w:right="720"/>
      </w:pPr>
    </w:p>
    <w:p w:rsidR="00740E2F" w:rsidRDefault="00DC3E92" w:rsidP="00DE0CD9">
      <w:pPr>
        <w:widowControl/>
      </w:pPr>
      <w:r>
        <w:t>The Secretary interprets section 303(a)(6), SSA, to authorize DOL to prescribe standard definitions, methods and procedures, and reporting requirements for the collection of information on</w:t>
      </w:r>
      <w:r w:rsidR="00330263">
        <w:t xml:space="preserve"> benefit payment accuracy and </w:t>
      </w:r>
      <w:r>
        <w:t xml:space="preserve">the reemployment </w:t>
      </w:r>
      <w:r w:rsidR="00740E2F">
        <w:t xml:space="preserve">of UI benefit recipients and to ensure accuracy and verification of these data.  </w:t>
      </w:r>
    </w:p>
    <w:p w:rsidR="00470C52" w:rsidRDefault="00470C52" w:rsidP="00DE0CD9">
      <w:pPr>
        <w:widowControl/>
      </w:pPr>
    </w:p>
    <w:p w:rsidR="00470C52" w:rsidRDefault="00C04E0B" w:rsidP="00DE0CD9">
      <w:pPr>
        <w:widowControl/>
      </w:pPr>
      <w:r>
        <w:t xml:space="preserve">On April 20, 2012, OMB approved </w:t>
      </w:r>
      <w:r w:rsidR="00AB0FAE">
        <w:t xml:space="preserve">DOL’s </w:t>
      </w:r>
      <w:r>
        <w:t xml:space="preserve">emergency request that this data collection be approved and extended for six months, </w:t>
      </w:r>
      <w:r w:rsidR="00AB0FAE">
        <w:t xml:space="preserve">until October 31, 2012, </w:t>
      </w:r>
      <w:r>
        <w:t>including the</w:t>
      </w:r>
      <w:r w:rsidR="00AB0FAE">
        <w:t xml:space="preserve"> new</w:t>
      </w:r>
      <w:r w:rsidR="00470C52">
        <w:t xml:space="preserve"> ETA 9128</w:t>
      </w:r>
      <w:r w:rsidR="00AB0FAE">
        <w:t xml:space="preserve"> U</w:t>
      </w:r>
      <w:r w:rsidR="00470C52">
        <w:t xml:space="preserve">, </w:t>
      </w:r>
      <w:r w:rsidR="00AB0FAE">
        <w:t xml:space="preserve">the report currently used to collect data on REAs, </w:t>
      </w:r>
      <w:r w:rsidR="00470C52">
        <w:t>with minor modifications for the purpose of collecting data on EUC08 c</w:t>
      </w:r>
      <w:r w:rsidR="00AB0FAE">
        <w:t xml:space="preserve">laimants as </w:t>
      </w:r>
      <w:r w:rsidR="00470C52">
        <w:t>mandate</w:t>
      </w:r>
      <w:r w:rsidR="00AB0FAE">
        <w:t xml:space="preserve">d by </w:t>
      </w:r>
      <w:r w:rsidR="00470C52" w:rsidRPr="00451938">
        <w:t>Public Law 112-96</w:t>
      </w:r>
      <w:r w:rsidR="00470C52">
        <w:t xml:space="preserve">.   </w:t>
      </w:r>
      <w:r w:rsidR="00AB0FAE">
        <w:t>The other two approved forms that also need to be extended for three years are ETA 9128, on which the ETA 9128U is based, and the ETA 9129.</w:t>
      </w:r>
    </w:p>
    <w:p w:rsidR="00740E2F" w:rsidRDefault="00740E2F" w:rsidP="00DE0CD9">
      <w:pPr>
        <w:widowControl/>
      </w:pPr>
    </w:p>
    <w:p w:rsidR="00740E2F" w:rsidRDefault="00740E2F" w:rsidP="00DE0CD9">
      <w:pPr>
        <w:widowControl/>
      </w:pPr>
      <w:proofErr w:type="gramStart"/>
      <w:r>
        <w:t>A-</w:t>
      </w:r>
      <w:r w:rsidR="008069C8">
        <w:t>1</w:t>
      </w:r>
      <w:r w:rsidRPr="00330263">
        <w:t>.</w:t>
      </w:r>
      <w:proofErr w:type="gramEnd"/>
      <w:r w:rsidRPr="00330263">
        <w:t xml:space="preserve">  </w:t>
      </w:r>
      <w:proofErr w:type="gramStart"/>
      <w:r w:rsidRPr="008069C8">
        <w:rPr>
          <w:u w:val="single"/>
        </w:rPr>
        <w:t>Reasons for Data Collection</w:t>
      </w:r>
      <w:r>
        <w:t>.</w:t>
      </w:r>
      <w:proofErr w:type="gramEnd"/>
    </w:p>
    <w:p w:rsidR="00740E2F" w:rsidRDefault="00740E2F" w:rsidP="00DE0CD9">
      <w:pPr>
        <w:widowControl/>
      </w:pPr>
    </w:p>
    <w:p w:rsidR="00740E2F" w:rsidRDefault="00740E2F" w:rsidP="00DE0CD9">
      <w:pPr>
        <w:widowControl/>
      </w:pPr>
      <w:r>
        <w:t xml:space="preserve">DOL </w:t>
      </w:r>
      <w:r w:rsidR="00712CA4">
        <w:t xml:space="preserve">uses </w:t>
      </w:r>
      <w:r w:rsidR="007F368F">
        <w:t>the</w:t>
      </w:r>
      <w:r>
        <w:t xml:space="preserve"> information</w:t>
      </w:r>
      <w:r w:rsidR="007F368F">
        <w:t xml:space="preserve"> collected in ETA 9128 and ETA 9129</w:t>
      </w:r>
      <w:r>
        <w:t xml:space="preserve"> 1) to evaluate state performance in terms of service delivery; and 2) to </w:t>
      </w:r>
      <w:r w:rsidR="00D862E8">
        <w:t>report on the REAs, including</w:t>
      </w:r>
      <w:r>
        <w:t xml:space="preserve"> </w:t>
      </w:r>
      <w:r w:rsidRPr="00740E2F">
        <w:t>the number of scheduled in-person reemployment and eligibility assessments, the number of individuals who failed to appear for scheduled assessments, actions taken as a result of individuals not appearing for an assessment (e.g., benefits terminated)</w:t>
      </w:r>
      <w:r w:rsidR="003B62BB">
        <w:t>,</w:t>
      </w:r>
      <w:r w:rsidRPr="00740E2F">
        <w:t xml:space="preserve"> results of assessments (e.g., referred to reemployment services, found in compliance with program requirements), estimated savings resulting from cessation of benefits, and estimated savings as a result of accelerated reemployment</w:t>
      </w:r>
      <w:r w:rsidR="003B62BB">
        <w:t>.</w:t>
      </w:r>
      <w:r w:rsidRPr="00740E2F">
        <w:t xml:space="preserve"> </w:t>
      </w:r>
    </w:p>
    <w:p w:rsidR="007F368F" w:rsidRDefault="007F368F" w:rsidP="00DE0CD9">
      <w:pPr>
        <w:widowControl/>
      </w:pPr>
    </w:p>
    <w:p w:rsidR="007F368F" w:rsidRPr="00740E2F" w:rsidRDefault="007F368F" w:rsidP="007F368F">
      <w:pPr>
        <w:widowControl/>
      </w:pPr>
      <w:r>
        <w:t xml:space="preserve">ETA 9128U, required by PL 112-96, </w:t>
      </w:r>
      <w:r w:rsidR="00BB753A">
        <w:t xml:space="preserve">is used </w:t>
      </w:r>
      <w:r>
        <w:t xml:space="preserve">1) to evaluate state performance in terms of service delivery; and 2) to report on the REAs, including </w:t>
      </w:r>
      <w:r w:rsidRPr="00740E2F">
        <w:t>the number of scheduled in-person reemployment and eligibility assessments, the number of individuals who failed to appear for scheduled assessments, actions taken as a result of individuals not appearing for an assessment (e.g., benefits terminated)</w:t>
      </w:r>
      <w:r>
        <w:t>,</w:t>
      </w:r>
      <w:r w:rsidRPr="00740E2F">
        <w:t xml:space="preserve"> results of assessments (e.g., referred to reemployment services, found </w:t>
      </w:r>
      <w:r w:rsidRPr="00740E2F">
        <w:lastRenderedPageBreak/>
        <w:t>in compliance with program requirements), estimated savings resulting from cessation of benefits, and estimated savings as a result of accelerated reemployment</w:t>
      </w:r>
      <w:r>
        <w:t>.</w:t>
      </w:r>
      <w:r w:rsidRPr="00740E2F">
        <w:t xml:space="preserve"> </w:t>
      </w:r>
    </w:p>
    <w:p w:rsidR="007F368F" w:rsidRDefault="007F368F" w:rsidP="007F368F">
      <w:pPr>
        <w:widowControl/>
      </w:pPr>
    </w:p>
    <w:p w:rsidR="00740E2F" w:rsidRDefault="00740E2F">
      <w:pPr>
        <w:widowControl/>
      </w:pPr>
      <w:proofErr w:type="gramStart"/>
      <w:r>
        <w:t>A-2.</w:t>
      </w:r>
      <w:proofErr w:type="gramEnd"/>
      <w:r>
        <w:t xml:space="preserve">  </w:t>
      </w:r>
      <w:proofErr w:type="gramStart"/>
      <w:r w:rsidRPr="008069C8">
        <w:rPr>
          <w:u w:val="single"/>
        </w:rPr>
        <w:t>Users, Purposes, and Consequences of Failure to Collect the Information</w:t>
      </w:r>
      <w:r>
        <w:t>.</w:t>
      </w:r>
      <w:proofErr w:type="gramEnd"/>
    </w:p>
    <w:p w:rsidR="00740E2F" w:rsidRDefault="00740E2F">
      <w:pPr>
        <w:widowControl/>
      </w:pPr>
    </w:p>
    <w:p w:rsidR="00D93371" w:rsidRDefault="003D446C">
      <w:pPr>
        <w:widowControl/>
      </w:pPr>
      <w:r>
        <w:t>D</w:t>
      </w:r>
      <w:r w:rsidR="006E25AA">
        <w:t>ata on REA workload counts</w:t>
      </w:r>
      <w:r w:rsidR="00330263">
        <w:t xml:space="preserve"> and outcomes</w:t>
      </w:r>
      <w:r>
        <w:t xml:space="preserve"> </w:t>
      </w:r>
      <w:r w:rsidR="00330263">
        <w:t xml:space="preserve">include counts of </w:t>
      </w:r>
      <w:r w:rsidR="006E25AA">
        <w:t xml:space="preserve">claimant participation, </w:t>
      </w:r>
      <w:r w:rsidR="00330263">
        <w:t xml:space="preserve">disqualifications, overpayments, </w:t>
      </w:r>
      <w:r w:rsidR="006E25AA">
        <w:t xml:space="preserve">reemployment service referrals, average duration of claimant benefits.  ETA wants to foster </w:t>
      </w:r>
      <w:r w:rsidR="00AC04E2">
        <w:t xml:space="preserve">unemployment insurance claimant </w:t>
      </w:r>
      <w:r w:rsidR="006E25AA">
        <w:t xml:space="preserve">linkages to One-Stop Career Centers </w:t>
      </w:r>
      <w:r w:rsidR="00330263">
        <w:t>so that</w:t>
      </w:r>
      <w:r w:rsidR="006E25AA">
        <w:t xml:space="preserve"> claimants </w:t>
      </w:r>
      <w:r w:rsidR="00330263">
        <w:t xml:space="preserve">are afforded the opportunity to </w:t>
      </w:r>
      <w:r w:rsidR="006E25AA">
        <w:t xml:space="preserve">be familiar with </w:t>
      </w:r>
      <w:r w:rsidR="00330263">
        <w:t xml:space="preserve">and take advantage of </w:t>
      </w:r>
      <w:r w:rsidR="006E25AA">
        <w:t xml:space="preserve">the array of </w:t>
      </w:r>
      <w:r w:rsidR="00330263">
        <w:t xml:space="preserve">available </w:t>
      </w:r>
      <w:r w:rsidR="006E25AA">
        <w:t>reemployment services.  Concurrently</w:t>
      </w:r>
      <w:r w:rsidR="00775F46">
        <w:t>,</w:t>
      </w:r>
      <w:r w:rsidR="006E25AA">
        <w:t xml:space="preserve"> SWAs </w:t>
      </w:r>
      <w:r w:rsidR="00A727B3">
        <w:t>are</w:t>
      </w:r>
      <w:r w:rsidR="006E25AA">
        <w:t xml:space="preserve"> afforded the opportunity to assess the claimant’s eligibility</w:t>
      </w:r>
      <w:r w:rsidR="003B62BB">
        <w:t>,</w:t>
      </w:r>
      <w:r w:rsidR="006E25AA">
        <w:t xml:space="preserve"> develop a service plan appropriate for each individual claimant and to provide </w:t>
      </w:r>
      <w:r w:rsidR="003B62BB">
        <w:t>l</w:t>
      </w:r>
      <w:r w:rsidR="006E25AA">
        <w:t xml:space="preserve">abor </w:t>
      </w:r>
      <w:r w:rsidR="003B62BB">
        <w:t>m</w:t>
      </w:r>
      <w:r w:rsidR="006E25AA">
        <w:t xml:space="preserve">arket </w:t>
      </w:r>
      <w:r w:rsidR="003B62BB">
        <w:t>i</w:t>
      </w:r>
      <w:r w:rsidR="006E25AA">
        <w:t xml:space="preserve">nformation geared towards the individual needs of the claimant.  </w:t>
      </w:r>
      <w:r w:rsidR="00D93371">
        <w:t xml:space="preserve">States have broad authority to establish eligibility requirements that are appropriate for the labor markets they serve.  The REA program has been established to </w:t>
      </w:r>
      <w:r w:rsidR="00122848">
        <w:t xml:space="preserve">promote </w:t>
      </w:r>
      <w:r w:rsidR="00D93371">
        <w:t>thorough assessment</w:t>
      </w:r>
      <w:r w:rsidR="00122848">
        <w:t>s</w:t>
      </w:r>
      <w:r w:rsidR="00D93371">
        <w:t xml:space="preserve"> of claimants</w:t>
      </w:r>
      <w:r w:rsidR="00122848">
        <w:t>’</w:t>
      </w:r>
      <w:r w:rsidR="00D93371">
        <w:t xml:space="preserve"> eligibility which </w:t>
      </w:r>
      <w:r w:rsidR="00122848">
        <w:t>continues to be challenging especially with the advent of telephone and Internet initial claims systems</w:t>
      </w:r>
      <w:r w:rsidR="00D93371">
        <w:t xml:space="preserve">.  Some studies have shown that </w:t>
      </w:r>
      <w:r w:rsidR="003B62BB">
        <w:t>often</w:t>
      </w:r>
      <w:r w:rsidR="00D93371">
        <w:t xml:space="preserve"> claimants who are called into a One-Stop</w:t>
      </w:r>
      <w:r w:rsidR="006923A7">
        <w:t xml:space="preserve"> Career Center for services</w:t>
      </w:r>
      <w:r w:rsidR="00D93371">
        <w:t xml:space="preserve"> cease drawing benefits.  The REA program provide</w:t>
      </w:r>
      <w:r w:rsidR="006923A7">
        <w:t>s</w:t>
      </w:r>
      <w:r w:rsidR="00D93371">
        <w:t xml:space="preserve"> </w:t>
      </w:r>
      <w:r w:rsidR="006923A7">
        <w:t xml:space="preserve">the </w:t>
      </w:r>
      <w:r w:rsidR="00D93371">
        <w:t xml:space="preserve">specific data </w:t>
      </w:r>
      <w:r w:rsidR="006923A7">
        <w:t xml:space="preserve">required </w:t>
      </w:r>
      <w:r w:rsidR="00D93371">
        <w:t xml:space="preserve">to </w:t>
      </w:r>
      <w:r w:rsidR="00E70109">
        <w:t xml:space="preserve">monitor this </w:t>
      </w:r>
      <w:r w:rsidR="00D93371">
        <w:t>premise</w:t>
      </w:r>
      <w:r w:rsidR="00B8043C">
        <w:t xml:space="preserve"> and to address </w:t>
      </w:r>
      <w:r w:rsidR="00FA78EC">
        <w:t xml:space="preserve">any </w:t>
      </w:r>
      <w:r w:rsidR="00B8043C">
        <w:t xml:space="preserve">policy changes needed to </w:t>
      </w:r>
      <w:r w:rsidR="00FA78EC">
        <w:t>harmonize</w:t>
      </w:r>
      <w:r w:rsidR="00B8043C">
        <w:t xml:space="preserve"> </w:t>
      </w:r>
      <w:r w:rsidR="00FA78EC">
        <w:t>One-Stop Career Center services with clients’ benefit eligibility</w:t>
      </w:r>
      <w:r w:rsidR="00D93371">
        <w:t>.</w:t>
      </w:r>
    </w:p>
    <w:p w:rsidR="00C35832" w:rsidRDefault="00C35832">
      <w:pPr>
        <w:widowControl/>
      </w:pPr>
    </w:p>
    <w:p w:rsidR="00C35832" w:rsidRDefault="00C35832" w:rsidP="00C35832">
      <w:pPr>
        <w:widowControl/>
      </w:pPr>
      <w:r>
        <w:t>Data collected from the existing REA program on workload counts and outcomes include counts of claimant participation, disqualifications, overpayments, reemployment service referrals, average duration of claimant benefits.  ETA wants to foster unemployment insurance claimant linkages to One-Stop Career Centers so that claimants are afforded the opportunity to be familiar with and take advantage of the array of available reemployment services.  Concurrently, SWAs are afforded the opportunity to assess the claimant’s eligibility, develop a service plan appropriate for each individual claimant and to provide labor market information geared towards the individual needs of the claimant.  States have broad authority to establish eligibility requirements that are appropriate for the labor markets they serve.  The REA program has been established to promote thorough assessments of claimants’ eligibility which continues to be challenging especially with the advent of telephone and Internet initial claims systems.  Some studies have shown that often claimants who are called into a One-Stop Career Center for services cease drawing benefits.  The REA program provides the specific data required to monitor this premise and to address any policy changes needed to harmonize One-Stop Career Center services with clients’ benefit eligibility.  The data also provides a basis on which to answer questions from congress, which mandated the program, and offer the public data on the extent of reemployment services provided to claimants.</w:t>
      </w:r>
    </w:p>
    <w:p w:rsidR="00C35832" w:rsidRDefault="00C35832" w:rsidP="00C35832">
      <w:pPr>
        <w:widowControl/>
      </w:pPr>
    </w:p>
    <w:p w:rsidR="00C35832" w:rsidRDefault="00C35832" w:rsidP="00C35832">
      <w:pPr>
        <w:widowControl/>
      </w:pPr>
      <w:r>
        <w:t xml:space="preserve">The data on ETA 9128U  is specific to REAs that are performed on EUC claimants so </w:t>
      </w:r>
      <w:r w:rsidR="00BB753A">
        <w:t xml:space="preserve">that </w:t>
      </w:r>
      <w:r>
        <w:t xml:space="preserve">questions about services provided and eligibility status of these claimants </w:t>
      </w:r>
      <w:r w:rsidR="00BB753A">
        <w:t xml:space="preserve">can be </w:t>
      </w:r>
      <w:r>
        <w:t>answered from data collected on this instrument.</w:t>
      </w:r>
    </w:p>
    <w:p w:rsidR="00D93371" w:rsidRDefault="00D93371">
      <w:pPr>
        <w:widowControl/>
      </w:pPr>
    </w:p>
    <w:p w:rsidR="008D2B55" w:rsidRDefault="008D2B55">
      <w:pPr>
        <w:widowControl/>
      </w:pPr>
    </w:p>
    <w:p w:rsidR="008069C8" w:rsidRDefault="00D93371" w:rsidP="00E77537">
      <w:pPr>
        <w:widowControl/>
        <w:tabs>
          <w:tab w:val="left" w:pos="-1440"/>
        </w:tabs>
      </w:pPr>
      <w:proofErr w:type="gramStart"/>
      <w:r>
        <w:t>A-3.</w:t>
      </w:r>
      <w:proofErr w:type="gramEnd"/>
      <w:r>
        <w:t xml:space="preserve">  </w:t>
      </w:r>
      <w:proofErr w:type="gramStart"/>
      <w:r w:rsidRPr="008069C8">
        <w:rPr>
          <w:u w:val="single"/>
        </w:rPr>
        <w:t>Technology and Obstacles Affecting Reporting Burden</w:t>
      </w:r>
      <w:r>
        <w:t>.</w:t>
      </w:r>
      <w:proofErr w:type="gramEnd"/>
    </w:p>
    <w:p w:rsidR="008069C8" w:rsidRDefault="008069C8" w:rsidP="00E77537">
      <w:pPr>
        <w:widowControl/>
        <w:tabs>
          <w:tab w:val="left" w:pos="-1440"/>
        </w:tabs>
      </w:pPr>
    </w:p>
    <w:p w:rsidR="008069C8" w:rsidRDefault="00115BDB" w:rsidP="00E77537">
      <w:pPr>
        <w:widowControl/>
        <w:tabs>
          <w:tab w:val="left" w:pos="-1440"/>
        </w:tabs>
      </w:pPr>
      <w:r>
        <w:t xml:space="preserve">This </w:t>
      </w:r>
      <w:r w:rsidR="008069C8">
        <w:t xml:space="preserve">data reporting requirement uses automated procedures for data collection, transmission, and analysis that utilize state and federal information processing technology.  </w:t>
      </w:r>
      <w:r w:rsidR="00722A5A" w:rsidRPr="005B7E0A">
        <w:t>USDOL provides computers to eac</w:t>
      </w:r>
      <w:r w:rsidR="00722A5A" w:rsidRPr="005B7E0A">
        <w:rPr>
          <w:color w:val="000080"/>
        </w:rPr>
        <w:t>h</w:t>
      </w:r>
      <w:r w:rsidR="00722A5A" w:rsidRPr="005B7E0A">
        <w:t xml:space="preserve"> state and jurisdict</w:t>
      </w:r>
      <w:r w:rsidR="00722A5A" w:rsidRPr="005B7E0A">
        <w:rPr>
          <w:color w:val="000080"/>
        </w:rPr>
        <w:t>i</w:t>
      </w:r>
      <w:r w:rsidR="00722A5A" w:rsidRPr="005B7E0A">
        <w:t xml:space="preserve">on along with </w:t>
      </w:r>
      <w:r w:rsidR="00722A5A">
        <w:t>r</w:t>
      </w:r>
      <w:r w:rsidR="00722A5A" w:rsidRPr="005B7E0A">
        <w:t xml:space="preserve">eporting software and a proprietary network to use to transmit data to the computers at the </w:t>
      </w:r>
      <w:r w:rsidR="00722A5A">
        <w:t>US</w:t>
      </w:r>
      <w:r w:rsidR="00722A5A" w:rsidRPr="005B7E0A">
        <w:rPr>
          <w:color w:val="000000"/>
        </w:rPr>
        <w:t>DOL</w:t>
      </w:r>
      <w:r w:rsidR="00722A5A" w:rsidRPr="005B7E0A">
        <w:rPr>
          <w:color w:val="000080"/>
        </w:rPr>
        <w:t xml:space="preserve"> </w:t>
      </w:r>
      <w:r w:rsidR="00722A5A" w:rsidRPr="005B7E0A">
        <w:rPr>
          <w:color w:val="000000"/>
        </w:rPr>
        <w:t>N</w:t>
      </w:r>
      <w:r w:rsidR="00722A5A" w:rsidRPr="005B7E0A">
        <w:t xml:space="preserve">ational </w:t>
      </w:r>
      <w:r w:rsidR="00722A5A" w:rsidRPr="005B7E0A">
        <w:rPr>
          <w:color w:val="000000"/>
        </w:rPr>
        <w:t>O</w:t>
      </w:r>
      <w:r w:rsidR="00722A5A" w:rsidRPr="005B7E0A">
        <w:t xml:space="preserve">ffice.  </w:t>
      </w:r>
    </w:p>
    <w:p w:rsidR="00722A5A" w:rsidRDefault="00722A5A" w:rsidP="00E77537">
      <w:pPr>
        <w:widowControl/>
        <w:tabs>
          <w:tab w:val="left" w:pos="-1440"/>
        </w:tabs>
      </w:pPr>
    </w:p>
    <w:p w:rsidR="008069C8" w:rsidRDefault="008069C8" w:rsidP="008069C8">
      <w:pPr>
        <w:widowControl/>
        <w:tabs>
          <w:tab w:val="left" w:pos="-1440"/>
        </w:tabs>
      </w:pPr>
      <w:proofErr w:type="gramStart"/>
      <w:r>
        <w:t>A-4.</w:t>
      </w:r>
      <w:proofErr w:type="gramEnd"/>
      <w:r>
        <w:t xml:space="preserve">  </w:t>
      </w:r>
      <w:proofErr w:type="gramStart"/>
      <w:r w:rsidRPr="008069C8">
        <w:rPr>
          <w:u w:val="single"/>
        </w:rPr>
        <w:t>Duplication</w:t>
      </w:r>
      <w:r>
        <w:t>.</w:t>
      </w:r>
      <w:proofErr w:type="gramEnd"/>
    </w:p>
    <w:p w:rsidR="008069C8" w:rsidRDefault="008069C8" w:rsidP="008069C8">
      <w:pPr>
        <w:widowControl/>
        <w:tabs>
          <w:tab w:val="left" w:pos="-1440"/>
        </w:tabs>
      </w:pPr>
    </w:p>
    <w:p w:rsidR="00F61ACC" w:rsidRDefault="00BB753A" w:rsidP="00F61ACC">
      <w:pPr>
        <w:widowControl/>
        <w:tabs>
          <w:tab w:val="left" w:pos="-1440"/>
        </w:tabs>
      </w:pPr>
      <w:r>
        <w:t>There is no duplication.</w:t>
      </w:r>
    </w:p>
    <w:p w:rsidR="00A61C40" w:rsidRDefault="00A61C40" w:rsidP="008069C8">
      <w:pPr>
        <w:widowControl/>
        <w:tabs>
          <w:tab w:val="left" w:pos="-1440"/>
        </w:tabs>
      </w:pPr>
    </w:p>
    <w:p w:rsidR="008069C8" w:rsidRDefault="008069C8">
      <w:pPr>
        <w:widowControl/>
      </w:pPr>
      <w:proofErr w:type="gramStart"/>
      <w:r>
        <w:t>A-</w:t>
      </w:r>
      <w:r w:rsidR="00A61C40">
        <w:t>5.</w:t>
      </w:r>
      <w:proofErr w:type="gramEnd"/>
      <w:r w:rsidR="00A61C40">
        <w:t xml:space="preserve">  </w:t>
      </w:r>
      <w:proofErr w:type="gramStart"/>
      <w:r w:rsidR="00A61C40">
        <w:rPr>
          <w:u w:val="single"/>
        </w:rPr>
        <w:t>Small Business</w:t>
      </w:r>
      <w:r w:rsidR="00A61C40">
        <w:t>.</w:t>
      </w:r>
      <w:proofErr w:type="gramEnd"/>
    </w:p>
    <w:p w:rsidR="008069C8" w:rsidRDefault="008069C8">
      <w:pPr>
        <w:widowControl/>
      </w:pPr>
    </w:p>
    <w:p w:rsidR="00A61C40" w:rsidRDefault="00A61C40">
      <w:pPr>
        <w:widowControl/>
      </w:pPr>
      <w:r>
        <w:t>This collection does not impact small businesses.</w:t>
      </w:r>
    </w:p>
    <w:p w:rsidR="00A61C40" w:rsidRDefault="00A61C40">
      <w:pPr>
        <w:widowControl/>
      </w:pPr>
    </w:p>
    <w:p w:rsidR="008069C8" w:rsidRDefault="008069C8">
      <w:pPr>
        <w:widowControl/>
      </w:pPr>
      <w:r>
        <w:t xml:space="preserve">A- </w:t>
      </w:r>
      <w:r w:rsidR="00A61C40">
        <w:t xml:space="preserve">6.  </w:t>
      </w:r>
      <w:r w:rsidR="00E94AAF">
        <w:tab/>
      </w:r>
      <w:proofErr w:type="gramStart"/>
      <w:r w:rsidR="00A61C40">
        <w:rPr>
          <w:u w:val="single"/>
        </w:rPr>
        <w:t xml:space="preserve">Consequences of Less Frequent </w:t>
      </w:r>
      <w:r>
        <w:rPr>
          <w:u w:val="single"/>
        </w:rPr>
        <w:t xml:space="preserve">Data </w:t>
      </w:r>
      <w:r w:rsidR="00A61C40">
        <w:rPr>
          <w:u w:val="single"/>
        </w:rPr>
        <w:t>Collection</w:t>
      </w:r>
      <w:r w:rsidR="00A61C40">
        <w:t>.</w:t>
      </w:r>
      <w:proofErr w:type="gramEnd"/>
    </w:p>
    <w:p w:rsidR="008069C8" w:rsidRDefault="008069C8">
      <w:pPr>
        <w:widowControl/>
      </w:pPr>
    </w:p>
    <w:p w:rsidR="00A61C40" w:rsidRDefault="00A61C40">
      <w:pPr>
        <w:widowControl/>
      </w:pPr>
      <w:r>
        <w:t>Collecting this information less frequently w</w:t>
      </w:r>
      <w:r w:rsidR="00E509A8">
        <w:t>ould</w:t>
      </w:r>
      <w:r>
        <w:t xml:space="preserve"> not allow for </w:t>
      </w:r>
      <w:r w:rsidR="00122848">
        <w:t xml:space="preserve">adequate </w:t>
      </w:r>
      <w:r>
        <w:t xml:space="preserve">monitoring changes or evaluation of the impact of </w:t>
      </w:r>
      <w:r w:rsidR="008069C8">
        <w:t>the reemployment and eligibility assessments.  Because state wage records are sub</w:t>
      </w:r>
      <w:r w:rsidR="0078769A">
        <w:t>m</w:t>
      </w:r>
      <w:r w:rsidR="008069C8">
        <w:t>itted quarterly and SWAs already report workload counts to ETA each month</w:t>
      </w:r>
      <w:r w:rsidR="003B62BB">
        <w:t>,</w:t>
      </w:r>
      <w:r w:rsidR="008069C8">
        <w:t xml:space="preserve"> collecting </w:t>
      </w:r>
      <w:r w:rsidR="0088080F">
        <w:t xml:space="preserve">this data less frequently would </w:t>
      </w:r>
      <w:r w:rsidR="006350BD">
        <w:t xml:space="preserve">not </w:t>
      </w:r>
      <w:r w:rsidR="0088080F">
        <w:t>materially diminish the burden of this data collection</w:t>
      </w:r>
      <w:r w:rsidR="00E30C9B">
        <w:t xml:space="preserve"> initiative</w:t>
      </w:r>
      <w:r w:rsidR="0088080F">
        <w:t>.</w:t>
      </w:r>
    </w:p>
    <w:p w:rsidR="00A61C40" w:rsidRDefault="00A61C40">
      <w:pPr>
        <w:widowControl/>
      </w:pPr>
    </w:p>
    <w:p w:rsidR="00335659" w:rsidRDefault="0088080F">
      <w:pPr>
        <w:widowControl/>
      </w:pPr>
      <w:proofErr w:type="gramStart"/>
      <w:r>
        <w:t>A-</w:t>
      </w:r>
      <w:r w:rsidR="00A61C40">
        <w:t>7.</w:t>
      </w:r>
      <w:proofErr w:type="gramEnd"/>
      <w:r w:rsidR="00A61C40">
        <w:t xml:space="preserve">  </w:t>
      </w:r>
      <w:r w:rsidR="00247793" w:rsidRPr="00247793">
        <w:rPr>
          <w:u w:val="single"/>
        </w:rPr>
        <w:t xml:space="preserve">Special Circumstances Involved in Collection </w:t>
      </w:r>
      <w:proofErr w:type="gramStart"/>
      <w:r w:rsidR="00247793" w:rsidRPr="00247793">
        <w:rPr>
          <w:u w:val="single"/>
        </w:rPr>
        <w:t xml:space="preserve">of </w:t>
      </w:r>
      <w:r w:rsidR="00921F1D">
        <w:rPr>
          <w:u w:val="single"/>
        </w:rPr>
        <w:t xml:space="preserve"> </w:t>
      </w:r>
      <w:r w:rsidR="00247793" w:rsidRPr="00247793">
        <w:rPr>
          <w:u w:val="single"/>
        </w:rPr>
        <w:t>Data</w:t>
      </w:r>
      <w:proofErr w:type="gramEnd"/>
      <w:r w:rsidR="00A61C40">
        <w:t xml:space="preserve">.  </w:t>
      </w:r>
    </w:p>
    <w:p w:rsidR="00335659" w:rsidRDefault="00335659">
      <w:pPr>
        <w:widowControl/>
      </w:pPr>
    </w:p>
    <w:p w:rsidR="00A61C40" w:rsidRDefault="00C42778">
      <w:pPr>
        <w:widowControl/>
      </w:pPr>
      <w:r>
        <w:t xml:space="preserve">Some </w:t>
      </w:r>
      <w:r w:rsidR="00247793">
        <w:t>of th</w:t>
      </w:r>
      <w:r>
        <w:t>e</w:t>
      </w:r>
      <w:r w:rsidR="00247793">
        <w:t xml:space="preserve"> proposed data </w:t>
      </w:r>
      <w:r>
        <w:t xml:space="preserve">elements </w:t>
      </w:r>
      <w:r w:rsidR="00247793">
        <w:t xml:space="preserve">are currently collected by SWAs.  The proposed data collection </w:t>
      </w:r>
      <w:r w:rsidR="002C64A4">
        <w:t>requires</w:t>
      </w:r>
      <w:r w:rsidR="00247793">
        <w:t xml:space="preserve"> initial programming to produce </w:t>
      </w:r>
      <w:r w:rsidR="002C64A4">
        <w:t>the specified quarterly reports</w:t>
      </w:r>
      <w:r w:rsidR="00247793">
        <w:t>.  This request contains no other special circumstances.</w:t>
      </w:r>
      <w:r w:rsidR="00921F1D">
        <w:t xml:space="preserve">  The timing</w:t>
      </w:r>
      <w:r w:rsidR="00E02525">
        <w:t xml:space="preserve"> of the data collection</w:t>
      </w:r>
      <w:r w:rsidR="00921F1D">
        <w:t xml:space="preserve"> allow</w:t>
      </w:r>
      <w:r w:rsidR="00E02525">
        <w:t>s</w:t>
      </w:r>
      <w:r w:rsidR="00921F1D">
        <w:t xml:space="preserve"> for the submission of workload counts one year in advance of the submission of outcomes data. </w:t>
      </w:r>
    </w:p>
    <w:p w:rsidR="00A61C40" w:rsidRDefault="00A61C40">
      <w:pPr>
        <w:widowControl/>
      </w:pPr>
    </w:p>
    <w:p w:rsidR="0088080F" w:rsidRDefault="0088080F">
      <w:pPr>
        <w:widowControl/>
      </w:pPr>
      <w:proofErr w:type="gramStart"/>
      <w:r>
        <w:t>A-</w:t>
      </w:r>
      <w:r w:rsidR="00A61C40">
        <w:t>8.</w:t>
      </w:r>
      <w:proofErr w:type="gramEnd"/>
      <w:r w:rsidR="00A61C40">
        <w:t xml:space="preserve"> </w:t>
      </w:r>
      <w:r w:rsidRPr="00143A96">
        <w:t xml:space="preserve"> </w:t>
      </w:r>
      <w:proofErr w:type="gramStart"/>
      <w:r w:rsidRPr="00143A96">
        <w:rPr>
          <w:u w:val="single"/>
        </w:rPr>
        <w:t>Preclearance</w:t>
      </w:r>
      <w:r w:rsidRPr="0088080F">
        <w:rPr>
          <w:u w:val="single"/>
        </w:rPr>
        <w:t xml:space="preserve"> Notices and Responses</w:t>
      </w:r>
      <w:r>
        <w:t>.</w:t>
      </w:r>
      <w:proofErr w:type="gramEnd"/>
    </w:p>
    <w:p w:rsidR="0088080F" w:rsidRDefault="0088080F">
      <w:pPr>
        <w:widowControl/>
      </w:pPr>
    </w:p>
    <w:p w:rsidR="008E0F10" w:rsidRPr="008E0F10" w:rsidRDefault="00A61C40" w:rsidP="008E0F10">
      <w:r w:rsidRPr="008E0F10">
        <w:t xml:space="preserve"> </w:t>
      </w:r>
      <w:r w:rsidR="00920641" w:rsidRPr="0076562B">
        <w:rPr>
          <w:rFonts w:cs="Courier New"/>
        </w:rPr>
        <w:t>In accordance with the Paperwork Reduction Act of 1995, the public was given an opportunity t</w:t>
      </w:r>
      <w:r w:rsidR="00920641">
        <w:rPr>
          <w:rFonts w:cs="Courier New"/>
        </w:rPr>
        <w:t>o review and comment through a notice in the</w:t>
      </w:r>
      <w:r w:rsidR="00920641" w:rsidRPr="0076562B">
        <w:rPr>
          <w:rFonts w:cs="Courier New"/>
        </w:rPr>
        <w:t xml:space="preserve"> </w:t>
      </w:r>
      <w:r w:rsidR="00920641" w:rsidRPr="00920641">
        <w:rPr>
          <w:rFonts w:cs="Courier New"/>
          <w:i/>
        </w:rPr>
        <w:t>Federal Register</w:t>
      </w:r>
      <w:r w:rsidR="00920641" w:rsidRPr="0076562B">
        <w:rPr>
          <w:rFonts w:cs="Courier New"/>
        </w:rPr>
        <w:t xml:space="preserve"> </w:t>
      </w:r>
      <w:r w:rsidR="00920641">
        <w:rPr>
          <w:rFonts w:cs="Courier New"/>
        </w:rPr>
        <w:t>on August 13, 2012 (Vol.</w:t>
      </w:r>
      <w:r w:rsidR="00920641" w:rsidRPr="0076562B">
        <w:rPr>
          <w:rFonts w:cs="Courier New"/>
        </w:rPr>
        <w:t xml:space="preserve"> </w:t>
      </w:r>
      <w:r w:rsidR="00920641">
        <w:rPr>
          <w:rFonts w:cs="Courier New"/>
        </w:rPr>
        <w:t xml:space="preserve">77. p 48172 </w:t>
      </w:r>
      <w:r w:rsidR="00920641" w:rsidRPr="00920641">
        <w:rPr>
          <w:rFonts w:cs="Courier New"/>
          <w:i/>
        </w:rPr>
        <w:t>et seq</w:t>
      </w:r>
      <w:r w:rsidR="00920641">
        <w:rPr>
          <w:rFonts w:cs="Courier New"/>
        </w:rPr>
        <w:t>).  No comments were received.</w:t>
      </w:r>
    </w:p>
    <w:p w:rsidR="0088080F" w:rsidRDefault="0088080F">
      <w:pPr>
        <w:widowControl/>
      </w:pPr>
    </w:p>
    <w:p w:rsidR="0088080F" w:rsidRDefault="0088080F">
      <w:pPr>
        <w:widowControl/>
        <w:tabs>
          <w:tab w:val="left" w:pos="-1440"/>
        </w:tabs>
      </w:pPr>
      <w:proofErr w:type="gramStart"/>
      <w:r>
        <w:t>A-</w:t>
      </w:r>
      <w:r w:rsidR="00A61C40">
        <w:t>9.</w:t>
      </w:r>
      <w:proofErr w:type="gramEnd"/>
      <w:r>
        <w:t xml:space="preserve">  </w:t>
      </w:r>
      <w:proofErr w:type="gramStart"/>
      <w:r w:rsidR="00A61C40">
        <w:rPr>
          <w:u w:val="single"/>
        </w:rPr>
        <w:t>Payment</w:t>
      </w:r>
      <w:r>
        <w:rPr>
          <w:u w:val="single"/>
        </w:rPr>
        <w:t>s to Respondents</w:t>
      </w:r>
      <w:r w:rsidR="00A61C40">
        <w:t>.</w:t>
      </w:r>
      <w:proofErr w:type="gramEnd"/>
    </w:p>
    <w:p w:rsidR="0088080F" w:rsidRDefault="0088080F">
      <w:pPr>
        <w:widowControl/>
        <w:tabs>
          <w:tab w:val="left" w:pos="-1440"/>
        </w:tabs>
      </w:pPr>
    </w:p>
    <w:p w:rsidR="00956FD6" w:rsidRDefault="00F90203">
      <w:pPr>
        <w:widowControl/>
        <w:tabs>
          <w:tab w:val="left" w:pos="-1440"/>
        </w:tabs>
      </w:pPr>
      <w:r>
        <w:t xml:space="preserve">No payments are made to respondents.  </w:t>
      </w:r>
    </w:p>
    <w:p w:rsidR="00F90203" w:rsidRDefault="00F90203">
      <w:pPr>
        <w:widowControl/>
        <w:tabs>
          <w:tab w:val="left" w:pos="-1440"/>
        </w:tabs>
      </w:pPr>
    </w:p>
    <w:p w:rsidR="008D2B55" w:rsidRDefault="008D2B55">
      <w:pPr>
        <w:widowControl/>
        <w:tabs>
          <w:tab w:val="left" w:pos="-1440"/>
        </w:tabs>
      </w:pPr>
    </w:p>
    <w:p w:rsidR="008D2B55" w:rsidRDefault="008D2B55">
      <w:pPr>
        <w:widowControl/>
        <w:tabs>
          <w:tab w:val="left" w:pos="-1440"/>
        </w:tabs>
      </w:pPr>
    </w:p>
    <w:p w:rsidR="008D2B55" w:rsidRDefault="008D2B55">
      <w:pPr>
        <w:widowControl/>
        <w:tabs>
          <w:tab w:val="left" w:pos="-1440"/>
        </w:tabs>
      </w:pPr>
    </w:p>
    <w:p w:rsidR="00956FD6" w:rsidRDefault="00956FD6">
      <w:pPr>
        <w:widowControl/>
        <w:tabs>
          <w:tab w:val="left" w:pos="-1440"/>
        </w:tabs>
      </w:pPr>
      <w:proofErr w:type="gramStart"/>
      <w:r>
        <w:t>A-</w:t>
      </w:r>
      <w:r w:rsidR="00A61C40">
        <w:t>10.</w:t>
      </w:r>
      <w:proofErr w:type="gramEnd"/>
      <w:r w:rsidR="00A61C40">
        <w:tab/>
      </w:r>
      <w:proofErr w:type="gramStart"/>
      <w:r w:rsidR="00A61C40">
        <w:rPr>
          <w:u w:val="single"/>
        </w:rPr>
        <w:t>Confidentiality</w:t>
      </w:r>
      <w:r w:rsidR="00A61C40">
        <w:t>.</w:t>
      </w:r>
      <w:proofErr w:type="gramEnd"/>
    </w:p>
    <w:p w:rsidR="00956FD6" w:rsidRDefault="00956FD6">
      <w:pPr>
        <w:widowControl/>
        <w:tabs>
          <w:tab w:val="left" w:pos="-1440"/>
        </w:tabs>
      </w:pPr>
    </w:p>
    <w:p w:rsidR="00A61C40" w:rsidRDefault="00C95C27">
      <w:pPr>
        <w:widowControl/>
        <w:tabs>
          <w:tab w:val="left" w:pos="-1440"/>
        </w:tabs>
      </w:pPr>
      <w:r>
        <w:lastRenderedPageBreak/>
        <w:t xml:space="preserve">There are no issues of confidentiality as no personal data on individual claimants is provided to ETA as part of this collection.  </w:t>
      </w:r>
      <w:r w:rsidR="00247793">
        <w:t xml:space="preserve">ETA maintains strict controls over the data gathered through the UI reporting system.  ETA </w:t>
      </w:r>
      <w:r>
        <w:t xml:space="preserve">does not receive any data on </w:t>
      </w:r>
      <w:r w:rsidR="00B46A2B">
        <w:t>individual claimant</w:t>
      </w:r>
      <w:r>
        <w:t>s</w:t>
      </w:r>
      <w:r w:rsidR="00B46A2B">
        <w:t xml:space="preserve"> from </w:t>
      </w:r>
      <w:r>
        <w:t xml:space="preserve">states at all as a requirement of </w:t>
      </w:r>
      <w:r w:rsidR="00B46A2B">
        <w:t>this</w:t>
      </w:r>
      <w:r w:rsidR="00247793">
        <w:t xml:space="preserve"> data collection.  </w:t>
      </w:r>
      <w:r w:rsidR="00C42778">
        <w:t>O</w:t>
      </w:r>
      <w:r w:rsidR="00247793">
        <w:t xml:space="preserve">nly aggregate data </w:t>
      </w:r>
      <w:r>
        <w:t xml:space="preserve">describing activity for all claimants are </w:t>
      </w:r>
      <w:r w:rsidR="00247793">
        <w:t xml:space="preserve">reported to DOL.  </w:t>
      </w:r>
    </w:p>
    <w:p w:rsidR="00A61C40" w:rsidRDefault="00A61C40">
      <w:pPr>
        <w:widowControl/>
      </w:pPr>
    </w:p>
    <w:p w:rsidR="00956FD6" w:rsidRDefault="00956FD6">
      <w:pPr>
        <w:widowControl/>
        <w:tabs>
          <w:tab w:val="left" w:pos="-1440"/>
        </w:tabs>
      </w:pPr>
      <w:proofErr w:type="gramStart"/>
      <w:r>
        <w:t>A-</w:t>
      </w:r>
      <w:r w:rsidR="00A61C40">
        <w:t>11.</w:t>
      </w:r>
      <w:proofErr w:type="gramEnd"/>
      <w:r w:rsidR="00A61C40">
        <w:tab/>
      </w:r>
      <w:proofErr w:type="gramStart"/>
      <w:r w:rsidR="00A61C40">
        <w:rPr>
          <w:u w:val="single"/>
        </w:rPr>
        <w:t>Questions of a Sensitive Nature</w:t>
      </w:r>
      <w:r w:rsidR="00A61C40">
        <w:t>.</w:t>
      </w:r>
      <w:proofErr w:type="gramEnd"/>
    </w:p>
    <w:p w:rsidR="00956FD6" w:rsidRDefault="00956FD6">
      <w:pPr>
        <w:widowControl/>
        <w:tabs>
          <w:tab w:val="left" w:pos="-1440"/>
        </w:tabs>
      </w:pPr>
    </w:p>
    <w:p w:rsidR="00A61C40" w:rsidRDefault="00CA2F92">
      <w:pPr>
        <w:widowControl/>
        <w:tabs>
          <w:tab w:val="left" w:pos="-1440"/>
        </w:tabs>
      </w:pPr>
      <w:r>
        <w:t>N</w:t>
      </w:r>
      <w:r w:rsidR="00956FD6">
        <w:t>o</w:t>
      </w:r>
      <w:r w:rsidR="00A61C40">
        <w:t xml:space="preserve"> questions of a sensitive nature</w:t>
      </w:r>
      <w:r>
        <w:t xml:space="preserve"> are included</w:t>
      </w:r>
      <w:r w:rsidR="00A61C40">
        <w:t>.</w:t>
      </w:r>
    </w:p>
    <w:p w:rsidR="00A61C40" w:rsidRDefault="00A61C40">
      <w:pPr>
        <w:widowControl/>
      </w:pPr>
    </w:p>
    <w:p w:rsidR="00956FD6" w:rsidRDefault="00956FD6">
      <w:pPr>
        <w:widowControl/>
      </w:pPr>
      <w:proofErr w:type="gramStart"/>
      <w:r>
        <w:t>A-</w:t>
      </w:r>
      <w:r w:rsidR="00A61C40">
        <w:t>12.</w:t>
      </w:r>
      <w:proofErr w:type="gramEnd"/>
      <w:r w:rsidR="00A61C40">
        <w:t xml:space="preserve">  </w:t>
      </w:r>
      <w:proofErr w:type="gramStart"/>
      <w:r w:rsidR="00A61C40">
        <w:rPr>
          <w:u w:val="single"/>
        </w:rPr>
        <w:t>Respondent</w:t>
      </w:r>
      <w:r>
        <w:rPr>
          <w:u w:val="single"/>
        </w:rPr>
        <w:t xml:space="preserve">s’ Burden and </w:t>
      </w:r>
      <w:r w:rsidR="00A61C40">
        <w:rPr>
          <w:u w:val="single"/>
        </w:rPr>
        <w:t>Cost</w:t>
      </w:r>
      <w:r>
        <w:rPr>
          <w:u w:val="single"/>
        </w:rPr>
        <w:t xml:space="preserve"> of Collecting Information</w:t>
      </w:r>
      <w:r w:rsidR="00A61C40">
        <w:t>.</w:t>
      </w:r>
      <w:proofErr w:type="gramEnd"/>
    </w:p>
    <w:p w:rsidR="00956FD6" w:rsidRDefault="00956FD6">
      <w:pPr>
        <w:widowControl/>
      </w:pPr>
    </w:p>
    <w:p w:rsidR="00335659" w:rsidRDefault="00335659" w:rsidP="00335659">
      <w:pPr>
        <w:widowControl/>
      </w:pPr>
      <w:r>
        <w:t xml:space="preserve">The original submittal was made when the program was first begun and it was envisioned as something that eventually all 53 states and jurisdictions would participate in.  However, the funding is inadequate for this level of participation.  </w:t>
      </w:r>
      <w:r w:rsidR="008719EB">
        <w:t xml:space="preserve">During </w:t>
      </w:r>
      <w:r w:rsidR="00C95C27">
        <w:t>Federal fiscal year 2013, 4</w:t>
      </w:r>
      <w:r w:rsidR="00F300FE">
        <w:t>2</w:t>
      </w:r>
      <w:r>
        <w:t xml:space="preserve"> states </w:t>
      </w:r>
      <w:r w:rsidR="00C95C27">
        <w:t xml:space="preserve">will be </w:t>
      </w:r>
      <w:r>
        <w:t>participating</w:t>
      </w:r>
      <w:r w:rsidR="00C95C27">
        <w:t xml:space="preserve"> in the REA program for regular </w:t>
      </w:r>
      <w:proofErr w:type="spellStart"/>
      <w:r w:rsidR="00C95C27">
        <w:t>progam</w:t>
      </w:r>
      <w:proofErr w:type="spellEnd"/>
      <w:r w:rsidR="00C95C27">
        <w:t xml:space="preserve"> claimants</w:t>
      </w:r>
      <w:r>
        <w:t>.</w:t>
      </w:r>
      <w:r w:rsidR="00C95C27">
        <w:t xml:space="preserve">  All states will be conducting REAs for claimants i</w:t>
      </w:r>
      <w:r w:rsidR="008719EB">
        <w:t>n</w:t>
      </w:r>
      <w:r w:rsidR="00C95C27">
        <w:t xml:space="preserve"> the Emergency Unemployment compensation program of 2008, consistent with the requirements of Public Law 112-96.</w:t>
      </w:r>
    </w:p>
    <w:p w:rsidR="00335659" w:rsidRDefault="00335659" w:rsidP="00335659">
      <w:pPr>
        <w:widowControl/>
      </w:pPr>
    </w:p>
    <w:p w:rsidR="00956FD6" w:rsidRDefault="00956FD6">
      <w:pPr>
        <w:widowControl/>
      </w:pPr>
      <w:r>
        <w:t xml:space="preserve">The total burden comprises SWA activities related to assembling automated record system files, conducting automated </w:t>
      </w:r>
      <w:proofErr w:type="spellStart"/>
      <w:r>
        <w:t>crossmatches</w:t>
      </w:r>
      <w:proofErr w:type="spellEnd"/>
      <w:r>
        <w:t xml:space="preserve"> of these files, and electronically reporting the results to DOL.  Estimates of the burden follow</w:t>
      </w:r>
      <w:r w:rsidR="002D1BFD">
        <w:t>, based on the fact that ETA awarded REA grants to</w:t>
      </w:r>
      <w:r w:rsidR="00E25283">
        <w:t xml:space="preserve"> states during fiscal year 20</w:t>
      </w:r>
      <w:r w:rsidR="00C0398D">
        <w:t>12</w:t>
      </w:r>
      <w:r w:rsidR="00E25283">
        <w:t xml:space="preserve">, </w:t>
      </w:r>
      <w:r w:rsidR="009D7AA8">
        <w:t>according to</w:t>
      </w:r>
      <w:r w:rsidR="00E25283">
        <w:t xml:space="preserve"> the availability of appropriated funds.</w:t>
      </w:r>
    </w:p>
    <w:p w:rsidR="00A61C40" w:rsidRDefault="00A61C40">
      <w:pPr>
        <w:widowControl/>
      </w:pPr>
    </w:p>
    <w:p w:rsidR="00335659" w:rsidRDefault="00335659" w:rsidP="00335659">
      <w:pPr>
        <w:widowControl/>
      </w:pPr>
      <w:r>
        <w:t xml:space="preserve">The new ETA 9128U </w:t>
      </w:r>
      <w:r w:rsidR="00BB753A">
        <w:t>has</w:t>
      </w:r>
      <w:r>
        <w:t xml:space="preserve"> 53 quarterly respondents because each state currently operates the EUC08 program, and all EUC08 first payments are subject to this requirement to provide REAs.  ETA estimates that it will take the same amount of time for states to complete the ETA 9128U as the ETA 9128 and the ETA 9129:  30 minutes, or .5 hours.</w:t>
      </w:r>
    </w:p>
    <w:p w:rsidR="00335659" w:rsidRDefault="00335659" w:rsidP="00335659">
      <w:pPr>
        <w:widowControl/>
      </w:pPr>
    </w:p>
    <w:tbl>
      <w:tblPr>
        <w:tblW w:w="7192" w:type="dxa"/>
        <w:tblInd w:w="93" w:type="dxa"/>
        <w:tblLook w:val="0000"/>
      </w:tblPr>
      <w:tblGrid>
        <w:gridCol w:w="3736"/>
        <w:gridCol w:w="1160"/>
        <w:gridCol w:w="1160"/>
        <w:gridCol w:w="1136"/>
      </w:tblGrid>
      <w:tr w:rsidR="00335659" w:rsidRPr="008D1B76" w:rsidTr="00ED3061">
        <w:trPr>
          <w:trHeight w:val="315"/>
        </w:trPr>
        <w:tc>
          <w:tcPr>
            <w:tcW w:w="3736" w:type="dxa"/>
            <w:tcBorders>
              <w:top w:val="nil"/>
              <w:left w:val="nil"/>
              <w:bottom w:val="nil"/>
              <w:right w:val="nil"/>
            </w:tcBorders>
            <w:shd w:val="clear" w:color="auto" w:fill="auto"/>
            <w:noWrap/>
            <w:vAlign w:val="bottom"/>
          </w:tcPr>
          <w:p w:rsidR="00335659" w:rsidRPr="008D1B76" w:rsidRDefault="00335659" w:rsidP="00ED3061">
            <w:pPr>
              <w:widowControl/>
              <w:autoSpaceDE/>
              <w:autoSpaceDN/>
              <w:adjustRightInd/>
            </w:pPr>
          </w:p>
        </w:tc>
        <w:tc>
          <w:tcPr>
            <w:tcW w:w="1160" w:type="dxa"/>
            <w:tcBorders>
              <w:top w:val="nil"/>
              <w:left w:val="nil"/>
              <w:bottom w:val="nil"/>
              <w:right w:val="nil"/>
            </w:tcBorders>
            <w:shd w:val="clear" w:color="auto" w:fill="auto"/>
            <w:noWrap/>
            <w:vAlign w:val="bottom"/>
          </w:tcPr>
          <w:p w:rsidR="00335659" w:rsidRPr="008D1B76" w:rsidRDefault="00335659" w:rsidP="00ED3061">
            <w:pPr>
              <w:widowControl/>
              <w:autoSpaceDE/>
              <w:autoSpaceDN/>
              <w:adjustRightInd/>
            </w:pPr>
            <w:r w:rsidRPr="008D1B76">
              <w:t>ETA 9128</w:t>
            </w:r>
          </w:p>
        </w:tc>
        <w:tc>
          <w:tcPr>
            <w:tcW w:w="1160" w:type="dxa"/>
            <w:tcBorders>
              <w:top w:val="nil"/>
              <w:left w:val="nil"/>
              <w:bottom w:val="nil"/>
              <w:right w:val="nil"/>
            </w:tcBorders>
            <w:shd w:val="clear" w:color="auto" w:fill="auto"/>
            <w:noWrap/>
            <w:vAlign w:val="bottom"/>
          </w:tcPr>
          <w:p w:rsidR="00335659" w:rsidRPr="008D1B76" w:rsidRDefault="00335659" w:rsidP="00ED3061">
            <w:pPr>
              <w:widowControl/>
              <w:autoSpaceDE/>
              <w:autoSpaceDN/>
              <w:adjustRightInd/>
            </w:pPr>
            <w:r w:rsidRPr="008D1B76">
              <w:t>ETA 9129</w:t>
            </w:r>
          </w:p>
        </w:tc>
        <w:tc>
          <w:tcPr>
            <w:tcW w:w="1136" w:type="dxa"/>
            <w:tcBorders>
              <w:top w:val="nil"/>
              <w:left w:val="nil"/>
              <w:bottom w:val="nil"/>
              <w:right w:val="nil"/>
            </w:tcBorders>
            <w:shd w:val="clear" w:color="auto" w:fill="auto"/>
            <w:noWrap/>
            <w:vAlign w:val="bottom"/>
          </w:tcPr>
          <w:p w:rsidR="00335659" w:rsidRPr="008D1B76" w:rsidRDefault="00335659" w:rsidP="00ED3061">
            <w:pPr>
              <w:widowControl/>
              <w:autoSpaceDE/>
              <w:autoSpaceDN/>
              <w:adjustRightInd/>
            </w:pPr>
            <w:r w:rsidRPr="008D1B76">
              <w:t>ETA 9128U</w:t>
            </w:r>
          </w:p>
        </w:tc>
      </w:tr>
      <w:tr w:rsidR="00335659" w:rsidRPr="008D1B76" w:rsidTr="00ED3061">
        <w:trPr>
          <w:trHeight w:val="315"/>
        </w:trPr>
        <w:tc>
          <w:tcPr>
            <w:tcW w:w="3736" w:type="dxa"/>
            <w:tcBorders>
              <w:top w:val="nil"/>
              <w:left w:val="nil"/>
              <w:bottom w:val="nil"/>
              <w:right w:val="nil"/>
            </w:tcBorders>
            <w:shd w:val="clear" w:color="auto" w:fill="auto"/>
            <w:noWrap/>
            <w:vAlign w:val="bottom"/>
          </w:tcPr>
          <w:p w:rsidR="00335659" w:rsidRPr="008D1B76" w:rsidRDefault="00335659" w:rsidP="00ED3061">
            <w:pPr>
              <w:widowControl/>
              <w:autoSpaceDE/>
              <w:autoSpaceDN/>
              <w:adjustRightInd/>
            </w:pPr>
            <w:r w:rsidRPr="008D1B76">
              <w:t xml:space="preserve">Frequency:  </w:t>
            </w:r>
          </w:p>
        </w:tc>
        <w:tc>
          <w:tcPr>
            <w:tcW w:w="1160" w:type="dxa"/>
            <w:tcBorders>
              <w:top w:val="nil"/>
              <w:left w:val="nil"/>
              <w:bottom w:val="nil"/>
              <w:right w:val="nil"/>
            </w:tcBorders>
            <w:shd w:val="clear" w:color="auto" w:fill="auto"/>
            <w:noWrap/>
            <w:vAlign w:val="bottom"/>
          </w:tcPr>
          <w:p w:rsidR="00335659" w:rsidRPr="008D1B76" w:rsidRDefault="00335659" w:rsidP="00ED3061">
            <w:pPr>
              <w:widowControl/>
              <w:autoSpaceDE/>
              <w:autoSpaceDN/>
              <w:adjustRightInd/>
            </w:pPr>
            <w:r w:rsidRPr="008D1B76">
              <w:t>Quarterly</w:t>
            </w:r>
          </w:p>
        </w:tc>
        <w:tc>
          <w:tcPr>
            <w:tcW w:w="1160" w:type="dxa"/>
            <w:tcBorders>
              <w:top w:val="nil"/>
              <w:left w:val="nil"/>
              <w:bottom w:val="nil"/>
              <w:right w:val="nil"/>
            </w:tcBorders>
            <w:shd w:val="clear" w:color="auto" w:fill="auto"/>
            <w:noWrap/>
            <w:vAlign w:val="bottom"/>
          </w:tcPr>
          <w:p w:rsidR="00335659" w:rsidRPr="008D1B76" w:rsidRDefault="00335659" w:rsidP="00ED3061">
            <w:pPr>
              <w:widowControl/>
              <w:autoSpaceDE/>
              <w:autoSpaceDN/>
              <w:adjustRightInd/>
            </w:pPr>
            <w:r w:rsidRPr="008D1B76">
              <w:t>Quarterly</w:t>
            </w:r>
          </w:p>
        </w:tc>
        <w:tc>
          <w:tcPr>
            <w:tcW w:w="1136" w:type="dxa"/>
            <w:tcBorders>
              <w:top w:val="nil"/>
              <w:left w:val="nil"/>
              <w:bottom w:val="nil"/>
              <w:right w:val="nil"/>
            </w:tcBorders>
            <w:shd w:val="clear" w:color="auto" w:fill="auto"/>
            <w:noWrap/>
            <w:vAlign w:val="bottom"/>
          </w:tcPr>
          <w:p w:rsidR="00335659" w:rsidRPr="008D1B76" w:rsidRDefault="00335659" w:rsidP="00ED3061">
            <w:pPr>
              <w:widowControl/>
              <w:autoSpaceDE/>
              <w:autoSpaceDN/>
              <w:adjustRightInd/>
            </w:pPr>
            <w:r w:rsidRPr="008D1B76">
              <w:t>Quarterly</w:t>
            </w:r>
          </w:p>
        </w:tc>
      </w:tr>
      <w:tr w:rsidR="00335659" w:rsidRPr="008D1B76" w:rsidTr="00ED3061">
        <w:trPr>
          <w:trHeight w:val="315"/>
        </w:trPr>
        <w:tc>
          <w:tcPr>
            <w:tcW w:w="3736" w:type="dxa"/>
            <w:tcBorders>
              <w:top w:val="nil"/>
              <w:left w:val="nil"/>
              <w:bottom w:val="nil"/>
              <w:right w:val="nil"/>
            </w:tcBorders>
            <w:shd w:val="clear" w:color="auto" w:fill="auto"/>
            <w:noWrap/>
            <w:vAlign w:val="bottom"/>
          </w:tcPr>
          <w:p w:rsidR="00335659" w:rsidRPr="008D1B76" w:rsidRDefault="00335659" w:rsidP="00ED3061">
            <w:pPr>
              <w:widowControl/>
              <w:autoSpaceDE/>
              <w:autoSpaceDN/>
              <w:adjustRightInd/>
            </w:pPr>
            <w:r w:rsidRPr="008D1B76">
              <w:t xml:space="preserve">Total Respondents: </w:t>
            </w:r>
          </w:p>
        </w:tc>
        <w:tc>
          <w:tcPr>
            <w:tcW w:w="1160" w:type="dxa"/>
            <w:tcBorders>
              <w:top w:val="nil"/>
              <w:left w:val="nil"/>
              <w:bottom w:val="nil"/>
              <w:right w:val="nil"/>
            </w:tcBorders>
            <w:shd w:val="clear" w:color="auto" w:fill="auto"/>
            <w:noWrap/>
            <w:vAlign w:val="bottom"/>
          </w:tcPr>
          <w:p w:rsidR="00335659" w:rsidRPr="008D1B76" w:rsidRDefault="007A6BB8" w:rsidP="00F300FE">
            <w:pPr>
              <w:widowControl/>
              <w:autoSpaceDE/>
              <w:autoSpaceDN/>
              <w:adjustRightInd/>
              <w:jc w:val="right"/>
            </w:pPr>
            <w:r>
              <w:t>4</w:t>
            </w:r>
            <w:r w:rsidR="00F300FE">
              <w:t>2</w:t>
            </w:r>
          </w:p>
        </w:tc>
        <w:tc>
          <w:tcPr>
            <w:tcW w:w="1160" w:type="dxa"/>
            <w:tcBorders>
              <w:top w:val="nil"/>
              <w:left w:val="nil"/>
              <w:bottom w:val="nil"/>
              <w:right w:val="nil"/>
            </w:tcBorders>
            <w:shd w:val="clear" w:color="auto" w:fill="auto"/>
            <w:noWrap/>
            <w:vAlign w:val="bottom"/>
          </w:tcPr>
          <w:p w:rsidR="00335659" w:rsidRPr="008D1B76" w:rsidRDefault="007A6BB8" w:rsidP="00F300FE">
            <w:pPr>
              <w:widowControl/>
              <w:autoSpaceDE/>
              <w:autoSpaceDN/>
              <w:adjustRightInd/>
              <w:jc w:val="right"/>
            </w:pPr>
            <w:r>
              <w:t>4</w:t>
            </w:r>
            <w:r w:rsidR="00F300FE">
              <w:t>2</w:t>
            </w:r>
          </w:p>
        </w:tc>
        <w:tc>
          <w:tcPr>
            <w:tcW w:w="1136" w:type="dxa"/>
            <w:tcBorders>
              <w:top w:val="nil"/>
              <w:left w:val="nil"/>
              <w:bottom w:val="nil"/>
              <w:right w:val="nil"/>
            </w:tcBorders>
            <w:shd w:val="clear" w:color="auto" w:fill="auto"/>
            <w:noWrap/>
            <w:vAlign w:val="bottom"/>
          </w:tcPr>
          <w:p w:rsidR="00335659" w:rsidRPr="008D1B76" w:rsidRDefault="00335659" w:rsidP="00ED3061">
            <w:pPr>
              <w:widowControl/>
              <w:autoSpaceDE/>
              <w:autoSpaceDN/>
              <w:adjustRightInd/>
              <w:jc w:val="right"/>
            </w:pPr>
            <w:r w:rsidRPr="008D1B76">
              <w:t>53</w:t>
            </w:r>
          </w:p>
        </w:tc>
      </w:tr>
      <w:tr w:rsidR="00335659" w:rsidRPr="008D1B76" w:rsidTr="00ED3061">
        <w:trPr>
          <w:trHeight w:val="315"/>
        </w:trPr>
        <w:tc>
          <w:tcPr>
            <w:tcW w:w="3736" w:type="dxa"/>
            <w:tcBorders>
              <w:top w:val="nil"/>
              <w:left w:val="nil"/>
              <w:bottom w:val="nil"/>
              <w:right w:val="nil"/>
            </w:tcBorders>
            <w:shd w:val="clear" w:color="auto" w:fill="auto"/>
            <w:noWrap/>
            <w:vAlign w:val="bottom"/>
          </w:tcPr>
          <w:p w:rsidR="00335659" w:rsidRPr="008D1B76" w:rsidRDefault="00335659" w:rsidP="00ED3061">
            <w:pPr>
              <w:widowControl/>
              <w:autoSpaceDE/>
              <w:autoSpaceDN/>
              <w:adjustRightInd/>
            </w:pPr>
            <w:r w:rsidRPr="008D1B76">
              <w:t xml:space="preserve">Total </w:t>
            </w:r>
            <w:r>
              <w:t xml:space="preserve">annual </w:t>
            </w:r>
            <w:r w:rsidR="00487305">
              <w:t xml:space="preserve">(quarterly) </w:t>
            </w:r>
            <w:r w:rsidRPr="008D1B76">
              <w:t xml:space="preserve">Responses: </w:t>
            </w:r>
          </w:p>
        </w:tc>
        <w:tc>
          <w:tcPr>
            <w:tcW w:w="1160" w:type="dxa"/>
            <w:tcBorders>
              <w:top w:val="nil"/>
              <w:left w:val="nil"/>
              <w:bottom w:val="nil"/>
              <w:right w:val="nil"/>
            </w:tcBorders>
            <w:shd w:val="clear" w:color="auto" w:fill="auto"/>
            <w:noWrap/>
            <w:vAlign w:val="bottom"/>
          </w:tcPr>
          <w:p w:rsidR="00335659" w:rsidRPr="008D1B76" w:rsidRDefault="00487305" w:rsidP="00ED3061">
            <w:pPr>
              <w:widowControl/>
              <w:autoSpaceDE/>
              <w:autoSpaceDN/>
              <w:adjustRightInd/>
              <w:jc w:val="right"/>
            </w:pPr>
            <w:r>
              <w:t>16</w:t>
            </w:r>
            <w:r w:rsidR="00F300FE">
              <w:t>8</w:t>
            </w:r>
          </w:p>
        </w:tc>
        <w:tc>
          <w:tcPr>
            <w:tcW w:w="1160" w:type="dxa"/>
            <w:tcBorders>
              <w:top w:val="nil"/>
              <w:left w:val="nil"/>
              <w:bottom w:val="nil"/>
              <w:right w:val="nil"/>
            </w:tcBorders>
            <w:shd w:val="clear" w:color="auto" w:fill="auto"/>
            <w:noWrap/>
            <w:vAlign w:val="bottom"/>
          </w:tcPr>
          <w:p w:rsidR="00335659" w:rsidRPr="008D1B76" w:rsidRDefault="00487305" w:rsidP="00F300FE">
            <w:pPr>
              <w:widowControl/>
              <w:autoSpaceDE/>
              <w:autoSpaceDN/>
              <w:adjustRightInd/>
              <w:jc w:val="right"/>
            </w:pPr>
            <w:r>
              <w:t>16</w:t>
            </w:r>
            <w:r w:rsidR="00F300FE">
              <w:t>8</w:t>
            </w:r>
          </w:p>
        </w:tc>
        <w:tc>
          <w:tcPr>
            <w:tcW w:w="1136" w:type="dxa"/>
            <w:tcBorders>
              <w:top w:val="nil"/>
              <w:left w:val="nil"/>
              <w:bottom w:val="nil"/>
              <w:right w:val="nil"/>
            </w:tcBorders>
            <w:shd w:val="clear" w:color="auto" w:fill="auto"/>
            <w:noWrap/>
            <w:vAlign w:val="bottom"/>
          </w:tcPr>
          <w:p w:rsidR="00335659" w:rsidRPr="008D1B76" w:rsidRDefault="00335659" w:rsidP="00ED3061">
            <w:pPr>
              <w:widowControl/>
              <w:autoSpaceDE/>
              <w:autoSpaceDN/>
              <w:adjustRightInd/>
              <w:jc w:val="right"/>
            </w:pPr>
            <w:r w:rsidRPr="008D1B76">
              <w:t>212</w:t>
            </w:r>
          </w:p>
        </w:tc>
      </w:tr>
      <w:tr w:rsidR="00335659" w:rsidRPr="008D1B76" w:rsidTr="00ED3061">
        <w:trPr>
          <w:trHeight w:val="315"/>
        </w:trPr>
        <w:tc>
          <w:tcPr>
            <w:tcW w:w="3736" w:type="dxa"/>
            <w:tcBorders>
              <w:top w:val="nil"/>
              <w:left w:val="nil"/>
              <w:bottom w:val="nil"/>
              <w:right w:val="nil"/>
            </w:tcBorders>
            <w:shd w:val="clear" w:color="auto" w:fill="auto"/>
            <w:noWrap/>
            <w:vAlign w:val="bottom"/>
          </w:tcPr>
          <w:p w:rsidR="00335659" w:rsidRPr="008D1B76" w:rsidRDefault="00335659" w:rsidP="00ED3061">
            <w:pPr>
              <w:widowControl/>
              <w:autoSpaceDE/>
              <w:autoSpaceDN/>
              <w:adjustRightInd/>
            </w:pPr>
            <w:r w:rsidRPr="008D1B76">
              <w:t>Estimated Time Per Response: (hours)</w:t>
            </w:r>
          </w:p>
        </w:tc>
        <w:tc>
          <w:tcPr>
            <w:tcW w:w="1160" w:type="dxa"/>
            <w:tcBorders>
              <w:top w:val="nil"/>
              <w:left w:val="nil"/>
              <w:bottom w:val="nil"/>
              <w:right w:val="nil"/>
            </w:tcBorders>
            <w:shd w:val="clear" w:color="auto" w:fill="auto"/>
            <w:noWrap/>
            <w:vAlign w:val="bottom"/>
          </w:tcPr>
          <w:p w:rsidR="00335659" w:rsidRPr="008D1B76" w:rsidRDefault="00335659" w:rsidP="00624D01">
            <w:pPr>
              <w:widowControl/>
              <w:autoSpaceDE/>
              <w:autoSpaceDN/>
              <w:adjustRightInd/>
              <w:jc w:val="right"/>
            </w:pPr>
            <w:r w:rsidRPr="008D1B76">
              <w:t>0.</w:t>
            </w:r>
            <w:r w:rsidR="00624D01">
              <w:t>5</w:t>
            </w:r>
          </w:p>
        </w:tc>
        <w:tc>
          <w:tcPr>
            <w:tcW w:w="1160" w:type="dxa"/>
            <w:tcBorders>
              <w:top w:val="nil"/>
              <w:left w:val="nil"/>
              <w:bottom w:val="nil"/>
              <w:right w:val="nil"/>
            </w:tcBorders>
            <w:shd w:val="clear" w:color="auto" w:fill="auto"/>
            <w:noWrap/>
            <w:vAlign w:val="bottom"/>
          </w:tcPr>
          <w:p w:rsidR="00335659" w:rsidRPr="008D1B76" w:rsidRDefault="00335659" w:rsidP="00624D01">
            <w:pPr>
              <w:widowControl/>
              <w:autoSpaceDE/>
              <w:autoSpaceDN/>
              <w:adjustRightInd/>
              <w:jc w:val="right"/>
            </w:pPr>
            <w:r w:rsidRPr="008D1B76">
              <w:t>0.5</w:t>
            </w:r>
          </w:p>
        </w:tc>
        <w:tc>
          <w:tcPr>
            <w:tcW w:w="1136" w:type="dxa"/>
            <w:tcBorders>
              <w:top w:val="nil"/>
              <w:left w:val="nil"/>
              <w:bottom w:val="nil"/>
              <w:right w:val="nil"/>
            </w:tcBorders>
            <w:shd w:val="clear" w:color="auto" w:fill="auto"/>
            <w:noWrap/>
            <w:vAlign w:val="bottom"/>
          </w:tcPr>
          <w:p w:rsidR="00335659" w:rsidRPr="008D1B76" w:rsidRDefault="00335659" w:rsidP="00624D01">
            <w:pPr>
              <w:widowControl/>
              <w:autoSpaceDE/>
              <w:autoSpaceDN/>
              <w:adjustRightInd/>
              <w:jc w:val="right"/>
            </w:pPr>
            <w:r w:rsidRPr="008D1B76">
              <w:t>0.5</w:t>
            </w:r>
          </w:p>
        </w:tc>
      </w:tr>
      <w:tr w:rsidR="00335659" w:rsidRPr="008D1B76" w:rsidTr="00ED3061">
        <w:trPr>
          <w:trHeight w:val="315"/>
        </w:trPr>
        <w:tc>
          <w:tcPr>
            <w:tcW w:w="3736" w:type="dxa"/>
            <w:tcBorders>
              <w:top w:val="nil"/>
              <w:left w:val="nil"/>
              <w:bottom w:val="nil"/>
              <w:right w:val="nil"/>
            </w:tcBorders>
            <w:shd w:val="clear" w:color="auto" w:fill="auto"/>
            <w:noWrap/>
            <w:vAlign w:val="bottom"/>
          </w:tcPr>
          <w:p w:rsidR="00335659" w:rsidRPr="008D1B76" w:rsidRDefault="00335659" w:rsidP="00ED3061">
            <w:pPr>
              <w:widowControl/>
              <w:autoSpaceDE/>
              <w:autoSpaceDN/>
              <w:adjustRightInd/>
            </w:pPr>
            <w:r w:rsidRPr="008D1B76">
              <w:t xml:space="preserve">Burden Hours:  </w:t>
            </w:r>
          </w:p>
        </w:tc>
        <w:tc>
          <w:tcPr>
            <w:tcW w:w="1160" w:type="dxa"/>
            <w:tcBorders>
              <w:top w:val="nil"/>
              <w:left w:val="nil"/>
              <w:bottom w:val="nil"/>
              <w:right w:val="nil"/>
            </w:tcBorders>
            <w:shd w:val="clear" w:color="auto" w:fill="auto"/>
            <w:noWrap/>
            <w:vAlign w:val="bottom"/>
          </w:tcPr>
          <w:p w:rsidR="00335659" w:rsidRPr="008D1B76" w:rsidRDefault="00487305" w:rsidP="00F300FE">
            <w:pPr>
              <w:widowControl/>
              <w:autoSpaceDE/>
              <w:autoSpaceDN/>
              <w:adjustRightInd/>
              <w:jc w:val="right"/>
            </w:pPr>
            <w:r>
              <w:t>8</w:t>
            </w:r>
            <w:r w:rsidR="00F300FE">
              <w:t>4</w:t>
            </w:r>
          </w:p>
        </w:tc>
        <w:tc>
          <w:tcPr>
            <w:tcW w:w="1160" w:type="dxa"/>
            <w:tcBorders>
              <w:top w:val="nil"/>
              <w:left w:val="nil"/>
              <w:bottom w:val="nil"/>
              <w:right w:val="nil"/>
            </w:tcBorders>
            <w:shd w:val="clear" w:color="auto" w:fill="auto"/>
            <w:noWrap/>
            <w:vAlign w:val="bottom"/>
          </w:tcPr>
          <w:p w:rsidR="00335659" w:rsidRPr="008D1B76" w:rsidRDefault="00487305" w:rsidP="00F300FE">
            <w:pPr>
              <w:widowControl/>
              <w:autoSpaceDE/>
              <w:autoSpaceDN/>
              <w:adjustRightInd/>
              <w:jc w:val="right"/>
            </w:pPr>
            <w:r>
              <w:t>8</w:t>
            </w:r>
            <w:r w:rsidR="00F300FE">
              <w:t>4</w:t>
            </w:r>
          </w:p>
        </w:tc>
        <w:tc>
          <w:tcPr>
            <w:tcW w:w="1136" w:type="dxa"/>
            <w:tcBorders>
              <w:top w:val="nil"/>
              <w:left w:val="nil"/>
              <w:bottom w:val="nil"/>
              <w:right w:val="nil"/>
            </w:tcBorders>
            <w:shd w:val="clear" w:color="auto" w:fill="auto"/>
            <w:noWrap/>
            <w:vAlign w:val="bottom"/>
          </w:tcPr>
          <w:p w:rsidR="00335659" w:rsidRPr="008D1B76" w:rsidRDefault="00EC40C2" w:rsidP="00ED3061">
            <w:pPr>
              <w:widowControl/>
              <w:autoSpaceDE/>
              <w:autoSpaceDN/>
              <w:adjustRightInd/>
              <w:jc w:val="right"/>
            </w:pPr>
            <w:r>
              <w:t>106</w:t>
            </w:r>
          </w:p>
        </w:tc>
      </w:tr>
      <w:tr w:rsidR="00BD1AF6" w:rsidRPr="008D1B76" w:rsidTr="00ED3061">
        <w:trPr>
          <w:trHeight w:val="315"/>
        </w:trPr>
        <w:tc>
          <w:tcPr>
            <w:tcW w:w="3736" w:type="dxa"/>
            <w:tcBorders>
              <w:top w:val="nil"/>
              <w:left w:val="nil"/>
              <w:bottom w:val="nil"/>
              <w:right w:val="nil"/>
            </w:tcBorders>
            <w:shd w:val="clear" w:color="auto" w:fill="auto"/>
            <w:noWrap/>
            <w:vAlign w:val="bottom"/>
          </w:tcPr>
          <w:p w:rsidR="00BD1AF6" w:rsidRDefault="00BD1AF6" w:rsidP="00ED3061">
            <w:pPr>
              <w:widowControl/>
              <w:autoSpaceDE/>
              <w:autoSpaceDN/>
              <w:adjustRightInd/>
            </w:pPr>
          </w:p>
          <w:p w:rsidR="001B2CAF" w:rsidRDefault="00BD1AF6" w:rsidP="00ED3061">
            <w:pPr>
              <w:widowControl/>
              <w:autoSpaceDE/>
              <w:autoSpaceDN/>
              <w:adjustRightInd/>
            </w:pPr>
            <w:r>
              <w:t xml:space="preserve">Total </w:t>
            </w:r>
            <w:r w:rsidR="001B2CAF">
              <w:t>Burden Hours</w:t>
            </w:r>
          </w:p>
          <w:p w:rsidR="00BD1AF6" w:rsidRDefault="00487305" w:rsidP="00ED3061">
            <w:pPr>
              <w:widowControl/>
              <w:autoSpaceDE/>
              <w:autoSpaceDN/>
              <w:adjustRightInd/>
            </w:pPr>
            <w:r>
              <w:t>8</w:t>
            </w:r>
            <w:r w:rsidR="00F300FE">
              <w:t>4</w:t>
            </w:r>
            <w:r>
              <w:t xml:space="preserve"> + 8</w:t>
            </w:r>
            <w:r w:rsidR="00F300FE">
              <w:t>4</w:t>
            </w:r>
            <w:r>
              <w:t xml:space="preserve"> +</w:t>
            </w:r>
            <w:r w:rsidR="001B2CAF">
              <w:t xml:space="preserve">106=  </w:t>
            </w:r>
            <w:r>
              <w:t>27</w:t>
            </w:r>
            <w:r w:rsidR="00F300FE">
              <w:t>4</w:t>
            </w:r>
            <w:r w:rsidR="001B2CAF">
              <w:t xml:space="preserve"> hours</w:t>
            </w:r>
          </w:p>
          <w:p w:rsidR="001B2CAF" w:rsidRDefault="001B2CAF" w:rsidP="00ED3061">
            <w:pPr>
              <w:widowControl/>
              <w:autoSpaceDE/>
              <w:autoSpaceDN/>
              <w:adjustRightInd/>
            </w:pPr>
            <w:r>
              <w:t xml:space="preserve">Total </w:t>
            </w:r>
            <w:r w:rsidR="001B2ADA">
              <w:t xml:space="preserve">Unduplicated </w:t>
            </w:r>
            <w:r>
              <w:t>Responses</w:t>
            </w:r>
          </w:p>
          <w:p w:rsidR="001B2CAF" w:rsidRPr="008D1B76" w:rsidRDefault="00487305" w:rsidP="00F300FE">
            <w:pPr>
              <w:widowControl/>
              <w:autoSpaceDE/>
              <w:autoSpaceDN/>
              <w:adjustRightInd/>
            </w:pPr>
            <w:r>
              <w:t>16</w:t>
            </w:r>
            <w:r w:rsidR="00F300FE">
              <w:t>8</w:t>
            </w:r>
            <w:r w:rsidR="001B2CAF">
              <w:t>+</w:t>
            </w:r>
            <w:r>
              <w:t>16</w:t>
            </w:r>
            <w:r w:rsidR="00F300FE">
              <w:t>8</w:t>
            </w:r>
            <w:r w:rsidR="001B2CAF">
              <w:t xml:space="preserve">+212= </w:t>
            </w:r>
            <w:r>
              <w:t>54</w:t>
            </w:r>
            <w:r w:rsidR="00F300FE">
              <w:t>8</w:t>
            </w:r>
            <w:r>
              <w:t xml:space="preserve"> </w:t>
            </w:r>
            <w:r w:rsidR="001B2CAF">
              <w:t xml:space="preserve"> responses</w:t>
            </w:r>
          </w:p>
        </w:tc>
        <w:tc>
          <w:tcPr>
            <w:tcW w:w="1160" w:type="dxa"/>
            <w:tcBorders>
              <w:top w:val="nil"/>
              <w:left w:val="nil"/>
              <w:bottom w:val="nil"/>
              <w:right w:val="nil"/>
            </w:tcBorders>
            <w:shd w:val="clear" w:color="auto" w:fill="auto"/>
            <w:noWrap/>
            <w:vAlign w:val="bottom"/>
          </w:tcPr>
          <w:p w:rsidR="00BD1AF6" w:rsidRDefault="00BD1AF6" w:rsidP="00ED3061">
            <w:pPr>
              <w:widowControl/>
              <w:autoSpaceDE/>
              <w:autoSpaceDN/>
              <w:adjustRightInd/>
              <w:jc w:val="right"/>
            </w:pPr>
          </w:p>
        </w:tc>
        <w:tc>
          <w:tcPr>
            <w:tcW w:w="1160" w:type="dxa"/>
            <w:tcBorders>
              <w:top w:val="nil"/>
              <w:left w:val="nil"/>
              <w:bottom w:val="nil"/>
              <w:right w:val="nil"/>
            </w:tcBorders>
            <w:shd w:val="clear" w:color="auto" w:fill="auto"/>
            <w:noWrap/>
            <w:vAlign w:val="bottom"/>
          </w:tcPr>
          <w:p w:rsidR="00BD1AF6" w:rsidRDefault="00BD1AF6" w:rsidP="00ED3061">
            <w:pPr>
              <w:widowControl/>
              <w:autoSpaceDE/>
              <w:autoSpaceDN/>
              <w:adjustRightInd/>
              <w:jc w:val="right"/>
            </w:pPr>
          </w:p>
        </w:tc>
        <w:tc>
          <w:tcPr>
            <w:tcW w:w="1136" w:type="dxa"/>
            <w:tcBorders>
              <w:top w:val="nil"/>
              <w:left w:val="nil"/>
              <w:bottom w:val="nil"/>
              <w:right w:val="nil"/>
            </w:tcBorders>
            <w:shd w:val="clear" w:color="auto" w:fill="auto"/>
            <w:noWrap/>
            <w:vAlign w:val="bottom"/>
          </w:tcPr>
          <w:p w:rsidR="00BD1AF6" w:rsidRDefault="00BD1AF6" w:rsidP="00ED3061">
            <w:pPr>
              <w:widowControl/>
              <w:autoSpaceDE/>
              <w:autoSpaceDN/>
              <w:adjustRightInd/>
              <w:jc w:val="right"/>
            </w:pPr>
          </w:p>
        </w:tc>
      </w:tr>
      <w:tr w:rsidR="00335659" w:rsidRPr="008D1B76" w:rsidTr="00ED3061">
        <w:trPr>
          <w:trHeight w:val="315"/>
        </w:trPr>
        <w:tc>
          <w:tcPr>
            <w:tcW w:w="3736" w:type="dxa"/>
            <w:tcBorders>
              <w:top w:val="nil"/>
              <w:left w:val="nil"/>
              <w:bottom w:val="nil"/>
              <w:right w:val="nil"/>
            </w:tcBorders>
            <w:shd w:val="clear" w:color="auto" w:fill="auto"/>
            <w:noWrap/>
            <w:vAlign w:val="bottom"/>
          </w:tcPr>
          <w:p w:rsidR="00335659" w:rsidRPr="008D1B76" w:rsidRDefault="00335659" w:rsidP="00ED3061">
            <w:pPr>
              <w:widowControl/>
              <w:autoSpaceDE/>
              <w:autoSpaceDN/>
              <w:adjustRightInd/>
            </w:pPr>
          </w:p>
        </w:tc>
        <w:tc>
          <w:tcPr>
            <w:tcW w:w="1160" w:type="dxa"/>
            <w:tcBorders>
              <w:top w:val="nil"/>
              <w:left w:val="nil"/>
              <w:bottom w:val="nil"/>
              <w:right w:val="nil"/>
            </w:tcBorders>
            <w:shd w:val="clear" w:color="auto" w:fill="auto"/>
            <w:noWrap/>
            <w:vAlign w:val="bottom"/>
          </w:tcPr>
          <w:p w:rsidR="00335659" w:rsidRDefault="00335659" w:rsidP="00ED3061">
            <w:pPr>
              <w:widowControl/>
              <w:autoSpaceDE/>
              <w:autoSpaceDN/>
              <w:adjustRightInd/>
              <w:jc w:val="right"/>
            </w:pPr>
          </w:p>
        </w:tc>
        <w:tc>
          <w:tcPr>
            <w:tcW w:w="1160" w:type="dxa"/>
            <w:tcBorders>
              <w:top w:val="nil"/>
              <w:left w:val="nil"/>
              <w:bottom w:val="nil"/>
              <w:right w:val="nil"/>
            </w:tcBorders>
            <w:shd w:val="clear" w:color="auto" w:fill="auto"/>
            <w:noWrap/>
            <w:vAlign w:val="bottom"/>
          </w:tcPr>
          <w:p w:rsidR="00335659" w:rsidRDefault="00335659" w:rsidP="00ED3061">
            <w:pPr>
              <w:widowControl/>
              <w:autoSpaceDE/>
              <w:autoSpaceDN/>
              <w:adjustRightInd/>
              <w:jc w:val="right"/>
            </w:pPr>
          </w:p>
        </w:tc>
        <w:tc>
          <w:tcPr>
            <w:tcW w:w="1136" w:type="dxa"/>
            <w:tcBorders>
              <w:top w:val="nil"/>
              <w:left w:val="nil"/>
              <w:bottom w:val="nil"/>
              <w:right w:val="nil"/>
            </w:tcBorders>
            <w:shd w:val="clear" w:color="auto" w:fill="auto"/>
            <w:noWrap/>
            <w:vAlign w:val="bottom"/>
          </w:tcPr>
          <w:p w:rsidR="00335659" w:rsidRPr="008D1B76" w:rsidRDefault="00335659" w:rsidP="00ED3061">
            <w:pPr>
              <w:widowControl/>
              <w:autoSpaceDE/>
              <w:autoSpaceDN/>
              <w:adjustRightInd/>
              <w:jc w:val="right"/>
            </w:pPr>
          </w:p>
        </w:tc>
      </w:tr>
    </w:tbl>
    <w:p w:rsidR="00335659" w:rsidRPr="00CC2942" w:rsidRDefault="00335659" w:rsidP="00335659">
      <w:pPr>
        <w:spacing w:after="120"/>
        <w:rPr>
          <w:color w:val="000000"/>
        </w:rPr>
      </w:pPr>
      <w:r w:rsidRPr="00CC2942">
        <w:rPr>
          <w:color w:val="000000"/>
        </w:rPr>
        <w:t xml:space="preserve">DOL believes the </w:t>
      </w:r>
      <w:r>
        <w:rPr>
          <w:color w:val="000000"/>
        </w:rPr>
        <w:t xml:space="preserve">annualized </w:t>
      </w:r>
      <w:r w:rsidRPr="00CC2942">
        <w:rPr>
          <w:color w:val="000000"/>
        </w:rPr>
        <w:t>value of State respondent time to be $</w:t>
      </w:r>
      <w:r>
        <w:rPr>
          <w:color w:val="000000"/>
        </w:rPr>
        <w:t>4,802.50.  (</w:t>
      </w:r>
      <w:r w:rsidR="00251664">
        <w:rPr>
          <w:color w:val="000000"/>
        </w:rPr>
        <w:t>27</w:t>
      </w:r>
      <w:r w:rsidR="00F300FE">
        <w:rPr>
          <w:color w:val="000000"/>
        </w:rPr>
        <w:t>4</w:t>
      </w:r>
      <w:r w:rsidR="00C97D84">
        <w:rPr>
          <w:color w:val="000000"/>
        </w:rPr>
        <w:t xml:space="preserve"> </w:t>
      </w:r>
      <w:r>
        <w:rPr>
          <w:color w:val="000000"/>
        </w:rPr>
        <w:t xml:space="preserve">hours x </w:t>
      </w:r>
      <w:r>
        <w:rPr>
          <w:color w:val="000000"/>
        </w:rPr>
        <w:lastRenderedPageBreak/>
        <w:t>$</w:t>
      </w:r>
      <w:r w:rsidR="00137D92">
        <w:rPr>
          <w:color w:val="000000"/>
        </w:rPr>
        <w:t>40.99</w:t>
      </w:r>
      <w:r>
        <w:rPr>
          <w:color w:val="000000"/>
        </w:rPr>
        <w:t xml:space="preserve"> = $</w:t>
      </w:r>
      <w:r w:rsidR="00251664">
        <w:rPr>
          <w:color w:val="000000"/>
        </w:rPr>
        <w:t>1</w:t>
      </w:r>
      <w:r w:rsidR="00137D92">
        <w:rPr>
          <w:color w:val="000000"/>
        </w:rPr>
        <w:t>1</w:t>
      </w:r>
      <w:r w:rsidR="00251664">
        <w:rPr>
          <w:color w:val="000000"/>
        </w:rPr>
        <w:t>,</w:t>
      </w:r>
      <w:r w:rsidR="00F300FE">
        <w:rPr>
          <w:color w:val="000000"/>
        </w:rPr>
        <w:t>231</w:t>
      </w:r>
      <w:r w:rsidR="00251664">
        <w:rPr>
          <w:color w:val="000000"/>
        </w:rPr>
        <w:t>.</w:t>
      </w:r>
      <w:r w:rsidR="00F300FE">
        <w:rPr>
          <w:color w:val="000000"/>
        </w:rPr>
        <w:t>26.</w:t>
      </w:r>
      <w:r>
        <w:rPr>
          <w:color w:val="000000"/>
        </w:rPr>
        <w:t xml:space="preserve">  </w:t>
      </w:r>
      <w:r w:rsidRPr="00CC2942">
        <w:rPr>
          <w:color w:val="000000"/>
        </w:rPr>
        <w:t xml:space="preserve">In monetizing the burden, DOL assumes State Workforce Agency staff will typically prepare the responses.  DOL has used the </w:t>
      </w:r>
      <w:r w:rsidR="00137D92">
        <w:rPr>
          <w:color w:val="000000"/>
        </w:rPr>
        <w:t xml:space="preserve">FY 2012 program planning hourly wage </w:t>
      </w:r>
      <w:r w:rsidRPr="00CC2942">
        <w:rPr>
          <w:bCs/>
        </w:rPr>
        <w:t xml:space="preserve">for </w:t>
      </w:r>
      <w:r w:rsidR="00137D92">
        <w:rPr>
          <w:bCs/>
        </w:rPr>
        <w:t>State workforce personnel in producing this estimate</w:t>
      </w:r>
      <w:r w:rsidRPr="00CC2942">
        <w:rPr>
          <w:color w:val="000000"/>
        </w:rPr>
        <w:t xml:space="preserve">.  </w:t>
      </w:r>
    </w:p>
    <w:p w:rsidR="00137D92" w:rsidRDefault="00137D92" w:rsidP="00137D92">
      <w:pPr>
        <w:widowControl/>
      </w:pPr>
      <w:r>
        <w:t xml:space="preserve">This report is prepared from mainframe records of state administrative records on reemployment services provided.  As a result, there is no claimant burden.  </w:t>
      </w:r>
    </w:p>
    <w:p w:rsidR="00137D92" w:rsidRDefault="00137D92">
      <w:pPr>
        <w:widowControl/>
      </w:pPr>
    </w:p>
    <w:p w:rsidR="00956FD6" w:rsidRDefault="00956FD6">
      <w:pPr>
        <w:widowControl/>
      </w:pPr>
      <w:proofErr w:type="gramStart"/>
      <w:r>
        <w:t>A-13.</w:t>
      </w:r>
      <w:proofErr w:type="gramEnd"/>
      <w:r>
        <w:t xml:space="preserve">  </w:t>
      </w:r>
      <w:proofErr w:type="gramStart"/>
      <w:r w:rsidRPr="00490535">
        <w:rPr>
          <w:u w:val="single"/>
        </w:rPr>
        <w:t>Annual Cost to Respondents</w:t>
      </w:r>
      <w:r>
        <w:t>.</w:t>
      </w:r>
      <w:proofErr w:type="gramEnd"/>
    </w:p>
    <w:p w:rsidR="00490535" w:rsidRDefault="00490535">
      <w:pPr>
        <w:widowControl/>
      </w:pPr>
    </w:p>
    <w:p w:rsidR="0054423B" w:rsidRDefault="0054423B" w:rsidP="00530AD5">
      <w:pPr>
        <w:widowControl/>
        <w:autoSpaceDE/>
        <w:autoSpaceDN/>
        <w:adjustRightInd/>
      </w:pPr>
      <w:r>
        <w:t>There are no annualized costs to respondents.</w:t>
      </w:r>
    </w:p>
    <w:p w:rsidR="00530AD5" w:rsidRPr="00530AD5" w:rsidRDefault="00530AD5" w:rsidP="00530AD5">
      <w:pPr>
        <w:widowControl/>
        <w:autoSpaceDE/>
        <w:autoSpaceDN/>
        <w:adjustRightInd/>
      </w:pPr>
      <w:r w:rsidRPr="00530AD5">
        <w:t> </w:t>
      </w:r>
    </w:p>
    <w:p w:rsidR="00190B49" w:rsidRDefault="00190B49">
      <w:pPr>
        <w:widowControl/>
      </w:pPr>
      <w:proofErr w:type="gramStart"/>
      <w:r>
        <w:t>A-14.</w:t>
      </w:r>
      <w:proofErr w:type="gramEnd"/>
      <w:r>
        <w:t xml:space="preserve">  </w:t>
      </w:r>
      <w:r w:rsidRPr="00190B49">
        <w:rPr>
          <w:u w:val="single"/>
        </w:rPr>
        <w:t>Annualized Federal Cost</w:t>
      </w:r>
      <w:r>
        <w:t>.</w:t>
      </w:r>
    </w:p>
    <w:p w:rsidR="00190B49" w:rsidRDefault="00190B49">
      <w:pPr>
        <w:widowControl/>
      </w:pPr>
    </w:p>
    <w:p w:rsidR="00912BE3" w:rsidRDefault="00912BE3" w:rsidP="00912BE3">
      <w:pPr>
        <w:widowControl/>
      </w:pPr>
      <w:r>
        <w:t>Federal costs are the staff required to receive and analyze the data.  These costs are summarized as follows:</w:t>
      </w:r>
    </w:p>
    <w:p w:rsidR="00912BE3" w:rsidRDefault="00912BE3" w:rsidP="00912BE3">
      <w:pPr>
        <w:widowControl/>
      </w:pPr>
    </w:p>
    <w:p w:rsidR="00912BE3" w:rsidRDefault="00912BE3" w:rsidP="00912BE3">
      <w:pPr>
        <w:widowControl/>
      </w:pPr>
      <w:r>
        <w:tab/>
        <w:t>Program Office Staffing Costs</w:t>
      </w:r>
      <w:r>
        <w:tab/>
      </w:r>
      <w:r>
        <w:tab/>
      </w:r>
      <w:r>
        <w:tab/>
        <w:t>$24,654</w:t>
      </w:r>
    </w:p>
    <w:p w:rsidR="00912BE3" w:rsidRDefault="00912BE3" w:rsidP="00912BE3">
      <w:pPr>
        <w:widowControl/>
      </w:pPr>
      <w:r>
        <w:tab/>
        <w:t>Mathematical Statistician – 0.1 Staff year, GS-14</w:t>
      </w:r>
      <w:r>
        <w:tab/>
        <w:t>$13,354</w:t>
      </w:r>
    </w:p>
    <w:p w:rsidR="00912BE3" w:rsidRDefault="00912BE3" w:rsidP="00912BE3">
      <w:pPr>
        <w:widowControl/>
      </w:pPr>
      <w:r>
        <w:tab/>
        <w:t>UI Program Specialist – 0.1 Staff year, GS-13</w:t>
      </w:r>
      <w:r>
        <w:tab/>
        <w:t xml:space="preserve">$11,300  </w:t>
      </w:r>
    </w:p>
    <w:p w:rsidR="00912BE3" w:rsidRDefault="00912BE3" w:rsidP="002472F9">
      <w:pPr>
        <w:widowControl/>
        <w:ind w:firstLine="720"/>
      </w:pPr>
      <w:r>
        <w:t>Total                                                                           $49,308</w:t>
      </w:r>
    </w:p>
    <w:p w:rsidR="0033629A" w:rsidRDefault="0033629A" w:rsidP="00912BE3">
      <w:pPr>
        <w:widowControl/>
      </w:pPr>
    </w:p>
    <w:p w:rsidR="0077380D" w:rsidRDefault="00190B49" w:rsidP="0044641F">
      <w:pPr>
        <w:widowControl/>
      </w:pPr>
      <w:proofErr w:type="gramStart"/>
      <w:r>
        <w:t>A-</w:t>
      </w:r>
      <w:r w:rsidR="00A61C40">
        <w:t>1</w:t>
      </w:r>
      <w:r>
        <w:t>5</w:t>
      </w:r>
      <w:r w:rsidR="00A61C40">
        <w:t>.</w:t>
      </w:r>
      <w:proofErr w:type="gramEnd"/>
      <w:r w:rsidR="00A61C40">
        <w:tab/>
      </w:r>
      <w:proofErr w:type="gramStart"/>
      <w:r w:rsidRPr="00190B49">
        <w:rPr>
          <w:u w:val="single"/>
        </w:rPr>
        <w:t>Reasons for Change in Burden</w:t>
      </w:r>
      <w:r w:rsidR="00E94AAF" w:rsidRPr="00E94AAF">
        <w:t>.</w:t>
      </w:r>
      <w:proofErr w:type="gramEnd"/>
      <w:r w:rsidR="00E94AAF" w:rsidRPr="00E94AAF">
        <w:t xml:space="preserve"> </w:t>
      </w:r>
      <w:r w:rsidR="0023441B">
        <w:t xml:space="preserve"> </w:t>
      </w:r>
    </w:p>
    <w:p w:rsidR="0077380D" w:rsidRDefault="0077380D">
      <w:pPr>
        <w:widowControl/>
      </w:pPr>
    </w:p>
    <w:p w:rsidR="00BB753A" w:rsidRDefault="00F300FE" w:rsidP="00813421">
      <w:pPr>
        <w:widowControl/>
      </w:pPr>
      <w:r>
        <w:t xml:space="preserve">The changes in burden reflect the fact that each state </w:t>
      </w:r>
      <w:proofErr w:type="gramStart"/>
      <w:r>
        <w:t>make</w:t>
      </w:r>
      <w:proofErr w:type="gramEnd"/>
      <w:r>
        <w:t xml:space="preserve"> an individual decision in each year regarding their participation in the REA program.  As a result, the number of reports we anticipate will change with the number of states participating.  The change from 41 states to 42 states participating produces a very small increase in overall expected burden.</w:t>
      </w:r>
      <w:r w:rsidDel="00F300FE">
        <w:t xml:space="preserve"> </w:t>
      </w:r>
    </w:p>
    <w:p w:rsidR="0077380D" w:rsidRDefault="00A61C40">
      <w:pPr>
        <w:widowControl/>
        <w:tabs>
          <w:tab w:val="left" w:pos="-1440"/>
        </w:tabs>
      </w:pPr>
      <w:r>
        <w:t>16.</w:t>
      </w:r>
      <w:r>
        <w:tab/>
      </w:r>
      <w:r>
        <w:rPr>
          <w:u w:val="single"/>
        </w:rPr>
        <w:t>Publication</w:t>
      </w:r>
      <w:r w:rsidR="0023441B">
        <w:rPr>
          <w:u w:val="single"/>
        </w:rPr>
        <w:t xml:space="preserve"> Information</w:t>
      </w:r>
      <w:r>
        <w:t>.</w:t>
      </w:r>
    </w:p>
    <w:p w:rsidR="0077380D" w:rsidRDefault="0077380D">
      <w:pPr>
        <w:widowControl/>
        <w:tabs>
          <w:tab w:val="left" w:pos="-1440"/>
        </w:tabs>
      </w:pPr>
    </w:p>
    <w:p w:rsidR="00A61C40" w:rsidRDefault="00A61C40">
      <w:pPr>
        <w:widowControl/>
        <w:tabs>
          <w:tab w:val="left" w:pos="-1440"/>
        </w:tabs>
      </w:pPr>
      <w:r>
        <w:t>Decisions on publication of data have not been made.</w:t>
      </w:r>
    </w:p>
    <w:p w:rsidR="00A61C40" w:rsidRDefault="00A61C40">
      <w:pPr>
        <w:widowControl/>
      </w:pPr>
    </w:p>
    <w:p w:rsidR="0077380D" w:rsidRDefault="00A61C40">
      <w:pPr>
        <w:widowControl/>
      </w:pPr>
      <w:r>
        <w:t xml:space="preserve">17.  </w:t>
      </w:r>
      <w:r w:rsidR="007F789C">
        <w:tab/>
      </w:r>
      <w:r>
        <w:rPr>
          <w:u w:val="single"/>
        </w:rPr>
        <w:t>Display of OMB Expiration Date</w:t>
      </w:r>
      <w:r>
        <w:t>.</w:t>
      </w:r>
    </w:p>
    <w:p w:rsidR="0077380D" w:rsidRDefault="0077380D">
      <w:pPr>
        <w:widowControl/>
      </w:pPr>
    </w:p>
    <w:p w:rsidR="00A61C40" w:rsidRDefault="00A61C40">
      <w:pPr>
        <w:widowControl/>
      </w:pPr>
      <w:r>
        <w:t>The expiration date for OMB approval will be displayed.</w:t>
      </w:r>
    </w:p>
    <w:p w:rsidR="00A61C40" w:rsidRDefault="00A61C40">
      <w:pPr>
        <w:widowControl/>
      </w:pPr>
      <w:r>
        <w:t xml:space="preserve"> </w:t>
      </w:r>
    </w:p>
    <w:p w:rsidR="0077380D" w:rsidRDefault="00E94AAF" w:rsidP="00E94AAF">
      <w:pPr>
        <w:widowControl/>
      </w:pPr>
      <w:r>
        <w:t xml:space="preserve">18.  </w:t>
      </w:r>
      <w:r>
        <w:tab/>
      </w:r>
      <w:r w:rsidR="00A61C40">
        <w:rPr>
          <w:u w:val="single"/>
        </w:rPr>
        <w:t>Exceptions to the Certification Statement</w:t>
      </w:r>
      <w:r w:rsidR="00A61C40">
        <w:t>.</w:t>
      </w:r>
    </w:p>
    <w:p w:rsidR="0077380D" w:rsidRDefault="0077380D" w:rsidP="00E94AAF">
      <w:pPr>
        <w:widowControl/>
      </w:pPr>
    </w:p>
    <w:p w:rsidR="00A61C40" w:rsidRDefault="00A61C40" w:rsidP="00E94AAF">
      <w:pPr>
        <w:widowControl/>
      </w:pPr>
      <w:r>
        <w:t>There are no exceptions to the certification statement.</w:t>
      </w:r>
    </w:p>
    <w:p w:rsidR="00E94AAF" w:rsidRDefault="00E94AAF" w:rsidP="00E94AAF">
      <w:pPr>
        <w:widowControl/>
      </w:pPr>
    </w:p>
    <w:p w:rsidR="00A61C40" w:rsidRDefault="00E94AAF">
      <w:pPr>
        <w:widowControl/>
      </w:pPr>
      <w:r>
        <w:t>B.</w:t>
      </w:r>
      <w:r>
        <w:tab/>
        <w:t>This collection does not employ statistical methods.</w:t>
      </w:r>
    </w:p>
    <w:sectPr w:rsidR="00A61C40" w:rsidSect="006B10AA">
      <w:headerReference w:type="default" r:id="rId7"/>
      <w:footerReference w:type="even" r:id="rId8"/>
      <w:footerReference w:type="default" r:id="rId9"/>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78C" w:rsidRDefault="001A378C">
      <w:r>
        <w:separator/>
      </w:r>
    </w:p>
  </w:endnote>
  <w:endnote w:type="continuationSeparator" w:id="0">
    <w:p w:rsidR="001A378C" w:rsidRDefault="001A3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F6" w:rsidRDefault="00BD1AF6" w:rsidP="006B10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1AF6" w:rsidRDefault="00BD1A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F6" w:rsidRDefault="00BD1AF6" w:rsidP="006B10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6CEE">
      <w:rPr>
        <w:rStyle w:val="PageNumber"/>
        <w:noProof/>
      </w:rPr>
      <w:t>5</w:t>
    </w:r>
    <w:r>
      <w:rPr>
        <w:rStyle w:val="PageNumber"/>
      </w:rPr>
      <w:fldChar w:fldCharType="end"/>
    </w:r>
  </w:p>
  <w:p w:rsidR="00BD1AF6" w:rsidRDefault="00BD1A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78C" w:rsidRDefault="001A378C">
      <w:r>
        <w:separator/>
      </w:r>
    </w:p>
  </w:footnote>
  <w:footnote w:type="continuationSeparator" w:id="0">
    <w:p w:rsidR="001A378C" w:rsidRDefault="001A37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F6" w:rsidRDefault="00BD1AF6">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81124"/>
    <w:multiLevelType w:val="hybridMultilevel"/>
    <w:tmpl w:val="D8500E0C"/>
    <w:lvl w:ilvl="0" w:tplc="DDB4FD88">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8862E9A"/>
    <w:multiLevelType w:val="hybridMultilevel"/>
    <w:tmpl w:val="5A8C3B0C"/>
    <w:lvl w:ilvl="0" w:tplc="E0B0502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A61C40"/>
    <w:rsid w:val="00000539"/>
    <w:rsid w:val="00006A44"/>
    <w:rsid w:val="00021005"/>
    <w:rsid w:val="000275A6"/>
    <w:rsid w:val="00035799"/>
    <w:rsid w:val="00043CC0"/>
    <w:rsid w:val="00067371"/>
    <w:rsid w:val="00082BEB"/>
    <w:rsid w:val="000B7AFB"/>
    <w:rsid w:val="000D1DF8"/>
    <w:rsid w:val="000E1423"/>
    <w:rsid w:val="000E3E60"/>
    <w:rsid w:val="000F2668"/>
    <w:rsid w:val="00115BDB"/>
    <w:rsid w:val="00122848"/>
    <w:rsid w:val="00137D92"/>
    <w:rsid w:val="00140131"/>
    <w:rsid w:val="00140533"/>
    <w:rsid w:val="00143A96"/>
    <w:rsid w:val="00190B49"/>
    <w:rsid w:val="001A1386"/>
    <w:rsid w:val="001A378C"/>
    <w:rsid w:val="001B2ADA"/>
    <w:rsid w:val="001B2CAF"/>
    <w:rsid w:val="001D02B3"/>
    <w:rsid w:val="001D5144"/>
    <w:rsid w:val="001D6041"/>
    <w:rsid w:val="001F4DFB"/>
    <w:rsid w:val="001F6845"/>
    <w:rsid w:val="0022123E"/>
    <w:rsid w:val="00223E5C"/>
    <w:rsid w:val="002263B4"/>
    <w:rsid w:val="0023441B"/>
    <w:rsid w:val="00240D90"/>
    <w:rsid w:val="00242F97"/>
    <w:rsid w:val="002472F9"/>
    <w:rsid w:val="00247793"/>
    <w:rsid w:val="00251664"/>
    <w:rsid w:val="00262E6E"/>
    <w:rsid w:val="00274594"/>
    <w:rsid w:val="00291303"/>
    <w:rsid w:val="002A36D9"/>
    <w:rsid w:val="002B2E8E"/>
    <w:rsid w:val="002C64A4"/>
    <w:rsid w:val="002C7B09"/>
    <w:rsid w:val="002D1BFD"/>
    <w:rsid w:val="002F1C6C"/>
    <w:rsid w:val="00326376"/>
    <w:rsid w:val="003273C1"/>
    <w:rsid w:val="00330263"/>
    <w:rsid w:val="00331B59"/>
    <w:rsid w:val="00335659"/>
    <w:rsid w:val="0033629A"/>
    <w:rsid w:val="00343E02"/>
    <w:rsid w:val="003950FD"/>
    <w:rsid w:val="003964D8"/>
    <w:rsid w:val="003A25B7"/>
    <w:rsid w:val="003B62BB"/>
    <w:rsid w:val="003C557A"/>
    <w:rsid w:val="003D446C"/>
    <w:rsid w:val="003E7B60"/>
    <w:rsid w:val="00406923"/>
    <w:rsid w:val="0041502A"/>
    <w:rsid w:val="00415212"/>
    <w:rsid w:val="00416E20"/>
    <w:rsid w:val="004403D2"/>
    <w:rsid w:val="00444558"/>
    <w:rsid w:val="0044641F"/>
    <w:rsid w:val="00447BE8"/>
    <w:rsid w:val="00470C52"/>
    <w:rsid w:val="00476669"/>
    <w:rsid w:val="00483066"/>
    <w:rsid w:val="00484308"/>
    <w:rsid w:val="00487305"/>
    <w:rsid w:val="00490535"/>
    <w:rsid w:val="004B612E"/>
    <w:rsid w:val="004E1C3D"/>
    <w:rsid w:val="004E6C78"/>
    <w:rsid w:val="00500C95"/>
    <w:rsid w:val="0051379F"/>
    <w:rsid w:val="005157A0"/>
    <w:rsid w:val="0051600D"/>
    <w:rsid w:val="005244D0"/>
    <w:rsid w:val="00525AC5"/>
    <w:rsid w:val="00530AD5"/>
    <w:rsid w:val="0054423B"/>
    <w:rsid w:val="005466D3"/>
    <w:rsid w:val="00551A93"/>
    <w:rsid w:val="00562715"/>
    <w:rsid w:val="00571403"/>
    <w:rsid w:val="00573039"/>
    <w:rsid w:val="00581BFB"/>
    <w:rsid w:val="005907CF"/>
    <w:rsid w:val="005A5EFB"/>
    <w:rsid w:val="00613361"/>
    <w:rsid w:val="00624D01"/>
    <w:rsid w:val="00625FE3"/>
    <w:rsid w:val="006350BD"/>
    <w:rsid w:val="006457B7"/>
    <w:rsid w:val="006646B7"/>
    <w:rsid w:val="00685806"/>
    <w:rsid w:val="00686CB3"/>
    <w:rsid w:val="006923A7"/>
    <w:rsid w:val="006A720B"/>
    <w:rsid w:val="006B10AA"/>
    <w:rsid w:val="006E25AA"/>
    <w:rsid w:val="006F04B4"/>
    <w:rsid w:val="006F1CA4"/>
    <w:rsid w:val="006F654E"/>
    <w:rsid w:val="006F7A3A"/>
    <w:rsid w:val="007005DE"/>
    <w:rsid w:val="00706761"/>
    <w:rsid w:val="00712CA4"/>
    <w:rsid w:val="00722A5A"/>
    <w:rsid w:val="00740E2F"/>
    <w:rsid w:val="007434B9"/>
    <w:rsid w:val="0074746C"/>
    <w:rsid w:val="0075075F"/>
    <w:rsid w:val="0077380D"/>
    <w:rsid w:val="00774779"/>
    <w:rsid w:val="00775F46"/>
    <w:rsid w:val="0078769A"/>
    <w:rsid w:val="00795354"/>
    <w:rsid w:val="007A6BB8"/>
    <w:rsid w:val="007D70D2"/>
    <w:rsid w:val="007E553A"/>
    <w:rsid w:val="007E6830"/>
    <w:rsid w:val="007F26CB"/>
    <w:rsid w:val="007F368F"/>
    <w:rsid w:val="007F51ED"/>
    <w:rsid w:val="007F789C"/>
    <w:rsid w:val="0080650B"/>
    <w:rsid w:val="008069C8"/>
    <w:rsid w:val="00813421"/>
    <w:rsid w:val="008215BF"/>
    <w:rsid w:val="00827BC0"/>
    <w:rsid w:val="008372C8"/>
    <w:rsid w:val="008631B5"/>
    <w:rsid w:val="00866430"/>
    <w:rsid w:val="008719EB"/>
    <w:rsid w:val="0088080F"/>
    <w:rsid w:val="008A741E"/>
    <w:rsid w:val="008A7B07"/>
    <w:rsid w:val="008B4D59"/>
    <w:rsid w:val="008C3955"/>
    <w:rsid w:val="008D2B55"/>
    <w:rsid w:val="008E0F10"/>
    <w:rsid w:val="008E77E3"/>
    <w:rsid w:val="008F0E45"/>
    <w:rsid w:val="008F6CCF"/>
    <w:rsid w:val="00912BE3"/>
    <w:rsid w:val="009157BA"/>
    <w:rsid w:val="00920641"/>
    <w:rsid w:val="00921F1D"/>
    <w:rsid w:val="0093545E"/>
    <w:rsid w:val="00956FD6"/>
    <w:rsid w:val="00975C33"/>
    <w:rsid w:val="00980774"/>
    <w:rsid w:val="009D7AA8"/>
    <w:rsid w:val="009E5A31"/>
    <w:rsid w:val="00A51A32"/>
    <w:rsid w:val="00A51F48"/>
    <w:rsid w:val="00A61C40"/>
    <w:rsid w:val="00A727B3"/>
    <w:rsid w:val="00A739D3"/>
    <w:rsid w:val="00A8776E"/>
    <w:rsid w:val="00A94F3E"/>
    <w:rsid w:val="00AB0FAE"/>
    <w:rsid w:val="00AC04E2"/>
    <w:rsid w:val="00B0024E"/>
    <w:rsid w:val="00B0290B"/>
    <w:rsid w:val="00B13B54"/>
    <w:rsid w:val="00B30344"/>
    <w:rsid w:val="00B3158D"/>
    <w:rsid w:val="00B32500"/>
    <w:rsid w:val="00B373E5"/>
    <w:rsid w:val="00B46A2B"/>
    <w:rsid w:val="00B64EF9"/>
    <w:rsid w:val="00B8043C"/>
    <w:rsid w:val="00B86C65"/>
    <w:rsid w:val="00B93671"/>
    <w:rsid w:val="00BA5958"/>
    <w:rsid w:val="00BA6757"/>
    <w:rsid w:val="00BB753A"/>
    <w:rsid w:val="00BD1AF6"/>
    <w:rsid w:val="00BD4D99"/>
    <w:rsid w:val="00C0398D"/>
    <w:rsid w:val="00C04E0B"/>
    <w:rsid w:val="00C22F3A"/>
    <w:rsid w:val="00C23CB9"/>
    <w:rsid w:val="00C32262"/>
    <w:rsid w:val="00C35832"/>
    <w:rsid w:val="00C41DF4"/>
    <w:rsid w:val="00C42778"/>
    <w:rsid w:val="00C655E2"/>
    <w:rsid w:val="00C8291C"/>
    <w:rsid w:val="00C95C27"/>
    <w:rsid w:val="00C97D84"/>
    <w:rsid w:val="00CA051F"/>
    <w:rsid w:val="00CA2F92"/>
    <w:rsid w:val="00CA6085"/>
    <w:rsid w:val="00CB0B63"/>
    <w:rsid w:val="00CB19FA"/>
    <w:rsid w:val="00CC730C"/>
    <w:rsid w:val="00CD474D"/>
    <w:rsid w:val="00CE1D4B"/>
    <w:rsid w:val="00CF06DC"/>
    <w:rsid w:val="00D41006"/>
    <w:rsid w:val="00D507A9"/>
    <w:rsid w:val="00D72593"/>
    <w:rsid w:val="00D862E8"/>
    <w:rsid w:val="00D93371"/>
    <w:rsid w:val="00DA453B"/>
    <w:rsid w:val="00DA74A3"/>
    <w:rsid w:val="00DC3E92"/>
    <w:rsid w:val="00DE0CD9"/>
    <w:rsid w:val="00DE23C3"/>
    <w:rsid w:val="00DF2194"/>
    <w:rsid w:val="00DF6349"/>
    <w:rsid w:val="00E02525"/>
    <w:rsid w:val="00E16D81"/>
    <w:rsid w:val="00E20A10"/>
    <w:rsid w:val="00E2382A"/>
    <w:rsid w:val="00E25283"/>
    <w:rsid w:val="00E30C9B"/>
    <w:rsid w:val="00E46CEE"/>
    <w:rsid w:val="00E509A8"/>
    <w:rsid w:val="00E608C9"/>
    <w:rsid w:val="00E67401"/>
    <w:rsid w:val="00E70109"/>
    <w:rsid w:val="00E77537"/>
    <w:rsid w:val="00E926F0"/>
    <w:rsid w:val="00E94AAF"/>
    <w:rsid w:val="00EC40C2"/>
    <w:rsid w:val="00ED2FAD"/>
    <w:rsid w:val="00ED3061"/>
    <w:rsid w:val="00ED4283"/>
    <w:rsid w:val="00F255E1"/>
    <w:rsid w:val="00F300FE"/>
    <w:rsid w:val="00F61ACC"/>
    <w:rsid w:val="00F64AD2"/>
    <w:rsid w:val="00F71C9A"/>
    <w:rsid w:val="00F75C24"/>
    <w:rsid w:val="00F75EB9"/>
    <w:rsid w:val="00F83CC7"/>
    <w:rsid w:val="00F90203"/>
    <w:rsid w:val="00F938CA"/>
    <w:rsid w:val="00F95764"/>
    <w:rsid w:val="00F96E7F"/>
    <w:rsid w:val="00FA78EC"/>
    <w:rsid w:val="00FD7B1E"/>
    <w:rsid w:val="00FE50CD"/>
    <w:rsid w:val="00FF6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6B10AA"/>
    <w:pPr>
      <w:tabs>
        <w:tab w:val="center" w:pos="4320"/>
        <w:tab w:val="right" w:pos="8640"/>
      </w:tabs>
    </w:pPr>
  </w:style>
  <w:style w:type="character" w:styleId="PageNumber">
    <w:name w:val="page number"/>
    <w:basedOn w:val="DefaultParagraphFont"/>
    <w:rsid w:val="006B10AA"/>
  </w:style>
  <w:style w:type="paragraph" w:styleId="BalloonText">
    <w:name w:val="Balloon Text"/>
    <w:basedOn w:val="Normal"/>
    <w:semiHidden/>
    <w:rsid w:val="00190B49"/>
    <w:rPr>
      <w:rFonts w:ascii="Tahoma" w:hAnsi="Tahoma" w:cs="Tahoma"/>
      <w:sz w:val="16"/>
      <w:szCs w:val="16"/>
    </w:rPr>
  </w:style>
  <w:style w:type="paragraph" w:styleId="Header">
    <w:name w:val="header"/>
    <w:basedOn w:val="Normal"/>
    <w:rsid w:val="00775F46"/>
    <w:pPr>
      <w:tabs>
        <w:tab w:val="center" w:pos="4320"/>
        <w:tab w:val="right" w:pos="8640"/>
      </w:tabs>
    </w:pPr>
  </w:style>
  <w:style w:type="character" w:customStyle="1" w:styleId="MaryBethSmith-Toomey">
    <w:name w:val="Mary Beth Smith-Toomey"/>
    <w:semiHidden/>
    <w:rsid w:val="00722A5A"/>
    <w:rPr>
      <w:rFonts w:ascii="Arial" w:hAnsi="Arial" w:cs="Arial"/>
      <w:color w:val="000080"/>
      <w:sz w:val="20"/>
      <w:szCs w:val="20"/>
    </w:rPr>
  </w:style>
  <w:style w:type="character" w:styleId="CommentReference">
    <w:name w:val="annotation reference"/>
    <w:rsid w:val="008D2B55"/>
    <w:rPr>
      <w:sz w:val="16"/>
      <w:szCs w:val="16"/>
    </w:rPr>
  </w:style>
  <w:style w:type="paragraph" w:styleId="CommentText">
    <w:name w:val="annotation text"/>
    <w:basedOn w:val="Normal"/>
    <w:link w:val="CommentTextChar"/>
    <w:rsid w:val="008D2B55"/>
    <w:rPr>
      <w:sz w:val="20"/>
      <w:szCs w:val="20"/>
    </w:rPr>
  </w:style>
  <w:style w:type="character" w:customStyle="1" w:styleId="CommentTextChar">
    <w:name w:val="Comment Text Char"/>
    <w:basedOn w:val="DefaultParagraphFont"/>
    <w:link w:val="CommentText"/>
    <w:rsid w:val="008D2B55"/>
  </w:style>
  <w:style w:type="paragraph" w:styleId="CommentSubject">
    <w:name w:val="annotation subject"/>
    <w:basedOn w:val="CommentText"/>
    <w:next w:val="CommentText"/>
    <w:link w:val="CommentSubjectChar"/>
    <w:rsid w:val="008D2B55"/>
    <w:rPr>
      <w:b/>
      <w:bCs/>
      <w:lang/>
    </w:rPr>
  </w:style>
  <w:style w:type="character" w:customStyle="1" w:styleId="CommentSubjectChar">
    <w:name w:val="Comment Subject Char"/>
    <w:link w:val="CommentSubject"/>
    <w:rsid w:val="008D2B55"/>
    <w:rPr>
      <w:b/>
      <w:bCs/>
    </w:rPr>
  </w:style>
</w:styles>
</file>

<file path=word/webSettings.xml><?xml version="1.0" encoding="utf-8"?>
<w:webSettings xmlns:r="http://schemas.openxmlformats.org/officeDocument/2006/relationships" xmlns:w="http://schemas.openxmlformats.org/wordprocessingml/2006/main">
  <w:divs>
    <w:div w:id="60223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1736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PRA SUPPORTING STATEMENTS FOR REEMPLOYMENT AND ELIGIBILITY ASSESSMENT (REA) REPORTS:  OMB Control Number 1205-0456</vt:lpstr>
    </vt:vector>
  </TitlesOfParts>
  <Company>Employment &amp; Training Administration</Company>
  <LinksUpToDate>false</LinksUpToDate>
  <CharactersWithSpaces>11783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STATEMENTS FOR REEMPLOYMENT AND ELIGIBILITY ASSESSMENT (REA) REPORTS:  OMB Control Number 1205-0456</dc:title>
  <dc:subject/>
  <dc:creator>dwood</dc:creator>
  <cp:keywords/>
  <cp:lastModifiedBy>Naradzay.Bonnie</cp:lastModifiedBy>
  <cp:revision>3</cp:revision>
  <cp:lastPrinted>2009-03-06T20:23:00Z</cp:lastPrinted>
  <dcterms:created xsi:type="dcterms:W3CDTF">2012-10-24T18:00:00Z</dcterms:created>
  <dcterms:modified xsi:type="dcterms:W3CDTF">2012-10-24T18:01:00Z</dcterms:modified>
</cp:coreProperties>
</file>