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A8" w:rsidRDefault="00F86AA8">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rsidR="00F86AA8" w:rsidRDefault="00F86AA8">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p>
    <w:p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SUPPORTING STATEMENT FOR THE</w:t>
      </w:r>
    </w:p>
    <w:p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INF</w:t>
      </w:r>
      <w:r>
        <w:rPr>
          <w:rFonts w:ascii="Times New Roman"/>
          <w:b/>
          <w:bCs/>
        </w:rPr>
        <w:t xml:space="preserve">ORMATION </w:t>
      </w:r>
      <w:r w:rsidRPr="0052502E">
        <w:rPr>
          <w:rFonts w:ascii="Times New Roman"/>
          <w:b/>
          <w:bCs/>
        </w:rPr>
        <w:t>COLLECTION REQUIREMENTS IN THE</w:t>
      </w:r>
    </w:p>
    <w:p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0052502E">
        <w:rPr>
          <w:rFonts w:ascii="Times New Roman"/>
          <w:b/>
          <w:bCs/>
        </w:rPr>
        <w:t>LEAD IN GENERAL INDUSTRY STANDARD (29 CFR 1910.1025)</w:t>
      </w:r>
      <w:r w:rsidRPr="0052502E">
        <w:rPr>
          <w:rStyle w:val="FootnoteReference"/>
          <w:rFonts w:ascii="Times New Roman"/>
          <w:b/>
          <w:bCs/>
          <w:u w:val="single"/>
          <w:vertAlign w:val="superscript"/>
        </w:rPr>
        <w:footnoteReference w:id="2"/>
      </w:r>
    </w:p>
    <w:p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OFFICE OF MANAGEMENT AND BUDGET</w:t>
      </w:r>
    </w:p>
    <w:p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Pr>
          <w:rFonts w:ascii="Times New Roman"/>
          <w:b/>
          <w:bCs/>
        </w:rPr>
        <w:t>(</w:t>
      </w:r>
      <w:r w:rsidRPr="0052502E">
        <w:rPr>
          <w:rFonts w:ascii="Times New Roman"/>
          <w:b/>
          <w:bCs/>
        </w:rPr>
        <w:t>OMB</w:t>
      </w:r>
      <w:r>
        <w:rPr>
          <w:rFonts w:ascii="Times New Roman"/>
          <w:b/>
          <w:bCs/>
        </w:rPr>
        <w:t>)</w:t>
      </w:r>
      <w:r w:rsidRPr="0052502E">
        <w:rPr>
          <w:rFonts w:ascii="Times New Roman"/>
          <w:b/>
          <w:bCs/>
        </w:rPr>
        <w:t xml:space="preserve"> CONTROL NO. 1218-0092</w:t>
      </w:r>
      <w:r>
        <w:rPr>
          <w:rFonts w:ascii="Times New Roman"/>
          <w:b/>
          <w:bCs/>
        </w:rPr>
        <w:t xml:space="preserve"> </w:t>
      </w:r>
      <w:r w:rsidRPr="0052502E">
        <w:rPr>
          <w:rFonts w:ascii="Times New Roman"/>
          <w:b/>
          <w:bCs/>
        </w:rPr>
        <w:t>(</w:t>
      </w:r>
      <w:r w:rsidR="006878BE">
        <w:rPr>
          <w:rFonts w:ascii="Times New Roman"/>
          <w:b/>
          <w:bCs/>
        </w:rPr>
        <w:t xml:space="preserve">October </w:t>
      </w:r>
      <w:r>
        <w:rPr>
          <w:rFonts w:ascii="Times New Roman"/>
          <w:b/>
          <w:bCs/>
        </w:rPr>
        <w:t>2012</w:t>
      </w:r>
      <w:r w:rsidRPr="0052502E">
        <w:rPr>
          <w:rFonts w:ascii="Times New Roman"/>
          <w:b/>
          <w:bCs/>
        </w:rPr>
        <w:t>)</w:t>
      </w:r>
    </w:p>
    <w:p w:rsidR="00F86AA8" w:rsidRPr="00A05F5B" w:rsidRDefault="00F86AA8" w:rsidP="00A05F5B">
      <w:pPr>
        <w:tabs>
          <w:tab w:val="right" w:pos="9360"/>
        </w:tabs>
        <w:rPr>
          <w:rFonts w:ascii="Times New Roman"/>
        </w:rPr>
      </w:pPr>
    </w:p>
    <w:p w:rsidR="00E012CD" w:rsidRPr="00DB0F76" w:rsidRDefault="00E012CD" w:rsidP="00DB0F76">
      <w:pPr>
        <w:pStyle w:val="Heading1"/>
        <w:rPr>
          <w:rFonts w:ascii="Times New Roman" w:hAnsi="Times New Roman" w:cs="Times New Roman"/>
          <w:color w:val="auto"/>
          <w:sz w:val="24"/>
          <w:szCs w:val="24"/>
        </w:rPr>
      </w:pPr>
      <w:r w:rsidRPr="00DB0F76">
        <w:rPr>
          <w:rFonts w:ascii="Times New Roman" w:hAnsi="Times New Roman" w:cs="Times New Roman"/>
          <w:color w:val="auto"/>
          <w:sz w:val="24"/>
          <w:szCs w:val="24"/>
        </w:rPr>
        <w:t>A. JUSTIFICATION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main objective of the Occupational Safety and Health Act (OSH Act) is to </w:t>
      </w:r>
      <w:r>
        <w:rPr>
          <w:rFonts w:ascii="Times New Roman"/>
        </w:rPr>
        <w:t>"</w:t>
      </w:r>
      <w:r w:rsidRPr="0052502E">
        <w:rPr>
          <w:rFonts w:ascii="Times New Roman"/>
        </w:rPr>
        <w:t>assure so far as possible every working man and woman in the Nation safe and healthful working conditions and to preserve our human resources</w:t>
      </w:r>
      <w:r>
        <w:rPr>
          <w:rFonts w:ascii="Times New Roman"/>
        </w:rPr>
        <w:t>"</w:t>
      </w:r>
      <w:r w:rsidRPr="0052502E">
        <w:rPr>
          <w:rFonts w:ascii="Times New Roman"/>
        </w:rPr>
        <w:t xml:space="preserve"> (29 U.S.C. 651)</w:t>
      </w:r>
      <w:r>
        <w:rPr>
          <w:rFonts w:ascii="Times New Roman"/>
        </w:rPr>
        <w:t>.</w:t>
      </w:r>
      <w:r w:rsidRPr="0052502E">
        <w:rPr>
          <w:rFonts w:ascii="Times New Roman"/>
        </w:rPr>
        <w:t xml:space="preserve">  To achieve this objective, the OSH Act specifically authorizes </w:t>
      </w:r>
      <w:r>
        <w:rPr>
          <w:rFonts w:ascii="Times New Roman"/>
        </w:rPr>
        <w:t>"</w:t>
      </w:r>
      <w:r w:rsidRPr="0052502E">
        <w:rPr>
          <w:rFonts w:ascii="Times New Roman"/>
        </w:rPr>
        <w:t>the development and promulgation of occupational safety and health regulations</w:t>
      </w:r>
      <w:r>
        <w:rPr>
          <w:rFonts w:ascii="Times New Roman"/>
        </w:rPr>
        <w:t>"</w:t>
      </w:r>
      <w:r w:rsidRPr="0052502E">
        <w:rPr>
          <w:rFonts w:ascii="Times New Roman"/>
        </w:rPr>
        <w:t xml:space="preserve"> (29 U.S.C. 651)</w:t>
      </w:r>
      <w:r>
        <w:rPr>
          <w:rFonts w:ascii="Times New Roman"/>
        </w:rP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To protect </w:t>
      </w:r>
      <w:r w:rsidR="00CD4427">
        <w:rPr>
          <w:rFonts w:ascii="Times New Roman"/>
        </w:rPr>
        <w:t>worker</w:t>
      </w:r>
      <w:r w:rsidRPr="0052502E">
        <w:rPr>
          <w:rFonts w:ascii="Times New Roman"/>
        </w:rPr>
        <w:t xml:space="preserve"> health, the OSH Act authorizes the Occupational Safety and Health Administration (OSHA) to develop standards that provide for </w:t>
      </w:r>
      <w:r>
        <w:rPr>
          <w:rFonts w:ascii="Times New Roman"/>
        </w:rPr>
        <w:t>"</w:t>
      </w:r>
      <w:r w:rsidRPr="0052502E">
        <w:rPr>
          <w:rFonts w:ascii="Times New Roman"/>
        </w:rPr>
        <w:t xml:space="preserve">monitoring or measuring </w:t>
      </w:r>
      <w:r>
        <w:rPr>
          <w:rFonts w:ascii="Times New Roman"/>
        </w:rPr>
        <w:t>employee</w:t>
      </w:r>
      <w:r w:rsidRPr="0052502E">
        <w:rPr>
          <w:rFonts w:ascii="Times New Roman"/>
        </w:rPr>
        <w:t xml:space="preserve"> exposure</w:t>
      </w:r>
      <w:r>
        <w:rPr>
          <w:rFonts w:ascii="Times New Roman"/>
        </w:rPr>
        <w:t>"</w:t>
      </w:r>
      <w:r w:rsidRPr="0052502E">
        <w:rPr>
          <w:rFonts w:ascii="Times New Roman"/>
        </w:rPr>
        <w:t xml:space="preserve"> to occupational hazards and </w:t>
      </w:r>
      <w:r>
        <w:rPr>
          <w:rFonts w:ascii="Times New Roman"/>
        </w:rPr>
        <w:t>"</w:t>
      </w:r>
      <w:r w:rsidRPr="0052502E">
        <w:rPr>
          <w:rFonts w:ascii="Times New Roman"/>
        </w:rPr>
        <w:t xml:space="preserve">prescribe the type and frequency of medical examinations and other tests which shall be made available [by the employer] to </w:t>
      </w:r>
      <w:r>
        <w:rPr>
          <w:rFonts w:ascii="Times New Roman"/>
        </w:rPr>
        <w:t>employee</w:t>
      </w:r>
      <w:r w:rsidRPr="0052502E">
        <w:rPr>
          <w:rFonts w:ascii="Times New Roman"/>
        </w:rPr>
        <w:t xml:space="preserve">s exposed to such hazards in order to most effectively determine whether the health of such </w:t>
      </w:r>
      <w:r>
        <w:rPr>
          <w:rFonts w:ascii="Times New Roman"/>
        </w:rPr>
        <w:t>employee</w:t>
      </w:r>
      <w:r w:rsidRPr="0052502E">
        <w:rPr>
          <w:rFonts w:ascii="Times New Roman"/>
        </w:rPr>
        <w:t>s is adversely affected by such exposure</w:t>
      </w:r>
      <w:r>
        <w:rPr>
          <w:rFonts w:ascii="Times New Roman"/>
        </w:rPr>
        <w:t>"</w:t>
      </w:r>
      <w:r w:rsidRPr="0052502E">
        <w:rPr>
          <w:rFonts w:ascii="Times New Roman"/>
        </w:rPr>
        <w:t xml:space="preserve"> (29 U.S.C. 655)</w:t>
      </w:r>
      <w:r>
        <w:rPr>
          <w:rFonts w:ascii="Times New Roman"/>
        </w:rPr>
        <w:t>.</w:t>
      </w:r>
      <w:r w:rsidRPr="0052502E">
        <w:rPr>
          <w:rFonts w:ascii="Times New Roman"/>
        </w:rPr>
        <w:t xml:space="preserve">  In addition, the OSH Act mandates that </w:t>
      </w:r>
      <w:r>
        <w:rPr>
          <w:rFonts w:ascii="Times New Roman"/>
        </w:rPr>
        <w:t>"</w:t>
      </w:r>
      <w:r w:rsidRPr="0052502E">
        <w:rPr>
          <w:rFonts w:ascii="Times New Roman"/>
        </w:rPr>
        <w:t>[e]ach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w:t>
      </w:r>
      <w:r>
        <w:rPr>
          <w:rFonts w:ascii="Times New Roman"/>
        </w:rPr>
        <w:t>"</w:t>
      </w:r>
      <w:r w:rsidRPr="0052502E">
        <w:rPr>
          <w:rFonts w:ascii="Times New Roman"/>
        </w:rPr>
        <w:t xml:space="preserve"> (29 U.S.C. 657)</w:t>
      </w:r>
      <w:r>
        <w:rPr>
          <w:rFonts w:ascii="Times New Roman"/>
        </w:rPr>
        <w:t>.</w:t>
      </w:r>
      <w:r w:rsidRPr="0052502E">
        <w:rPr>
          <w:rFonts w:ascii="Times New Roman"/>
        </w:rPr>
        <w:t xml:space="preserve">  In addition, the OSH Act directs OSHA to </w:t>
      </w:r>
      <w:r>
        <w:rPr>
          <w:rFonts w:ascii="Times New Roman"/>
        </w:rPr>
        <w:t>"</w:t>
      </w:r>
      <w:r w:rsidRPr="0052502E">
        <w:rPr>
          <w:rFonts w:ascii="Times New Roman"/>
        </w:rPr>
        <w:t xml:space="preserve">issue regulations requiring employers to maintain accurate records of </w:t>
      </w:r>
      <w:r>
        <w:rPr>
          <w:rFonts w:ascii="Times New Roman"/>
        </w:rPr>
        <w:t>employee</w:t>
      </w:r>
      <w:r w:rsidRPr="0052502E">
        <w:rPr>
          <w:rFonts w:ascii="Times New Roman"/>
        </w:rPr>
        <w:t xml:space="preserve"> exposure to potentially toxic materials or other harmful physical agents which are required to be monitored and measured," and further specifies that such regulations provide </w:t>
      </w:r>
      <w:r>
        <w:rPr>
          <w:rFonts w:ascii="Times New Roman"/>
        </w:rPr>
        <w:t>"</w:t>
      </w:r>
      <w:r w:rsidRPr="0052502E">
        <w:rPr>
          <w:rFonts w:ascii="Times New Roman"/>
        </w:rPr>
        <w:t xml:space="preserve">for each </w:t>
      </w:r>
      <w:r>
        <w:rPr>
          <w:rFonts w:ascii="Times New Roman"/>
        </w:rPr>
        <w:t>employee</w:t>
      </w:r>
      <w:r w:rsidRPr="0052502E">
        <w:rPr>
          <w:rFonts w:ascii="Times New Roman"/>
        </w:rPr>
        <w:t xml:space="preserve"> or former </w:t>
      </w:r>
      <w:r>
        <w:rPr>
          <w:rFonts w:ascii="Times New Roman"/>
        </w:rPr>
        <w:t>employee</w:t>
      </w:r>
      <w:r w:rsidRPr="0052502E">
        <w:rPr>
          <w:rFonts w:ascii="Times New Roman"/>
        </w:rPr>
        <w:t xml:space="preserve"> to have access to such records as will indicate [their] own exposure to toxic materials or harmful physical agents</w:t>
      </w:r>
      <w:r>
        <w:rPr>
          <w:rFonts w:ascii="Times New Roman"/>
        </w:rPr>
        <w:t>”</w:t>
      </w:r>
      <w:r w:rsidRPr="0052502E">
        <w:rPr>
          <w:rFonts w:ascii="Times New Roman"/>
        </w:rPr>
        <w:t xml:space="preserve"> (29 U.S.C. </w:t>
      </w:r>
      <w:r>
        <w:rPr>
          <w:rFonts w:ascii="Times New Roman"/>
        </w:rPr>
        <w:t>657</w:t>
      </w:r>
      <w:r w:rsidRPr="0052502E">
        <w:rPr>
          <w:rFonts w:ascii="Times New Roman"/>
        </w:rPr>
        <w:t>)</w:t>
      </w:r>
      <w:r>
        <w:rPr>
          <w:rFonts w:ascii="Times New Roman"/>
        </w:rPr>
        <w:t>.</w:t>
      </w:r>
      <w:r w:rsidRPr="0052502E">
        <w:rPr>
          <w:rFonts w:ascii="Times New Roman"/>
        </w:rPr>
        <w:t xml:space="preserve">  The OSH Act states further that </w:t>
      </w:r>
      <w:r>
        <w:rPr>
          <w:rFonts w:ascii="Times New Roman"/>
        </w:rPr>
        <w:t>"</w:t>
      </w:r>
      <w:r w:rsidRPr="0052502E">
        <w:rPr>
          <w:rFonts w:ascii="Times New Roman"/>
        </w:rPr>
        <w:t>[t]he Secretary . . . shall . . . prescribe such rules and regulations as [he/she] may deem necessary to carry out [his/her] responsibilities under this Act, including rules and regulations dealing with the inspection of an employer</w:t>
      </w:r>
      <w:r>
        <w:rPr>
          <w:rFonts w:ascii="Times New Roman"/>
        </w:rPr>
        <w:t>'</w:t>
      </w:r>
      <w:r w:rsidRPr="0052502E">
        <w:rPr>
          <w:rFonts w:ascii="Times New Roman"/>
        </w:rPr>
        <w:t>s establishment</w:t>
      </w:r>
      <w:r>
        <w:rPr>
          <w:rFonts w:ascii="Times New Roman"/>
        </w:rPr>
        <w:t>"</w:t>
      </w:r>
      <w:r w:rsidRPr="0052502E">
        <w:rPr>
          <w:rFonts w:ascii="Times New Roman"/>
        </w:rPr>
        <w:t xml:space="preserve"> (29 U.S.C. 651)</w:t>
      </w:r>
      <w:r>
        <w:rPr>
          <w:rFonts w:ascii="Times New Roman"/>
        </w:rP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sectPr w:rsidR="00E012CD" w:rsidRPr="0052502E">
          <w:footerReference w:type="even" r:id="rId10"/>
          <w:footerReference w:type="default" r:id="rId11"/>
          <w:pgSz w:w="12240" w:h="15840"/>
          <w:pgMar w:top="1440" w:right="1440" w:bottom="1440" w:left="1440" w:header="1354" w:footer="1440" w:gutter="0"/>
          <w:cols w:space="720"/>
          <w:noEndnote/>
          <w:titlePg/>
          <w:docGrid w:linePitch="326"/>
        </w:sect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lastRenderedPageBreak/>
        <w:t xml:space="preserve">Pursuant to its statutory authority, OSHA promulgated a health standard governing </w:t>
      </w:r>
      <w:r w:rsidR="00CD4427">
        <w:rPr>
          <w:rFonts w:ascii="Times New Roman"/>
        </w:rPr>
        <w:t>worker</w:t>
      </w:r>
      <w:r w:rsidRPr="0052502E">
        <w:rPr>
          <w:rFonts w:ascii="Times New Roman"/>
        </w:rPr>
        <w:t xml:space="preserve"> exposure to lead for general industry (29 CFR 1910.1025).  The standard applies to all operations where exposure to lead may occur, except the construction and agricultural sectors.  The purpose of this regulation is to provide protection for </w:t>
      </w:r>
      <w:r w:rsidR="00CD4427">
        <w:rPr>
          <w:rFonts w:ascii="Times New Roman"/>
        </w:rPr>
        <w:t>worker</w:t>
      </w:r>
      <w:r w:rsidRPr="0052502E">
        <w:rPr>
          <w:rFonts w:ascii="Times New Roman"/>
        </w:rPr>
        <w:t xml:space="preserve">s from the health effects associated with occupational exposure to lead.  In general, the standard requires employers to monitor </w:t>
      </w:r>
      <w:r w:rsidR="00CD4427">
        <w:rPr>
          <w:rFonts w:ascii="Times New Roman"/>
        </w:rPr>
        <w:t>worker</w:t>
      </w:r>
      <w:r w:rsidRPr="0052502E">
        <w:rPr>
          <w:rFonts w:ascii="Times New Roman"/>
        </w:rPr>
        <w:t xml:space="preserve"> exposure to lead, to take action to reduce </w:t>
      </w:r>
      <w:r w:rsidR="00CD4427">
        <w:rPr>
          <w:rFonts w:ascii="Times New Roman"/>
        </w:rPr>
        <w:t>worker</w:t>
      </w:r>
      <w:r w:rsidRPr="0052502E">
        <w:rPr>
          <w:rFonts w:ascii="Times New Roman"/>
        </w:rPr>
        <w:t xml:space="preserve"> exposure to the permissible exposure limit (PEL), to monitor </w:t>
      </w:r>
      <w:r w:rsidR="00CD4427">
        <w:rPr>
          <w:rFonts w:ascii="Times New Roman"/>
        </w:rPr>
        <w:t>worker</w:t>
      </w:r>
      <w:r w:rsidRPr="0052502E">
        <w:rPr>
          <w:rFonts w:ascii="Times New Roman"/>
        </w:rPr>
        <w:t xml:space="preserve"> health, to train </w:t>
      </w:r>
      <w:r w:rsidR="00CD4427">
        <w:rPr>
          <w:rFonts w:ascii="Times New Roman"/>
        </w:rPr>
        <w:t>worker</w:t>
      </w:r>
      <w:r w:rsidRPr="0052502E">
        <w:rPr>
          <w:rFonts w:ascii="Times New Roman"/>
        </w:rPr>
        <w:t xml:space="preserve">s about lead hazards, and to provide </w:t>
      </w:r>
      <w:r w:rsidR="00CD4427">
        <w:rPr>
          <w:rFonts w:ascii="Times New Roman"/>
        </w:rPr>
        <w:t>worker</w:t>
      </w:r>
      <w:r w:rsidRPr="0052502E">
        <w:rPr>
          <w:rFonts w:ascii="Times New Roman"/>
        </w:rPr>
        <w:t>s with information about their exposures and the health effects of lead.  The specific information collection activities necessary to fulfill the above requirements are described in items 2 and 12.</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52502E">
        <w:rPr>
          <w:rFonts w:ascii="Times New Roman"/>
          <w:b/>
          <w:sz w:val="20"/>
          <w:szCs w:val="20"/>
        </w:rPr>
        <w:t>2.  Indicate how, by whom, and for what purpose the information is to be used.  Except for a new collection, indicate the actual use the agency has made of the information received from the current collection.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Exposure Monitoring (</w:t>
      </w:r>
      <w:r>
        <w:rPr>
          <w:rFonts w:ascii="Times New Roman"/>
          <w:b/>
          <w:bCs/>
        </w:rPr>
        <w:t>§</w:t>
      </w:r>
      <w:r w:rsidRPr="0052502E">
        <w:rPr>
          <w:rFonts w:ascii="Times New Roman"/>
          <w:b/>
          <w:bCs/>
        </w:rPr>
        <w:t xml:space="preserve"> 1910.1025(d))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exposure monitoring and </w:t>
      </w:r>
      <w:r w:rsidR="00CD4427">
        <w:rPr>
          <w:rFonts w:ascii="Times New Roman"/>
        </w:rPr>
        <w:t>worker</w:t>
      </w:r>
      <w:r w:rsidRPr="0052502E">
        <w:rPr>
          <w:rFonts w:ascii="Times New Roman"/>
        </w:rPr>
        <w:t xml:space="preserve"> notification requirements of this standard protect the health and safety of </w:t>
      </w:r>
      <w:r w:rsidR="00CD4427">
        <w:rPr>
          <w:rFonts w:ascii="Times New Roman"/>
        </w:rPr>
        <w:t>worker</w:t>
      </w:r>
      <w:r w:rsidRPr="0052502E">
        <w:rPr>
          <w:rFonts w:ascii="Times New Roman"/>
        </w:rPr>
        <w:t xml:space="preserve">s who work with lead by providing both the employer and the </w:t>
      </w:r>
      <w:r w:rsidR="00CD4427">
        <w:rPr>
          <w:rFonts w:ascii="Times New Roman"/>
        </w:rPr>
        <w:t>worker</w:t>
      </w:r>
      <w:r w:rsidRPr="0052502E">
        <w:rPr>
          <w:rFonts w:ascii="Times New Roman"/>
        </w:rPr>
        <w:t xml:space="preserve"> with information regarding exposures to this toxic substance.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Measurement</w:t>
      </w:r>
      <w:r w:rsidRPr="0052502E">
        <w:rPr>
          <w:rFonts w:ascii="Times New Roman"/>
        </w:rPr>
        <w:t xml:space="preserve"> (</w:t>
      </w:r>
      <w:r>
        <w:rPr>
          <w:rFonts w:ascii="Times New Roman"/>
        </w:rPr>
        <w:t>§</w:t>
      </w:r>
      <w:r w:rsidRPr="0052502E">
        <w:rPr>
          <w:rFonts w:ascii="Times New Roman"/>
        </w:rPr>
        <w:t xml:space="preserve"> 1910.1025(d</w:t>
      </w:r>
      <w:proofErr w:type="gramStart"/>
      <w:r w:rsidRPr="0052502E">
        <w:rPr>
          <w:rFonts w:ascii="Times New Roman"/>
        </w:rPr>
        <w:t>)(</w:t>
      </w:r>
      <w:proofErr w:type="gramEnd"/>
      <w:r w:rsidRPr="0052502E">
        <w:rPr>
          <w:rFonts w:ascii="Times New Roman"/>
        </w:rPr>
        <w:t>1)</w:t>
      </w:r>
      <w:r w:rsidRPr="0052502E">
        <w:rPr>
          <w:rFonts w:ascii="Times New Roman"/>
        </w:rPr>
        <w:noBreakHyphen/>
        <w:t>(7))</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Employers covered by the standard must determine if any </w:t>
      </w:r>
      <w:r w:rsidR="00CD4427">
        <w:rPr>
          <w:rFonts w:ascii="Times New Roman"/>
        </w:rPr>
        <w:t>worker</w:t>
      </w:r>
      <w:r w:rsidRPr="0052502E">
        <w:rPr>
          <w:rFonts w:ascii="Times New Roman"/>
        </w:rPr>
        <w:t xml:space="preserve"> may be exposed to lead at or above the action level</w:t>
      </w:r>
      <w:r>
        <w:rPr>
          <w:rFonts w:ascii="Times New Roman"/>
        </w:rPr>
        <w:t xml:space="preserve"> (“AL”)</w:t>
      </w:r>
      <w:r w:rsidRPr="0052502E">
        <w:rPr>
          <w:rStyle w:val="FootnoteReference"/>
          <w:rFonts w:ascii="Times New Roman"/>
          <w:vertAlign w:val="superscript"/>
        </w:rPr>
        <w:footnoteReference w:id="3"/>
      </w:r>
      <w:r w:rsidRPr="0052502E">
        <w:rPr>
          <w:rFonts w:ascii="Times New Roman"/>
        </w:rPr>
        <w:t xml:space="preserve">.  Employers must monitor </w:t>
      </w:r>
      <w:r w:rsidR="00CD4427">
        <w:rPr>
          <w:rFonts w:ascii="Times New Roman"/>
        </w:rPr>
        <w:t>worker</w:t>
      </w:r>
      <w:r w:rsidRPr="0052502E">
        <w:rPr>
          <w:rFonts w:ascii="Times New Roman"/>
        </w:rPr>
        <w:t xml:space="preserve"> exposures and base initial determinations on the </w:t>
      </w:r>
      <w:r w:rsidR="00CD4427">
        <w:rPr>
          <w:rFonts w:ascii="Times New Roman"/>
        </w:rPr>
        <w:t>worker</w:t>
      </w:r>
      <w:r w:rsidRPr="0052502E">
        <w:rPr>
          <w:rFonts w:ascii="Times New Roman"/>
        </w:rPr>
        <w:t xml:space="preserve"> exposure monitoring results and any of the following relevant considerations: (A) </w:t>
      </w:r>
      <w:r w:rsidR="00CD4427">
        <w:rPr>
          <w:rFonts w:ascii="Times New Roman"/>
        </w:rPr>
        <w:t>a</w:t>
      </w:r>
      <w:r w:rsidRPr="0052502E">
        <w:rPr>
          <w:rFonts w:ascii="Times New Roman"/>
        </w:rPr>
        <w:t xml:space="preserve">ny information, observations, or calculations which would indicate </w:t>
      </w:r>
      <w:r w:rsidR="00CD4427">
        <w:rPr>
          <w:rFonts w:ascii="Times New Roman"/>
        </w:rPr>
        <w:t>worker</w:t>
      </w:r>
      <w:r w:rsidRPr="0052502E">
        <w:rPr>
          <w:rFonts w:ascii="Times New Roman"/>
        </w:rPr>
        <w:t xml:space="preserve"> exposure to lead; (B) </w:t>
      </w:r>
      <w:r w:rsidR="00CD4427">
        <w:rPr>
          <w:rFonts w:ascii="Times New Roman"/>
        </w:rPr>
        <w:t>a</w:t>
      </w:r>
      <w:r w:rsidRPr="0052502E">
        <w:rPr>
          <w:rFonts w:ascii="Times New Roman"/>
        </w:rPr>
        <w:t>ny previous measurem</w:t>
      </w:r>
      <w:r w:rsidR="00CD4427">
        <w:rPr>
          <w:rFonts w:ascii="Times New Roman"/>
        </w:rPr>
        <w:t>ents of airborne lead; and (C) a</w:t>
      </w:r>
      <w:r w:rsidRPr="0052502E">
        <w:rPr>
          <w:rFonts w:ascii="Times New Roman"/>
        </w:rPr>
        <w:t xml:space="preserve">ny </w:t>
      </w:r>
      <w:r w:rsidR="00CD4427">
        <w:rPr>
          <w:rFonts w:ascii="Times New Roman"/>
        </w:rPr>
        <w:t>worker</w:t>
      </w:r>
      <w:r w:rsidRPr="0052502E">
        <w:rPr>
          <w:rFonts w:ascii="Times New Roman"/>
        </w:rPr>
        <w:t xml:space="preserve"> complaints of symptoms which may be attributable to exposure to lead.  Employers may use representative sampling.</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 employer makes an initial determination that no </w:t>
      </w:r>
      <w:r w:rsidR="00CD4427">
        <w:rPr>
          <w:rFonts w:ascii="Times New Roman"/>
        </w:rPr>
        <w:t>worker</w:t>
      </w:r>
      <w:r w:rsidRPr="0052502E">
        <w:rPr>
          <w:rFonts w:ascii="Times New Roman"/>
        </w:rPr>
        <w:t xml:space="preserve"> is exposed to lead at or above the action level, the employer must make a written record of the determination.  The records must include information</w:t>
      </w:r>
      <w:r>
        <w:rPr>
          <w:rFonts w:ascii="Times New Roman"/>
        </w:rPr>
        <w:t xml:space="preserve"> specified in </w:t>
      </w:r>
      <w:r w:rsidRPr="0052502E">
        <w:rPr>
          <w:rFonts w:ascii="Times New Roman"/>
        </w:rPr>
        <w:t>paragraph</w:t>
      </w:r>
      <w:r>
        <w:rPr>
          <w:rFonts w:ascii="Times New Roman"/>
        </w:rPr>
        <w:t xml:space="preserve"> (d</w:t>
      </w:r>
      <w:proofErr w:type="gramStart"/>
      <w:r>
        <w:rPr>
          <w:rFonts w:ascii="Times New Roman"/>
        </w:rPr>
        <w:t>)(</w:t>
      </w:r>
      <w:proofErr w:type="gramEnd"/>
      <w:r>
        <w:rPr>
          <w:rFonts w:ascii="Times New Roman"/>
        </w:rPr>
        <w:t>3)</w:t>
      </w:r>
      <w:r w:rsidRPr="0052502E">
        <w:rPr>
          <w:rFonts w:ascii="Times New Roman"/>
        </w:rPr>
        <w:t xml:space="preserve">, and include the date of determination, location within the worksite, and the name and social security number of each </w:t>
      </w:r>
      <w:r w:rsidR="00CD4427">
        <w:rPr>
          <w:rFonts w:ascii="Times New Roman"/>
        </w:rPr>
        <w:t>worker</w:t>
      </w:r>
      <w:r w:rsidRPr="0052502E">
        <w:rPr>
          <w:rFonts w:ascii="Times New Roman"/>
        </w:rPr>
        <w:t xml:space="preserve"> monitored.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w:t>
      </w:r>
      <w:r w:rsidR="00CD4427">
        <w:rPr>
          <w:rFonts w:ascii="Times New Roman"/>
        </w:rPr>
        <w:t>worker</w:t>
      </w:r>
      <w:r w:rsidRPr="0052502E">
        <w:rPr>
          <w:rFonts w:ascii="Times New Roman"/>
        </w:rPr>
        <w:t xml:space="preserve"> monitoring at least every 6 months when 8</w:t>
      </w:r>
      <w:r w:rsidRPr="0052502E">
        <w:rPr>
          <w:rFonts w:ascii="Times New Roman"/>
        </w:rPr>
        <w:noBreakHyphen/>
        <w:t>hour time</w:t>
      </w:r>
      <w:r w:rsidRPr="0052502E">
        <w:rPr>
          <w:rFonts w:ascii="Times New Roman"/>
        </w:rPr>
        <w:noBreakHyphen/>
        <w:t xml:space="preserve">weighted (TWA) average exposures are at or above the action level but below the permissible exposure limit (PEL) of 50 micrograms per cubic meter of air (50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xml:space="preserve">).  When </w:t>
      </w:r>
      <w:r w:rsidR="00CD4427">
        <w:rPr>
          <w:rFonts w:ascii="Times New Roman"/>
        </w:rPr>
        <w:t>worker</w:t>
      </w:r>
      <w:r w:rsidRPr="0052502E">
        <w:rPr>
          <w:rFonts w:ascii="Times New Roman"/>
        </w:rPr>
        <w:t xml:space="preserve"> exposures are in excess of the PEL, monitoring must be performed quarterly.  When </w:t>
      </w:r>
      <w:r w:rsidR="00CD4427">
        <w:rPr>
          <w:rFonts w:ascii="Times New Roman"/>
        </w:rPr>
        <w:t>worker</w:t>
      </w:r>
      <w:r w:rsidRPr="0052502E">
        <w:rPr>
          <w:rFonts w:ascii="Times New Roman"/>
        </w:rPr>
        <w:t xml:space="preserve"> exposures are reduced to below the action level, monitoring may be discontinued</w:t>
      </w:r>
      <w:r w:rsidR="00D21FA1">
        <w:rPr>
          <w:rFonts w:ascii="Times New Roman"/>
        </w:rPr>
        <w:t xml:space="preserve">.  </w:t>
      </w:r>
      <w:r w:rsidRPr="0052502E">
        <w:rPr>
          <w:rFonts w:ascii="Times New Roman"/>
        </w:rPr>
        <w:t xml:space="preserve">In the event of a production, process, control, or personnel change which may result in new or additional exposures to lead, or </w:t>
      </w:r>
      <w:r w:rsidRPr="0052502E">
        <w:rPr>
          <w:rFonts w:ascii="Times New Roman"/>
        </w:rPr>
        <w:lastRenderedPageBreak/>
        <w:t xml:space="preserve">whenever the employer has another reason to suspect a change that may result in new or additional exposures to lead, additional monitoring in accordance </w:t>
      </w:r>
      <w:r>
        <w:rPr>
          <w:rFonts w:ascii="Times New Roman"/>
        </w:rPr>
        <w:t xml:space="preserve">with </w:t>
      </w:r>
      <w:r w:rsidRPr="0052502E">
        <w:rPr>
          <w:rFonts w:ascii="Times New Roman"/>
        </w:rPr>
        <w:t>the standard must be conducted by the employer.</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Employee</w:t>
      </w:r>
      <w:r w:rsidRPr="0052502E">
        <w:rPr>
          <w:rFonts w:ascii="Times New Roman"/>
          <w:b/>
        </w:rPr>
        <w:t xml:space="preserve"> Notification of Monitoring Results </w:t>
      </w:r>
      <w:r w:rsidRPr="0052502E">
        <w:rPr>
          <w:rFonts w:ascii="Times New Roman"/>
          <w:b/>
          <w:bCs/>
        </w:rPr>
        <w:t>(</w:t>
      </w:r>
      <w:r>
        <w:rPr>
          <w:rFonts w:ascii="Times New Roman"/>
          <w:b/>
          <w:bCs/>
        </w:rPr>
        <w:t>§</w:t>
      </w:r>
      <w:r w:rsidRPr="0052502E">
        <w:rPr>
          <w:rFonts w:ascii="Times New Roman"/>
          <w:b/>
          <w:bCs/>
        </w:rPr>
        <w:t xml:space="preserve"> 1910</w:t>
      </w:r>
      <w:r>
        <w:rPr>
          <w:rFonts w:ascii="Times New Roman"/>
          <w:b/>
          <w:bCs/>
        </w:rPr>
        <w:t>.1025(d</w:t>
      </w:r>
      <w:proofErr w:type="gramStart"/>
      <w:r>
        <w:rPr>
          <w:rFonts w:ascii="Times New Roman"/>
          <w:b/>
          <w:bCs/>
        </w:rPr>
        <w:t>)(</w:t>
      </w:r>
      <w:proofErr w:type="gramEnd"/>
      <w:r>
        <w:rPr>
          <w:rFonts w:ascii="Times New Roman"/>
          <w:b/>
          <w:bCs/>
        </w:rPr>
        <w:t>8))</w:t>
      </w:r>
      <w:r w:rsidRPr="0052502E">
        <w:rPr>
          <w:rFonts w:ascii="Times New Roman"/>
          <w:b/>
          <w:bCs/>
        </w:rPr>
        <w:t xml:space="preserve"> </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Pr>
          <w:rFonts w:ascii="Times New Roman"/>
        </w:rPr>
        <w:t xml:space="preserve">After </w:t>
      </w:r>
      <w:r w:rsidRPr="003D7BA0">
        <w:rPr>
          <w:rFonts w:ascii="Times New Roman"/>
        </w:rPr>
        <w:t>emplo</w:t>
      </w:r>
      <w:r>
        <w:rPr>
          <w:rFonts w:ascii="Times New Roman"/>
        </w:rPr>
        <w:t>yers conduct exposure monitoring for lead</w:t>
      </w:r>
      <w:r w:rsidRPr="003D7BA0">
        <w:rPr>
          <w:rFonts w:ascii="Times New Roman"/>
        </w:rPr>
        <w:t xml:space="preserve">, they must notify each </w:t>
      </w:r>
      <w:r w:rsidR="00CD4427">
        <w:rPr>
          <w:rFonts w:ascii="Times New Roman"/>
        </w:rPr>
        <w:t>worker</w:t>
      </w:r>
      <w:r w:rsidRPr="003D7BA0">
        <w:rPr>
          <w:rFonts w:ascii="Times New Roman"/>
        </w:rPr>
        <w:t xml:space="preserve"> of their exposure</w:t>
      </w:r>
      <w:r>
        <w:rPr>
          <w:rFonts w:ascii="Times New Roman"/>
        </w:rPr>
        <w:t xml:space="preserve"> monitoring</w:t>
      </w:r>
      <w:r w:rsidRPr="003D7BA0">
        <w:rPr>
          <w:rFonts w:ascii="Times New Roman"/>
        </w:rPr>
        <w:t xml:space="preserve"> results within 15 working days after receiving these results.  Employers may notify </w:t>
      </w:r>
      <w:r w:rsidR="00CD4427">
        <w:rPr>
          <w:rFonts w:ascii="Times New Roman"/>
        </w:rPr>
        <w:t>worker</w:t>
      </w:r>
      <w:r w:rsidRPr="003D7BA0">
        <w:rPr>
          <w:rFonts w:ascii="Times New Roman"/>
        </w:rPr>
        <w:t xml:space="preserve">s either individually in writing or by posting the </w:t>
      </w:r>
      <w:r>
        <w:rPr>
          <w:rFonts w:ascii="Times New Roman"/>
        </w:rPr>
        <w:t xml:space="preserve">monitoring </w:t>
      </w:r>
      <w:r w:rsidRPr="003D7BA0">
        <w:rPr>
          <w:rFonts w:ascii="Times New Roman"/>
        </w:rPr>
        <w:t xml:space="preserve">results in an appropriate location that is accessible to the </w:t>
      </w:r>
      <w:r w:rsidR="00CD4427">
        <w:rPr>
          <w:rFonts w:ascii="Times New Roman"/>
        </w:rPr>
        <w:t>worker</w:t>
      </w:r>
      <w:r w:rsidRPr="003D7BA0">
        <w:rPr>
          <w:rFonts w:ascii="Times New Roman"/>
        </w:rPr>
        <w:t>s.  In addition, if the exposure</w:t>
      </w:r>
      <w:r>
        <w:rPr>
          <w:rFonts w:ascii="Times New Roman"/>
        </w:rPr>
        <w:t xml:space="preserve"> monitoring</w:t>
      </w:r>
      <w:r w:rsidRPr="003D7BA0">
        <w:rPr>
          <w:rFonts w:ascii="Times New Roman"/>
        </w:rPr>
        <w:t xml:space="preserve"> results show that an </w:t>
      </w:r>
      <w:r w:rsidR="00CD4427">
        <w:rPr>
          <w:rFonts w:ascii="Times New Roman"/>
        </w:rPr>
        <w:t>worker</w:t>
      </w:r>
      <w:r w:rsidRPr="003D7BA0">
        <w:rPr>
          <w:rFonts w:ascii="Times New Roman"/>
        </w:rPr>
        <w:t>’s exposure exceeds the PEL</w:t>
      </w:r>
      <w:r>
        <w:rPr>
          <w:rFonts w:ascii="Times New Roman"/>
        </w:rPr>
        <w:t>,</w:t>
      </w:r>
      <w:r w:rsidRPr="003D7BA0">
        <w:rPr>
          <w:rFonts w:ascii="Times New Roman"/>
        </w:rPr>
        <w:t xml:space="preserve"> the employer must inform the exposed </w:t>
      </w:r>
      <w:r w:rsidR="00CD4427">
        <w:rPr>
          <w:rFonts w:ascii="Times New Roman"/>
        </w:rPr>
        <w:t>worker</w:t>
      </w:r>
      <w:r w:rsidRPr="003D7BA0">
        <w:rPr>
          <w:rFonts w:ascii="Times New Roman"/>
        </w:rPr>
        <w:t xml:space="preserve"> of the corrective action the employer is taking to prevent such overexposure, and the schedule for completion of this action.  Notification provides </w:t>
      </w:r>
      <w:r w:rsidR="00CD4427">
        <w:rPr>
          <w:rFonts w:ascii="Times New Roman"/>
        </w:rPr>
        <w:t>worker</w:t>
      </w:r>
      <w:r w:rsidRPr="003D7BA0">
        <w:rPr>
          <w:rFonts w:ascii="Times New Roman"/>
        </w:rPr>
        <w:t xml:space="preserve">s with information about the efforts the employer is taking to lower </w:t>
      </w:r>
      <w:r>
        <w:rPr>
          <w:rFonts w:ascii="Times New Roman"/>
        </w:rPr>
        <w:t>t</w:t>
      </w:r>
      <w:r w:rsidRPr="003D7BA0">
        <w:rPr>
          <w:rFonts w:ascii="Times New Roman"/>
        </w:rPr>
        <w:t xml:space="preserve">heir </w:t>
      </w:r>
      <w:r>
        <w:rPr>
          <w:rFonts w:ascii="Times New Roman"/>
        </w:rPr>
        <w:t>lead</w:t>
      </w:r>
      <w:r w:rsidRPr="003D7BA0">
        <w:rPr>
          <w:rFonts w:ascii="Times New Roman"/>
        </w:rPr>
        <w:t xml:space="preserve"> exposures and to furnish them with a safe and healthful workplace in accordance with section 8(c</w:t>
      </w:r>
      <w:proofErr w:type="gramStart"/>
      <w:r w:rsidRPr="003D7BA0">
        <w:rPr>
          <w:rFonts w:ascii="Times New Roman"/>
        </w:rPr>
        <w:t>)(</w:t>
      </w:r>
      <w:proofErr w:type="gramEnd"/>
      <w:r w:rsidRPr="003D7BA0">
        <w:rPr>
          <w:rFonts w:ascii="Times New Roman"/>
        </w:rPr>
        <w:t>3) of the Act.</w:t>
      </w:r>
    </w:p>
    <w:p w:rsidR="00E44D91" w:rsidRDefault="00E44D9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Compliance Program (</w:t>
      </w:r>
      <w:r>
        <w:rPr>
          <w:rFonts w:ascii="Times New Roman"/>
          <w:b/>
          <w:bCs/>
        </w:rPr>
        <w:t>§</w:t>
      </w:r>
      <w:r w:rsidRPr="0052502E">
        <w:rPr>
          <w:rFonts w:ascii="Times New Roman"/>
          <w:b/>
          <w:bCs/>
        </w:rPr>
        <w:t xml:space="preserve"> 1910.1025(e</w:t>
      </w:r>
      <w:proofErr w:type="gramStart"/>
      <w:r w:rsidRPr="0052502E">
        <w:rPr>
          <w:rFonts w:ascii="Times New Roman"/>
          <w:b/>
          <w:bCs/>
        </w:rPr>
        <w:t>)(</w:t>
      </w:r>
      <w:proofErr w:type="gramEnd"/>
      <w:r w:rsidRPr="0052502E">
        <w:rPr>
          <w:rFonts w:ascii="Times New Roman"/>
          <w:b/>
          <w:bCs/>
        </w:rPr>
        <w:t>3))</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Compliance Program</w:t>
      </w:r>
      <w:r w:rsidRPr="0052502E">
        <w:rPr>
          <w:rFonts w:ascii="Times New Roman"/>
        </w:rPr>
        <w:t xml:space="preserve"> (</w:t>
      </w:r>
      <w:r>
        <w:rPr>
          <w:rFonts w:ascii="Times New Roman"/>
        </w:rPr>
        <w:t>§</w:t>
      </w:r>
      <w:r w:rsidRPr="0052502E">
        <w:rPr>
          <w:rFonts w:ascii="Times New Roman"/>
        </w:rPr>
        <w:t xml:space="preserve"> 1910.1025(e</w:t>
      </w:r>
      <w:proofErr w:type="gramStart"/>
      <w:r w:rsidRPr="0052502E">
        <w:rPr>
          <w:rFonts w:ascii="Times New Roman"/>
        </w:rPr>
        <w:t>)(</w:t>
      </w:r>
      <w:proofErr w:type="gramEnd"/>
      <w:r w:rsidRPr="0052502E">
        <w:rPr>
          <w:rFonts w:ascii="Times New Roman"/>
        </w:rPr>
        <w:t>3)(</w:t>
      </w:r>
      <w:proofErr w:type="spellStart"/>
      <w:r>
        <w:rPr>
          <w:rFonts w:ascii="Times New Roman"/>
        </w:rPr>
        <w:t>i</w:t>
      </w:r>
      <w:proofErr w:type="spellEnd"/>
      <w:r>
        <w:rPr>
          <w:rFonts w:ascii="Times New Roman"/>
        </w:rPr>
        <w:t>)</w:t>
      </w:r>
      <w:r w:rsidRPr="0052502E">
        <w:rPr>
          <w:rFonts w:ascii="Times New Roman"/>
        </w:rPr>
        <w:t>(iv))</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employers establish and implement a written compliance program to reduce </w:t>
      </w:r>
      <w:r w:rsidR="00CD4427">
        <w:rPr>
          <w:rFonts w:ascii="Times New Roman"/>
        </w:rPr>
        <w:t>worker</w:t>
      </w:r>
      <w:r w:rsidRPr="0052502E">
        <w:rPr>
          <w:rFonts w:ascii="Times New Roman"/>
        </w:rPr>
        <w:t xml:space="preserve"> exposures to or below the PEL solely by means of engineering and work practice controls.  These written plans must be revised and updated </w:t>
      </w:r>
      <w:r>
        <w:rPr>
          <w:rFonts w:ascii="Times New Roman"/>
        </w:rPr>
        <w:t>annually</w:t>
      </w:r>
      <w:r w:rsidRPr="0052502E">
        <w:rPr>
          <w:rFonts w:ascii="Times New Roman"/>
        </w:rPr>
        <w:t xml:space="preserve"> to reflect the current status of the program.</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compliance plans must include at least the following information:  (1) a description of each operation in which lead is emitted, e.g., machinery used, material processed, controls in place, crew size, </w:t>
      </w:r>
      <w:r w:rsidR="00CD4427">
        <w:rPr>
          <w:rFonts w:ascii="Times New Roman"/>
        </w:rPr>
        <w:t>worker</w:t>
      </w:r>
      <w:r w:rsidRPr="0052502E">
        <w:rPr>
          <w:rFonts w:ascii="Times New Roman"/>
        </w:rPr>
        <w:t xml:space="preserve"> job responsibilities, operating procedures, and maintenance practices;  (2) a description of the specific means that will be employed to achieve compliance with the lead standard, including engineering plans and studies used to determine methods selected for controlling exposure to lead; (3) a report of the technology considered in meeting the PEL; (4) air monitoring data that document the source of lead emissions; (5) a detailed schedule for implementation of the program, including documentation such as copies of purchase orders for equipment, construction contracts, etc.; (6) a work practice program that includes items required under paragraphs (g) "Protective Work Clothing and Equipment", (h) "Housekeeping", and (</w:t>
      </w:r>
      <w:proofErr w:type="spellStart"/>
      <w:r w:rsidRPr="0052502E">
        <w:rPr>
          <w:rFonts w:ascii="Times New Roman"/>
        </w:rPr>
        <w:t>i</w:t>
      </w:r>
      <w:proofErr w:type="spellEnd"/>
      <w:r w:rsidRPr="0052502E">
        <w:rPr>
          <w:rFonts w:ascii="Times New Roman"/>
        </w:rPr>
        <w:t>) "Hygiene facilities and practices" of this regulation; (7) an administrative control schedule, if applicable; and (8) other relevant information.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Written compliance plans must be submitted upon request to OSHA </w:t>
      </w:r>
      <w:r w:rsidRPr="000B7A35">
        <w:rPr>
          <w:rFonts w:ascii="Times New Roman"/>
        </w:rPr>
        <w:t xml:space="preserve">and to the National Institute for Occupational Safety and Health (NIOSH), </w:t>
      </w:r>
      <w:r w:rsidRPr="0052502E">
        <w:rPr>
          <w:rFonts w:ascii="Times New Roman"/>
        </w:rPr>
        <w:t xml:space="preserve">and must be available at the worksite for examination and copying by representatives of </w:t>
      </w:r>
      <w:r w:rsidRPr="000B7A35">
        <w:rPr>
          <w:rFonts w:ascii="Times New Roman"/>
        </w:rPr>
        <w:t>these government officials</w:t>
      </w:r>
      <w:r w:rsidRPr="0052502E">
        <w:rPr>
          <w:rFonts w:ascii="Times New Roman"/>
        </w:rPr>
        <w:t xml:space="preserve">, </w:t>
      </w:r>
      <w:r w:rsidR="00CD4427">
        <w:rPr>
          <w:rFonts w:ascii="Times New Roman"/>
        </w:rPr>
        <w:t>worker</w:t>
      </w:r>
      <w:r w:rsidRPr="0052502E">
        <w:rPr>
          <w:rFonts w:ascii="Times New Roman"/>
        </w:rPr>
        <w:t xml:space="preserve">s, and authorized </w:t>
      </w:r>
      <w:r w:rsidR="00CD4427">
        <w:rPr>
          <w:rFonts w:ascii="Times New Roman"/>
        </w:rPr>
        <w:t>worker</w:t>
      </w:r>
      <w:r w:rsidRPr="0052502E">
        <w:rPr>
          <w:rFonts w:ascii="Times New Roman"/>
        </w:rPr>
        <w:t xml:space="preserve"> representatives.</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 xml:space="preserve">The purpose of requiring an employer to establish a written compliance program is to effectively promote required compliance with the standard's Permissible Exposure Limits.  The written </w:t>
      </w:r>
      <w:r w:rsidRPr="0052502E">
        <w:rPr>
          <w:rFonts w:ascii="Times New Roman"/>
        </w:rPr>
        <w:lastRenderedPageBreak/>
        <w:t xml:space="preserve">program requirement commits the employer to evaluating </w:t>
      </w:r>
      <w:r w:rsidR="00CD4427">
        <w:rPr>
          <w:rFonts w:ascii="Times New Roman"/>
        </w:rPr>
        <w:t>worker</w:t>
      </w:r>
      <w:r w:rsidRPr="0052502E">
        <w:rPr>
          <w:rFonts w:ascii="Times New Roman"/>
        </w:rPr>
        <w:t xml:space="preserve"> exposure and setting down an organized and complete plan of reducing </w:t>
      </w:r>
      <w:r w:rsidR="00CD4427">
        <w:rPr>
          <w:rFonts w:ascii="Times New Roman"/>
        </w:rPr>
        <w:t>worker</w:t>
      </w:r>
      <w:r w:rsidRPr="0052502E">
        <w:rPr>
          <w:rFonts w:ascii="Times New Roman"/>
        </w:rPr>
        <w:t xml:space="preserve"> exposure to the permissible exposure limits.  The plan also provides </w:t>
      </w:r>
      <w:r w:rsidR="00CD4427">
        <w:rPr>
          <w:rFonts w:ascii="Times New Roman"/>
        </w:rPr>
        <w:t>worker</w:t>
      </w:r>
      <w:r w:rsidRPr="0052502E">
        <w:rPr>
          <w:rFonts w:ascii="Times New Roman"/>
        </w:rPr>
        <w:t xml:space="preserve">s, and their designated representatives, a resource to ensure that all appropriate protective steps will be taken to protect them from hazardous exposure. </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Administrative Controls</w:t>
      </w:r>
      <w:r w:rsidRPr="0052502E">
        <w:rPr>
          <w:rFonts w:ascii="Times New Roman"/>
        </w:rPr>
        <w:t xml:space="preserve"> (</w:t>
      </w:r>
      <w:r>
        <w:rPr>
          <w:rFonts w:ascii="Times New Roman"/>
        </w:rPr>
        <w:t>§ 1910.1025(e</w:t>
      </w:r>
      <w:proofErr w:type="gramStart"/>
      <w:r>
        <w:rPr>
          <w:rFonts w:ascii="Times New Roman"/>
        </w:rPr>
        <w:t>)(</w:t>
      </w:r>
      <w:proofErr w:type="gramEnd"/>
      <w:r>
        <w:rPr>
          <w:rFonts w:ascii="Times New Roman"/>
        </w:rPr>
        <w:t>5</w:t>
      </w:r>
      <w:r w:rsidRPr="0052502E">
        <w:rPr>
          <w:rFonts w:ascii="Times New Roman"/>
        </w:rPr>
        <w:t>)(</w:t>
      </w:r>
      <w:proofErr w:type="spellStart"/>
      <w:r>
        <w:rPr>
          <w:rFonts w:ascii="Times New Roman"/>
        </w:rPr>
        <w:t>i</w:t>
      </w:r>
      <w:proofErr w:type="spellEnd"/>
      <w:r w:rsidRPr="0052502E">
        <w:rPr>
          <w:rFonts w:ascii="Times New Roman"/>
        </w:rPr>
        <w:t>)</w:t>
      </w:r>
      <w:r w:rsidRPr="0052502E">
        <w:rPr>
          <w:rFonts w:ascii="Times New Roman"/>
        </w:rPr>
        <w:noBreakHyphen/>
        <w:t>(iii))</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administrative controls are used as a means of reducing </w:t>
      </w:r>
      <w:r w:rsidR="00CD4427">
        <w:rPr>
          <w:rFonts w:ascii="Times New Roman"/>
        </w:rPr>
        <w:t>worker</w:t>
      </w:r>
      <w:r w:rsidRPr="0052502E">
        <w:rPr>
          <w:rFonts w:ascii="Times New Roman"/>
        </w:rPr>
        <w:t xml:space="preserve">s' TWA exposure to lead, the employer must establish and implement a job rotation schedule that includes the following information:  (1) name or identification number of each affected </w:t>
      </w:r>
      <w:r w:rsidR="00CD4427">
        <w:rPr>
          <w:rFonts w:ascii="Times New Roman"/>
        </w:rPr>
        <w:t>worker</w:t>
      </w:r>
      <w:r w:rsidRPr="0052502E">
        <w:rPr>
          <w:rFonts w:ascii="Times New Roman"/>
        </w:rPr>
        <w:t xml:space="preserve">; (2) duration and exposure levels at each job or work station where each affected </w:t>
      </w:r>
      <w:r w:rsidR="00CD4427">
        <w:rPr>
          <w:rFonts w:ascii="Times New Roman"/>
        </w:rPr>
        <w:t>worker</w:t>
      </w:r>
      <w:r w:rsidRPr="0052502E">
        <w:rPr>
          <w:rFonts w:ascii="Times New Roman"/>
        </w:rPr>
        <w:t xml:space="preserve"> is located; and (3) any other information that may be useful in assessing the reliability of administrative controls to reduce exposure to lead.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Respirator Program (</w:t>
      </w:r>
      <w:r>
        <w:rPr>
          <w:rFonts w:ascii="Times New Roman"/>
          <w:b/>
          <w:bCs/>
        </w:rPr>
        <w:t>§</w:t>
      </w:r>
      <w:r w:rsidRPr="0052502E">
        <w:rPr>
          <w:rFonts w:ascii="Times New Roman"/>
          <w:b/>
          <w:bCs/>
        </w:rPr>
        <w:t xml:space="preserve"> 1910.1025(f</w:t>
      </w:r>
      <w:proofErr w:type="gramStart"/>
      <w:r w:rsidRPr="0052502E">
        <w:rPr>
          <w:rFonts w:ascii="Times New Roman"/>
          <w:b/>
          <w:bCs/>
        </w:rPr>
        <w:t>)(</w:t>
      </w:r>
      <w:proofErr w:type="gramEnd"/>
      <w:r w:rsidRPr="0052502E">
        <w:rPr>
          <w:rFonts w:ascii="Times New Roman"/>
          <w:b/>
          <w:bCs/>
        </w:rPr>
        <w:t>2))</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Where the use of respiratory protective equipment is required or permitted under the provisions of the lead standard, the employer must institute a respirator program in accordance with 29 CFR 1910.134(b) through (d) (except (d</w:t>
      </w:r>
      <w:proofErr w:type="gramStart"/>
      <w:r w:rsidRPr="0052502E">
        <w:rPr>
          <w:rFonts w:ascii="Times New Roman"/>
        </w:rPr>
        <w:t>)(</w:t>
      </w:r>
      <w:proofErr w:type="gramEnd"/>
      <w:r w:rsidRPr="0052502E">
        <w:rPr>
          <w:rFonts w:ascii="Times New Roman"/>
        </w:rPr>
        <w:t>1)(iii)), and (f) through</w:t>
      </w:r>
      <w:r>
        <w:rPr>
          <w:rFonts w:ascii="Times New Roman"/>
        </w:rPr>
        <w:t xml:space="preserve"> </w:t>
      </w:r>
      <w:r w:rsidRPr="0052502E">
        <w:rPr>
          <w:rFonts w:ascii="Times New Roman"/>
        </w:rPr>
        <w:t xml:space="preserve">(m).  29 CFR 1910.134 (b) and (e) require that written standard operating procedures governing the selection and use of respirators be established. The purpose of these requirements is to ensure that employers establish a standardized procedure for selecting, using, and maintaining respirators for each workplace where respirators will be used.  Developing written procedures requires employers to think through just how all of their requirements of the respiratory standard will be met in their workplace. </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Notifying the Laundry (</w:t>
      </w:r>
      <w:r>
        <w:rPr>
          <w:rFonts w:ascii="Times New Roman"/>
          <w:b/>
          <w:bCs/>
        </w:rPr>
        <w:t>§</w:t>
      </w:r>
      <w:r w:rsidRPr="0052502E">
        <w:rPr>
          <w:rFonts w:ascii="Times New Roman"/>
          <w:b/>
          <w:bCs/>
        </w:rPr>
        <w:t xml:space="preserve"> 1910.1025(g</w:t>
      </w:r>
      <w:proofErr w:type="gramStart"/>
      <w:r w:rsidRPr="0052502E">
        <w:rPr>
          <w:rFonts w:ascii="Times New Roman"/>
          <w:b/>
          <w:bCs/>
        </w:rPr>
        <w:t>)</w:t>
      </w:r>
      <w:r>
        <w:rPr>
          <w:rFonts w:ascii="Times New Roman"/>
          <w:b/>
          <w:bCs/>
        </w:rPr>
        <w:t>(</w:t>
      </w:r>
      <w:proofErr w:type="gramEnd"/>
      <w:r>
        <w:rPr>
          <w:rFonts w:ascii="Times New Roman"/>
          <w:b/>
          <w:bCs/>
        </w:rPr>
        <w:t>2)</w:t>
      </w:r>
      <w:r w:rsidRPr="0052502E">
        <w:rPr>
          <w:rFonts w:ascii="Times New Roman"/>
          <w:b/>
          <w:bCs/>
        </w:rPr>
        <w:t>(vi))</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standard requires employer</w:t>
      </w:r>
      <w:r>
        <w:rPr>
          <w:rFonts w:ascii="Times New Roman"/>
        </w:rPr>
        <w:t>s</w:t>
      </w:r>
      <w:r w:rsidRPr="0052502E">
        <w:rPr>
          <w:rFonts w:ascii="Times New Roman"/>
        </w:rPr>
        <w:t xml:space="preserve"> to inform, in writing, any person who launders or cleans protective clothing or equipment of the potentially harmful effects of exposure to lead.</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By providing this information to the person doing the laundry, they are </w:t>
      </w:r>
      <w:r w:rsidR="002E3FC9">
        <w:rPr>
          <w:rFonts w:ascii="Times New Roman"/>
        </w:rPr>
        <w:t>informed of the presence and potentially harmful effects of lead</w:t>
      </w:r>
      <w:r w:rsidRPr="0052502E">
        <w:rPr>
          <w:rFonts w:ascii="Times New Roman"/>
        </w:rPr>
        <w:t>.</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F271D5" w:rsidRDefault="0086393F"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Pr>
          <w:rFonts w:ascii="Times New Roman"/>
          <w:b/>
        </w:rPr>
        <w:t>Labeling of Contaminated Protective Clothing and Equipment</w:t>
      </w:r>
      <w:r w:rsidR="00E012CD">
        <w:rPr>
          <w:rFonts w:ascii="Times New Roman"/>
          <w:b/>
        </w:rPr>
        <w:t xml:space="preserve"> </w:t>
      </w:r>
      <w:r w:rsidR="00E012CD" w:rsidRPr="0052502E">
        <w:rPr>
          <w:rFonts w:ascii="Times New Roman"/>
          <w:b/>
          <w:bCs/>
        </w:rPr>
        <w:t>(</w:t>
      </w:r>
      <w:r w:rsidR="00E012CD">
        <w:rPr>
          <w:rFonts w:ascii="Times New Roman"/>
          <w:b/>
          <w:bCs/>
        </w:rPr>
        <w:t>§</w:t>
      </w:r>
      <w:r w:rsidR="00E012CD" w:rsidRPr="0052502E">
        <w:rPr>
          <w:rFonts w:ascii="Times New Roman"/>
          <w:b/>
          <w:bCs/>
        </w:rPr>
        <w:t xml:space="preserve"> 1910.1025(g</w:t>
      </w:r>
      <w:proofErr w:type="gramStart"/>
      <w:r w:rsidR="00E012CD" w:rsidRPr="0052502E">
        <w:rPr>
          <w:rFonts w:ascii="Times New Roman"/>
          <w:b/>
          <w:bCs/>
        </w:rPr>
        <w:t>)</w:t>
      </w:r>
      <w:r w:rsidR="00E012CD">
        <w:rPr>
          <w:rFonts w:ascii="Times New Roman"/>
          <w:b/>
          <w:bCs/>
        </w:rPr>
        <w:t>(</w:t>
      </w:r>
      <w:proofErr w:type="gramEnd"/>
      <w:r w:rsidR="00E012CD">
        <w:rPr>
          <w:rFonts w:ascii="Times New Roman"/>
          <w:b/>
          <w:bCs/>
        </w:rPr>
        <w:t>2)</w:t>
      </w:r>
      <w:r w:rsidR="00E012CD" w:rsidRPr="0052502E">
        <w:rPr>
          <w:rFonts w:ascii="Times New Roman"/>
          <w:b/>
          <w:bCs/>
        </w:rPr>
        <w:t>(</w:t>
      </w:r>
      <w:r w:rsidR="00E012CD">
        <w:rPr>
          <w:rFonts w:ascii="Times New Roman"/>
          <w:b/>
          <w:bCs/>
        </w:rPr>
        <w:t>vi</w:t>
      </w:r>
      <w:r w:rsidR="00E012CD" w:rsidRPr="0052502E">
        <w:rPr>
          <w:rFonts w:ascii="Times New Roman"/>
          <w:b/>
          <w:bCs/>
        </w:rPr>
        <w:t>i))</w:t>
      </w:r>
    </w:p>
    <w:p w:rsidR="0086393F" w:rsidRPr="0086393F" w:rsidRDefault="0086393F" w:rsidP="0086393F">
      <w:pPr>
        <w:pStyle w:val="NormalWeb"/>
      </w:pPr>
      <w:r w:rsidRPr="0086393F">
        <w:t xml:space="preserve">Employers must ensure that labels of bags or containers of contaminated protective clothing and equipment required by </w:t>
      </w:r>
      <w:r w:rsidRPr="00EC0331">
        <w:t>paragraph (g</w:t>
      </w:r>
      <w:proofErr w:type="gramStart"/>
      <w:r w:rsidRPr="00EC0331">
        <w:t>)(</w:t>
      </w:r>
      <w:proofErr w:type="gramEnd"/>
      <w:r w:rsidRPr="00EC0331">
        <w:t xml:space="preserve">2)(v).  </w:t>
      </w:r>
      <w:r w:rsidR="00EC0331">
        <w:t>As required by paragraph</w:t>
      </w:r>
      <w:r w:rsidR="00EC0331" w:rsidRPr="0086393F">
        <w:t xml:space="preserve"> (g</w:t>
      </w:r>
      <w:proofErr w:type="gramStart"/>
      <w:r w:rsidR="00EC0331" w:rsidRPr="0086393F">
        <w:t>)(</w:t>
      </w:r>
      <w:proofErr w:type="gramEnd"/>
      <w:r w:rsidR="00EC0331" w:rsidRPr="0086393F">
        <w:t>2)(vii)(A)</w:t>
      </w:r>
      <w:r w:rsidR="00EC0331">
        <w:t>, t</w:t>
      </w:r>
      <w:r w:rsidRPr="00EC0331">
        <w:t xml:space="preserve">he labels must state: </w:t>
      </w:r>
      <w:r w:rsidR="000C7A9B">
        <w:t>“</w:t>
      </w:r>
      <w:r w:rsidRPr="0086393F">
        <w:t xml:space="preserve">DANGER: CLOTHING AND EQUIPMENT CONTAMINATED WITH LEAD. </w:t>
      </w:r>
      <w:r>
        <w:t xml:space="preserve"> </w:t>
      </w:r>
      <w:proofErr w:type="gramStart"/>
      <w:r w:rsidRPr="0086393F">
        <w:t>MAY DAMAGE FERTILITY OR THE UNBORN CHILD.</w:t>
      </w:r>
      <w:proofErr w:type="gramEnd"/>
      <w:r w:rsidRPr="0086393F">
        <w:t xml:space="preserve"> CAUSES DAMAGE TO THE CENTRAL NERVOUS SYSTEM. DO NOT EAT, DRINK OR SMOKE WHEN HANDLING. DO NOT REMOVE DUST BY BLOWING OR SHAKING. DISPOSE OF LEAD CONTAMINATED WASH WATER IN ACCORDANCE WITH APPLICABLE LOCAL, STATE, OR FEDERAL REGULATIONS.</w:t>
      </w:r>
      <w:r w:rsidR="000C7A9B">
        <w:t>”</w:t>
      </w:r>
    </w:p>
    <w:p w:rsidR="0086393F" w:rsidRDefault="0086393F" w:rsidP="002C49DA">
      <w:pPr>
        <w:pStyle w:val="NormalWeb"/>
      </w:pPr>
      <w:r w:rsidRPr="0086393F">
        <w:lastRenderedPageBreak/>
        <w:t>Prior to June 1, 2015, employers may include the following information on bags or containers of contaminated protective clothing and equipment in lieu of the labeling requirements in paragraphs (g</w:t>
      </w:r>
      <w:proofErr w:type="gramStart"/>
      <w:r w:rsidRPr="0086393F">
        <w:t>)(</w:t>
      </w:r>
      <w:proofErr w:type="gramEnd"/>
      <w:r w:rsidRPr="0086393F">
        <w:t>2)(vii)(A):  CAUTION: CLOTHING CONTAMINATED WITH LEAD. DO NOT REMOVE DUST BY BLOWING OR SHAKING. DISPOSE OF LEAD CONTAMINATED WASH WATER IN ACCORDANCE WITH APPLICABLE LOCAL, STATE, OR FEDERAL REGULATIONS.</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Melior" w:eastAsia="Times New Roman" w:hAnsi="Melior" w:cs="Melior"/>
        </w:rPr>
      </w:pPr>
      <w:r>
        <w:rPr>
          <w:rFonts w:ascii="Times New Roman"/>
        </w:rPr>
        <w:t xml:space="preserve">Warning labels inform downstream </w:t>
      </w:r>
      <w:r w:rsidR="00CD4427">
        <w:rPr>
          <w:rFonts w:ascii="Times New Roman"/>
        </w:rPr>
        <w:t>worker</w:t>
      </w:r>
      <w:r>
        <w:rPr>
          <w:rFonts w:ascii="Times New Roman"/>
        </w:rPr>
        <w:t xml:space="preserve">s and employers of the hazards associated with lead, and that they may need to implement special practices to prevent or reduce lead exposure.  Furthermore, the labels alert downstream employers that they may have an obligation to protect their </w:t>
      </w:r>
      <w:r w:rsidR="00CD4427">
        <w:rPr>
          <w:rFonts w:ascii="Times New Roman"/>
        </w:rPr>
        <w:t>worker</w:t>
      </w:r>
      <w:r>
        <w:rPr>
          <w:rFonts w:ascii="Times New Roman"/>
        </w:rPr>
        <w:t>s under the Standard</w:t>
      </w:r>
      <w:r w:rsidRPr="00333C3B">
        <w:rPr>
          <w:rFonts w:ascii="Times New Roman"/>
        </w:rPr>
        <w:t>.</w:t>
      </w:r>
    </w:p>
    <w:p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b/>
          <w:bCs/>
        </w:rPr>
        <w:t>Medical Surveillance (</w:t>
      </w:r>
      <w:r>
        <w:rPr>
          <w:rFonts w:ascii="Times New Roman"/>
          <w:b/>
          <w:bCs/>
        </w:rPr>
        <w:t>§</w:t>
      </w:r>
      <w:r w:rsidRPr="0052502E">
        <w:rPr>
          <w:rFonts w:ascii="Times New Roman"/>
          <w:b/>
          <w:bCs/>
        </w:rPr>
        <w:t xml:space="preserve"> 1910.1025(j))</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institute a medical surveillance program for all </w:t>
      </w:r>
      <w:r w:rsidR="00CD4427">
        <w:rPr>
          <w:rFonts w:ascii="Times New Roman"/>
        </w:rPr>
        <w:t>worker</w:t>
      </w:r>
      <w:r w:rsidRPr="0052502E">
        <w:rPr>
          <w:rFonts w:ascii="Times New Roman"/>
        </w:rPr>
        <w:t xml:space="preserve">s who are or may be exposed to lead </w:t>
      </w:r>
      <w:r>
        <w:rPr>
          <w:rFonts w:ascii="Times New Roman"/>
        </w:rPr>
        <w:t xml:space="preserve">at or </w:t>
      </w:r>
      <w:r w:rsidRPr="0052502E">
        <w:rPr>
          <w:rFonts w:ascii="Times New Roman"/>
        </w:rPr>
        <w:t xml:space="preserve">above the action level </w:t>
      </w:r>
      <w:proofErr w:type="gramStart"/>
      <w:r w:rsidRPr="0052502E">
        <w:rPr>
          <w:rFonts w:ascii="Times New Roman"/>
        </w:rPr>
        <w:t xml:space="preserve">(30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w:t>
      </w:r>
      <w:proofErr w:type="gramEnd"/>
      <w:r w:rsidRPr="0052502E">
        <w:rPr>
          <w:rFonts w:ascii="Times New Roman"/>
        </w:rPr>
        <w:t xml:space="preserve"> for more than 30 days per year.</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Biological Monitoring</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2)(</w:t>
      </w:r>
      <w:proofErr w:type="spellStart"/>
      <w:r w:rsidRPr="0052502E">
        <w:rPr>
          <w:rFonts w:ascii="Times New Roman"/>
        </w:rPr>
        <w:t>i</w:t>
      </w:r>
      <w:proofErr w:type="spellEnd"/>
      <w:r w:rsidRPr="0052502E">
        <w:rPr>
          <w:rFonts w:ascii="Times New Roman"/>
        </w:rPr>
        <w:t>), (ii), (iv))</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r>
      <w:r w:rsidRPr="0052502E">
        <w:rPr>
          <w:rFonts w:ascii="Times New Roman"/>
          <w:u w:val="single"/>
        </w:rPr>
        <w:t>Initial Blood Lead and ZPP Level Sampling and Analysis</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2)(</w:t>
      </w:r>
      <w:proofErr w:type="spellStart"/>
      <w:r>
        <w:rPr>
          <w:rFonts w:ascii="Times New Roman"/>
        </w:rPr>
        <w:t>i</w:t>
      </w:r>
      <w:proofErr w:type="spellEnd"/>
      <w:r w:rsidRPr="0052502E">
        <w:rPr>
          <w:rFonts w:ascii="Times New Roman"/>
        </w:rP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make available at least every 6 months biological monitoring in the form of blood sampling and analysis for lead and zinc </w:t>
      </w:r>
      <w:proofErr w:type="spellStart"/>
      <w:r w:rsidRPr="0052502E">
        <w:rPr>
          <w:rFonts w:ascii="Times New Roman"/>
        </w:rPr>
        <w:t>protoporphyrin</w:t>
      </w:r>
      <w:proofErr w:type="spellEnd"/>
      <w:r w:rsidRPr="0052502E">
        <w:rPr>
          <w:rFonts w:ascii="Times New Roman"/>
        </w:rPr>
        <w:t xml:space="preserve"> (ZPP) levels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 xml:space="preserve">above the action level (30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for more than 30 days per year.</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At least every 2 months, such lead and ZPP monitoring must be made available to each </w:t>
      </w:r>
      <w:r w:rsidR="00CD4427">
        <w:rPr>
          <w:rFonts w:ascii="Times New Roman"/>
        </w:rPr>
        <w:t>worker</w:t>
      </w:r>
      <w:r w:rsidRPr="0052502E">
        <w:rPr>
          <w:rFonts w:ascii="Times New Roman"/>
        </w:rPr>
        <w:t xml:space="preserve"> whose last blood sampling and ZPP analysis indicates a blood lead level at or above 40 micrograms lead per 100 grams of whole blood (40 </w:t>
      </w:r>
      <w:proofErr w:type="spellStart"/>
      <w:r w:rsidRPr="0052502E">
        <w:rPr>
          <w:rFonts w:ascii="Times New Roman"/>
        </w:rPr>
        <w:t>ug</w:t>
      </w:r>
      <w:proofErr w:type="spellEnd"/>
      <w:r w:rsidRPr="0052502E">
        <w:rPr>
          <w:rFonts w:ascii="Times New Roman"/>
        </w:rPr>
        <w:t xml:space="preserve">/100 g).  This frequency of sampling must continue until two consecutive blood samples and ZPP analyses indicate a blood lead level below 40 </w:t>
      </w:r>
      <w:proofErr w:type="spellStart"/>
      <w:r w:rsidRPr="0052502E">
        <w:rPr>
          <w:rFonts w:ascii="Times New Roman"/>
        </w:rPr>
        <w:t>ug</w:t>
      </w:r>
      <w:proofErr w:type="spellEnd"/>
      <w:r w:rsidRPr="0052502E">
        <w:rPr>
          <w:rFonts w:ascii="Times New Roman"/>
        </w:rPr>
        <w:t xml:space="preserve">/100 g.  Lead and ZPP monitoring must be conducted at least monthly during the removal period for each </w:t>
      </w:r>
      <w:r w:rsidR="00CD4427">
        <w:rPr>
          <w:rFonts w:ascii="Times New Roman"/>
        </w:rPr>
        <w:t>worker</w:t>
      </w:r>
      <w:r w:rsidRPr="0052502E">
        <w:rPr>
          <w:rFonts w:ascii="Times New Roman"/>
        </w:rPr>
        <w:t xml:space="preserve"> removed from exposure to lead due to an elevated blood lead level.</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r w:rsidRPr="0052502E">
        <w:rPr>
          <w:rFonts w:ascii="Times New Roman"/>
        </w:rPr>
        <w:t>(2)</w:t>
      </w:r>
      <w:r w:rsidRPr="0052502E">
        <w:rPr>
          <w:rFonts w:ascii="Times New Roman"/>
        </w:rPr>
        <w:tab/>
      </w:r>
      <w:r w:rsidRPr="0052502E">
        <w:rPr>
          <w:rFonts w:ascii="Times New Roman"/>
          <w:u w:val="single"/>
        </w:rPr>
        <w:t>Follow</w:t>
      </w:r>
      <w:r w:rsidRPr="0052502E">
        <w:rPr>
          <w:rFonts w:ascii="Times New Roman"/>
          <w:u w:val="single"/>
        </w:rPr>
        <w:noBreakHyphen/>
        <w:t>up Blood Sampling Tests</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2)(ii))</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Whenever the results of a blood lead level test indicate that a </w:t>
      </w:r>
      <w:r w:rsidR="00CD4427">
        <w:rPr>
          <w:rFonts w:ascii="Times New Roman"/>
        </w:rPr>
        <w:t>worker</w:t>
      </w:r>
      <w:r w:rsidRPr="0052502E">
        <w:rPr>
          <w:rFonts w:ascii="Times New Roman"/>
        </w:rPr>
        <w:t xml:space="preserve">'s blood lead level </w:t>
      </w:r>
      <w:r>
        <w:rPr>
          <w:rFonts w:ascii="Times New Roman"/>
        </w:rPr>
        <w:t xml:space="preserve">at or above </w:t>
      </w:r>
      <w:r w:rsidRPr="0052502E">
        <w:rPr>
          <w:rFonts w:ascii="Times New Roman"/>
        </w:rPr>
        <w:t>the numerical criterion for medical removal under paragraph (k)(1)(</w:t>
      </w:r>
      <w:proofErr w:type="spellStart"/>
      <w:r>
        <w:rPr>
          <w:rFonts w:ascii="Times New Roman"/>
        </w:rPr>
        <w:t>i</w:t>
      </w:r>
      <w:proofErr w:type="spellEnd"/>
      <w:r w:rsidRPr="0052502E">
        <w:rPr>
          <w:rFonts w:ascii="Times New Roman"/>
        </w:rPr>
        <w:t>)(A), the employer must provide a second (follow</w:t>
      </w:r>
      <w:r w:rsidRPr="0052502E">
        <w:rPr>
          <w:rFonts w:ascii="Times New Roman"/>
        </w:rPr>
        <w:noBreakHyphen/>
        <w:t>up) blood sampling test within 2 weeks after the employer receives the results of the first blood sampling test.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360"/>
        <w:rPr>
          <w:rFonts w:ascii="Times New Roman"/>
        </w:rPr>
      </w:pPr>
      <w:r w:rsidRPr="0052502E">
        <w:rPr>
          <w:rFonts w:ascii="Times New Roman"/>
        </w:rPr>
        <w:t>(3)</w:t>
      </w:r>
      <w:r w:rsidRPr="0052502E">
        <w:rPr>
          <w:rFonts w:ascii="Times New Roman"/>
        </w:rPr>
        <w:tab/>
      </w:r>
      <w:r>
        <w:rPr>
          <w:rFonts w:ascii="Times New Roman"/>
          <w:u w:val="single"/>
        </w:rPr>
        <w:t>Employee</w:t>
      </w:r>
      <w:r w:rsidRPr="0052502E">
        <w:rPr>
          <w:rFonts w:ascii="Times New Roman"/>
          <w:u w:val="single"/>
        </w:rPr>
        <w:t xml:space="preserve"> Notification of Biological Monitoring Results</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2)(iv))</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Within 5 working days after the receipt of biological monitoring results, the employer must notify in writing each </w:t>
      </w:r>
      <w:r w:rsidR="00CD4427">
        <w:rPr>
          <w:rFonts w:ascii="Times New Roman"/>
        </w:rPr>
        <w:t>worker</w:t>
      </w:r>
      <w:r w:rsidRPr="0052502E">
        <w:rPr>
          <w:rFonts w:ascii="Times New Roman"/>
        </w:rPr>
        <w:t xml:space="preserve"> whose blood lead level </w:t>
      </w:r>
      <w:r>
        <w:rPr>
          <w:rFonts w:ascii="Times New Roman"/>
        </w:rPr>
        <w:t>is at or above</w:t>
      </w:r>
      <w:r w:rsidRPr="0052502E">
        <w:rPr>
          <w:rFonts w:ascii="Times New Roman"/>
        </w:rPr>
        <w:t xml:space="preserve"> 40 </w:t>
      </w:r>
      <w:proofErr w:type="spellStart"/>
      <w:r w:rsidRPr="0052502E">
        <w:rPr>
          <w:rFonts w:ascii="Times New Roman"/>
        </w:rPr>
        <w:t>ug</w:t>
      </w:r>
      <w:proofErr w:type="spellEnd"/>
      <w:r w:rsidRPr="0052502E">
        <w:rPr>
          <w:rFonts w:ascii="Times New Roman"/>
        </w:rPr>
        <w:t xml:space="preserve">/100 g.  The employer must inform the affected </w:t>
      </w:r>
      <w:r w:rsidR="00CD4427">
        <w:rPr>
          <w:rFonts w:ascii="Times New Roman"/>
        </w:rPr>
        <w:t>worker</w:t>
      </w:r>
      <w:r w:rsidRPr="0052502E">
        <w:rPr>
          <w:rFonts w:ascii="Times New Roman"/>
        </w:rPr>
        <w:t xml:space="preserve"> </w:t>
      </w:r>
      <w:r>
        <w:rPr>
          <w:rFonts w:ascii="Times New Roman"/>
        </w:rPr>
        <w:t xml:space="preserve">of that </w:t>
      </w:r>
      <w:r w:rsidR="00CD4427">
        <w:rPr>
          <w:rFonts w:ascii="Times New Roman"/>
        </w:rPr>
        <w:t>worker</w:t>
      </w:r>
      <w:r>
        <w:rPr>
          <w:rFonts w:ascii="Times New Roman"/>
        </w:rPr>
        <w:t xml:space="preserve">’s blood lead level, and </w:t>
      </w:r>
      <w:r w:rsidRPr="0052502E">
        <w:rPr>
          <w:rFonts w:ascii="Times New Roman"/>
        </w:rPr>
        <w:t xml:space="preserve">of the fact that the </w:t>
      </w:r>
      <w:r w:rsidRPr="0052502E">
        <w:rPr>
          <w:rFonts w:ascii="Times New Roman"/>
        </w:rPr>
        <w:lastRenderedPageBreak/>
        <w:t xml:space="preserve">standard requires temporary medical removal with Medical Removal Protection benefits when a </w:t>
      </w:r>
      <w:r w:rsidR="00CD4427">
        <w:rPr>
          <w:rFonts w:ascii="Times New Roman"/>
        </w:rPr>
        <w:t>worker</w:t>
      </w:r>
      <w:r w:rsidRPr="0052502E">
        <w:rPr>
          <w:rFonts w:ascii="Times New Roman"/>
        </w:rPr>
        <w:t xml:space="preserve">'s blood lead level </w:t>
      </w:r>
      <w:r w:rsidR="002E3FC9">
        <w:rPr>
          <w:rFonts w:ascii="Times New Roman"/>
        </w:rPr>
        <w:t xml:space="preserve">meets or </w:t>
      </w:r>
      <w:r w:rsidRPr="0052502E">
        <w:rPr>
          <w:rFonts w:ascii="Times New Roman"/>
        </w:rPr>
        <w:t>exceeds the numerical criterion for medical removal.</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Examinations and Consultations</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3))</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must provide medical examinations and consultations to each </w:t>
      </w:r>
      <w:r w:rsidR="00CD4427">
        <w:rPr>
          <w:rFonts w:ascii="Times New Roman"/>
        </w:rPr>
        <w:t>worker</w:t>
      </w:r>
      <w:r w:rsidRPr="0052502E">
        <w:rPr>
          <w:rFonts w:ascii="Times New Roman"/>
        </w:rPr>
        <w:t xml:space="preserve"> who is or may be exposed to lead </w:t>
      </w:r>
      <w:r w:rsidR="002E3FC9">
        <w:rPr>
          <w:rFonts w:ascii="Times New Roman"/>
        </w:rPr>
        <w:t xml:space="preserve">at or </w:t>
      </w:r>
      <w:r w:rsidRPr="0052502E">
        <w:rPr>
          <w:rFonts w:ascii="Times New Roman"/>
        </w:rPr>
        <w:t xml:space="preserve">above the action level </w:t>
      </w:r>
      <w:proofErr w:type="gramStart"/>
      <w:r w:rsidRPr="0052502E">
        <w:rPr>
          <w:rFonts w:ascii="Times New Roman"/>
        </w:rPr>
        <w:t>(30</w:t>
      </w:r>
      <w:r>
        <w:rPr>
          <w:rFonts w:ascii="Times New Roman"/>
        </w:rPr>
        <w:t xml:space="preserve">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w:t>
      </w:r>
      <w:proofErr w:type="gramEnd"/>
      <w:r w:rsidRPr="0052502E">
        <w:rPr>
          <w:rFonts w:ascii="Times New Roman"/>
        </w:rPr>
        <w:t xml:space="preserve"> for more than 30 days per year.  Such medical examinations and consultations must be provided in accordance with the following schedule:  (1) at least annually for each </w:t>
      </w:r>
      <w:r w:rsidR="00CD4427">
        <w:rPr>
          <w:rFonts w:ascii="Times New Roman"/>
        </w:rPr>
        <w:t>worker</w:t>
      </w:r>
      <w:r w:rsidRPr="0052502E">
        <w:rPr>
          <w:rFonts w:ascii="Times New Roman"/>
        </w:rPr>
        <w:t xml:space="preserve"> for whom blood sampling tests, conducted at any time during the preceding 12 months, indicated a blood lead level at or above 40 </w:t>
      </w:r>
      <w:proofErr w:type="spellStart"/>
      <w:r w:rsidRPr="0052502E">
        <w:rPr>
          <w:rFonts w:ascii="Times New Roman"/>
        </w:rPr>
        <w:t>ug</w:t>
      </w:r>
      <w:proofErr w:type="spellEnd"/>
      <w:r w:rsidRPr="0052502E">
        <w:rPr>
          <w:rFonts w:ascii="Times New Roman"/>
        </w:rPr>
        <w:t xml:space="preserve">/100 g; (2) prior to assigning the </w:t>
      </w:r>
      <w:r w:rsidR="00CD4427">
        <w:rPr>
          <w:rFonts w:ascii="Times New Roman"/>
        </w:rPr>
        <w:t>worker</w:t>
      </w:r>
      <w:r w:rsidRPr="0052502E">
        <w:rPr>
          <w:rFonts w:ascii="Times New Roman"/>
        </w:rPr>
        <w:t xml:space="preserve">, for the first time, to an area in which airborne concentrations of lead are at or above the action level; (3) as soon as possible upon notification, by a </w:t>
      </w:r>
      <w:r w:rsidR="00CD4427">
        <w:rPr>
          <w:rFonts w:ascii="Times New Roman"/>
        </w:rPr>
        <w:t>worker</w:t>
      </w:r>
      <w:r w:rsidRPr="0052502E">
        <w:rPr>
          <w:rFonts w:ascii="Times New Roman"/>
        </w:rPr>
        <w:t xml:space="preserve">, either that the </w:t>
      </w:r>
      <w:r w:rsidR="00CD4427">
        <w:rPr>
          <w:rFonts w:ascii="Times New Roman"/>
        </w:rPr>
        <w:t>worker</w:t>
      </w:r>
      <w:r w:rsidRPr="0052502E">
        <w:rPr>
          <w:rFonts w:ascii="Times New Roman"/>
        </w:rPr>
        <w:t xml:space="preserve"> has developed signs or symptoms associated with lead intoxication, that the </w:t>
      </w:r>
      <w:r w:rsidR="00CD4427">
        <w:rPr>
          <w:rFonts w:ascii="Times New Roman"/>
        </w:rPr>
        <w:t>worker</w:t>
      </w:r>
      <w:r w:rsidRPr="0052502E">
        <w:rPr>
          <w:rFonts w:ascii="Times New Roman"/>
        </w:rPr>
        <w:t xml:space="preserve"> desires medical advice concerning the effects of current or past exposure to lead on the </w:t>
      </w:r>
      <w:r w:rsidR="00CD4427">
        <w:rPr>
          <w:rFonts w:ascii="Times New Roman"/>
        </w:rPr>
        <w:t>worker</w:t>
      </w:r>
      <w:r w:rsidRPr="0052502E">
        <w:rPr>
          <w:rFonts w:ascii="Times New Roman"/>
        </w:rPr>
        <w:t xml:space="preserve">'s ability to produce a healthy child, or that the </w:t>
      </w:r>
      <w:r w:rsidR="00CD4427">
        <w:rPr>
          <w:rFonts w:ascii="Times New Roman"/>
        </w:rPr>
        <w:t>worker</w:t>
      </w:r>
      <w:r w:rsidRPr="0052502E">
        <w:rPr>
          <w:rFonts w:ascii="Times New Roman"/>
        </w:rPr>
        <w:t xml:space="preserve"> has demonstrated difficulty in breathing during a respirator fit test or during respirator use; and (4) as medically appropriate for each </w:t>
      </w:r>
      <w:r w:rsidR="00CD4427">
        <w:rPr>
          <w:rFonts w:ascii="Times New Roman"/>
        </w:rPr>
        <w:t>worker</w:t>
      </w:r>
      <w:r w:rsidRPr="0052502E">
        <w:rPr>
          <w:rFonts w:ascii="Times New Roman"/>
        </w:rPr>
        <w:t xml:space="preserve"> who is either removed from exposure to lead due to a risk of sustaining material impairment to health or is otherwise limited pursuant to a final medical determination.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Medical examinations conducted pursuant to the standard must include the following elements:</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(1)</w:t>
      </w:r>
      <w:r w:rsidRPr="0052502E">
        <w:rPr>
          <w:rFonts w:ascii="Times New Roman"/>
        </w:rPr>
        <w:tab/>
        <w:t>A detailed work history and a medical history, with particular attention to past lead exposure, personal habits (smoking and hygiene), and past gastrointestinal, hematologic, renal, cardiovascular, reproductive, and neurological problems.</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(2)</w:t>
      </w:r>
      <w:r w:rsidRPr="0052502E">
        <w:rPr>
          <w:rFonts w:ascii="Times New Roman"/>
        </w:rPr>
        <w:tab/>
        <w:t>A thorough physical examination, with particular attention to teeth, gums, and hematologic, gastrointestinal, renal, cardiovascular, and neurological systems.  Pulmonary status should be evaluated if respirators will be used.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(3)</w:t>
      </w:r>
      <w:r w:rsidRPr="0052502E">
        <w:rPr>
          <w:rFonts w:ascii="Times New Roman"/>
        </w:rPr>
        <w:tab/>
        <w:t>A blood pressure measurement.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(4)</w:t>
      </w:r>
      <w:r w:rsidRPr="0052502E">
        <w:rPr>
          <w:rFonts w:ascii="Times New Roman"/>
        </w:rPr>
        <w:tab/>
        <w:t xml:space="preserve">A blood sample and analysis which determines blood lead level; hemoglobin and hematocrit determinations, red cell indices, and examination of peripheral smear morphology; zinc </w:t>
      </w:r>
      <w:proofErr w:type="spellStart"/>
      <w:r w:rsidRPr="0052502E">
        <w:rPr>
          <w:rFonts w:ascii="Times New Roman"/>
        </w:rPr>
        <w:t>protoporphyrin</w:t>
      </w:r>
      <w:proofErr w:type="spellEnd"/>
      <w:r w:rsidRPr="0052502E">
        <w:rPr>
          <w:rFonts w:ascii="Times New Roman"/>
        </w:rPr>
        <w:t xml:space="preserve">; blood urea nitrogen; and serum </w:t>
      </w:r>
      <w:proofErr w:type="spellStart"/>
      <w:r w:rsidRPr="0052502E">
        <w:rPr>
          <w:rFonts w:ascii="Times New Roman"/>
        </w:rPr>
        <w:t>creatinine</w:t>
      </w:r>
      <w:proofErr w:type="spellEnd"/>
      <w:r w:rsidRPr="0052502E">
        <w:rPr>
          <w:rFonts w:ascii="Times New Roman"/>
        </w:rP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(5)</w:t>
      </w:r>
      <w:r w:rsidRPr="0052502E">
        <w:rPr>
          <w:rFonts w:ascii="Times New Roman"/>
        </w:rPr>
        <w:tab/>
        <w:t>A routine urinalysis with microscopic examination.</w:t>
      </w:r>
    </w:p>
    <w:p w:rsidR="00E012CD" w:rsidRDefault="00E012CD" w:rsidP="008F707C">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(6)</w:t>
      </w:r>
      <w:r w:rsidRPr="0052502E">
        <w:rPr>
          <w:rFonts w:ascii="Times New Roman"/>
        </w:rPr>
        <w:tab/>
        <w:t xml:space="preserve">Any laboratory or other test that the examining physician deems necessary </w:t>
      </w:r>
      <w:r>
        <w:rPr>
          <w:rFonts w:ascii="Times New Roman"/>
        </w:rPr>
        <w:t>by</w:t>
      </w:r>
      <w:r w:rsidRPr="0052502E">
        <w:rPr>
          <w:rFonts w:ascii="Times New Roman"/>
        </w:rPr>
        <w:t xml:space="preserve"> sound medical practice.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hanging="600"/>
        <w:rPr>
          <w:rFonts w:ascii="Times New Roman"/>
        </w:rPr>
      </w:pPr>
      <w:r w:rsidRPr="0052502E">
        <w:rPr>
          <w:rFonts w:ascii="Times New Roman"/>
        </w:rPr>
        <w:t>(7)</w:t>
      </w:r>
      <w:r w:rsidRPr="0052502E">
        <w:rPr>
          <w:rFonts w:ascii="Times New Roman"/>
        </w:rPr>
        <w:tab/>
        <w:t xml:space="preserve">If requested by </w:t>
      </w:r>
      <w:proofErr w:type="gramStart"/>
      <w:r w:rsidRPr="0052502E">
        <w:rPr>
          <w:rFonts w:ascii="Times New Roman"/>
        </w:rPr>
        <w:t>an</w:t>
      </w:r>
      <w:proofErr w:type="gramEnd"/>
      <w:r w:rsidRPr="0052502E">
        <w:rPr>
          <w:rFonts w:ascii="Times New Roman"/>
        </w:rPr>
        <w:t xml:space="preserve"> </w:t>
      </w:r>
      <w:r w:rsidR="00CD4427">
        <w:rPr>
          <w:rFonts w:ascii="Times New Roman"/>
        </w:rPr>
        <w:t>worker</w:t>
      </w:r>
      <w:r w:rsidRPr="0052502E">
        <w:rPr>
          <w:rFonts w:ascii="Times New Roman"/>
        </w:rPr>
        <w:t>, the medical examination shall include pregnancy testing or laboratory evaluation of male fertility.</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(1)</w:t>
      </w:r>
      <w:r w:rsidRPr="0052502E">
        <w:rPr>
          <w:rFonts w:ascii="Times New Roman"/>
        </w:rPr>
        <w:tab/>
      </w:r>
      <w:r w:rsidRPr="0052502E">
        <w:rPr>
          <w:rFonts w:ascii="Times New Roman"/>
          <w:u w:val="single"/>
        </w:rPr>
        <w:t>Multiple Physician Review Mechanism</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3)(iii))</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lastRenderedPageBreak/>
        <w:t>Under the standard</w:t>
      </w:r>
      <w:r>
        <w:rPr>
          <w:rFonts w:ascii="Times New Roman"/>
        </w:rPr>
        <w:t>'</w:t>
      </w:r>
      <w:r w:rsidRPr="0052502E">
        <w:rPr>
          <w:rFonts w:ascii="Times New Roman"/>
        </w:rPr>
        <w:t xml:space="preserve">s multiple physician review provisions, if the employer selects the initial physician who conducts any medical examination or consultation provided to a </w:t>
      </w:r>
      <w:r w:rsidR="00CD4427">
        <w:rPr>
          <w:rFonts w:ascii="Times New Roman"/>
        </w:rPr>
        <w:t>worker</w:t>
      </w:r>
      <w:r w:rsidRPr="0052502E">
        <w:rPr>
          <w:rFonts w:ascii="Times New Roman"/>
        </w:rPr>
        <w:t xml:space="preserve">, the </w:t>
      </w:r>
      <w:r w:rsidR="00CD4427">
        <w:rPr>
          <w:rFonts w:ascii="Times New Roman"/>
        </w:rPr>
        <w:t>worker</w:t>
      </w:r>
      <w:r w:rsidRPr="0052502E">
        <w:rPr>
          <w:rFonts w:ascii="Times New Roman"/>
        </w:rPr>
        <w:t xml:space="preserve"> may designate a second physician: (a) to review any findings, determinations, or recommendations of the initial physician; and (b) to conduct such examinations, consultations, and laboratory tests as the second physician deems necessary to facilitate this review.</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promptly no</w:t>
      </w:r>
      <w:r w:rsidR="00CD4427">
        <w:rPr>
          <w:rFonts w:ascii="Times New Roman"/>
        </w:rPr>
        <w:t>tify a</w:t>
      </w:r>
      <w:r w:rsidRPr="0052502E">
        <w:rPr>
          <w:rFonts w:ascii="Times New Roman"/>
        </w:rPr>
        <w:t xml:space="preserve"> </w:t>
      </w:r>
      <w:r w:rsidR="00CD4427">
        <w:rPr>
          <w:rFonts w:ascii="Times New Roman"/>
        </w:rPr>
        <w:t>worker</w:t>
      </w:r>
      <w:r w:rsidRPr="0052502E">
        <w:rPr>
          <w:rFonts w:ascii="Times New Roman"/>
        </w:rPr>
        <w:t xml:space="preserve"> of the right to seek a second medical opinion after each occasion on which an initial physician conducts a medical examination or consultation.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Information Provided to Examining and Consulting Physicians</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3)(iv))</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provide the following information to the initial physician conducting a medical examination or consultation:  (a) a copy of the lead standard, including all appendices; (b) a description of the affected </w:t>
      </w:r>
      <w:r w:rsidR="00CD4427">
        <w:rPr>
          <w:rFonts w:ascii="Times New Roman"/>
        </w:rPr>
        <w:t>worker</w:t>
      </w:r>
      <w:r w:rsidRPr="0052502E">
        <w:rPr>
          <w:rFonts w:ascii="Times New Roman"/>
        </w:rPr>
        <w:t xml:space="preserve">'s duties as they relate to the </w:t>
      </w:r>
      <w:r w:rsidR="00CD4427">
        <w:rPr>
          <w:rFonts w:ascii="Times New Roman"/>
        </w:rPr>
        <w:t>worker</w:t>
      </w:r>
      <w:r w:rsidRPr="0052502E">
        <w:rPr>
          <w:rFonts w:ascii="Times New Roman"/>
        </w:rPr>
        <w:t xml:space="preserve">'s exposure; (c) the </w:t>
      </w:r>
      <w:r w:rsidR="00CD4427">
        <w:rPr>
          <w:rFonts w:ascii="Times New Roman"/>
        </w:rPr>
        <w:t>worker</w:t>
      </w:r>
      <w:r w:rsidRPr="0052502E">
        <w:rPr>
          <w:rFonts w:ascii="Times New Roman"/>
        </w:rPr>
        <w:t xml:space="preserve">'s exposure level or anticipated exposure level to lead and to any other toxic substance (if applicable); (d) a description of any personal protective equipment used or to be used; (e) prior blood lead determinations; and (f) all prior written medical opinions concerning the </w:t>
      </w:r>
      <w:r w:rsidR="00CD4427">
        <w:rPr>
          <w:rFonts w:ascii="Times New Roman"/>
        </w:rPr>
        <w:t>worker</w:t>
      </w:r>
      <w:r w:rsidRPr="0052502E">
        <w:rPr>
          <w:rFonts w:ascii="Times New Roman"/>
        </w:rPr>
        <w:t xml:space="preserve"> in the employer's possession or control.</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further requires that the employer must also provide the aforementioned information to the second and third physician conducting a medical examination or consultation in accordance with the standard's multiple physician review provisions, upon request of the second or third physician or the </w:t>
      </w:r>
      <w:r w:rsidR="00CD4427">
        <w:rPr>
          <w:rFonts w:ascii="Times New Roman"/>
        </w:rPr>
        <w:t>worker</w:t>
      </w:r>
      <w:r w:rsidRPr="0052502E">
        <w:rPr>
          <w:rFonts w:ascii="Times New Roman"/>
        </w:rPr>
        <w:t>.</w:t>
      </w:r>
    </w:p>
    <w:p w:rsidR="009A14E1" w:rsidRDefault="009A14E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Written Medical Opinions</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3)(v))</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F307E3"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From each examining or consulting physician, the employer must obtain and furnish to the </w:t>
      </w:r>
      <w:r w:rsidR="00CD4427">
        <w:rPr>
          <w:rFonts w:ascii="Times New Roman"/>
        </w:rPr>
        <w:t>worker</w:t>
      </w:r>
      <w:r w:rsidRPr="0052502E">
        <w:rPr>
          <w:rFonts w:ascii="Times New Roman"/>
        </w:rPr>
        <w:t xml:space="preserve"> a copy of a written medical opinion that contains the following information:  (a) the physician's opinion as to whether the </w:t>
      </w:r>
      <w:r w:rsidR="00CD4427">
        <w:rPr>
          <w:rFonts w:ascii="Times New Roman"/>
        </w:rPr>
        <w:t>worker</w:t>
      </w:r>
      <w:r w:rsidRPr="0052502E">
        <w:rPr>
          <w:rFonts w:ascii="Times New Roman"/>
        </w:rPr>
        <w:t xml:space="preserve"> has any detected medical condition that would place the </w:t>
      </w:r>
      <w:r w:rsidR="00CD4427">
        <w:rPr>
          <w:rFonts w:ascii="Times New Roman"/>
        </w:rPr>
        <w:t>worker</w:t>
      </w:r>
      <w:r w:rsidRPr="0052502E">
        <w:rPr>
          <w:rFonts w:ascii="Times New Roman"/>
        </w:rPr>
        <w:t xml:space="preserve"> at increased risk of material impairment of health from exposure to lead; (b) any recommended special protective measures to be provided to the </w:t>
      </w:r>
      <w:r w:rsidR="00CD4427">
        <w:rPr>
          <w:rFonts w:ascii="Times New Roman"/>
        </w:rPr>
        <w:t>worker</w:t>
      </w:r>
      <w:r w:rsidRPr="0052502E">
        <w:rPr>
          <w:rFonts w:ascii="Times New Roman"/>
        </w:rPr>
        <w:t xml:space="preserve">, or limitations to be placed upon the </w:t>
      </w:r>
      <w:r w:rsidR="00CD4427">
        <w:rPr>
          <w:rFonts w:ascii="Times New Roman"/>
        </w:rPr>
        <w:t>worker</w:t>
      </w:r>
      <w:r w:rsidRPr="0052502E">
        <w:rPr>
          <w:rFonts w:ascii="Times New Roman"/>
        </w:rPr>
        <w:t xml:space="preserve">'s exposure to lead; (c) any recommended limitation upon the </w:t>
      </w:r>
      <w:r w:rsidR="00CD4427">
        <w:rPr>
          <w:rFonts w:ascii="Times New Roman"/>
        </w:rPr>
        <w:t>worker</w:t>
      </w:r>
      <w:r w:rsidRPr="0052502E">
        <w:rPr>
          <w:rFonts w:ascii="Times New Roman"/>
        </w:rPr>
        <w:t xml:space="preserve">'s use of respirators, including a determination of whether the </w:t>
      </w:r>
      <w:r w:rsidR="00CD4427">
        <w:rPr>
          <w:rFonts w:ascii="Times New Roman"/>
        </w:rPr>
        <w:t>worker</w:t>
      </w:r>
      <w:r w:rsidRPr="0052502E">
        <w:rPr>
          <w:rFonts w:ascii="Times New Roman"/>
        </w:rPr>
        <w:t xml:space="preserve"> can wear a powered air</w:t>
      </w:r>
      <w:r w:rsidRPr="0052502E">
        <w:rPr>
          <w:rFonts w:ascii="Times New Roman"/>
        </w:rPr>
        <w:noBreakHyphen/>
        <w:t xml:space="preserve">purifying respirator if a physician determines that the </w:t>
      </w:r>
      <w:r w:rsidR="00CD4427">
        <w:rPr>
          <w:rFonts w:ascii="Times New Roman"/>
        </w:rPr>
        <w:t>worker</w:t>
      </w:r>
      <w:r w:rsidRPr="0052502E">
        <w:rPr>
          <w:rFonts w:ascii="Times New Roman"/>
        </w:rPr>
        <w:t xml:space="preserve"> cannot wear a negative</w:t>
      </w:r>
      <w:r w:rsidRPr="0052502E">
        <w:rPr>
          <w:rFonts w:ascii="Times New Roman"/>
        </w:rPr>
        <w:noBreakHyphen/>
        <w:t>pressure respirator; and (d) the results of the blood lead determinations.</w:t>
      </w:r>
    </w:p>
    <w:p w:rsidR="00F307E3" w:rsidRDefault="00F307E3"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C9381C">
        <w:rPr>
          <w:rFonts w:ascii="Times New Roman"/>
          <w:u w:val="single"/>
        </w:rPr>
        <w:t>Instructing Examining and Consulting Physician</w:t>
      </w:r>
      <w:r>
        <w:rPr>
          <w:rFonts w:ascii="Times New Roman"/>
        </w:rPr>
        <w:t xml:space="preserve"> </w:t>
      </w:r>
      <w:r w:rsidRPr="0052502E">
        <w:rPr>
          <w:rFonts w:ascii="Times New Roman"/>
        </w:rPr>
        <w:t>(</w:t>
      </w:r>
      <w:r>
        <w:rPr>
          <w:rFonts w:ascii="Times New Roman"/>
        </w:rPr>
        <w:t>§ 1910.1025(j</w:t>
      </w:r>
      <w:proofErr w:type="gramStart"/>
      <w:r>
        <w:rPr>
          <w:rFonts w:ascii="Times New Roman"/>
        </w:rPr>
        <w:t>)(</w:t>
      </w:r>
      <w:proofErr w:type="gramEnd"/>
      <w:r>
        <w:rPr>
          <w:rFonts w:ascii="Times New Roman"/>
        </w:rPr>
        <w:t>3)</w:t>
      </w:r>
      <w:r w:rsidRPr="0052502E">
        <w:rPr>
          <w:rFonts w:ascii="Times New Roman"/>
        </w:rPr>
        <w:t>(</w:t>
      </w:r>
      <w:r>
        <w:rPr>
          <w:rFonts w:ascii="Times New Roman"/>
        </w:rPr>
        <w:t>v</w:t>
      </w:r>
      <w:r w:rsidRPr="0052502E">
        <w:rPr>
          <w:rFonts w:ascii="Times New Roman"/>
        </w:rPr>
        <w:t>)</w:t>
      </w:r>
      <w:r>
        <w:rPr>
          <w:rFonts w:ascii="Times New Roman"/>
        </w:rPr>
        <w:t>(B</w:t>
      </w:r>
      <w:r w:rsidRPr="0052502E">
        <w:rPr>
          <w:rFonts w:ascii="Times New Roman"/>
        </w:rPr>
        <w:t>)</w:t>
      </w:r>
      <w:r>
        <w:rPr>
          <w:rFonts w:ascii="Times New Roman"/>
        </w:rPr>
        <w:t>)</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must instruct each examining and consulting physician to: not reveal either in the written opinion, or in any other means of communication with the employer, findings, including laboratory </w:t>
      </w:r>
      <w:r w:rsidR="002E3FC9">
        <w:rPr>
          <w:rFonts w:ascii="Times New Roman"/>
        </w:rPr>
        <w:t>results</w:t>
      </w:r>
      <w:r>
        <w:rPr>
          <w:rFonts w:ascii="Times New Roman"/>
        </w:rPr>
        <w:t xml:space="preserve"> or diagnoses unrelated to a </w:t>
      </w:r>
      <w:r w:rsidR="00CD4427">
        <w:rPr>
          <w:rFonts w:ascii="Times New Roman"/>
        </w:rPr>
        <w:t>worker</w:t>
      </w:r>
      <w:r>
        <w:rPr>
          <w:rFonts w:ascii="Times New Roman"/>
        </w:rPr>
        <w:t xml:space="preserve">’s occupational exposure to lead; and to advise the </w:t>
      </w:r>
      <w:r w:rsidR="00CD4427">
        <w:rPr>
          <w:rFonts w:ascii="Times New Roman"/>
        </w:rPr>
        <w:t>worker</w:t>
      </w:r>
      <w:r>
        <w:rPr>
          <w:rFonts w:ascii="Times New Roman"/>
        </w:rPr>
        <w:t xml:space="preserve"> of any medical condition, occupational or </w:t>
      </w:r>
      <w:proofErr w:type="spellStart"/>
      <w:r>
        <w:rPr>
          <w:rFonts w:ascii="Times New Roman"/>
        </w:rPr>
        <w:t>nonoccupational</w:t>
      </w:r>
      <w:proofErr w:type="spellEnd"/>
      <w:r>
        <w:rPr>
          <w:rFonts w:ascii="Times New Roman"/>
        </w:rPr>
        <w:t>, which dictates further medical examination or treatment.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Chelation</w:t>
      </w:r>
      <w:r w:rsidRPr="0052502E">
        <w:rPr>
          <w:rFonts w:ascii="Times New Roman"/>
        </w:rPr>
        <w:t xml:space="preserve"> (</w:t>
      </w:r>
      <w:r>
        <w:rPr>
          <w:rFonts w:ascii="Times New Roman"/>
        </w:rPr>
        <w:t>§</w:t>
      </w:r>
      <w:r w:rsidRPr="0052502E">
        <w:rPr>
          <w:rFonts w:ascii="Times New Roman"/>
        </w:rPr>
        <w:t xml:space="preserve"> 1910.1025(j</w:t>
      </w:r>
      <w:proofErr w:type="gramStart"/>
      <w:r w:rsidRPr="0052502E">
        <w:rPr>
          <w:rFonts w:ascii="Times New Roman"/>
        </w:rPr>
        <w:t>)(</w:t>
      </w:r>
      <w:proofErr w:type="gramEnd"/>
      <w:r w:rsidRPr="0052502E">
        <w:rPr>
          <w:rFonts w:ascii="Times New Roman"/>
        </w:rPr>
        <w:t>4)(ii))</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therapeutic or diagnostic chelation is to be performed on any person whom the employer retains, employs, supervises, or controls, the employer must ensure that it is performed under the supervision of a licensed physician, in a clinical setting, with thorough and appropriate medical monitoring, and that the </w:t>
      </w:r>
      <w:r w:rsidR="00CD4427">
        <w:rPr>
          <w:rFonts w:ascii="Times New Roman"/>
        </w:rPr>
        <w:t>worker</w:t>
      </w:r>
      <w:r w:rsidRPr="0052502E">
        <w:rPr>
          <w:rFonts w:ascii="Times New Roman"/>
        </w:rPr>
        <w:t xml:space="preserve"> is notified, in writing, prior to its performance.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Removal Protection</w:t>
      </w:r>
      <w:r w:rsidRPr="0052502E">
        <w:rPr>
          <w:rFonts w:ascii="Times New Roman"/>
        </w:rPr>
        <w:t xml:space="preserve"> (</w:t>
      </w:r>
      <w:r>
        <w:rPr>
          <w:rFonts w:ascii="Times New Roman"/>
        </w:rPr>
        <w:t>§</w:t>
      </w:r>
      <w:r w:rsidRPr="0052502E">
        <w:rPr>
          <w:rFonts w:ascii="Times New Roman"/>
        </w:rPr>
        <w:t xml:space="preserve"> 1910.1025(k</w:t>
      </w:r>
      <w:proofErr w:type="gramStart"/>
      <w:r w:rsidRPr="0052502E">
        <w:rPr>
          <w:rFonts w:ascii="Times New Roman"/>
        </w:rPr>
        <w:t>)(</w:t>
      </w:r>
      <w:proofErr w:type="gramEnd"/>
      <w:r w:rsidRPr="0052502E">
        <w:rPr>
          <w:rFonts w:ascii="Times New Roman"/>
        </w:rPr>
        <w:t>1))</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360" w:hanging="360"/>
        <w:rPr>
          <w:rFonts w:ascii="Times New Roman"/>
        </w:rPr>
      </w:pPr>
      <w:r w:rsidRPr="0052502E">
        <w:rPr>
          <w:rFonts w:ascii="Times New Roman"/>
          <w:u w:val="single"/>
        </w:rPr>
        <w:t>Temporary Removal Due to Elevated Blood Lead Levels</w:t>
      </w:r>
      <w:r w:rsidRPr="0052502E">
        <w:rPr>
          <w:rFonts w:ascii="Times New Roman"/>
        </w:rPr>
        <w:t xml:space="preserve"> (</w:t>
      </w:r>
      <w:r>
        <w:rPr>
          <w:rFonts w:ascii="Times New Roman"/>
        </w:rPr>
        <w:t>§</w:t>
      </w:r>
      <w:r w:rsidRPr="0052502E">
        <w:rPr>
          <w:rFonts w:ascii="Times New Roman"/>
        </w:rPr>
        <w:t xml:space="preserve"> 1910.1025(k</w:t>
      </w:r>
      <w:proofErr w:type="gramStart"/>
      <w:r w:rsidRPr="0052502E">
        <w:rPr>
          <w:rFonts w:ascii="Times New Roman"/>
        </w:rPr>
        <w:t>)(</w:t>
      </w:r>
      <w:proofErr w:type="gramEnd"/>
      <w:r w:rsidRPr="0052502E">
        <w:rPr>
          <w:rFonts w:ascii="Times New Roman"/>
        </w:rPr>
        <w:t>1)(</w:t>
      </w:r>
      <w:proofErr w:type="spellStart"/>
      <w:r>
        <w:rPr>
          <w:rFonts w:ascii="Times New Roman"/>
        </w:rPr>
        <w:t>i</w:t>
      </w:r>
      <w:proofErr w:type="spellEnd"/>
      <w:r w:rsidRPr="0052502E">
        <w:rPr>
          <w:rFonts w:ascii="Times New Roman"/>
        </w:rP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Paragraph (k)(1)(</w:t>
      </w:r>
      <w:proofErr w:type="spellStart"/>
      <w:r>
        <w:rPr>
          <w:rFonts w:ascii="Times New Roman"/>
        </w:rPr>
        <w:t>i</w:t>
      </w:r>
      <w:proofErr w:type="spellEnd"/>
      <w:r w:rsidRPr="0052502E">
        <w:rPr>
          <w:rFonts w:ascii="Times New Roman"/>
        </w:rPr>
        <w:t>)(</w:t>
      </w:r>
      <w:r>
        <w:rPr>
          <w:rFonts w:ascii="Times New Roman"/>
        </w:rPr>
        <w:t>A</w:t>
      </w:r>
      <w:r w:rsidRPr="0052502E">
        <w:rPr>
          <w:rFonts w:ascii="Times New Roman"/>
        </w:rPr>
        <w:t xml:space="preserve">) states that on each occasion that a periodic and a follow-up blood sampling test indicate that </w:t>
      </w:r>
      <w:r w:rsidR="00CD4427">
        <w:rPr>
          <w:rFonts w:ascii="Times New Roman"/>
        </w:rPr>
        <w:t>worker</w:t>
      </w:r>
      <w:r w:rsidRPr="0052502E">
        <w:rPr>
          <w:rFonts w:ascii="Times New Roman"/>
        </w:rPr>
        <w:t xml:space="preserve">s blood lead level is at or above 60 </w:t>
      </w:r>
      <w:proofErr w:type="spellStart"/>
      <w:r w:rsidRPr="0052502E">
        <w:rPr>
          <w:rFonts w:ascii="Times New Roman"/>
        </w:rPr>
        <w:t>ug</w:t>
      </w:r>
      <w:proofErr w:type="spellEnd"/>
      <w:r w:rsidRPr="0052502E">
        <w:rPr>
          <w:rFonts w:ascii="Times New Roman"/>
        </w:rPr>
        <w:t>/</w:t>
      </w:r>
      <w:r>
        <w:rPr>
          <w:rFonts w:ascii="Times New Roman"/>
        </w:rPr>
        <w:t>100 g</w:t>
      </w:r>
      <w:r w:rsidRPr="0052502E">
        <w:rPr>
          <w:rFonts w:ascii="Times New Roman"/>
        </w:rPr>
        <w:t>, the standard requires that th</w:t>
      </w:r>
      <w:r w:rsidR="00CD4427">
        <w:rPr>
          <w:rFonts w:ascii="Times New Roman"/>
        </w:rPr>
        <w:t>e employer remove a</w:t>
      </w:r>
      <w:r w:rsidRPr="0052502E">
        <w:rPr>
          <w:rFonts w:ascii="Times New Roman"/>
        </w:rPr>
        <w:t xml:space="preserve"> </w:t>
      </w:r>
      <w:r w:rsidR="00CD4427">
        <w:rPr>
          <w:rFonts w:ascii="Times New Roman"/>
        </w:rPr>
        <w:t>worker</w:t>
      </w:r>
      <w:r w:rsidRPr="0052502E">
        <w:rPr>
          <w:rFonts w:ascii="Times New Roman"/>
        </w:rPr>
        <w:t xml:space="preserve"> from work having an exposure to lead at or above the </w:t>
      </w:r>
      <w:r>
        <w:rPr>
          <w:rFonts w:ascii="Times New Roman"/>
        </w:rPr>
        <w:t>action level. Paragraph (k</w:t>
      </w:r>
      <w:proofErr w:type="gramStart"/>
      <w:r>
        <w:rPr>
          <w:rFonts w:ascii="Times New Roman"/>
        </w:rPr>
        <w:t>)(</w:t>
      </w:r>
      <w:proofErr w:type="gramEnd"/>
      <w:r>
        <w:rPr>
          <w:rFonts w:ascii="Times New Roman"/>
        </w:rPr>
        <w:t>1)(</w:t>
      </w:r>
      <w:proofErr w:type="spellStart"/>
      <w:r>
        <w:rPr>
          <w:rFonts w:ascii="Times New Roman"/>
        </w:rPr>
        <w:t>i</w:t>
      </w:r>
      <w:proofErr w:type="spellEnd"/>
      <w:r w:rsidRPr="0052502E">
        <w:rPr>
          <w:rFonts w:ascii="Times New Roman"/>
        </w:rPr>
        <w:t>)(</w:t>
      </w:r>
      <w:r>
        <w:rPr>
          <w:rFonts w:ascii="Times New Roman"/>
        </w:rPr>
        <w:t>B</w:t>
      </w:r>
      <w:r w:rsidRPr="0052502E">
        <w:rPr>
          <w:rFonts w:ascii="Times New Roman"/>
        </w:rPr>
        <w:t xml:space="preserve">) requires that on each occasion that the average of the last three blood sampling tests conducted pursuant to this standard (or the average of all blood sampling tests conducted over the previous six months, whichever is longer) indicates that the </w:t>
      </w:r>
      <w:r w:rsidR="00CD4427">
        <w:rPr>
          <w:rFonts w:ascii="Times New Roman"/>
        </w:rPr>
        <w:t>worker</w:t>
      </w:r>
      <w:r w:rsidRPr="0052502E">
        <w:rPr>
          <w:rFonts w:ascii="Times New Roman"/>
        </w:rPr>
        <w:t>'s blood lead level is at or</w:t>
      </w:r>
      <w:r w:rsidR="00CD4427">
        <w:rPr>
          <w:rFonts w:ascii="Times New Roman"/>
        </w:rPr>
        <w:t xml:space="preserve"> above 50 </w:t>
      </w:r>
      <w:proofErr w:type="spellStart"/>
      <w:r w:rsidR="00CD4427">
        <w:rPr>
          <w:rFonts w:ascii="Times New Roman"/>
        </w:rPr>
        <w:t>ug</w:t>
      </w:r>
      <w:proofErr w:type="spellEnd"/>
      <w:r w:rsidR="00CD4427">
        <w:rPr>
          <w:rFonts w:ascii="Times New Roman"/>
        </w:rPr>
        <w:t>/100, except that a</w:t>
      </w:r>
      <w:r w:rsidRPr="0052502E">
        <w:rPr>
          <w:rFonts w:ascii="Times New Roman"/>
        </w:rPr>
        <w:t xml:space="preserve"> </w:t>
      </w:r>
      <w:r w:rsidR="00CD4427">
        <w:rPr>
          <w:rFonts w:ascii="Times New Roman"/>
        </w:rPr>
        <w:t>worker</w:t>
      </w:r>
      <w:r w:rsidRPr="0052502E">
        <w:rPr>
          <w:rFonts w:ascii="Times New Roman"/>
        </w:rPr>
        <w:t xml:space="preserve"> need not be removed if the last blood sampling test indicates a blood lead level below 40 </w:t>
      </w:r>
      <w:proofErr w:type="spellStart"/>
      <w:r w:rsidRPr="0052502E">
        <w:rPr>
          <w:rFonts w:ascii="Times New Roman"/>
        </w:rPr>
        <w:t>ug</w:t>
      </w:r>
      <w:proofErr w:type="spellEnd"/>
      <w:r w:rsidRPr="0052502E">
        <w:rPr>
          <w:rFonts w:ascii="Times New Roman"/>
        </w:rPr>
        <w:t>/100 g.</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Temporary Removal Due to a Final Medical Determination</w:t>
      </w:r>
      <w:r w:rsidRPr="0052502E">
        <w:rPr>
          <w:rFonts w:ascii="Times New Roman"/>
        </w:rPr>
        <w:t xml:space="preserve"> (</w:t>
      </w:r>
      <w:r>
        <w:rPr>
          <w:rFonts w:ascii="Times New Roman"/>
        </w:rPr>
        <w:t>§</w:t>
      </w:r>
      <w:r w:rsidRPr="0052502E">
        <w:rPr>
          <w:rFonts w:ascii="Times New Roman"/>
        </w:rPr>
        <w:t xml:space="preserve"> 1910.1025(k</w:t>
      </w:r>
      <w:proofErr w:type="gramStart"/>
      <w:r w:rsidRPr="0052502E">
        <w:rPr>
          <w:rFonts w:ascii="Times New Roman"/>
        </w:rPr>
        <w:t>)(</w:t>
      </w:r>
      <w:proofErr w:type="gramEnd"/>
      <w:r w:rsidRPr="0052502E">
        <w:rPr>
          <w:rFonts w:ascii="Times New Roman"/>
        </w:rPr>
        <w:t>1)(ii))</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standard r</w:t>
      </w:r>
      <w:r w:rsidR="00CD4427">
        <w:rPr>
          <w:rFonts w:ascii="Times New Roman"/>
        </w:rPr>
        <w:t>equires an employer to remove a</w:t>
      </w:r>
      <w:r w:rsidRPr="0052502E">
        <w:rPr>
          <w:rFonts w:ascii="Times New Roman"/>
        </w:rPr>
        <w:t xml:space="preserve"> </w:t>
      </w:r>
      <w:r w:rsidR="00CD4427">
        <w:rPr>
          <w:rFonts w:ascii="Times New Roman"/>
        </w:rPr>
        <w:t>worker</w:t>
      </w:r>
      <w:r w:rsidRPr="0052502E">
        <w:rPr>
          <w:rFonts w:ascii="Times New Roman"/>
        </w:rPr>
        <w:t xml:space="preserve"> from work having an exposure to lead at or above the action level (30 </w:t>
      </w:r>
      <w:proofErr w:type="spellStart"/>
      <w:r w:rsidRPr="0052502E">
        <w:rPr>
          <w:rFonts w:ascii="Times New Roman"/>
        </w:rPr>
        <w:t>ug</w:t>
      </w:r>
      <w:proofErr w:type="spellEnd"/>
      <w:r w:rsidRPr="0052502E">
        <w:rPr>
          <w:rFonts w:ascii="Times New Roman"/>
        </w:rPr>
        <w:t>/m</w:t>
      </w:r>
      <w:r w:rsidRPr="0052502E">
        <w:rPr>
          <w:rFonts w:ascii="Times New Roman"/>
          <w:vertAlign w:val="superscript"/>
        </w:rPr>
        <w:t>3</w:t>
      </w:r>
      <w:r w:rsidRPr="0052502E">
        <w:rPr>
          <w:rFonts w:ascii="Times New Roman"/>
        </w:rPr>
        <w:t xml:space="preserve">) on each occasion that a final medical determination results in a medical finding, determination, or opinion that the </w:t>
      </w:r>
      <w:r w:rsidR="00CD4427">
        <w:rPr>
          <w:rFonts w:ascii="Times New Roman"/>
        </w:rPr>
        <w:t>worker</w:t>
      </w:r>
      <w:r w:rsidRPr="0052502E">
        <w:rPr>
          <w:rFonts w:ascii="Times New Roman"/>
        </w:rPr>
        <w:t xml:space="preserve"> has a detected medical condition that places the </w:t>
      </w:r>
      <w:r w:rsidR="00CD4427">
        <w:rPr>
          <w:rFonts w:ascii="Times New Roman"/>
        </w:rPr>
        <w:t>worker</w:t>
      </w:r>
      <w:r w:rsidRPr="0052502E">
        <w:rPr>
          <w:rFonts w:ascii="Times New Roman"/>
        </w:rPr>
        <w:t xml:space="preserve"> at increased risk of material impairment to health from exposure to lead.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 xml:space="preserve">Return of the </w:t>
      </w:r>
      <w:r>
        <w:rPr>
          <w:rFonts w:ascii="Times New Roman"/>
          <w:u w:val="single"/>
        </w:rPr>
        <w:t>Employee</w:t>
      </w:r>
      <w:r w:rsidRPr="0052502E">
        <w:rPr>
          <w:rFonts w:ascii="Times New Roman"/>
          <w:u w:val="single"/>
        </w:rPr>
        <w:t xml:space="preserve"> to Former Job </w:t>
      </w:r>
      <w:proofErr w:type="gramStart"/>
      <w:r w:rsidRPr="0052502E">
        <w:rPr>
          <w:rFonts w:ascii="Times New Roman"/>
          <w:u w:val="single"/>
        </w:rPr>
        <w:t>Status</w:t>
      </w:r>
      <w:r w:rsidRPr="0052502E">
        <w:rPr>
          <w:rFonts w:ascii="Times New Roman"/>
        </w:rPr>
        <w:t xml:space="preserve"> </w:t>
      </w:r>
      <w:r w:rsidR="00A05F5B">
        <w:rPr>
          <w:rFonts w:ascii="Times New Roman"/>
        </w:rPr>
        <w:t xml:space="preserve"> </w:t>
      </w:r>
      <w:r w:rsidRPr="0052502E">
        <w:rPr>
          <w:rFonts w:ascii="Times New Roman"/>
        </w:rPr>
        <w:t>(</w:t>
      </w:r>
      <w:proofErr w:type="gramEnd"/>
      <w:r>
        <w:rPr>
          <w:rFonts w:ascii="Times New Roman"/>
        </w:rPr>
        <w:t>§</w:t>
      </w:r>
      <w:r w:rsidRPr="0052502E">
        <w:rPr>
          <w:rFonts w:ascii="Times New Roman"/>
        </w:rPr>
        <w:t xml:space="preserve"> 1910.1025(k)(1)(iii))</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A05F5B" w:rsidRPr="0052502E"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Notwithstanding other provisions of this standard, the employer must return a</w:t>
      </w:r>
      <w:r w:rsidRPr="0052502E">
        <w:rPr>
          <w:rFonts w:ascii="Times New Roman"/>
        </w:rPr>
        <w:t xml:space="preserve"> </w:t>
      </w:r>
      <w:r>
        <w:rPr>
          <w:rFonts w:ascii="Times New Roman"/>
        </w:rPr>
        <w:t>worker</w:t>
      </w:r>
      <w:r w:rsidRPr="0052502E">
        <w:rPr>
          <w:rFonts w:ascii="Times New Roman"/>
        </w:rPr>
        <w:t xml:space="preserve"> to his or her former job status under the following conditions:</w:t>
      </w:r>
    </w:p>
    <w:p w:rsidR="00A05F5B" w:rsidRPr="0052502E"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tbl>
      <w:tblPr>
        <w:tblStyle w:val="TableGrid"/>
        <w:tblW w:w="0" w:type="auto"/>
        <w:tblInd w:w="198" w:type="dxa"/>
        <w:tblLook w:val="04A0" w:firstRow="1" w:lastRow="0" w:firstColumn="1" w:lastColumn="0" w:noHBand="0" w:noVBand="1"/>
      </w:tblPr>
      <w:tblGrid>
        <w:gridCol w:w="4590"/>
        <w:gridCol w:w="4230"/>
      </w:tblGrid>
      <w:tr w:rsidR="00A05F5B">
        <w:tc>
          <w:tcPr>
            <w:tcW w:w="4590" w:type="dxa"/>
            <w:tcBorders>
              <w:bottom w:val="single" w:sz="4" w:space="0" w:color="auto"/>
            </w:tcBorders>
          </w:tcPr>
          <w:p w:rsidR="00A05F5B" w:rsidRPr="00A05F5B"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A05F5B">
              <w:rPr>
                <w:rFonts w:ascii="Times New Roman"/>
              </w:rPr>
              <w:t>Circumstances of Employee Removal</w:t>
            </w:r>
          </w:p>
        </w:tc>
        <w:tc>
          <w:tcPr>
            <w:tcW w:w="4230" w:type="dxa"/>
            <w:tcBorders>
              <w:bottom w:val="single" w:sz="4" w:space="0" w:color="auto"/>
            </w:tcBorders>
          </w:tcPr>
          <w:p w:rsidR="00A05F5B"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A05F5B">
              <w:rPr>
                <w:rFonts w:ascii="Times New Roman"/>
              </w:rPr>
              <w:t>Circumstances of Employee Return</w:t>
            </w:r>
          </w:p>
        </w:tc>
      </w:tr>
      <w:tr w:rsidR="00A05F5B">
        <w:tc>
          <w:tcPr>
            <w:tcW w:w="4590" w:type="dxa"/>
          </w:tcPr>
          <w:p w:rsidR="00A05F5B" w:rsidRPr="0052502E"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(k)(1)(iii)(A)(1)</w:t>
            </w:r>
          </w:p>
          <w:p w:rsidR="00A05F5B" w:rsidRPr="0052502E"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Blood lead level at or above 60 </w:t>
            </w:r>
            <w:proofErr w:type="spellStart"/>
            <w:r w:rsidRPr="0052502E">
              <w:rPr>
                <w:rFonts w:ascii="Times New Roman"/>
              </w:rPr>
              <w:t>ug</w:t>
            </w:r>
            <w:proofErr w:type="spellEnd"/>
            <w:r w:rsidRPr="0052502E">
              <w:rPr>
                <w:rFonts w:ascii="Times New Roman"/>
              </w:rPr>
              <w:t xml:space="preserve">/100 g whole blood or an average blood level at or </w:t>
            </w:r>
          </w:p>
          <w:p w:rsidR="00A05F5B"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52502E">
              <w:rPr>
                <w:rFonts w:ascii="Times New Roman"/>
              </w:rPr>
              <w:t xml:space="preserve">above 50 </w:t>
            </w:r>
            <w:proofErr w:type="spellStart"/>
            <w:r w:rsidRPr="0052502E">
              <w:rPr>
                <w:rFonts w:ascii="Times New Roman"/>
              </w:rPr>
              <w:t>ug</w:t>
            </w:r>
            <w:proofErr w:type="spellEnd"/>
            <w:r w:rsidRPr="0052502E">
              <w:rPr>
                <w:rFonts w:ascii="Times New Roman"/>
              </w:rPr>
              <w:t>/100</w:t>
            </w:r>
          </w:p>
        </w:tc>
        <w:tc>
          <w:tcPr>
            <w:tcW w:w="4230" w:type="dxa"/>
          </w:tcPr>
          <w:p w:rsidR="00A05F5B" w:rsidRPr="0052502E"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Two consecutive blood sampling tests </w:t>
            </w:r>
          </w:p>
          <w:p w:rsidR="00A05F5B" w:rsidRPr="0052502E"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below 40 </w:t>
            </w:r>
            <w:proofErr w:type="spellStart"/>
            <w:r w:rsidRPr="0052502E">
              <w:rPr>
                <w:rFonts w:ascii="Times New Roman"/>
              </w:rPr>
              <w:t>ug</w:t>
            </w:r>
            <w:proofErr w:type="spellEnd"/>
            <w:r w:rsidRPr="0052502E">
              <w:rPr>
                <w:rFonts w:ascii="Times New Roman"/>
              </w:rPr>
              <w:t>/100 g whole blood</w:t>
            </w:r>
          </w:p>
          <w:p w:rsidR="00A05F5B"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tc>
      </w:tr>
      <w:tr w:rsidR="00A05F5B">
        <w:tc>
          <w:tcPr>
            <w:tcW w:w="4590" w:type="dxa"/>
          </w:tcPr>
          <w:p w:rsidR="00A05F5B"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(k)(1)(iii)(A)(2)</w:t>
            </w:r>
          </w:p>
          <w:p w:rsidR="00A05F5B" w:rsidRPr="0052502E" w:rsidRDefault="00263ACF"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Final m</w:t>
            </w:r>
            <w:r w:rsidR="00A05F5B" w:rsidRPr="0052502E">
              <w:rPr>
                <w:rFonts w:ascii="Times New Roman"/>
              </w:rPr>
              <w:t>edical determination</w:t>
            </w:r>
          </w:p>
          <w:p w:rsidR="00A05F5B"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tc>
        <w:tc>
          <w:tcPr>
            <w:tcW w:w="4230" w:type="dxa"/>
          </w:tcPr>
          <w:p w:rsidR="00A05F5B" w:rsidRPr="00D57AD0" w:rsidRDefault="00A05F5B" w:rsidP="00A05F5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Subsequent final medical determination results in medical finding, determination, or opinion that the </w:t>
            </w:r>
            <w:r>
              <w:rPr>
                <w:rFonts w:ascii="Times New Roman"/>
              </w:rPr>
              <w:t>worker</w:t>
            </w:r>
            <w:r w:rsidRPr="0052502E">
              <w:rPr>
                <w:rFonts w:ascii="Times New Roman"/>
              </w:rPr>
              <w:t xml:space="preserve"> no longer has detected medical condition placing </w:t>
            </w:r>
            <w:r>
              <w:rPr>
                <w:rFonts w:ascii="Times New Roman"/>
              </w:rPr>
              <w:t>worker</w:t>
            </w:r>
            <w:r w:rsidRPr="0052502E">
              <w:rPr>
                <w:rFonts w:ascii="Times New Roman"/>
              </w:rPr>
              <w:t xml:space="preserve"> at risk or material impairment to health due to lead exposure.</w:t>
            </w:r>
          </w:p>
        </w:tc>
      </w:tr>
    </w:tbl>
    <w:p w:rsidR="00A05F5B" w:rsidRDefault="00A05F5B"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DB3ADF" w:rsidRPr="00002A22" w:rsidRDefault="00BB51F6"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Cs/>
        </w:rPr>
      </w:pPr>
      <w:r>
        <w:rPr>
          <w:rFonts w:ascii="Times New Roman"/>
          <w:bCs/>
          <w:iCs/>
          <w:u w:val="single"/>
        </w:rPr>
        <w:t xml:space="preserve">Employees </w:t>
      </w:r>
      <w:proofErr w:type="gramStart"/>
      <w:r>
        <w:rPr>
          <w:rFonts w:ascii="Times New Roman"/>
          <w:bCs/>
          <w:iCs/>
          <w:u w:val="single"/>
        </w:rPr>
        <w:t>Whose</w:t>
      </w:r>
      <w:proofErr w:type="gramEnd"/>
      <w:r>
        <w:rPr>
          <w:rFonts w:ascii="Times New Roman"/>
          <w:bCs/>
          <w:iCs/>
          <w:u w:val="single"/>
        </w:rPr>
        <w:t xml:space="preserve"> B</w:t>
      </w:r>
      <w:r w:rsidR="00DB3ADF" w:rsidRPr="00263ACF">
        <w:rPr>
          <w:rFonts w:ascii="Times New Roman"/>
          <w:bCs/>
          <w:iCs/>
          <w:u w:val="single"/>
        </w:rPr>
        <w:t>lood</w:t>
      </w:r>
      <w:r>
        <w:rPr>
          <w:rFonts w:ascii="Times New Roman"/>
          <w:bCs/>
          <w:iCs/>
          <w:u w:val="single"/>
        </w:rPr>
        <w:t xml:space="preserve"> Lead L</w:t>
      </w:r>
      <w:r w:rsidR="00DB3ADF" w:rsidRPr="00263ACF">
        <w:rPr>
          <w:rFonts w:ascii="Times New Roman"/>
          <w:bCs/>
          <w:iCs/>
          <w:u w:val="single"/>
        </w:rPr>
        <w:t xml:space="preserve">evels </w:t>
      </w:r>
      <w:r>
        <w:rPr>
          <w:rFonts w:ascii="Times New Roman"/>
          <w:bCs/>
          <w:iCs/>
          <w:u w:val="single"/>
        </w:rPr>
        <w:t>D</w:t>
      </w:r>
      <w:r w:rsidR="00DB3ADF" w:rsidRPr="00263ACF">
        <w:rPr>
          <w:rFonts w:ascii="Times New Roman"/>
          <w:bCs/>
          <w:iCs/>
          <w:u w:val="single"/>
        </w:rPr>
        <w:t xml:space="preserve">o </w:t>
      </w:r>
      <w:r>
        <w:rPr>
          <w:rFonts w:ascii="Times New Roman"/>
          <w:bCs/>
          <w:iCs/>
          <w:u w:val="single"/>
        </w:rPr>
        <w:t>N</w:t>
      </w:r>
      <w:r w:rsidR="00DB3ADF" w:rsidRPr="00263ACF">
        <w:rPr>
          <w:rFonts w:ascii="Times New Roman"/>
          <w:bCs/>
          <w:iCs/>
          <w:u w:val="single"/>
        </w:rPr>
        <w:t xml:space="preserve">ot </w:t>
      </w:r>
      <w:r>
        <w:rPr>
          <w:rFonts w:ascii="Times New Roman"/>
          <w:bCs/>
          <w:iCs/>
          <w:u w:val="single"/>
        </w:rPr>
        <w:t>A</w:t>
      </w:r>
      <w:r w:rsidR="00DB3ADF" w:rsidRPr="00263ACF">
        <w:rPr>
          <w:rFonts w:ascii="Times New Roman"/>
          <w:bCs/>
          <w:iCs/>
          <w:u w:val="single"/>
        </w:rPr>
        <w:t xml:space="preserve">dequately </w:t>
      </w:r>
      <w:r>
        <w:rPr>
          <w:rFonts w:ascii="Times New Roman"/>
          <w:bCs/>
          <w:iCs/>
          <w:u w:val="single"/>
        </w:rPr>
        <w:t>Decline Within 18 M</w:t>
      </w:r>
      <w:r w:rsidR="00DB3ADF" w:rsidRPr="00263ACF">
        <w:rPr>
          <w:rFonts w:ascii="Times New Roman"/>
          <w:bCs/>
          <w:iCs/>
          <w:u w:val="single"/>
        </w:rPr>
        <w:t xml:space="preserve">onths of </w:t>
      </w:r>
      <w:r>
        <w:rPr>
          <w:rFonts w:ascii="Times New Roman"/>
          <w:bCs/>
          <w:iCs/>
          <w:u w:val="single"/>
        </w:rPr>
        <w:t>R</w:t>
      </w:r>
      <w:r w:rsidR="00DB3ADF" w:rsidRPr="00263ACF">
        <w:rPr>
          <w:rFonts w:ascii="Times New Roman"/>
          <w:bCs/>
          <w:iCs/>
          <w:u w:val="single"/>
        </w:rPr>
        <w:t>emoval</w:t>
      </w:r>
      <w:r w:rsidR="00DB3ADF" w:rsidRPr="00DB3ADF">
        <w:rPr>
          <w:rFonts w:ascii="Times New Roman"/>
          <w:bCs/>
          <w:iCs/>
        </w:rPr>
        <w:t xml:space="preserve">. </w:t>
      </w:r>
      <w:r w:rsidR="00DB3ADF">
        <w:rPr>
          <w:rFonts w:ascii="Times New Roman"/>
        </w:rPr>
        <w:t>(§</w:t>
      </w:r>
      <w:r w:rsidR="00DB3ADF" w:rsidRPr="0052502E">
        <w:rPr>
          <w:rFonts w:ascii="Times New Roman"/>
        </w:rPr>
        <w:t xml:space="preserve"> 1910.1025</w:t>
      </w:r>
      <w:r w:rsidR="00DB3ADF">
        <w:rPr>
          <w:rFonts w:ascii="Times New Roman"/>
        </w:rPr>
        <w:t xml:space="preserve"> (k</w:t>
      </w:r>
      <w:proofErr w:type="gramStart"/>
      <w:r w:rsidR="00DB3ADF">
        <w:rPr>
          <w:rFonts w:ascii="Times New Roman"/>
        </w:rPr>
        <w:t>)(</w:t>
      </w:r>
      <w:proofErr w:type="gramEnd"/>
      <w:r w:rsidR="00DB3ADF">
        <w:rPr>
          <w:rFonts w:ascii="Times New Roman"/>
        </w:rPr>
        <w:t>2)(vi))</w:t>
      </w:r>
    </w:p>
    <w:p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i/>
          <w:iCs/>
        </w:rPr>
      </w:pPr>
    </w:p>
    <w:p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The</w:t>
      </w:r>
      <w:r>
        <w:rPr>
          <w:rFonts w:ascii="Times New Roman"/>
          <w:bCs/>
        </w:rPr>
        <w:t xml:space="preserve"> standard requires the</w:t>
      </w:r>
      <w:r w:rsidRPr="00DB3ADF">
        <w:rPr>
          <w:rFonts w:ascii="Times New Roman"/>
          <w:bCs/>
        </w:rPr>
        <w:t xml:space="preserve"> employer </w:t>
      </w:r>
      <w:r>
        <w:rPr>
          <w:rFonts w:ascii="Times New Roman"/>
          <w:bCs/>
        </w:rPr>
        <w:t xml:space="preserve">to </w:t>
      </w:r>
      <w:r w:rsidRPr="00DB3ADF">
        <w:rPr>
          <w:rFonts w:ascii="Times New Roman"/>
          <w:bCs/>
        </w:rPr>
        <w:t>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(A) The employer shall make available to the employee a medical examination pursuant to this section to obtain a final medical determination with respect to the employee;</w:t>
      </w:r>
    </w:p>
    <w:p w:rsid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(B) The employer shall assure that the final medical determination obtained indicates whether or not the employee may be returned to his or her former job status, and if not, what steps should be taken to protect the employee's health;</w:t>
      </w:r>
      <w:r>
        <w:rPr>
          <w:rFonts w:ascii="Times New Roman"/>
          <w:bCs/>
        </w:rPr>
        <w:t xml:space="preserve"> . . .</w:t>
      </w:r>
    </w:p>
    <w:p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DB3ADF" w:rsidRPr="00DB3ADF" w:rsidRDefault="00DB3ADF" w:rsidP="00DB3A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The employer need not automatically remove such an employee pursuant to the blood lead level removal criteria provided by this section.</w:t>
      </w:r>
    </w:p>
    <w:p w:rsidR="00002A22" w:rsidRDefault="00002A22"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b/>
          <w:bCs/>
        </w:rPr>
        <w:t>Employee</w:t>
      </w:r>
      <w:r w:rsidRPr="0052502E">
        <w:rPr>
          <w:rFonts w:ascii="Times New Roman"/>
          <w:b/>
          <w:bCs/>
        </w:rPr>
        <w:t xml:space="preserve"> Information and Training (</w:t>
      </w:r>
      <w:r>
        <w:rPr>
          <w:rFonts w:ascii="Times New Roman"/>
          <w:b/>
          <w:bCs/>
        </w:rPr>
        <w:t>§</w:t>
      </w:r>
      <w:r w:rsidRPr="0052502E">
        <w:rPr>
          <w:rFonts w:ascii="Times New Roman"/>
          <w:b/>
          <w:bCs/>
        </w:rPr>
        <w:t xml:space="preserve"> 1910.1025(l))</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Training Program</w:t>
      </w:r>
      <w:r w:rsidRPr="0052502E">
        <w:rPr>
          <w:rFonts w:ascii="Times New Roman"/>
        </w:rPr>
        <w:t xml:space="preserve"> (</w:t>
      </w:r>
      <w:r>
        <w:rPr>
          <w:rFonts w:ascii="Times New Roman"/>
        </w:rPr>
        <w:t>§</w:t>
      </w:r>
      <w:r w:rsidRPr="0052502E">
        <w:rPr>
          <w:rFonts w:ascii="Times New Roman"/>
        </w:rPr>
        <w:t xml:space="preserve"> 1910.1025(l</w:t>
      </w:r>
      <w:proofErr w:type="gramStart"/>
      <w:r w:rsidRPr="0052502E">
        <w:rPr>
          <w:rFonts w:ascii="Times New Roman"/>
        </w:rPr>
        <w:t>)(</w:t>
      </w:r>
      <w:proofErr w:type="gramEnd"/>
      <w:r w:rsidRPr="0052502E">
        <w:rPr>
          <w:rFonts w:ascii="Times New Roman"/>
        </w:rPr>
        <w:t>1))</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each employer who has a workplace in which there is potential exposure to airborne lead to inform </w:t>
      </w:r>
      <w:r w:rsidR="00CD4427">
        <w:rPr>
          <w:rFonts w:ascii="Times New Roman"/>
        </w:rPr>
        <w:t>worker</w:t>
      </w:r>
      <w:r w:rsidRPr="0052502E">
        <w:rPr>
          <w:rFonts w:ascii="Times New Roman"/>
        </w:rPr>
        <w:t xml:space="preserve">s of the contents of Appendices A and B of the lead standard.  The employer </w:t>
      </w:r>
      <w:r w:rsidR="00D3380E">
        <w:rPr>
          <w:rFonts w:ascii="Times New Roman"/>
        </w:rPr>
        <w:t>shall train each worker</w:t>
      </w:r>
      <w:r w:rsidRPr="0052502E">
        <w:rPr>
          <w:rFonts w:ascii="Times New Roman"/>
        </w:rPr>
        <w:t xml:space="preserve"> and ensure the participation of all </w:t>
      </w:r>
      <w:r w:rsidR="00CD4427">
        <w:rPr>
          <w:rFonts w:ascii="Times New Roman"/>
        </w:rPr>
        <w:t>worker</w:t>
      </w:r>
      <w:r w:rsidRPr="0052502E">
        <w:rPr>
          <w:rFonts w:ascii="Times New Roman"/>
        </w:rPr>
        <w:t xml:space="preserve">s who are subject to lead exposure at or above the action level or for whom the possibility of skin or eye irritation exists.  Training must be provided prior to initial job assignment and must be repeated at least annually thereafter for all covered </w:t>
      </w:r>
      <w:r w:rsidR="00CD4427">
        <w:rPr>
          <w:rFonts w:ascii="Times New Roman"/>
        </w:rPr>
        <w:t>worker</w:t>
      </w:r>
      <w:r w:rsidRPr="0052502E">
        <w:rPr>
          <w:rFonts w:ascii="Times New Roman"/>
        </w:rPr>
        <w:t>s.</w:t>
      </w:r>
      <w:r w:rsidR="0087205E">
        <w:rPr>
          <w:rFonts w:ascii="Times New Roman"/>
        </w:rPr>
        <w:t xml:space="preserve"> </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743A5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0052502E">
        <w:rPr>
          <w:rFonts w:ascii="Times New Roman"/>
        </w:rPr>
        <w:t xml:space="preserve">The employer is responsible for informing </w:t>
      </w:r>
      <w:r w:rsidR="00CD4427">
        <w:rPr>
          <w:rFonts w:ascii="Times New Roman"/>
        </w:rPr>
        <w:t>worker</w:t>
      </w:r>
      <w:r w:rsidRPr="0052502E">
        <w:rPr>
          <w:rFonts w:ascii="Times New Roman"/>
        </w:rPr>
        <w:t>s of the following:  (1) the content of the lead standard and its appendices; (2) the specific nature of th</w:t>
      </w:r>
      <w:r>
        <w:rPr>
          <w:rFonts w:ascii="Times New Roman"/>
        </w:rPr>
        <w:t xml:space="preserve">e operations that could result </w:t>
      </w:r>
      <w:r w:rsidRPr="0052502E">
        <w:rPr>
          <w:rFonts w:ascii="Times New Roman"/>
        </w:rPr>
        <w:t xml:space="preserve">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(5) the engineering controls and work practices associated with the </w:t>
      </w:r>
      <w:r w:rsidR="00CD4427">
        <w:rPr>
          <w:rFonts w:ascii="Times New Roman"/>
        </w:rPr>
        <w:t>worker</w:t>
      </w:r>
      <w:r w:rsidRPr="0052502E">
        <w:rPr>
          <w:rFonts w:ascii="Times New Roman"/>
        </w:rPr>
        <w:t xml:space="preserve">'s job assignment; (6) the contents of any compliance plan in effect; and (7) instructions to </w:t>
      </w:r>
      <w:r w:rsidR="00CD4427">
        <w:rPr>
          <w:rFonts w:ascii="Times New Roman"/>
        </w:rPr>
        <w:t>worker</w:t>
      </w:r>
      <w:r w:rsidRPr="0052502E">
        <w:rPr>
          <w:rFonts w:ascii="Times New Roman"/>
        </w:rPr>
        <w:t>s that chelating agents should not be used routinely to remove lead from their bodies, and should not be used at all except under the direction of a licensed physician.</w:t>
      </w:r>
      <w:r w:rsidR="002155F7">
        <w:rPr>
          <w:rFonts w:ascii="Times New Roman"/>
          <w:u w:val="single"/>
        </w:rPr>
        <w:t xml:space="preserve"> </w:t>
      </w:r>
      <w:r w:rsidR="00743A58">
        <w:rPr>
          <w:rFonts w:ascii="Times New Roman"/>
          <w:u w:val="single"/>
        </w:rPr>
        <w:t xml:space="preserve"> </w:t>
      </w:r>
    </w:p>
    <w:p w:rsidR="00C92156" w:rsidRDefault="00C92156"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rsidR="00E012CD" w:rsidRPr="00857660" w:rsidRDefault="00743A58"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27DD2">
        <w:rPr>
          <w:rFonts w:ascii="Times New Roman"/>
        </w:rPr>
        <w:t>Upon further analysis, the requirement</w:t>
      </w:r>
      <w:r w:rsidR="00C92156" w:rsidRPr="00E27DD2">
        <w:rPr>
          <w:rFonts w:ascii="Times New Roman"/>
        </w:rPr>
        <w:t xml:space="preserve"> </w:t>
      </w:r>
      <w:r w:rsidRPr="00E27DD2">
        <w:rPr>
          <w:rFonts w:ascii="Times New Roman"/>
        </w:rPr>
        <w:t>that employers provide trai</w:t>
      </w:r>
      <w:r w:rsidR="00C92156" w:rsidRPr="00E27DD2">
        <w:rPr>
          <w:rFonts w:ascii="Times New Roman"/>
        </w:rPr>
        <w:t xml:space="preserve">ning to </w:t>
      </w:r>
      <w:r w:rsidRPr="00E27DD2">
        <w:rPr>
          <w:rFonts w:ascii="Times New Roman"/>
        </w:rPr>
        <w:t>workers</w:t>
      </w:r>
      <w:r w:rsidR="00EB46F3" w:rsidRPr="00E27DD2">
        <w:rPr>
          <w:rFonts w:ascii="Times New Roman"/>
        </w:rPr>
        <w:t xml:space="preserve"> under (l</w:t>
      </w:r>
      <w:proofErr w:type="gramStart"/>
      <w:r w:rsidR="00EB46F3" w:rsidRPr="00E27DD2">
        <w:rPr>
          <w:rFonts w:ascii="Times New Roman"/>
        </w:rPr>
        <w:t>)(</w:t>
      </w:r>
      <w:proofErr w:type="gramEnd"/>
      <w:r w:rsidR="00EB46F3" w:rsidRPr="00E27DD2">
        <w:rPr>
          <w:rFonts w:ascii="Times New Roman"/>
        </w:rPr>
        <w:t>1)</w:t>
      </w:r>
      <w:r w:rsidRPr="00E27DD2">
        <w:rPr>
          <w:rFonts w:ascii="Times New Roman"/>
        </w:rPr>
        <w:t xml:space="preserve"> is not considered to be a collection of information.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Access to Information and Training Materials</w:t>
      </w:r>
      <w:r w:rsidRPr="0052502E">
        <w:rPr>
          <w:rFonts w:ascii="Times New Roman"/>
        </w:rPr>
        <w:t xml:space="preserve"> (</w:t>
      </w:r>
      <w:r>
        <w:rPr>
          <w:rFonts w:ascii="Times New Roman"/>
        </w:rPr>
        <w:t>§</w:t>
      </w:r>
      <w:r w:rsidRPr="0052502E">
        <w:rPr>
          <w:rFonts w:ascii="Times New Roman"/>
        </w:rPr>
        <w:t xml:space="preserve"> 1910.1025(l</w:t>
      </w:r>
      <w:proofErr w:type="gramStart"/>
      <w:r w:rsidRPr="0052502E">
        <w:rPr>
          <w:rFonts w:ascii="Times New Roman"/>
        </w:rPr>
        <w:t>)(</w:t>
      </w:r>
      <w:proofErr w:type="gramEnd"/>
      <w:r w:rsidRPr="0052502E">
        <w:rPr>
          <w:rFonts w:ascii="Times New Roman"/>
        </w:rPr>
        <w:t>2))</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D05119" w:rsidRDefault="009019AA" w:rsidP="00CF285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As required by (l)(2)(</w:t>
      </w:r>
      <w:proofErr w:type="spellStart"/>
      <w:r>
        <w:rPr>
          <w:rFonts w:ascii="Times New Roman"/>
        </w:rPr>
        <w:t>i</w:t>
      </w:r>
      <w:proofErr w:type="spellEnd"/>
      <w:r>
        <w:rPr>
          <w:rFonts w:ascii="Times New Roman"/>
        </w:rPr>
        <w:t>) and (l)(2)(iii), t</w:t>
      </w:r>
      <w:r w:rsidR="00D05119">
        <w:rPr>
          <w:rFonts w:ascii="Times New Roman"/>
        </w:rPr>
        <w:t xml:space="preserve">he </w:t>
      </w:r>
      <w:r w:rsidR="00D05119" w:rsidRPr="0052502E">
        <w:rPr>
          <w:rFonts w:ascii="Times New Roman"/>
        </w:rPr>
        <w:t xml:space="preserve">employer must make readily available to all affected </w:t>
      </w:r>
      <w:r w:rsidR="00D05119">
        <w:rPr>
          <w:rFonts w:ascii="Times New Roman"/>
        </w:rPr>
        <w:t>worker</w:t>
      </w:r>
      <w:r w:rsidR="00D05119" w:rsidRPr="0052502E">
        <w:rPr>
          <w:rFonts w:ascii="Times New Roman"/>
        </w:rPr>
        <w:t>s a copy of t</w:t>
      </w:r>
      <w:r w:rsidR="00D05119">
        <w:rPr>
          <w:rFonts w:ascii="Times New Roman"/>
        </w:rPr>
        <w:t xml:space="preserve">he </w:t>
      </w:r>
      <w:r w:rsidR="00D05119" w:rsidRPr="0052502E">
        <w:rPr>
          <w:rFonts w:ascii="Times New Roman"/>
        </w:rPr>
        <w:t>standard and its appendices</w:t>
      </w:r>
      <w:r w:rsidR="00D05119">
        <w:rPr>
          <w:rFonts w:ascii="Times New Roman"/>
        </w:rPr>
        <w:t xml:space="preserve"> and distribute to employees </w:t>
      </w:r>
      <w:r w:rsidR="00D03878">
        <w:rPr>
          <w:rFonts w:ascii="Times New Roman"/>
        </w:rPr>
        <w:t xml:space="preserve">training and information </w:t>
      </w:r>
      <w:r w:rsidR="00D05119">
        <w:rPr>
          <w:rFonts w:ascii="Times New Roman"/>
        </w:rPr>
        <w:t>materials which are made available to the employer by OSHA</w:t>
      </w:r>
      <w:r w:rsidR="00857660">
        <w:rPr>
          <w:rFonts w:ascii="Times New Roman"/>
        </w:rPr>
        <w:t xml:space="preserve">.  </w:t>
      </w:r>
      <w:r w:rsidR="00EB46F3">
        <w:rPr>
          <w:rFonts w:ascii="Times New Roman"/>
        </w:rPr>
        <w:t>These requirements are not collections of information, because they are p</w:t>
      </w:r>
      <w:r>
        <w:rPr>
          <w:rFonts w:ascii="Times New Roman"/>
        </w:rPr>
        <w:t>ublic disclosures of information originally provided by the Federal government to the recipient for the purpose of disclosure to the public</w:t>
      </w:r>
      <w:r w:rsidR="00EB46F3">
        <w:rPr>
          <w:rFonts w:ascii="Times New Roman"/>
        </w:rPr>
        <w:t xml:space="preserve">.  </w:t>
      </w:r>
      <w:r w:rsidR="00CF2853">
        <w:rPr>
          <w:rFonts w:ascii="Times New Roman"/>
        </w:rPr>
        <w:t>Therefore, these requirements do not fall within the definition of a collection</w:t>
      </w:r>
      <w:r w:rsidR="00EB46F3">
        <w:rPr>
          <w:rFonts w:ascii="Times New Roman"/>
        </w:rPr>
        <w:t xml:space="preserve"> of information under 5 CFR 1320.3(c</w:t>
      </w:r>
      <w:proofErr w:type="gramStart"/>
      <w:r w:rsidR="00EB46F3">
        <w:rPr>
          <w:rFonts w:ascii="Times New Roman"/>
        </w:rPr>
        <w:t>)(</w:t>
      </w:r>
      <w:proofErr w:type="gramEnd"/>
      <w:r w:rsidR="00EB46F3">
        <w:rPr>
          <w:rFonts w:ascii="Times New Roman"/>
        </w:rPr>
        <w:t>2).</w:t>
      </w:r>
    </w:p>
    <w:p w:rsidR="00D05119" w:rsidRDefault="00D05119"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503256"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rPr>
        <w:t>As directed by the standard</w:t>
      </w:r>
      <w:r w:rsidR="009019AA">
        <w:rPr>
          <w:rFonts w:ascii="Times New Roman"/>
        </w:rPr>
        <w:t xml:space="preserve"> under (l</w:t>
      </w:r>
      <w:proofErr w:type="gramStart"/>
      <w:r w:rsidR="009019AA">
        <w:rPr>
          <w:rFonts w:ascii="Times New Roman"/>
        </w:rPr>
        <w:t>)(</w:t>
      </w:r>
      <w:proofErr w:type="gramEnd"/>
      <w:r w:rsidR="009019AA">
        <w:rPr>
          <w:rFonts w:ascii="Times New Roman"/>
        </w:rPr>
        <w:t>2)(ii)</w:t>
      </w:r>
      <w:r w:rsidRPr="0052502E">
        <w:rPr>
          <w:rFonts w:ascii="Times New Roman"/>
        </w:rPr>
        <w:t xml:space="preserve">, the employer must provide to OSHA and NIOSH, upon request, all materials relating to the </w:t>
      </w:r>
      <w:r w:rsidR="00CD4427">
        <w:rPr>
          <w:rFonts w:ascii="Times New Roman"/>
        </w:rPr>
        <w:t>worker</w:t>
      </w:r>
      <w:r w:rsidRPr="0052502E">
        <w:rPr>
          <w:rFonts w:ascii="Times New Roman"/>
        </w:rPr>
        <w:t xml:space="preserve"> information and training program</w:t>
      </w:r>
      <w:r w:rsidR="00DB3ADF">
        <w:rPr>
          <w:rFonts w:ascii="Times New Roman"/>
        </w:rPr>
        <w:t xml:space="preserve">.  </w:t>
      </w:r>
    </w:p>
    <w:p w:rsidR="005317C7" w:rsidRDefault="005317C7"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52502E">
        <w:rPr>
          <w:rFonts w:ascii="Times New Roman"/>
          <w:b/>
          <w:bCs/>
        </w:rPr>
        <w:t>Signs (</w:t>
      </w:r>
      <w:r>
        <w:rPr>
          <w:rFonts w:ascii="Times New Roman"/>
          <w:b/>
          <w:bCs/>
        </w:rPr>
        <w:t>§</w:t>
      </w:r>
      <w:r w:rsidRPr="0052502E">
        <w:rPr>
          <w:rFonts w:ascii="Times New Roman"/>
          <w:b/>
          <w:bCs/>
        </w:rPr>
        <w:t xml:space="preserve"> 1910.1025(m))</w:t>
      </w:r>
    </w:p>
    <w:p w:rsidR="00E012CD" w:rsidRDefault="00E012CD" w:rsidP="00EC0331">
      <w:pPr>
        <w:pStyle w:val="NormalWeb"/>
      </w:pPr>
      <w:r w:rsidRPr="0052502E">
        <w:t xml:space="preserve">Employers must post warning signs in each work area where the PEL is exceeded.  </w:t>
      </w:r>
      <w:r w:rsidR="00EC0331">
        <w:t>As specified by paragraph (m</w:t>
      </w:r>
      <w:proofErr w:type="gramStart"/>
      <w:r w:rsidR="00EC0331">
        <w:t>)(</w:t>
      </w:r>
      <w:proofErr w:type="gramEnd"/>
      <w:r w:rsidR="00EC0331">
        <w:t xml:space="preserve">2)(ii), the signs must state: </w:t>
      </w:r>
      <w:r w:rsidR="00EC0331" w:rsidRPr="00EC0331">
        <w:t>DANGER</w:t>
      </w:r>
      <w:r w:rsidR="00EC0331">
        <w:t>.</w:t>
      </w:r>
      <w:r w:rsidR="00EC0331" w:rsidRPr="00EC0331">
        <w:t xml:space="preserve"> LEAD</w:t>
      </w:r>
      <w:r w:rsidR="00EC0331">
        <w:t xml:space="preserve">.  </w:t>
      </w:r>
      <w:proofErr w:type="gramStart"/>
      <w:r w:rsidR="00EC0331" w:rsidRPr="00EC0331">
        <w:t>MAY DAMAGE FERTILITY OR THE UNBORN CHILD</w:t>
      </w:r>
      <w:r w:rsidR="00EC0331">
        <w:t>.</w:t>
      </w:r>
      <w:proofErr w:type="gramEnd"/>
      <w:r w:rsidR="00EC0331" w:rsidRPr="00EC0331">
        <w:t xml:space="preserve"> CAUSES DAMAGE TO THE CENTRAL NERVOUS SYSTEM.  DO NOT EAT, DRINK OR SMOKE IN THIS AREA</w:t>
      </w:r>
      <w:r w:rsidRPr="0052502E">
        <w:t>.</w:t>
      </w:r>
    </w:p>
    <w:p w:rsidR="00EC0331" w:rsidRDefault="00EC0331" w:rsidP="00EC0331">
      <w:pPr>
        <w:pStyle w:val="NormalWeb"/>
      </w:pPr>
      <w:r w:rsidRPr="00EC0331">
        <w:t>Prior to June 1, 2016, employers may use the following legend in lieu of that specified in paragraph (m)(2)(ii):</w:t>
      </w:r>
      <w:r>
        <w:t xml:space="preserve"> </w:t>
      </w:r>
      <w:r w:rsidRPr="00EC0331">
        <w:t>WARNING</w:t>
      </w:r>
      <w:r>
        <w:t xml:space="preserve">.  </w:t>
      </w:r>
      <w:proofErr w:type="gramStart"/>
      <w:r w:rsidRPr="00EC0331">
        <w:t>LEAD WORK AREA</w:t>
      </w:r>
      <w:r>
        <w:t>.</w:t>
      </w:r>
      <w:proofErr w:type="gramEnd"/>
      <w:r w:rsidR="00A134B0">
        <w:t xml:space="preserve"> </w:t>
      </w:r>
      <w:r>
        <w:t xml:space="preserve"> </w:t>
      </w:r>
      <w:proofErr w:type="gramStart"/>
      <w:r w:rsidRPr="00EC0331">
        <w:t>POISON</w:t>
      </w:r>
      <w:r>
        <w:t>.</w:t>
      </w:r>
      <w:proofErr w:type="gramEnd"/>
      <w:r>
        <w:t xml:space="preserve">  </w:t>
      </w:r>
      <w:r w:rsidRPr="00EC0331">
        <w:t>NO SMOKING OR EATING</w:t>
      </w:r>
      <w: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Posting warning signs serve to warn </w:t>
      </w:r>
      <w:r w:rsidR="00CD4427">
        <w:rPr>
          <w:rFonts w:ascii="Times New Roman"/>
        </w:rPr>
        <w:t>worker</w:t>
      </w:r>
      <w:r w:rsidRPr="0052502E">
        <w:rPr>
          <w:rFonts w:ascii="Times New Roman"/>
        </w:rPr>
        <w:t>s, who may otherwise not know, that they</w:t>
      </w:r>
      <w:r>
        <w:rPr>
          <w:rFonts w:ascii="Times New Roman"/>
        </w:rPr>
        <w:t xml:space="preserve"> </w:t>
      </w:r>
      <w:r w:rsidRPr="0052502E">
        <w:rPr>
          <w:rFonts w:ascii="Times New Roman"/>
        </w:rPr>
        <w:t xml:space="preserve">are entering a hazardous area. Warning signs also supplement the training which </w:t>
      </w:r>
      <w:r w:rsidR="00CD4427">
        <w:rPr>
          <w:rFonts w:ascii="Times New Roman"/>
        </w:rPr>
        <w:t>worker</w:t>
      </w:r>
      <w:r w:rsidRPr="0052502E">
        <w:rPr>
          <w:rFonts w:ascii="Times New Roman"/>
        </w:rPr>
        <w:t xml:space="preserve">s receive under this standard. </w:t>
      </w:r>
      <w:r w:rsidR="00894766">
        <w:rPr>
          <w:rFonts w:ascii="Times New Roman"/>
        </w:rPr>
        <w:t xml:space="preserve">  </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RDefault="00E012CD" w:rsidP="007C2A55">
      <w:pPr>
        <w:widowControl/>
        <w:autoSpaceDE/>
        <w:autoSpaceDN/>
        <w:adjustRightInd/>
        <w:rPr>
          <w:rFonts w:ascii="Times New Roman"/>
        </w:rPr>
      </w:pPr>
      <w:r w:rsidRPr="0052502E">
        <w:rPr>
          <w:rFonts w:ascii="Times New Roman"/>
          <w:b/>
          <w:bCs/>
        </w:rPr>
        <w:t>Recordkeeping (</w:t>
      </w:r>
      <w:r>
        <w:rPr>
          <w:rFonts w:ascii="Times New Roman"/>
          <w:b/>
          <w:bCs/>
        </w:rPr>
        <w:t>§</w:t>
      </w:r>
      <w:r w:rsidRPr="0052502E">
        <w:rPr>
          <w:rFonts w:ascii="Times New Roman"/>
          <w:b/>
          <w:bCs/>
        </w:rPr>
        <w:t xml:space="preserve"> 1910.1025(n))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Exposure Monitoring Records</w:t>
      </w:r>
      <w:r w:rsidRPr="0052502E">
        <w:rPr>
          <w:rFonts w:ascii="Times New Roman"/>
        </w:rPr>
        <w:t xml:space="preserve"> (</w:t>
      </w:r>
      <w:r>
        <w:rPr>
          <w:rFonts w:ascii="Times New Roman"/>
        </w:rPr>
        <w:t>§</w:t>
      </w:r>
      <w:r w:rsidRPr="0052502E">
        <w:rPr>
          <w:rFonts w:ascii="Times New Roman"/>
        </w:rPr>
        <w:t xml:space="preserve"> 1910.1025(n</w:t>
      </w:r>
      <w:proofErr w:type="gramStart"/>
      <w:r w:rsidRPr="0052502E">
        <w:rPr>
          <w:rFonts w:ascii="Times New Roman"/>
        </w:rPr>
        <w:t>)(</w:t>
      </w:r>
      <w:proofErr w:type="gramEnd"/>
      <w:r w:rsidRPr="0052502E">
        <w:rPr>
          <w:rFonts w:ascii="Times New Roman"/>
        </w:rPr>
        <w:t>1))</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of all monitoring required by the standard.  The exposure monitoring records must include the following information:  (1) the date(s), number, duration, location, and results of each of the samples taken, including a description of the sampling procedure used to determine representative </w:t>
      </w:r>
      <w:r w:rsidR="00CD4427">
        <w:rPr>
          <w:rFonts w:ascii="Times New Roman"/>
        </w:rPr>
        <w:t>worker</w:t>
      </w:r>
      <w:r w:rsidRPr="0052502E">
        <w:rPr>
          <w:rFonts w:ascii="Times New Roman"/>
        </w:rPr>
        <w:t xml:space="preserve"> exposure where applicable; (2) a description of the sampling and analytical methods used and evidence of their accuracy; (3) the type of respiratory protective devices worn, if any; name, social security number, and job classification of the </w:t>
      </w:r>
      <w:r w:rsidR="00CD4427">
        <w:rPr>
          <w:rFonts w:ascii="Times New Roman"/>
        </w:rPr>
        <w:t>worker</w:t>
      </w:r>
      <w:r w:rsidRPr="0052502E">
        <w:rPr>
          <w:rFonts w:ascii="Times New Roman"/>
        </w:rPr>
        <w:t xml:space="preserve"> monitored and of all other </w:t>
      </w:r>
      <w:r w:rsidR="00CD4427">
        <w:rPr>
          <w:rFonts w:ascii="Times New Roman"/>
        </w:rPr>
        <w:t>worker</w:t>
      </w:r>
      <w:r w:rsidRPr="0052502E">
        <w:rPr>
          <w:rFonts w:ascii="Times New Roman"/>
        </w:rPr>
        <w:t xml:space="preserve">s whose exposure the measurement is intended to represent; and (4) the environmental variables that could affect the measurement of </w:t>
      </w:r>
      <w:r w:rsidR="00CD4427">
        <w:rPr>
          <w:rFonts w:ascii="Times New Roman"/>
        </w:rPr>
        <w:t>worker</w:t>
      </w:r>
      <w:r w:rsidRPr="0052502E">
        <w:rPr>
          <w:rFonts w:ascii="Times New Roman"/>
        </w:rPr>
        <w:t xml:space="preserve"> exposure.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In accordance with the standard, the employer must maintain these exposure monitoring records for at least 40 years or for the duration of employment plus 20 years, whichever is longer.</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Surveillance Records</w:t>
      </w:r>
      <w:r w:rsidRPr="0052502E">
        <w:rPr>
          <w:rFonts w:ascii="Times New Roman"/>
        </w:rPr>
        <w:t xml:space="preserve"> (</w:t>
      </w:r>
      <w:r>
        <w:rPr>
          <w:rFonts w:ascii="Times New Roman"/>
        </w:rPr>
        <w:t>§</w:t>
      </w:r>
      <w:r w:rsidRPr="0052502E">
        <w:rPr>
          <w:rFonts w:ascii="Times New Roman"/>
        </w:rPr>
        <w:t xml:space="preserve"> 1910.1025(n</w:t>
      </w:r>
      <w:proofErr w:type="gramStart"/>
      <w:r w:rsidRPr="0052502E">
        <w:rPr>
          <w:rFonts w:ascii="Times New Roman"/>
        </w:rPr>
        <w:t>)(</w:t>
      </w:r>
      <w:proofErr w:type="gramEnd"/>
      <w:r w:rsidRPr="0052502E">
        <w:rPr>
          <w:rFonts w:ascii="Times New Roman"/>
        </w:rPr>
        <w:t>2))</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standard requires that the employer establish and maintain an accurate record for each </w:t>
      </w:r>
      <w:r w:rsidR="00CD4427">
        <w:rPr>
          <w:rFonts w:ascii="Times New Roman"/>
        </w:rPr>
        <w:t>worker</w:t>
      </w:r>
      <w:r w:rsidRPr="0052502E">
        <w:rPr>
          <w:rFonts w:ascii="Times New Roman"/>
        </w:rPr>
        <w:t xml:space="preserve"> subject to medical surveillance as required by this standard.  Medical surveillance records must include the following information:  (1) the name, social security number, and description of the duties of the </w:t>
      </w:r>
      <w:r w:rsidR="00CD4427">
        <w:rPr>
          <w:rFonts w:ascii="Times New Roman"/>
        </w:rPr>
        <w:t>worker</w:t>
      </w:r>
      <w:r w:rsidRPr="0052502E">
        <w:rPr>
          <w:rFonts w:ascii="Times New Roman"/>
        </w:rPr>
        <w:t>; (2) a copy of the physician's written opinions; (3) results of any airborne</w:t>
      </w:r>
      <w:r w:rsidR="00DB3ADF">
        <w:rPr>
          <w:rFonts w:ascii="Times New Roman"/>
        </w:rPr>
        <w:t xml:space="preserve"> </w:t>
      </w:r>
      <w:r w:rsidRPr="0052502E">
        <w:rPr>
          <w:rFonts w:ascii="Times New Roman"/>
        </w:rPr>
        <w:t xml:space="preserve">exposure monitoring done for that </w:t>
      </w:r>
      <w:r w:rsidR="00CD4427">
        <w:rPr>
          <w:rFonts w:ascii="Times New Roman"/>
        </w:rPr>
        <w:t>worker</w:t>
      </w:r>
      <w:r w:rsidRPr="0052502E">
        <w:rPr>
          <w:rFonts w:ascii="Times New Roman"/>
        </w:rPr>
        <w:t xml:space="preserve"> and the representative exposure levels supplied to the physician; and (4) any </w:t>
      </w:r>
      <w:r w:rsidR="00CD4427">
        <w:rPr>
          <w:rFonts w:ascii="Times New Roman"/>
        </w:rPr>
        <w:t>worker</w:t>
      </w:r>
      <w:r w:rsidRPr="0052502E">
        <w:rPr>
          <w:rFonts w:ascii="Times New Roman"/>
        </w:rPr>
        <w:t xml:space="preserve"> medical complaints related to exposure to lead.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As directed by the standard, the employer must keep, or ensure that the examining physician keeps, the following medical records:  (1) a copy of the medical examination results, including required medical and work histories; (2) a description of the laboratory procedures and a copy of any standards or guidelines used to interpret the test results or references to that information; and (3) a copy of the results of the biological monitoring.</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employer must maintain or ensure that the physician maintains these medical surveillance records for at least 40 years, or for the duration of employment plus 20 years, whichever is longer.</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Medical Removal Records</w:t>
      </w:r>
      <w:r w:rsidRPr="0052502E">
        <w:rPr>
          <w:rFonts w:ascii="Times New Roman"/>
        </w:rPr>
        <w:t xml:space="preserve"> (</w:t>
      </w:r>
      <w:r>
        <w:rPr>
          <w:rFonts w:ascii="Times New Roman"/>
        </w:rPr>
        <w:t>§</w:t>
      </w:r>
      <w:r w:rsidRPr="0052502E">
        <w:rPr>
          <w:rFonts w:ascii="Times New Roman"/>
        </w:rPr>
        <w:t xml:space="preserve"> 1910.1025(n</w:t>
      </w:r>
      <w:proofErr w:type="gramStart"/>
      <w:r w:rsidRPr="0052502E">
        <w:rPr>
          <w:rFonts w:ascii="Times New Roman"/>
        </w:rPr>
        <w:t>)(</w:t>
      </w:r>
      <w:proofErr w:type="gramEnd"/>
      <w:r w:rsidRPr="0052502E">
        <w:rPr>
          <w:rFonts w:ascii="Times New Roman"/>
        </w:rPr>
        <w:t>3))</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lead standard requires that the employer establish and maintain an accurate record for each </w:t>
      </w:r>
      <w:r w:rsidR="00CD4427">
        <w:rPr>
          <w:rFonts w:ascii="Times New Roman"/>
        </w:rPr>
        <w:t>worker</w:t>
      </w:r>
      <w:r w:rsidRPr="0052502E">
        <w:rPr>
          <w:rFonts w:ascii="Times New Roman"/>
        </w:rPr>
        <w:t xml:space="preserve"> removed from current exposure to lead.  Each medical removal record must include the following information:  (1) the name and social security number of the </w:t>
      </w:r>
      <w:r w:rsidR="00CD4427">
        <w:rPr>
          <w:rFonts w:ascii="Times New Roman"/>
        </w:rPr>
        <w:t>worker</w:t>
      </w:r>
      <w:r w:rsidRPr="0052502E">
        <w:rPr>
          <w:rFonts w:ascii="Times New Roman"/>
        </w:rPr>
        <w:t xml:space="preserve">; (2) the date of each occasion on which the </w:t>
      </w:r>
      <w:r w:rsidR="00CD4427">
        <w:rPr>
          <w:rFonts w:ascii="Times New Roman"/>
        </w:rPr>
        <w:t>worker</w:t>
      </w:r>
      <w:r w:rsidRPr="0052502E">
        <w:rPr>
          <w:rFonts w:ascii="Times New Roman"/>
        </w:rPr>
        <w:t xml:space="preserve"> was removed from current exposure to lead as well as the corresponding date on which the </w:t>
      </w:r>
      <w:r w:rsidR="00CD4427">
        <w:rPr>
          <w:rFonts w:ascii="Times New Roman"/>
        </w:rPr>
        <w:t>worker</w:t>
      </w:r>
      <w:r w:rsidRPr="0052502E">
        <w:rPr>
          <w:rFonts w:ascii="Times New Roman"/>
        </w:rPr>
        <w:t xml:space="preserve"> was returned to his or her former job status; (3) a brief explanation of how each removal was or is being accomplished; and (4) a statement with respect to each removal, indicating whether or not the reason for the removal was an elevated blood lead level.</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In accordance with the standard, the employer must maintain each medical removal record for at least the duration of a </w:t>
      </w:r>
      <w:r w:rsidR="00CD4427">
        <w:rPr>
          <w:rFonts w:ascii="Times New Roman"/>
        </w:rPr>
        <w:t>worker</w:t>
      </w:r>
      <w:r>
        <w:rPr>
          <w:rFonts w:ascii="Times New Roman"/>
        </w:rPr>
        <w:t>'</w:t>
      </w:r>
      <w:r w:rsidRPr="0052502E">
        <w:rPr>
          <w:rFonts w:ascii="Times New Roman"/>
        </w:rPr>
        <w:t>s employment.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u w:val="single"/>
        </w:rPr>
        <w:t>Records Access</w:t>
      </w:r>
      <w:r w:rsidRPr="0052502E">
        <w:rPr>
          <w:rFonts w:ascii="Times New Roman"/>
        </w:rPr>
        <w:t xml:space="preserve"> (</w:t>
      </w:r>
      <w:r>
        <w:rPr>
          <w:rFonts w:ascii="Times New Roman"/>
        </w:rPr>
        <w:t>§</w:t>
      </w:r>
      <w:r w:rsidRPr="0052502E">
        <w:rPr>
          <w:rFonts w:ascii="Times New Roman"/>
        </w:rPr>
        <w:t xml:space="preserve"> 1910.1025(n</w:t>
      </w:r>
      <w:proofErr w:type="gramStart"/>
      <w:r w:rsidRPr="0052502E">
        <w:rPr>
          <w:rFonts w:ascii="Times New Roman"/>
        </w:rPr>
        <w:t>)(</w:t>
      </w:r>
      <w:proofErr w:type="gramEnd"/>
      <w:r w:rsidRPr="0052502E">
        <w:rPr>
          <w:rFonts w:ascii="Times New Roman"/>
        </w:rPr>
        <w:t>4))</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As directed by the standard, the employer must make all records required to be maintained available, upon request, to the Assistant Secretary and the Director for examination and copying. In addition, the employer must make environmental monitoring, medical removal, and medical surveillance records available, upon request, for examination and copying to </w:t>
      </w:r>
      <w:r w:rsidR="00CD4427">
        <w:rPr>
          <w:rFonts w:ascii="Times New Roman"/>
        </w:rPr>
        <w:t>worker</w:t>
      </w:r>
      <w:r w:rsidRPr="0052502E">
        <w:rPr>
          <w:rFonts w:ascii="Times New Roman"/>
        </w:rPr>
        <w:t>s, their designated representatives, and the Assistant Secretary, in accordance with OSHA</w:t>
      </w:r>
      <w:r>
        <w:rPr>
          <w:rFonts w:ascii="Times New Roman"/>
        </w:rPr>
        <w:t>'</w:t>
      </w:r>
      <w:r w:rsidRPr="0052502E">
        <w:rPr>
          <w:rFonts w:ascii="Times New Roman"/>
        </w:rPr>
        <w:t xml:space="preserve">s Access to </w:t>
      </w:r>
      <w:r>
        <w:rPr>
          <w:rFonts w:ascii="Times New Roman"/>
        </w:rPr>
        <w:t>Employee Exposure and Medical Records S</w:t>
      </w:r>
      <w:r w:rsidRPr="0052502E">
        <w:rPr>
          <w:rFonts w:ascii="Times New Roman"/>
        </w:rPr>
        <w:t>tandard (29 CFR 1910.1020).</w:t>
      </w:r>
    </w:p>
    <w:p w:rsidR="00E012CD" w:rsidRPr="00263ACF" w:rsidRDefault="00E012CD" w:rsidP="00263AC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rPr>
      </w:pPr>
    </w:p>
    <w:p w:rsidR="00E012CD" w:rsidRPr="004337D5"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4337D5">
        <w:rPr>
          <w:rFonts w:ascii="Times New Roman"/>
          <w:u w:val="single"/>
        </w:rPr>
        <w:t>Records Transfer</w:t>
      </w:r>
      <w:r w:rsidRPr="004337D5">
        <w:rPr>
          <w:rFonts w:ascii="Times New Roman"/>
        </w:rPr>
        <w:t xml:space="preserve"> (§ 1910.1025(n</w:t>
      </w:r>
      <w:proofErr w:type="gramStart"/>
      <w:r w:rsidRPr="004337D5">
        <w:rPr>
          <w:rFonts w:ascii="Times New Roman"/>
        </w:rPr>
        <w:t>)(</w:t>
      </w:r>
      <w:proofErr w:type="gramEnd"/>
      <w:r w:rsidRPr="004337D5">
        <w:rPr>
          <w:rFonts w:ascii="Times New Roman"/>
        </w:rPr>
        <w:t>5)</w:t>
      </w:r>
      <w:r>
        <w:rPr>
          <w:rFonts w:ascii="Times New Roman"/>
        </w:rPr>
        <w:t>(</w:t>
      </w:r>
      <w:proofErr w:type="spellStart"/>
      <w:r>
        <w:rPr>
          <w:rFonts w:ascii="Times New Roman"/>
        </w:rPr>
        <w:t>i</w:t>
      </w:r>
      <w:proofErr w:type="spellEnd"/>
      <w:r>
        <w:rPr>
          <w:rFonts w:ascii="Times New Roman"/>
        </w:rPr>
        <w:t>) and (ii)</w:t>
      </w:r>
      <w:r w:rsidRPr="004337D5">
        <w:rPr>
          <w:rFonts w:ascii="Times New Roman"/>
        </w:rPr>
        <w:t>)</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trike/>
        </w:rPr>
      </w:pPr>
    </w:p>
    <w:p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bookmarkStart w:id="0" w:name="1910.1025(n)(5)(ii)"/>
      <w:bookmarkEnd w:id="0"/>
      <w:r>
        <w:rPr>
          <w:rFonts w:ascii="Times New Roman"/>
        </w:rPr>
        <w:t xml:space="preserve">Whenever the employer ceases to do business, the successor employer shall receive and retain all records required to be maintained by paragraph (n) of this standard.  </w:t>
      </w:r>
      <w:r w:rsidRPr="004337D5">
        <w:rPr>
          <w:rFonts w:ascii="Times New Roman"/>
        </w:rPr>
        <w:t xml:space="preserve">The employer must comply </w:t>
      </w:r>
      <w:r w:rsidRPr="00CD0727">
        <w:rPr>
          <w:rFonts w:ascii="Times New Roman"/>
        </w:rPr>
        <w:lastRenderedPageBreak/>
        <w:t>with requirements involving the transfer of records set forth in 29 CFR 1910.1020(h).</w:t>
      </w:r>
    </w:p>
    <w:p w:rsidR="00E012CD" w:rsidRPr="00CD0727"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CD0727" w:rsidRDefault="00E012CD" w:rsidP="00E012CD">
      <w:pPr>
        <w:rPr>
          <w:rFonts w:ascii="Times New Roman" w:cs="Shruti"/>
        </w:rPr>
      </w:pPr>
      <w:r w:rsidRPr="00CD0727">
        <w:rPr>
          <w:rFonts w:ascii="Times New Roman" w:cs="Shruti"/>
        </w:rPr>
        <w:t xml:space="preserve">Paragraph (h) of </w:t>
      </w:r>
      <w:r w:rsidRPr="00CD0727">
        <w:rPr>
          <w:rFonts w:ascii="Times New Roman"/>
        </w:rPr>
        <w:t>§ 1910.1020</w:t>
      </w:r>
      <w:r w:rsidRPr="00CD0727">
        <w:rPr>
          <w:rFonts w:ascii="Times New Roman"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CD0727">
        <w:rPr>
          <w:rStyle w:val="FootnoteReference"/>
          <w:rFonts w:ascii="Times New Roman" w:cs="Shruti"/>
          <w:vertAlign w:val="superscript"/>
        </w:rPr>
        <w:footnoteReference w:id="4"/>
      </w:r>
    </w:p>
    <w:p w:rsidR="00E012CD" w:rsidRPr="00CD0727" w:rsidRDefault="00E012CD" w:rsidP="00E012CD">
      <w:pPr>
        <w:rPr>
          <w:rFonts w:ascii="Times New Roman" w:cs="Shruti"/>
        </w:rPr>
      </w:pPr>
    </w:p>
    <w:p w:rsidR="00E012CD" w:rsidRPr="00CD0727" w:rsidRDefault="00E012CD" w:rsidP="00E012CD">
      <w:pPr>
        <w:widowControl/>
        <w:autoSpaceDE/>
        <w:autoSpaceDN/>
        <w:adjustRightInd/>
        <w:rPr>
          <w:rFonts w:ascii="Times New Roman"/>
        </w:rPr>
      </w:pPr>
      <w:r w:rsidRPr="00CD0727">
        <w:rPr>
          <w:rFonts w:ascii="Times New Roman"/>
        </w:rPr>
        <w:t>OSHA considers the employer’s transfer of records to a successor employer to be usual and customary communications during the transition from one employer to a successor employer.  In this regard, the employer would communicate the location of</w:t>
      </w:r>
      <w:r w:rsidRPr="00CD0727">
        <w:rPr>
          <w:rFonts w:ascii="Times New Roman" w:cs="Arial"/>
          <w:szCs w:val="20"/>
        </w:rPr>
        <w:t xml:space="preserve"> all </w:t>
      </w:r>
      <w:r w:rsidRPr="00CD0727">
        <w:rPr>
          <w:rFonts w:ascii="Times New Roman"/>
        </w:rPr>
        <w:t>records</w:t>
      </w:r>
      <w:r w:rsidRPr="00CD0727">
        <w:rPr>
          <w:rFonts w:ascii="Times New Roman" w:cs="Arial"/>
          <w:szCs w:val="20"/>
        </w:rPr>
        <w:t xml:space="preserve">, including </w:t>
      </w:r>
      <w:r w:rsidR="00CD4427">
        <w:rPr>
          <w:rFonts w:ascii="Times New Roman" w:cs="Arial"/>
          <w:szCs w:val="20"/>
        </w:rPr>
        <w:t>worker</w:t>
      </w:r>
      <w:r w:rsidRPr="00CD0727">
        <w:rPr>
          <w:rFonts w:ascii="Times New Roman" w:cs="Arial"/>
          <w:szCs w:val="20"/>
        </w:rPr>
        <w:t xml:space="preserve"> exposure-monitoring and medical records, </w:t>
      </w:r>
      <w:r w:rsidRPr="00CD0727">
        <w:rPr>
          <w:rFonts w:ascii="Times New Roman"/>
        </w:rPr>
        <w:t>at the facility to the successor employer during the transfer of business operations, as a matter of usual and customary business practice.  </w:t>
      </w:r>
    </w:p>
    <w:p w:rsidR="00E012CD" w:rsidRPr="00CD0727" w:rsidRDefault="00E012CD" w:rsidP="00E012CD">
      <w:pPr>
        <w:widowControl/>
        <w:autoSpaceDE/>
        <w:autoSpaceDN/>
        <w:adjustRightInd/>
        <w:rPr>
          <w:rFonts w:ascii="Times New Roman"/>
        </w:rPr>
      </w:pPr>
    </w:p>
    <w:p w:rsidR="00E012CD" w:rsidRPr="00CD0727" w:rsidRDefault="00E012CD" w:rsidP="00E012CD">
      <w:pPr>
        <w:widowControl/>
        <w:autoSpaceDE/>
        <w:autoSpaceDN/>
        <w:adjustRightInd/>
        <w:rPr>
          <w:rFonts w:ascii="Times New Roman"/>
        </w:rPr>
      </w:pPr>
      <w:r w:rsidRPr="00CD0727">
        <w:rPr>
          <w:rFonts w:ascii="Times New Roman" w:cs="Shruti"/>
        </w:rPr>
        <w:t xml:space="preserve">In addition, </w:t>
      </w:r>
      <w:r w:rsidRPr="00CD0727">
        <w:rPr>
          <w:rFonts w:ascii="Times New Roman"/>
        </w:rPr>
        <w:t xml:space="preserve">OSHA accounts for the burden hours and costs resulting from the </w:t>
      </w:r>
      <w:r w:rsidR="00CD4427">
        <w:rPr>
          <w:rFonts w:ascii="Times New Roman"/>
        </w:rPr>
        <w:t>worker</w:t>
      </w:r>
      <w:r w:rsidRPr="00CD0727">
        <w:rPr>
          <w:rFonts w:ascii="Times New Roman"/>
        </w:rPr>
        <w:t xml:space="preserve"> notification requirements under the Information Collection Request (ICR) for its Access to Employee Exposure and Medical Records Standard (§1910.1020), OMB Control No. 1218-0065.</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6F56B8">
        <w:rPr>
          <w:rFonts w:ascii="Times New Roman"/>
          <w:b/>
          <w:sz w:val="20"/>
          <w:szCs w:val="20"/>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rPr>
          <w:rFonts w:ascii="Times New Roman"/>
          <w:b/>
          <w:sz w:val="20"/>
          <w:szCs w:val="20"/>
        </w:rPr>
        <w:t>s</w:t>
      </w:r>
      <w:r w:rsidRPr="006F56B8">
        <w:rPr>
          <w:rFonts w:ascii="Times New Roman"/>
          <w:b/>
          <w:sz w:val="20"/>
          <w:szCs w:val="20"/>
        </w:rPr>
        <w: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Employers may use improved information technology when establishing and maintaining exposure-monitoring and medical-surveillance records.  OSHA wrote the paperwork</w:t>
      </w:r>
      <w:r>
        <w:rPr>
          <w:rFonts w:ascii="Times New Roman"/>
        </w:rPr>
        <w:t xml:space="preserve"> </w:t>
      </w:r>
      <w:r w:rsidRPr="0052502E">
        <w:rPr>
          <w:rFonts w:ascii="Times New Roman"/>
        </w:rPr>
        <w:t xml:space="preserve">requirements of the standard in performance-oriented language (i.e., in terms of </w:t>
      </w:r>
      <w:r w:rsidRPr="0052502E">
        <w:rPr>
          <w:rFonts w:ascii="Times New Roman"/>
          <w:u w:val="single"/>
        </w:rPr>
        <w:t>what</w:t>
      </w:r>
      <w:r w:rsidRPr="0052502E">
        <w:rPr>
          <w:rFonts w:ascii="Times New Roman"/>
        </w:rPr>
        <w:t xml:space="preserve"> data to maintain, not </w:t>
      </w:r>
      <w:r w:rsidRPr="0052502E">
        <w:rPr>
          <w:rFonts w:ascii="Times New Roman"/>
          <w:u w:val="single"/>
        </w:rPr>
        <w:t>how</w:t>
      </w:r>
      <w:r w:rsidRPr="0052502E">
        <w:rPr>
          <w:rFonts w:ascii="Times New Roman"/>
        </w:rPr>
        <w:t xml:space="preserve"> to maintain the data).</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1C18E7">
        <w:rPr>
          <w:rFonts w:ascii="Times New Roman"/>
          <w:b/>
          <w:sz w:val="20"/>
          <w:szCs w:val="20"/>
        </w:rPr>
        <w:t>4</w:t>
      </w:r>
      <w:r w:rsidRPr="006F56B8">
        <w:rPr>
          <w:rFonts w:ascii="Times New Roman"/>
          <w:b/>
          <w:sz w:val="20"/>
          <w:szCs w:val="20"/>
        </w:rPr>
        <w:t xml:space="preserve">.  Describe efforts to identify duplication.  Show specifically why any similar information already available cannot be use or modified for use for the purposes described in Item </w:t>
      </w:r>
      <w:r>
        <w:rPr>
          <w:rFonts w:ascii="Times New Roman"/>
          <w:b/>
          <w:sz w:val="20"/>
          <w:szCs w:val="20"/>
        </w:rPr>
        <w:t>A.</w:t>
      </w:r>
      <w:r w:rsidRPr="006F56B8">
        <w:rPr>
          <w:rFonts w:ascii="Times New Roman"/>
          <w:b/>
          <w:sz w:val="20"/>
          <w:szCs w:val="20"/>
        </w:rPr>
        <w:t>2 above.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 required to be collected and maintained is specific to each employer and</w:t>
      </w:r>
      <w:r w:rsidR="009224EB">
        <w:rPr>
          <w:rFonts w:ascii="Times New Roman"/>
        </w:rPr>
        <w:t xml:space="preserve"> </w:t>
      </w:r>
      <w:r w:rsidR="00CD4427">
        <w:rPr>
          <w:rFonts w:ascii="Times New Roman"/>
        </w:rPr>
        <w:t>worker</w:t>
      </w:r>
      <w:r w:rsidRPr="0052502E">
        <w:rPr>
          <w:rFonts w:ascii="Times New Roman"/>
        </w:rPr>
        <w:t xml:space="preserve"> involved and is not available or duplicated by another source. The information required</w:t>
      </w:r>
      <w:r>
        <w:rPr>
          <w:rFonts w:ascii="Times New Roman"/>
        </w:rPr>
        <w:t xml:space="preserve"> b</w:t>
      </w:r>
      <w:r w:rsidRPr="0052502E">
        <w:rPr>
          <w:rFonts w:ascii="Times New Roman"/>
        </w:rPr>
        <w:t>y this standard is</w:t>
      </w:r>
      <w:r>
        <w:rPr>
          <w:rFonts w:ascii="Times New Roman"/>
        </w:rPr>
        <w:t xml:space="preserve"> available only from employers.  </w:t>
      </w:r>
      <w:r w:rsidRPr="0052502E">
        <w:rPr>
          <w:rFonts w:ascii="Times New Roman"/>
        </w:rPr>
        <w:t>At this time, there is no indication that any</w:t>
      </w:r>
      <w:r>
        <w:rPr>
          <w:rFonts w:ascii="Times New Roman"/>
        </w:rPr>
        <w:t xml:space="preserve"> a</w:t>
      </w:r>
      <w:r w:rsidRPr="0052502E">
        <w:rPr>
          <w:rFonts w:ascii="Times New Roman"/>
        </w:rPr>
        <w:t>lternate source is available.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5.  If the collection of information impacts small busine</w:t>
      </w:r>
      <w:r>
        <w:rPr>
          <w:rFonts w:ascii="Times New Roman"/>
          <w:b/>
          <w:sz w:val="20"/>
          <w:szCs w:val="20"/>
        </w:rPr>
        <w:t>ss or other entities</w:t>
      </w:r>
      <w:r w:rsidRPr="006F56B8">
        <w:rPr>
          <w:rFonts w:ascii="Times New Roman"/>
          <w:b/>
          <w:sz w:val="20"/>
          <w:szCs w:val="20"/>
        </w:rPr>
        <w:t>, describe any methods used to minimize burden.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w:t>
      </w:r>
      <w:r w:rsidR="009224EB">
        <w:rPr>
          <w:rFonts w:ascii="Times New Roman"/>
        </w:rPr>
        <w:t xml:space="preserve"> </w:t>
      </w:r>
      <w:r w:rsidRPr="0052502E">
        <w:rPr>
          <w:rFonts w:ascii="Times New Roman"/>
        </w:rPr>
        <w:t>collection requirements of the Standard do not have a significant impact on a substantial number of small entities.</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 xml:space="preserve">6.  Describe the consequence to Federal program or policy activities if the collection is not conducted or is </w:t>
      </w:r>
      <w:r w:rsidRPr="006F56B8">
        <w:rPr>
          <w:rFonts w:ascii="Times New Roman"/>
          <w:b/>
          <w:sz w:val="20"/>
          <w:szCs w:val="20"/>
        </w:rPr>
        <w:lastRenderedPageBreak/>
        <w:t>conducted less frequently, as well as any technical or legal obstacles to reducing burden.</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2"/>
          <w:szCs w:val="22"/>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OSHA</w:t>
      </w:r>
      <w:r>
        <w:rPr>
          <w:rFonts w:ascii="Times New Roman"/>
        </w:rPr>
        <w:t>'</w:t>
      </w:r>
      <w:r w:rsidRPr="0052502E">
        <w:rPr>
          <w:rFonts w:ascii="Times New Roman"/>
        </w:rPr>
        <w:t xml:space="preserve">s recordkeeping requirements are </w:t>
      </w:r>
      <w:r>
        <w:rPr>
          <w:rFonts w:ascii="Times New Roman"/>
        </w:rPr>
        <w:t>d</w:t>
      </w:r>
      <w:r w:rsidRPr="0052502E">
        <w:rPr>
          <w:rFonts w:ascii="Times New Roman"/>
        </w:rPr>
        <w:t xml:space="preserve">esigned to ensure that employers are complying with applicable standards and that protection of </w:t>
      </w:r>
      <w:r>
        <w:rPr>
          <w:rFonts w:ascii="Times New Roman"/>
        </w:rPr>
        <w:t>worker</w:t>
      </w:r>
      <w:r w:rsidRPr="0052502E">
        <w:rPr>
          <w:rFonts w:ascii="Times New Roman"/>
        </w:rPr>
        <w:t>s exposed to lead is provided to the full extent required. 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exposure.</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Records of previous medical examinations are used by physicians who must periodically examine </w:t>
      </w:r>
      <w:r w:rsidR="00CD4427">
        <w:rPr>
          <w:rFonts w:ascii="Times New Roman"/>
        </w:rPr>
        <w:t>worker</w:t>
      </w:r>
      <w:r w:rsidRPr="0052502E">
        <w:rPr>
          <w:rFonts w:ascii="Times New Roman"/>
        </w:rPr>
        <w:t xml:space="preserve">s exposed to lead.  Without records of previous medical examinations, the physician may not be able to determine whether a </w:t>
      </w:r>
      <w:r>
        <w:rPr>
          <w:rFonts w:ascii="Times New Roman"/>
        </w:rPr>
        <w:t>worker</w:t>
      </w:r>
      <w:r w:rsidRPr="0052502E">
        <w:rPr>
          <w:rFonts w:ascii="Times New Roman"/>
        </w:rPr>
        <w:t xml:space="preserve"> has suffered an adverse health effect since his or her last examination.  Further, when symptoms of organic damage appear, the physician often needs information as to the patient's previous medical condition to make an accurate diagnosis of the new problem, its apparent cause, and the course of treatment required.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information collection frequencies specified by this standard are the minimum OSHA believes necessary to ensure that the employer and OSHA can effectively monitor the exposure and health status of </w:t>
      </w:r>
      <w:r>
        <w:rPr>
          <w:rFonts w:ascii="Times New Roman"/>
        </w:rPr>
        <w:t>worker</w:t>
      </w:r>
      <w:r w:rsidRPr="0052502E">
        <w:rPr>
          <w:rFonts w:ascii="Times New Roman"/>
        </w:rPr>
        <w:t>s working with or exposed to lead.</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Pr>
          <w:rFonts w:ascii="Times New Roman"/>
          <w:b/>
          <w:sz w:val="20"/>
          <w:szCs w:val="20"/>
        </w:rPr>
        <w:t>7</w:t>
      </w:r>
      <w:r w:rsidRPr="006F56B8">
        <w:rPr>
          <w:rFonts w:ascii="Times New Roman"/>
          <w:b/>
          <w:sz w:val="20"/>
          <w:szCs w:val="20"/>
        </w:rPr>
        <w:t>.  Explain any special circumstances that would cause an information collection to be conducted in a manner:</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numPr>
          <w:ilvl w:val="0"/>
          <w:numId w:val="4"/>
        </w:numPr>
        <w:tabs>
          <w:tab w:val="left" w:pos="360"/>
          <w:tab w:val="left" w:pos="960"/>
          <w:tab w:val="left" w:pos="2160"/>
          <w:tab w:val="left" w:pos="2760"/>
          <w:tab w:val="left" w:pos="3360"/>
          <w:tab w:val="left" w:pos="4080"/>
          <w:tab w:val="left" w:pos="4680"/>
          <w:tab w:val="left" w:pos="5280"/>
          <w:tab w:val="left" w:pos="5880"/>
        </w:tabs>
        <w:rPr>
          <w:rFonts w:ascii="Times New Roman"/>
          <w:b/>
          <w:sz w:val="20"/>
          <w:szCs w:val="20"/>
        </w:rPr>
      </w:pPr>
      <w:r w:rsidRPr="006F56B8">
        <w:rPr>
          <w:rFonts w:ascii="Times New Roman"/>
          <w:b/>
          <w:sz w:val="20"/>
          <w:szCs w:val="20"/>
        </w:rPr>
        <w:t>requiring respondents to report information to the agency more often than quarterly;</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prepare a written response to a collection of information in fewer tha</w:t>
      </w:r>
      <w:r w:rsidR="00DB0F76">
        <w:rPr>
          <w:rFonts w:ascii="Times New Roman"/>
          <w:b/>
          <w:sz w:val="20"/>
          <w:szCs w:val="20"/>
        </w:rPr>
        <w:t>n</w:t>
      </w:r>
      <w:r w:rsidRPr="006F56B8">
        <w:rPr>
          <w:rFonts w:ascii="Times New Roman"/>
          <w:b/>
          <w:sz w:val="20"/>
          <w:szCs w:val="20"/>
        </w:rPr>
        <w:t xml:space="preserve"> 30 days after receipt of it;</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respondents to submit more than an original and two copies of any document;</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r>
        <w:rPr>
          <w:rFonts w:ascii="Times New Roman"/>
          <w:b/>
          <w:sz w:val="20"/>
          <w:szCs w:val="20"/>
        </w:rPr>
        <w:t>r</w:t>
      </w:r>
      <w:r w:rsidRPr="006F56B8">
        <w:rPr>
          <w:rFonts w:ascii="Times New Roman"/>
          <w:b/>
          <w:sz w:val="20"/>
          <w:szCs w:val="20"/>
        </w:rPr>
        <w:t>equiring respondents to retain records, other than health, medical, government contract, grant-in-aid, or tax records for more than three years;</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r>
      <w:proofErr w:type="gramStart"/>
      <w:r w:rsidRPr="006F56B8">
        <w:rPr>
          <w:rFonts w:ascii="Times New Roman"/>
          <w:b/>
          <w:sz w:val="20"/>
          <w:szCs w:val="20"/>
        </w:rPr>
        <w:t>in</w:t>
      </w:r>
      <w:proofErr w:type="gramEnd"/>
      <w:r w:rsidRPr="006F56B8">
        <w:rPr>
          <w:rFonts w:ascii="Times New Roman"/>
          <w:b/>
          <w:sz w:val="20"/>
          <w:szCs w:val="20"/>
        </w:rPr>
        <w:t xml:space="preserve"> connection with a statistical survey, that is not designed to produce valid and reliable results that can be generalized to the universe of study;</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requiring the use of a statistical data classification that has not been reviewed and approved by OMB;</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6F56B8">
        <w:rPr>
          <w:rFonts w:asci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sidRPr="006F56B8">
        <w:rPr>
          <w:rFonts w:ascii="Times New Roman"/>
          <w:b/>
          <w:bCs/>
          <w:sz w:val="20"/>
          <w:szCs w:val="20"/>
        </w:rPr>
        <w:t xml:space="preserve"> </w:t>
      </w:r>
      <w:r w:rsidRPr="006F56B8">
        <w:rPr>
          <w:rFonts w:ascii="Times New Roman"/>
          <w:b/>
          <w:sz w:val="20"/>
          <w:szCs w:val="20"/>
        </w:rPr>
        <w:t>agencies for compatible confidential use; or</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bCs/>
          <w:sz w:val="20"/>
          <w:szCs w:val="20"/>
        </w:rPr>
      </w:pPr>
      <w:r>
        <w:rPr>
          <w:rFonts w:ascii="Times New Roman"/>
          <w:b/>
          <w:sz w:val="20"/>
          <w:szCs w:val="20"/>
        </w:rPr>
        <w:t>-</w:t>
      </w:r>
      <w:r w:rsidRPr="006F56B8">
        <w:rPr>
          <w:rFonts w:ascii="Times New Roman"/>
          <w:b/>
          <w:sz w:val="20"/>
          <w:szCs w:val="20"/>
        </w:rPr>
        <w:tab/>
        <w:t>requiring respondents to submit proprietary trade secret, or other confidential information unless the agency can demonstrate that it has instituted procedures to protect the information</w:t>
      </w:r>
      <w:r>
        <w:rPr>
          <w:rFonts w:ascii="Times New Roman"/>
          <w:b/>
          <w:sz w:val="20"/>
          <w:szCs w:val="20"/>
        </w:rPr>
        <w:t>'</w:t>
      </w:r>
      <w:r w:rsidRPr="006F56B8">
        <w:rPr>
          <w:rFonts w:ascii="Times New Roman"/>
          <w:b/>
          <w:sz w:val="20"/>
          <w:szCs w:val="20"/>
        </w:rPr>
        <w:t>s confidentiality to the extent permitted by law.</w:t>
      </w:r>
    </w:p>
    <w:p w:rsidR="00E012CD" w:rsidRPr="006F56B8"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07969">
        <w:rPr>
          <w:rFonts w:ascii="Times New Roman"/>
        </w:rPr>
        <w:t>Paragraph (d</w:t>
      </w:r>
      <w:proofErr w:type="gramStart"/>
      <w:r w:rsidRPr="00E07969">
        <w:rPr>
          <w:rFonts w:ascii="Times New Roman"/>
        </w:rPr>
        <w:t>)(</w:t>
      </w:r>
      <w:proofErr w:type="gramEnd"/>
      <w:r w:rsidRPr="00E07969">
        <w:rPr>
          <w:rFonts w:ascii="Times New Roman"/>
        </w:rPr>
        <w:t xml:space="preserve">8)) requires employers to notify </w:t>
      </w:r>
      <w:r>
        <w:rPr>
          <w:rFonts w:ascii="Times New Roman"/>
        </w:rPr>
        <w:t>worker</w:t>
      </w:r>
      <w:r w:rsidRPr="00E07969">
        <w:rPr>
          <w:rFonts w:ascii="Times New Roman"/>
        </w:rPr>
        <w:t xml:space="preserve">s of their exposure monitoring results, </w:t>
      </w:r>
      <w:r w:rsidRPr="00E07969">
        <w:rPr>
          <w:rFonts w:ascii="Times New Roman"/>
        </w:rPr>
        <w:lastRenderedPageBreak/>
        <w:t>individually, in writing or by posting, within 15 working days after the employer</w:t>
      </w:r>
      <w:r>
        <w:rPr>
          <w:rFonts w:ascii="Times New Roman"/>
        </w:rPr>
        <w:t>'</w:t>
      </w:r>
      <w:r w:rsidRPr="00E07969">
        <w:rPr>
          <w:rFonts w:ascii="Times New Roman"/>
        </w:rPr>
        <w:t>s receipt of the results.  Also paragraph (j</w:t>
      </w:r>
      <w:proofErr w:type="gramStart"/>
      <w:r w:rsidRPr="00E07969">
        <w:rPr>
          <w:rFonts w:ascii="Times New Roman"/>
        </w:rPr>
        <w:t>)(</w:t>
      </w:r>
      <w:proofErr w:type="gramEnd"/>
      <w:r w:rsidRPr="00E07969">
        <w:rPr>
          <w:rFonts w:ascii="Times New Roman"/>
        </w:rPr>
        <w:t xml:space="preserve">2)(iv) requires employers to notify </w:t>
      </w:r>
      <w:r w:rsidR="00CD4427">
        <w:rPr>
          <w:rFonts w:ascii="Times New Roman"/>
        </w:rPr>
        <w:t>worker</w:t>
      </w:r>
      <w:r w:rsidRPr="00E07969">
        <w:rPr>
          <w:rFonts w:ascii="Times New Roman"/>
        </w:rPr>
        <w:t>s of their biological monitoring results within five working days after the employers</w:t>
      </w:r>
      <w:r>
        <w:rPr>
          <w:rFonts w:ascii="Times New Roman"/>
        </w:rPr>
        <w:t>'</w:t>
      </w:r>
      <w:r w:rsidRPr="00E07969">
        <w:rPr>
          <w:rFonts w:ascii="Times New Roman"/>
        </w:rPr>
        <w:t xml:space="preserve"> receipt of the results.</w:t>
      </w:r>
      <w:r w:rsidRPr="0052502E">
        <w:rPr>
          <w:rFonts w:ascii="Times New Roman"/>
        </w:rPr>
        <w:t xml:space="preserve"> </w:t>
      </w:r>
    </w:p>
    <w:p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pPr>
    </w:p>
    <w:p w:rsidR="00E012CD" w:rsidRP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A067D1">
        <w:rPr>
          <w:rFonts w:ascii="Times New Roman"/>
        </w:rPr>
        <w:t>In addition, under OSHA’s Access to Employee Exposure and Medical Records Standard (§1910.1020), employers must maintain the exposure monitoring results for 30 years. </w:t>
      </w:r>
    </w:p>
    <w:p w:rsidR="00A067D1" w:rsidRDefault="00A067D1"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 xml:space="preserve">8.  If applicable, provide a copy and identify the date and page number of publication in the </w:t>
      </w:r>
      <w:r w:rsidRPr="00E07969">
        <w:rPr>
          <w:rFonts w:ascii="Times New Roman"/>
          <w:b/>
          <w:sz w:val="20"/>
          <w:szCs w:val="20"/>
          <w:u w:val="single"/>
        </w:rPr>
        <w:t>Federal</w:t>
      </w:r>
      <w:r w:rsidRPr="00E07969">
        <w:rPr>
          <w:rFonts w:ascii="Times New Roman"/>
          <w:b/>
          <w:sz w:val="20"/>
          <w:szCs w:val="20"/>
        </w:rPr>
        <w:t xml:space="preserve"> </w:t>
      </w:r>
      <w:r w:rsidRPr="00E07969">
        <w:rPr>
          <w:rFonts w:ascii="Times New Roman"/>
          <w:b/>
          <w:sz w:val="20"/>
          <w:szCs w:val="20"/>
          <w:u w:val="single"/>
        </w:rPr>
        <w:t>Register</w:t>
      </w:r>
      <w:r w:rsidRPr="00E07969">
        <w:rPr>
          <w:rFonts w:ascii="Times New Roman"/>
          <w:b/>
          <w:sz w:val="20"/>
          <w:szCs w:val="20"/>
        </w:rPr>
        <w:t xml:space="preserve"> of the agency</w:t>
      </w:r>
      <w:r>
        <w:rPr>
          <w:rFonts w:ascii="Times New Roman"/>
          <w:b/>
          <w:sz w:val="20"/>
          <w:szCs w:val="20"/>
        </w:rPr>
        <w:t>'</w:t>
      </w:r>
      <w:r w:rsidRPr="00E07969">
        <w:rPr>
          <w:rFonts w:ascii="Times New Roman"/>
          <w:b/>
          <w:sz w:val="20"/>
          <w:szCs w:val="20"/>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12CD"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
          <w:sz w:val="20"/>
          <w:szCs w:val="20"/>
        </w:rPr>
      </w:pPr>
    </w:p>
    <w:p w:rsidR="00E012CD" w:rsidRPr="00E07969" w:rsidRDefault="00E012CD" w:rsidP="00E012CD">
      <w:pPr>
        <w:rPr>
          <w:rFonts w:ascii="Times New Roman"/>
          <w:b/>
          <w:sz w:val="20"/>
          <w:szCs w:val="20"/>
        </w:rPr>
      </w:pPr>
      <w:r w:rsidRPr="00E07969">
        <w:rPr>
          <w:rFonts w:asci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or reported.</w:t>
      </w:r>
    </w:p>
    <w:p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E07969" w:rsidRDefault="00E012CD" w:rsidP="00E012CD">
      <w:pPr>
        <w:rPr>
          <w:rFonts w:ascii="Times New Roman"/>
          <w:b/>
          <w:bCs/>
          <w:sz w:val="20"/>
          <w:szCs w:val="20"/>
        </w:rPr>
      </w:pPr>
      <w:r w:rsidRPr="00E07969">
        <w:rPr>
          <w:rFonts w:ascii="Times New Roman"/>
          <w:b/>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specific situations.  These circumstances should be explained.</w:t>
      </w:r>
    </w:p>
    <w:p w:rsidR="00E012CD" w:rsidRDefault="00E012CD" w:rsidP="00E012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rsidR="00A258C1" w:rsidRDefault="00A067D1" w:rsidP="00A067D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r w:rsidRPr="00A067D1">
        <w:rPr>
          <w:rFonts w:ascii="Times New Roman" w:eastAsia="Times New Roman"/>
          <w:color w:val="000000"/>
        </w:rPr>
        <w:t xml:space="preserve">As </w:t>
      </w:r>
      <w:r w:rsidRPr="00A067D1">
        <w:rPr>
          <w:rFonts w:ascii="Times New Roman" w:eastAsia="Times New Roman"/>
        </w:rPr>
        <w:t>required by the Paperwork Reduction Act of 1995 (44 U.S.C. 3506(c</w:t>
      </w:r>
      <w:proofErr w:type="gramStart"/>
      <w:r w:rsidRPr="00A067D1">
        <w:rPr>
          <w:rFonts w:ascii="Times New Roman" w:eastAsia="Times New Roman"/>
        </w:rPr>
        <w:t>)(</w:t>
      </w:r>
      <w:proofErr w:type="gramEnd"/>
      <w:r w:rsidRPr="00A067D1">
        <w:rPr>
          <w:rFonts w:ascii="Times New Roman" w:eastAsia="Times New Roman"/>
        </w:rPr>
        <w:t xml:space="preserve">2)(A)), OSHA published a notice in the </w:t>
      </w:r>
      <w:r w:rsidRPr="00A067D1">
        <w:rPr>
          <w:rFonts w:ascii="Times New Roman" w:eastAsia="Times New Roman"/>
          <w:bCs/>
          <w:i/>
        </w:rPr>
        <w:t>Federal Register</w:t>
      </w:r>
      <w:r w:rsidRPr="00A067D1">
        <w:rPr>
          <w:rFonts w:ascii="Times New Roman" w:eastAsia="Times New Roman"/>
        </w:rPr>
        <w:t xml:space="preserve"> on August 10, 2012 (77 FR</w:t>
      </w:r>
      <w:r>
        <w:rPr>
          <w:rFonts w:ascii="Times New Roman" w:eastAsia="Times New Roman"/>
        </w:rPr>
        <w:t>47882</w:t>
      </w:r>
      <w:r w:rsidRPr="00A067D1">
        <w:rPr>
          <w:rFonts w:ascii="Times New Roman" w:eastAsia="Times New Roman"/>
        </w:rPr>
        <w:t>, Docket No. OSHA-2012-00</w:t>
      </w:r>
      <w:r>
        <w:rPr>
          <w:rFonts w:ascii="Times New Roman" w:eastAsia="Times New Roman"/>
        </w:rPr>
        <w:t>13</w:t>
      </w:r>
      <w:r w:rsidRPr="00A067D1">
        <w:rPr>
          <w:rFonts w:ascii="Times New Roman" w:eastAsia="Times New Roman"/>
        </w:rPr>
        <w:t xml:space="preserve">) requesting public comment on its proposed extension of the information collection requirements contained in the Lead in </w:t>
      </w:r>
      <w:r>
        <w:rPr>
          <w:rFonts w:ascii="Times New Roman" w:eastAsia="Times New Roman"/>
        </w:rPr>
        <w:t xml:space="preserve">General Industry </w:t>
      </w:r>
      <w:r w:rsidRPr="00A067D1">
        <w:rPr>
          <w:rFonts w:ascii="Times New Roman" w:eastAsia="Times New Roman"/>
        </w:rPr>
        <w:t xml:space="preserve">Standard at 29 CFR </w:t>
      </w:r>
      <w:r>
        <w:rPr>
          <w:rFonts w:ascii="Times New Roman" w:eastAsia="Times New Roman"/>
        </w:rPr>
        <w:t>1910.1025</w:t>
      </w:r>
      <w:r w:rsidRPr="00A067D1">
        <w:rPr>
          <w:rFonts w:ascii="Times New Roman" w:eastAsia="Times New Roman"/>
        </w:rPr>
        <w:t xml:space="preserve"> (the “Standard”).  </w:t>
      </w:r>
      <w:r w:rsidRPr="00A067D1">
        <w:rPr>
          <w:rFonts w:ascii="Times New Roman" w:eastAsia="Times New Roman"/>
          <w:color w:val="000000"/>
        </w:rPr>
        <w:t>T</w:t>
      </w:r>
      <w:r w:rsidRPr="00A067D1">
        <w:rPr>
          <w:rFonts w:ascii="Times New Roman" w:eastAsia="Times New Roman"/>
        </w:rPr>
        <w:t xml:space="preserve">his notice was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w:t>
      </w:r>
    </w:p>
    <w:p w:rsidR="00A258C1" w:rsidRDefault="00A258C1" w:rsidP="00A067D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p>
    <w:p w:rsidR="006878BE" w:rsidRDefault="006878BE" w:rsidP="006878B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r>
        <w:rPr>
          <w:rFonts w:ascii="Times New Roman" w:eastAsia="Times New Roman"/>
        </w:rPr>
        <w:t>In response to the public notice to comment on this request, t</w:t>
      </w:r>
      <w:r w:rsidR="00A067D1" w:rsidRPr="00A067D1">
        <w:rPr>
          <w:rFonts w:ascii="Times New Roman" w:eastAsia="Times New Roman"/>
        </w:rPr>
        <w:t xml:space="preserve">he Agency received </w:t>
      </w:r>
      <w:r w:rsidR="00A258C1">
        <w:rPr>
          <w:rFonts w:ascii="Times New Roman" w:eastAsia="Times New Roman"/>
        </w:rPr>
        <w:t>one</w:t>
      </w:r>
      <w:r w:rsidR="00A067D1" w:rsidRPr="00A067D1">
        <w:rPr>
          <w:rFonts w:ascii="Times New Roman" w:eastAsia="Times New Roman"/>
        </w:rPr>
        <w:t xml:space="preserve"> comment</w:t>
      </w:r>
      <w:r w:rsidR="00A258C1">
        <w:rPr>
          <w:rFonts w:ascii="Times New Roman" w:eastAsia="Times New Roman"/>
        </w:rPr>
        <w:t xml:space="preserve"> from the National Institute of Occupational Safety and Health</w:t>
      </w:r>
      <w:r w:rsidR="00A067D1" w:rsidRPr="00A067D1">
        <w:rPr>
          <w:rFonts w:ascii="Times New Roman" w:eastAsia="Times New Roman"/>
        </w:rPr>
        <w:t xml:space="preserve"> </w:t>
      </w:r>
      <w:r w:rsidR="00A258C1">
        <w:rPr>
          <w:rFonts w:ascii="Times New Roman" w:eastAsia="Times New Roman"/>
        </w:rPr>
        <w:t xml:space="preserve">(NIOSH) </w:t>
      </w:r>
      <w:r w:rsidR="00A258C1">
        <w:rPr>
          <w:rFonts w:ascii="Times New Roman"/>
        </w:rPr>
        <w:t xml:space="preserve">supporting the quality, utility and clarity of information collected by employers in terms of lead exposure monitoring and biological monitoring.  </w:t>
      </w:r>
      <w:r>
        <w:rPr>
          <w:rFonts w:ascii="Times New Roman"/>
        </w:rPr>
        <w:t>NIOSH indicated that it reviews and uses employer-generated biological monitoring data for lead during field investigations for its health hazard evaluations.  NIOSH found that information from a company’s implemented environmental and biological-monitoring program for lead was useful in determining workers’ total exposure in the work environment from all exposure routes.  NIOSH also indicated that information collected under the Standard is crucial to research conducted by NIOSH and others to prevent adverse health effects among lead-exposed workers.</w:t>
      </w:r>
    </w:p>
    <w:p w:rsidR="006878BE" w:rsidRDefault="006878BE" w:rsidP="006878BE">
      <w:pPr>
        <w:tabs>
          <w:tab w:val="right" w:pos="9360"/>
        </w:tabs>
        <w:rPr>
          <w:rFonts w:ascii="Times New Roman"/>
        </w:rPr>
      </w:pPr>
    </w:p>
    <w:p w:rsidR="006878BE" w:rsidRDefault="006878BE" w:rsidP="006878BE">
      <w:pPr>
        <w:tabs>
          <w:tab w:val="right" w:pos="9360"/>
        </w:tabs>
        <w:rPr>
          <w:rFonts w:ascii="Times New Roman"/>
        </w:rPr>
      </w:pPr>
      <w:r>
        <w:rPr>
          <w:rFonts w:ascii="Times New Roman"/>
        </w:rPr>
        <w:t xml:space="preserve">In addition, NIOSH submitted comments on two aspects of the data used to estimate the industrial profile covered by the Standard, as shown in Table A of the ICR.  OSHA considered these comments and incorporated them into the industry profile estimates as indicated below.  </w:t>
      </w:r>
    </w:p>
    <w:p w:rsidR="006878BE" w:rsidRDefault="006878BE" w:rsidP="006878BE">
      <w:pPr>
        <w:tabs>
          <w:tab w:val="right" w:pos="9360"/>
        </w:tabs>
        <w:rPr>
          <w:rFonts w:ascii="Times New Roman"/>
        </w:rPr>
      </w:pPr>
      <w:r>
        <w:rPr>
          <w:rFonts w:ascii="Times New Roman"/>
        </w:rPr>
        <w:t>The Agency appreciates NIOSH’s comments on the ICR.</w:t>
      </w:r>
    </w:p>
    <w:p w:rsidR="006878BE" w:rsidRDefault="006878BE" w:rsidP="006878BE">
      <w:pPr>
        <w:tabs>
          <w:tab w:val="right" w:pos="9360"/>
        </w:tabs>
        <w:rPr>
          <w:rFonts w:ascii="Times New Roman"/>
        </w:rPr>
      </w:pPr>
    </w:p>
    <w:p w:rsidR="006878BE" w:rsidRDefault="006878BE" w:rsidP="006878BE">
      <w:pPr>
        <w:tabs>
          <w:tab w:val="right" w:pos="9360"/>
        </w:tabs>
        <w:rPr>
          <w:rFonts w:ascii="Times New Roman"/>
          <w:u w:val="single"/>
        </w:rPr>
      </w:pPr>
      <w:r>
        <w:rPr>
          <w:rFonts w:ascii="Times New Roman"/>
        </w:rPr>
        <w:lastRenderedPageBreak/>
        <w:t>1</w:t>
      </w:r>
      <w:r w:rsidRPr="007720E0">
        <w:rPr>
          <w:rFonts w:ascii="Times New Roman"/>
        </w:rPr>
        <w:t>.</w:t>
      </w:r>
      <w:r w:rsidRPr="00667EC0">
        <w:rPr>
          <w:rFonts w:ascii="Times New Roman"/>
        </w:rPr>
        <w:t xml:space="preserve"> </w:t>
      </w:r>
      <w:r>
        <w:rPr>
          <w:rFonts w:ascii="Times New Roman"/>
        </w:rPr>
        <w:t xml:space="preserve"> </w:t>
      </w:r>
      <w:r w:rsidRPr="007720E0">
        <w:rPr>
          <w:rFonts w:ascii="Times New Roman"/>
          <w:u w:val="single"/>
        </w:rPr>
        <w:t>Secondary Smelting</w:t>
      </w:r>
      <w:r>
        <w:rPr>
          <w:rFonts w:ascii="Times New Roman"/>
          <w:u w:val="single"/>
        </w:rPr>
        <w:t xml:space="preserve"> Facilities Estimate</w:t>
      </w:r>
    </w:p>
    <w:p w:rsidR="006878BE" w:rsidRPr="007720E0" w:rsidRDefault="006878BE" w:rsidP="006878BE">
      <w:pPr>
        <w:tabs>
          <w:tab w:val="right" w:pos="9360"/>
        </w:tabs>
        <w:rPr>
          <w:rFonts w:ascii="Times New Roman"/>
          <w:u w:val="single"/>
        </w:rPr>
      </w:pPr>
    </w:p>
    <w:p w:rsidR="006878BE" w:rsidRDefault="006878BE" w:rsidP="006878BE">
      <w:pPr>
        <w:rPr>
          <w:rFonts w:ascii="Times New Roman"/>
        </w:rPr>
      </w:pPr>
      <w:r>
        <w:rPr>
          <w:rFonts w:ascii="Times New Roman"/>
        </w:rPr>
        <w:t xml:space="preserve">In the </w:t>
      </w:r>
      <w:r w:rsidRPr="007720E0">
        <w:rPr>
          <w:rFonts w:ascii="Times New Roman"/>
        </w:rPr>
        <w:t>2012 ICR</w:t>
      </w:r>
      <w:r>
        <w:rPr>
          <w:rFonts w:ascii="Times New Roman"/>
        </w:rPr>
        <w:t xml:space="preserve"> posted for notice and public comment, OSHA </w:t>
      </w:r>
      <w:r w:rsidRPr="007720E0">
        <w:rPr>
          <w:rFonts w:ascii="Times New Roman"/>
        </w:rPr>
        <w:t>estimated 20 secondary smelting facilities, based on the U.S. Geological Survey’s “Mineral Commodity Summaries 2011” (</w:t>
      </w:r>
      <w:hyperlink r:id="rId12" w:history="1">
        <w:r w:rsidRPr="007720E0">
          <w:rPr>
            <w:rStyle w:val="Hyperlink"/>
            <w:rFonts w:ascii="Times New Roman"/>
          </w:rPr>
          <w:t>http://minerals.usgs.gov/minerals/pubs/mcs/2011/mcs2011.pdf</w:t>
        </w:r>
      </w:hyperlink>
      <w:r w:rsidRPr="007720E0">
        <w:rPr>
          <w:rFonts w:ascii="Times New Roman"/>
        </w:rPr>
        <w:t>.)  This publication</w:t>
      </w:r>
      <w:r>
        <w:rPr>
          <w:rFonts w:ascii="Times New Roman"/>
        </w:rPr>
        <w:t xml:space="preserve"> reports</w:t>
      </w:r>
      <w:r w:rsidRPr="007720E0">
        <w:rPr>
          <w:rFonts w:ascii="Times New Roman"/>
        </w:rPr>
        <w:t>:</w:t>
      </w:r>
      <w:r w:rsidRPr="00C804B5">
        <w:rPr>
          <w:rFonts w:ascii="Times New Roman"/>
        </w:rPr>
        <w:t xml:space="preserve">   </w:t>
      </w:r>
    </w:p>
    <w:p w:rsidR="006878BE" w:rsidRDefault="006878BE" w:rsidP="006878BE">
      <w:pPr>
        <w:ind w:left="720" w:right="720"/>
        <w:rPr>
          <w:rFonts w:ascii="Times New Roman"/>
          <w:sz w:val="20"/>
          <w:szCs w:val="20"/>
        </w:rPr>
      </w:pPr>
      <w:r w:rsidRPr="007720E0">
        <w:rPr>
          <w:rFonts w:ascii="Times New Roman"/>
          <w:sz w:val="20"/>
          <w:szCs w:val="20"/>
        </w:rPr>
        <w:t xml:space="preserve">The value of recoverable mined lead in 2010, based on the average North American producer price, was $904 million. Five lead mines in </w:t>
      </w:r>
      <w:smartTag w:uri="urn:schemas-microsoft-com:office:smarttags" w:element="State">
        <w:r w:rsidRPr="007720E0">
          <w:rPr>
            <w:rFonts w:ascii="Times New Roman"/>
            <w:sz w:val="20"/>
            <w:szCs w:val="20"/>
          </w:rPr>
          <w:t>Missouri</w:t>
        </w:r>
      </w:smartTag>
      <w:r w:rsidRPr="007720E0">
        <w:rPr>
          <w:rFonts w:ascii="Times New Roman"/>
          <w:sz w:val="20"/>
          <w:szCs w:val="20"/>
        </w:rPr>
        <w:t xml:space="preserve">, plus </w:t>
      </w:r>
      <w:r w:rsidRPr="00B05C27">
        <w:rPr>
          <w:rFonts w:ascii="Times New Roman"/>
          <w:sz w:val="20"/>
          <w:szCs w:val="20"/>
        </w:rPr>
        <w:t xml:space="preserve">lead-producing mines in </w:t>
      </w:r>
      <w:smartTag w:uri="urn:schemas-microsoft-com:office:smarttags" w:element="State">
        <w:r w:rsidRPr="00B05C27">
          <w:rPr>
            <w:rFonts w:ascii="Times New Roman"/>
            <w:sz w:val="20"/>
            <w:szCs w:val="20"/>
          </w:rPr>
          <w:t>Alaska</w:t>
        </w:r>
      </w:smartTag>
      <w:r w:rsidRPr="00B05C27">
        <w:rPr>
          <w:rFonts w:ascii="Times New Roman"/>
          <w:sz w:val="20"/>
          <w:szCs w:val="20"/>
        </w:rPr>
        <w:t xml:space="preserve"> and </w:t>
      </w:r>
      <w:smartTag w:uri="urn:schemas-microsoft-com:office:smarttags" w:element="place">
        <w:smartTag w:uri="urn:schemas-microsoft-com:office:smarttags" w:element="State">
          <w:r w:rsidRPr="00B05C27">
            <w:rPr>
              <w:rFonts w:ascii="Times New Roman"/>
              <w:sz w:val="20"/>
              <w:szCs w:val="20"/>
            </w:rPr>
            <w:t>Idaho</w:t>
          </w:r>
        </w:smartTag>
      </w:smartTag>
      <w:r w:rsidRPr="00B05C27">
        <w:rPr>
          <w:rFonts w:ascii="Times New Roman"/>
          <w:sz w:val="20"/>
          <w:szCs w:val="20"/>
        </w:rPr>
        <w:t xml:space="preserve">, yielded all of the totals. Primary lead was processed at one smelter-refinery in </w:t>
      </w:r>
      <w:smartTag w:uri="urn:schemas-microsoft-com:office:smarttags" w:element="place">
        <w:smartTag w:uri="urn:schemas-microsoft-com:office:smarttags" w:element="State">
          <w:r w:rsidRPr="00B05C27">
            <w:rPr>
              <w:rFonts w:ascii="Times New Roman"/>
              <w:sz w:val="20"/>
              <w:szCs w:val="20"/>
            </w:rPr>
            <w:t>Missouri</w:t>
          </w:r>
        </w:smartTag>
      </w:smartTag>
      <w:r w:rsidRPr="00B05C27">
        <w:rPr>
          <w:rFonts w:ascii="Times New Roman"/>
          <w:sz w:val="20"/>
          <w:szCs w:val="20"/>
        </w:rPr>
        <w:t xml:space="preserve">. Of the 20 plants that produced secondary lead, 14 had annual capacities of 15,000 tons or more and accounted for more than 99% of secondary production. Lead was consumed at about 76 manufacturing plants. The lead-acid battery industry continued to be the principal user of lead, accounting for about 87% of the reported </w:t>
      </w:r>
      <w:smartTag w:uri="urn:schemas-microsoft-com:office:smarttags" w:element="place">
        <w:smartTag w:uri="urn:schemas-microsoft-com:office:smarttags" w:element="country-region">
          <w:r w:rsidRPr="00B05C27">
            <w:rPr>
              <w:rFonts w:ascii="Times New Roman"/>
              <w:sz w:val="20"/>
              <w:szCs w:val="20"/>
            </w:rPr>
            <w:t>U.S.</w:t>
          </w:r>
        </w:smartTag>
      </w:smartTag>
      <w:r w:rsidRPr="00B05C27">
        <w:rPr>
          <w:rFonts w:ascii="Times New Roman"/>
          <w:sz w:val="20"/>
          <w:szCs w:val="20"/>
        </w:rPr>
        <w:t xml:space="preserve"> lead consumption for 2010. Lead-acid batteries were primarily used as starting-lighting-ignition batteries for automobiles</w:t>
      </w:r>
      <w:r w:rsidRPr="007720E0">
        <w:rPr>
          <w:rFonts w:ascii="Times New Roman"/>
          <w:sz w:val="20"/>
          <w:szCs w:val="20"/>
        </w:rPr>
        <w:t xml:space="preserve"> and trucks and as industrial-type batteries for uninterruptible power-supply equipment for computer and telecommunications networks and for motive power.</w:t>
      </w:r>
    </w:p>
    <w:p w:rsidR="006878BE" w:rsidRPr="007720E0" w:rsidRDefault="006878BE" w:rsidP="006878BE">
      <w:pPr>
        <w:rPr>
          <w:rFonts w:ascii="Times New Roman"/>
          <w:sz w:val="20"/>
          <w:szCs w:val="20"/>
        </w:rPr>
      </w:pPr>
      <w:proofErr w:type="gramStart"/>
      <w:r>
        <w:rPr>
          <w:rFonts w:ascii="Times New Roman"/>
          <w:sz w:val="20"/>
          <w:szCs w:val="20"/>
        </w:rPr>
        <w:t>[Page 90.]</w:t>
      </w:r>
      <w:proofErr w:type="gramEnd"/>
    </w:p>
    <w:p w:rsidR="006878BE" w:rsidRDefault="006878BE" w:rsidP="006878BE">
      <w:pPr>
        <w:tabs>
          <w:tab w:val="right" w:pos="9360"/>
        </w:tabs>
        <w:rPr>
          <w:rFonts w:ascii="Times New Roman"/>
        </w:rPr>
      </w:pPr>
    </w:p>
    <w:p w:rsidR="006878BE" w:rsidRPr="007720E0" w:rsidRDefault="006878BE" w:rsidP="006878BE">
      <w:pPr>
        <w:tabs>
          <w:tab w:val="right" w:pos="9360"/>
        </w:tabs>
        <w:rPr>
          <w:rFonts w:ascii="Times New Roman"/>
        </w:rPr>
      </w:pPr>
      <w:r>
        <w:rPr>
          <w:rFonts w:ascii="Times New Roman"/>
        </w:rPr>
        <w:t>In its comments, NIOSH</w:t>
      </w:r>
      <w:r w:rsidRPr="007720E0">
        <w:rPr>
          <w:rFonts w:ascii="Times New Roman"/>
        </w:rPr>
        <w:t xml:space="preserve"> suggests that OSHA include </w:t>
      </w:r>
      <w:r>
        <w:rPr>
          <w:rFonts w:ascii="Times New Roman"/>
        </w:rPr>
        <w:t xml:space="preserve">two new secondary smelters </w:t>
      </w:r>
      <w:r w:rsidRPr="007720E0">
        <w:rPr>
          <w:rFonts w:ascii="Times New Roman"/>
        </w:rPr>
        <w:t>bas</w:t>
      </w:r>
      <w:r>
        <w:rPr>
          <w:rFonts w:ascii="Times New Roman"/>
        </w:rPr>
        <w:t>ed on the U.S. Geological Survey’s “Mineral Commodity Summaries 2012</w:t>
      </w:r>
      <w:r w:rsidRPr="007720E0">
        <w:rPr>
          <w:rFonts w:ascii="Times New Roman"/>
        </w:rPr>
        <w:t>.</w:t>
      </w:r>
      <w:r>
        <w:rPr>
          <w:rFonts w:ascii="Times New Roman"/>
        </w:rPr>
        <w:t xml:space="preserve">”  </w:t>
      </w:r>
      <w:r w:rsidRPr="007720E0">
        <w:rPr>
          <w:rFonts w:ascii="Times New Roman"/>
        </w:rPr>
        <w:t xml:space="preserve"> </w:t>
      </w:r>
      <w:r>
        <w:rPr>
          <w:rFonts w:ascii="Times New Roman"/>
        </w:rPr>
        <w:t>(</w:t>
      </w:r>
      <w:hyperlink r:id="rId13" w:history="1">
        <w:r w:rsidRPr="007720E0">
          <w:rPr>
            <w:rStyle w:val="Hyperlink"/>
            <w:rFonts w:ascii="Times New Roman"/>
          </w:rPr>
          <w:t>http://minerals.usgs.gov/minerals/pubs/mcs/2012/mcs2012.pdf</w:t>
        </w:r>
      </w:hyperlink>
      <w:r>
        <w:rPr>
          <w:rFonts w:ascii="Times New Roman"/>
        </w:rPr>
        <w:t>)</w:t>
      </w:r>
      <w:r w:rsidRPr="007720E0">
        <w:rPr>
          <w:rFonts w:ascii="Times New Roman"/>
        </w:rPr>
        <w:t xml:space="preserve">.  </w:t>
      </w:r>
      <w:r>
        <w:rPr>
          <w:rFonts w:ascii="Times New Roman"/>
        </w:rPr>
        <w:t>This publication reports:</w:t>
      </w:r>
    </w:p>
    <w:p w:rsidR="006878BE" w:rsidRDefault="006878BE" w:rsidP="006878BE">
      <w:pPr>
        <w:ind w:left="720" w:right="720"/>
        <w:rPr>
          <w:rFonts w:ascii="Times New Roman"/>
          <w:sz w:val="20"/>
          <w:szCs w:val="20"/>
        </w:rPr>
      </w:pPr>
      <w:r w:rsidRPr="00AD7ABA">
        <w:rPr>
          <w:rFonts w:ascii="Times New Roman"/>
          <w:sz w:val="20"/>
          <w:szCs w:val="20"/>
        </w:rPr>
        <w:t xml:space="preserve">The value of recoverable mined lead in 2011, based on the average North American producer price, was about $918 million. Six lead mines in </w:t>
      </w:r>
      <w:smartTag w:uri="urn:schemas-microsoft-com:office:smarttags" w:element="State">
        <w:r w:rsidRPr="00AD7ABA">
          <w:rPr>
            <w:rFonts w:ascii="Times New Roman"/>
            <w:sz w:val="20"/>
            <w:szCs w:val="20"/>
          </w:rPr>
          <w:t>Missouri</w:t>
        </w:r>
      </w:smartTag>
      <w:r w:rsidRPr="00AD7ABA">
        <w:rPr>
          <w:rFonts w:ascii="Times New Roman"/>
          <w:sz w:val="20"/>
          <w:szCs w:val="20"/>
        </w:rPr>
        <w:t xml:space="preserve">, plus lead-producing mines in </w:t>
      </w:r>
      <w:smartTag w:uri="urn:schemas-microsoft-com:office:smarttags" w:element="State">
        <w:r w:rsidRPr="00AD7ABA">
          <w:rPr>
            <w:rFonts w:ascii="Times New Roman"/>
            <w:sz w:val="20"/>
            <w:szCs w:val="20"/>
          </w:rPr>
          <w:t>Alaska</w:t>
        </w:r>
      </w:smartTag>
      <w:r w:rsidRPr="00AD7ABA">
        <w:rPr>
          <w:rFonts w:ascii="Times New Roman"/>
          <w:sz w:val="20"/>
          <w:szCs w:val="20"/>
        </w:rPr>
        <w:t xml:space="preserve"> and </w:t>
      </w:r>
      <w:smartTag w:uri="urn:schemas-microsoft-com:office:smarttags" w:element="place">
        <w:smartTag w:uri="urn:schemas-microsoft-com:office:smarttags" w:element="State">
          <w:r w:rsidRPr="00AD7ABA">
            <w:rPr>
              <w:rFonts w:ascii="Times New Roman"/>
              <w:sz w:val="20"/>
              <w:szCs w:val="20"/>
            </w:rPr>
            <w:t>Idaho</w:t>
          </w:r>
        </w:smartTag>
      </w:smartTag>
      <w:r w:rsidRPr="00AD7ABA">
        <w:rPr>
          <w:rFonts w:ascii="Times New Roman"/>
          <w:sz w:val="20"/>
          <w:szCs w:val="20"/>
        </w:rPr>
        <w:t xml:space="preserve">, yielded all of the totals. Primary lead was processed at one smelter-refinery in </w:t>
      </w:r>
      <w:smartTag w:uri="urn:schemas-microsoft-com:office:smarttags" w:element="place">
        <w:smartTag w:uri="urn:schemas-microsoft-com:office:smarttags" w:element="State">
          <w:r w:rsidRPr="00AD7ABA">
            <w:rPr>
              <w:rFonts w:ascii="Times New Roman"/>
              <w:sz w:val="20"/>
              <w:szCs w:val="20"/>
            </w:rPr>
            <w:t>Missouri</w:t>
          </w:r>
        </w:smartTag>
      </w:smartTag>
      <w:r w:rsidRPr="00AD7ABA">
        <w:rPr>
          <w:rFonts w:ascii="Times New Roman"/>
          <w:sz w:val="20"/>
          <w:szCs w:val="20"/>
        </w:rPr>
        <w:t xml:space="preserve">. Of the plants that produced secondary lead, 14 had annual capacities of 15,000 tons or more and accounted for more than 99% of secondary production. Lead was consumed at </w:t>
      </w:r>
      <w:r w:rsidRPr="00B05C27">
        <w:rPr>
          <w:rFonts w:ascii="Times New Roman"/>
          <w:sz w:val="20"/>
          <w:szCs w:val="20"/>
        </w:rPr>
        <w:t>about 76 manufacturing plants. The lead-acid battery industry continued to be the principal user of lead, accounting for about 86% of the reported</w:t>
      </w:r>
      <w:r w:rsidRPr="00AD7ABA">
        <w:rPr>
          <w:rFonts w:ascii="Times New Roman"/>
          <w:sz w:val="20"/>
          <w:szCs w:val="20"/>
        </w:rPr>
        <w:t xml:space="preserve"> </w:t>
      </w:r>
      <w:smartTag w:uri="urn:schemas-microsoft-com:office:smarttags" w:element="place">
        <w:smartTag w:uri="urn:schemas-microsoft-com:office:smarttags" w:element="country-region">
          <w:r w:rsidRPr="00AD7ABA">
            <w:rPr>
              <w:rFonts w:ascii="Times New Roman"/>
              <w:sz w:val="20"/>
              <w:szCs w:val="20"/>
            </w:rPr>
            <w:t>U.S.</w:t>
          </w:r>
        </w:smartTag>
      </w:smartTag>
      <w:r w:rsidRPr="00AD7ABA">
        <w:rPr>
          <w:rFonts w:ascii="Times New Roman"/>
          <w:sz w:val="20"/>
          <w:szCs w:val="20"/>
        </w:rPr>
        <w:t xml:space="preserve"> lead consumption for 2011. Lead-acid batteries were primarily used as starting-lighting-ignition batteries for automobiles and trucks and as industrial-type batteries for uninterruptible power-supply equipment for computer and telecommunications networks and for motive power. During the first 9 months of 2011, 90.1 million lead-acid automotive batteries were shipped in </w:t>
      </w:r>
      <w:smartTag w:uri="urn:schemas-microsoft-com:office:smarttags" w:element="place">
        <w:r w:rsidRPr="00AD7ABA">
          <w:rPr>
            <w:rFonts w:ascii="Times New Roman"/>
            <w:sz w:val="20"/>
            <w:szCs w:val="20"/>
          </w:rPr>
          <w:t>North America</w:t>
        </w:r>
      </w:smartTag>
      <w:r w:rsidRPr="00AD7ABA">
        <w:rPr>
          <w:rFonts w:ascii="Times New Roman"/>
          <w:sz w:val="20"/>
          <w:szCs w:val="20"/>
        </w:rPr>
        <w:t>, a 3% increase from those shipped in the same period of 2010….</w:t>
      </w:r>
    </w:p>
    <w:p w:rsidR="006878BE" w:rsidRDefault="006878BE" w:rsidP="006878BE">
      <w:pPr>
        <w:rPr>
          <w:rFonts w:ascii="Times New Roman"/>
          <w:sz w:val="20"/>
          <w:szCs w:val="20"/>
        </w:rPr>
      </w:pPr>
    </w:p>
    <w:p w:rsidR="006878BE" w:rsidRPr="00AD7ABA" w:rsidRDefault="006878BE" w:rsidP="006878BE">
      <w:pPr>
        <w:rPr>
          <w:rFonts w:ascii="Times New Roman"/>
          <w:sz w:val="20"/>
          <w:szCs w:val="20"/>
        </w:rPr>
      </w:pPr>
      <w:proofErr w:type="gramStart"/>
      <w:r>
        <w:rPr>
          <w:rFonts w:ascii="Times New Roman"/>
          <w:sz w:val="20"/>
          <w:szCs w:val="20"/>
        </w:rPr>
        <w:t>[Page 90.]</w:t>
      </w:r>
      <w:proofErr w:type="gramEnd"/>
    </w:p>
    <w:p w:rsidR="006878BE" w:rsidRPr="00AD7ABA" w:rsidRDefault="006878BE" w:rsidP="006878BE">
      <w:pPr>
        <w:ind w:left="720"/>
        <w:rPr>
          <w:rFonts w:ascii="Times New Roman"/>
          <w:sz w:val="20"/>
          <w:szCs w:val="20"/>
        </w:rPr>
      </w:pPr>
    </w:p>
    <w:p w:rsidR="006878BE" w:rsidRDefault="006878BE" w:rsidP="006878BE">
      <w:pPr>
        <w:ind w:left="720"/>
        <w:rPr>
          <w:rFonts w:ascii="Times New Roman"/>
          <w:sz w:val="20"/>
          <w:szCs w:val="20"/>
        </w:rPr>
      </w:pPr>
      <w:r w:rsidRPr="00AD7ABA">
        <w:rPr>
          <w:rFonts w:ascii="Times New Roman"/>
          <w:sz w:val="20"/>
          <w:szCs w:val="20"/>
        </w:rPr>
        <w:t xml:space="preserve">A leading domestic lead-acid battery manufacturer broke ground on a new $100 million secondary lead smelter in </w:t>
      </w:r>
      <w:smartTag w:uri="urn:schemas-microsoft-com:office:smarttags" w:element="place">
        <w:smartTag w:uri="urn:schemas-microsoft-com:office:smarttags" w:element="City">
          <w:r w:rsidRPr="00AD7ABA">
            <w:rPr>
              <w:rFonts w:ascii="Times New Roman"/>
              <w:sz w:val="20"/>
              <w:szCs w:val="20"/>
            </w:rPr>
            <w:t>Florence</w:t>
          </w:r>
        </w:smartTag>
        <w:r w:rsidRPr="00AD7ABA">
          <w:rPr>
            <w:rFonts w:ascii="Times New Roman"/>
            <w:sz w:val="20"/>
            <w:szCs w:val="20"/>
          </w:rPr>
          <w:t xml:space="preserve">, </w:t>
        </w:r>
        <w:smartTag w:uri="urn:schemas-microsoft-com:office:smarttags" w:element="State">
          <w:r w:rsidRPr="00AD7ABA">
            <w:rPr>
              <w:rFonts w:ascii="Times New Roman"/>
              <w:sz w:val="20"/>
              <w:szCs w:val="20"/>
            </w:rPr>
            <w:t>SC.</w:t>
          </w:r>
        </w:smartTag>
      </w:smartTag>
      <w:r w:rsidRPr="00AD7ABA">
        <w:rPr>
          <w:rFonts w:ascii="Times New Roman"/>
          <w:sz w:val="20"/>
          <w:szCs w:val="20"/>
        </w:rPr>
        <w:t xml:space="preserve"> When completed in 2012, the facility would have the capacity to produce about 120,000 tons per year of secondary lead. Another producer was expanding secondary lead production capacity at an existing facility in </w:t>
      </w:r>
      <w:smartTag w:uri="urn:schemas-microsoft-com:office:smarttags" w:element="place">
        <w:smartTag w:uri="urn:schemas-microsoft-com:office:smarttags" w:element="City">
          <w:r w:rsidRPr="00AD7ABA">
            <w:rPr>
              <w:rFonts w:ascii="Times New Roman"/>
              <w:sz w:val="20"/>
              <w:szCs w:val="20"/>
            </w:rPr>
            <w:t>Tampa</w:t>
          </w:r>
        </w:smartTag>
        <w:r w:rsidRPr="00AD7ABA">
          <w:rPr>
            <w:rFonts w:ascii="Times New Roman"/>
            <w:sz w:val="20"/>
            <w:szCs w:val="20"/>
          </w:rPr>
          <w:t xml:space="preserve">, </w:t>
        </w:r>
        <w:smartTag w:uri="urn:schemas-microsoft-com:office:smarttags" w:element="State">
          <w:r w:rsidRPr="00AD7ABA">
            <w:rPr>
              <w:rFonts w:ascii="Times New Roman"/>
              <w:sz w:val="20"/>
              <w:szCs w:val="20"/>
            </w:rPr>
            <w:t>FL</w:t>
          </w:r>
        </w:smartTag>
      </w:smartTag>
      <w:r w:rsidRPr="00AD7ABA">
        <w:rPr>
          <w:rFonts w:ascii="Times New Roman"/>
          <w:sz w:val="20"/>
          <w:szCs w:val="20"/>
        </w:rPr>
        <w:t>, by 400%, to 118,000 tons per year. The company was on schedule to start a new secondary lead furnace in late September and reach its expanded capacity in early 2012.</w:t>
      </w:r>
    </w:p>
    <w:p w:rsidR="006878BE" w:rsidRDefault="006878BE" w:rsidP="006878BE">
      <w:pPr>
        <w:rPr>
          <w:rFonts w:ascii="Times New Roman"/>
          <w:sz w:val="20"/>
          <w:szCs w:val="20"/>
        </w:rPr>
      </w:pPr>
    </w:p>
    <w:p w:rsidR="006878BE" w:rsidRPr="00175BBC" w:rsidRDefault="006878BE" w:rsidP="006878BE">
      <w:pPr>
        <w:rPr>
          <w:rFonts w:ascii="Times New Roman"/>
          <w:sz w:val="20"/>
          <w:szCs w:val="20"/>
        </w:rPr>
      </w:pPr>
      <w:proofErr w:type="gramStart"/>
      <w:r>
        <w:rPr>
          <w:rFonts w:ascii="Times New Roman"/>
          <w:sz w:val="20"/>
          <w:szCs w:val="20"/>
        </w:rPr>
        <w:t>[Page 91.]</w:t>
      </w:r>
      <w:proofErr w:type="gramEnd"/>
    </w:p>
    <w:p w:rsidR="006878BE" w:rsidRDefault="006878BE" w:rsidP="006878BE">
      <w:pPr>
        <w:tabs>
          <w:tab w:val="right" w:pos="9360"/>
        </w:tabs>
        <w:rPr>
          <w:rFonts w:ascii="Times New Roman"/>
          <w:u w:val="single"/>
        </w:rPr>
      </w:pPr>
    </w:p>
    <w:p w:rsidR="006878BE" w:rsidRPr="00DA32C2" w:rsidRDefault="006878BE" w:rsidP="006878BE">
      <w:pPr>
        <w:tabs>
          <w:tab w:val="right" w:pos="9360"/>
        </w:tabs>
        <w:rPr>
          <w:rFonts w:ascii="Times New Roman"/>
        </w:rPr>
      </w:pPr>
      <w:r w:rsidRPr="00DA32C2">
        <w:rPr>
          <w:rFonts w:ascii="Times New Roman"/>
        </w:rPr>
        <w:t xml:space="preserve">Based on the 2012 USGS data noted by NIOSH in its comments, OSHA added 2 additional secondary smelter facilities to its estimates, for a total of 22 facilities. </w:t>
      </w:r>
    </w:p>
    <w:p w:rsidR="006878BE" w:rsidRDefault="006878BE" w:rsidP="006878BE">
      <w:pPr>
        <w:tabs>
          <w:tab w:val="right" w:pos="9360"/>
        </w:tabs>
        <w:rPr>
          <w:rFonts w:ascii="Times New Roman"/>
        </w:rPr>
      </w:pPr>
    </w:p>
    <w:p w:rsidR="006878BE" w:rsidRDefault="006878BE" w:rsidP="006878BE">
      <w:pPr>
        <w:tabs>
          <w:tab w:val="right" w:pos="9360"/>
        </w:tabs>
        <w:rPr>
          <w:rFonts w:ascii="Times New Roman"/>
          <w:u w:val="single"/>
        </w:rPr>
      </w:pPr>
      <w:r w:rsidRPr="00DA32C2">
        <w:rPr>
          <w:rFonts w:ascii="Times New Roman"/>
        </w:rPr>
        <w:t xml:space="preserve">2. </w:t>
      </w:r>
      <w:r>
        <w:rPr>
          <w:rFonts w:ascii="Times New Roman"/>
        </w:rPr>
        <w:t xml:space="preserve"> </w:t>
      </w:r>
      <w:smartTag w:uri="urn:schemas-microsoft-com:office:smarttags" w:element="place">
        <w:r w:rsidRPr="00DA32C2">
          <w:rPr>
            <w:rFonts w:ascii="Times New Roman"/>
            <w:u w:val="single"/>
          </w:rPr>
          <w:t>Battery</w:t>
        </w:r>
      </w:smartTag>
      <w:r w:rsidRPr="00DA32C2">
        <w:rPr>
          <w:rFonts w:ascii="Times New Roman"/>
          <w:u w:val="single"/>
        </w:rPr>
        <w:t xml:space="preserve"> Manufacture Facility Estimate</w:t>
      </w:r>
    </w:p>
    <w:p w:rsidR="006878BE" w:rsidRPr="00DA32C2" w:rsidRDefault="006878BE" w:rsidP="006878BE">
      <w:pPr>
        <w:tabs>
          <w:tab w:val="right" w:pos="9360"/>
        </w:tabs>
        <w:rPr>
          <w:rFonts w:ascii="Times New Roman"/>
        </w:rPr>
      </w:pPr>
    </w:p>
    <w:p w:rsidR="006878BE" w:rsidRPr="00DA32C2" w:rsidRDefault="006878BE" w:rsidP="006878BE">
      <w:pPr>
        <w:tabs>
          <w:tab w:val="right" w:pos="9360"/>
        </w:tabs>
        <w:rPr>
          <w:rFonts w:ascii="Times New Roman"/>
        </w:rPr>
      </w:pPr>
      <w:r w:rsidRPr="00DA32C2">
        <w:rPr>
          <w:rFonts w:ascii="Times New Roman"/>
        </w:rPr>
        <w:t>In the 2012 ICR</w:t>
      </w:r>
      <w:r>
        <w:rPr>
          <w:rFonts w:ascii="Times New Roman"/>
        </w:rPr>
        <w:t xml:space="preserve"> posted for notice and public comment</w:t>
      </w:r>
      <w:r w:rsidRPr="00DA32C2">
        <w:rPr>
          <w:rFonts w:ascii="Times New Roman"/>
        </w:rPr>
        <w:t>, OSHA estimate</w:t>
      </w:r>
      <w:r>
        <w:rPr>
          <w:rFonts w:ascii="Times New Roman"/>
        </w:rPr>
        <w:t>d</w:t>
      </w:r>
      <w:r w:rsidRPr="00DA32C2">
        <w:rPr>
          <w:rFonts w:ascii="Times New Roman"/>
        </w:rPr>
        <w:t xml:space="preserve"> 66 “battery </w:t>
      </w:r>
      <w:r w:rsidRPr="00DA32C2">
        <w:rPr>
          <w:rFonts w:ascii="Times New Roman"/>
        </w:rPr>
        <w:lastRenderedPageBreak/>
        <w:t xml:space="preserve">manufacture” facilities.  </w:t>
      </w:r>
      <w:r>
        <w:rPr>
          <w:rFonts w:ascii="Times New Roman"/>
        </w:rPr>
        <w:t>OSHA based t</w:t>
      </w:r>
      <w:r w:rsidRPr="00DA32C2">
        <w:rPr>
          <w:rFonts w:ascii="Times New Roman"/>
        </w:rPr>
        <w:t>his estimate on the 2011 USGS publication (see language quoted above) that reports there were approximately 76 manufacturing plants consuming lead in the U.S.</w:t>
      </w:r>
      <w:r>
        <w:rPr>
          <w:rFonts w:ascii="Times New Roman"/>
        </w:rPr>
        <w:t>,</w:t>
      </w:r>
      <w:r w:rsidRPr="00DA32C2">
        <w:rPr>
          <w:rFonts w:ascii="Times New Roman"/>
        </w:rPr>
        <w:t xml:space="preserve"> and that 87% of these battery manufacturing facilities were in the </w:t>
      </w:r>
      <w:r>
        <w:rPr>
          <w:rFonts w:ascii="Times New Roman"/>
        </w:rPr>
        <w:t>lead-acid battery industry.  I</w:t>
      </w:r>
      <w:r w:rsidRPr="00DA32C2">
        <w:rPr>
          <w:rFonts w:ascii="Times New Roman"/>
        </w:rPr>
        <w:t>n its comment</w:t>
      </w:r>
      <w:r>
        <w:rPr>
          <w:rFonts w:ascii="Times New Roman"/>
        </w:rPr>
        <w:t>s</w:t>
      </w:r>
      <w:r w:rsidRPr="00DA32C2">
        <w:rPr>
          <w:rFonts w:ascii="Times New Roman"/>
        </w:rPr>
        <w:t>, NIOSH indicates that Economic Census data for NAICS 335911 shows an increasing trend in the number of storage</w:t>
      </w:r>
      <w:r>
        <w:rPr>
          <w:rFonts w:ascii="Times New Roman"/>
        </w:rPr>
        <w:t>-</w:t>
      </w:r>
      <w:r w:rsidRPr="00DA32C2">
        <w:rPr>
          <w:rFonts w:ascii="Times New Roman"/>
        </w:rPr>
        <w:t>battery manufacturing establishments from 2002 to 2007, from 130 establishments to 160 est</w:t>
      </w:r>
      <w:r>
        <w:rPr>
          <w:rFonts w:ascii="Times New Roman"/>
        </w:rPr>
        <w:t>ablishments.  Likewise, this data</w:t>
      </w:r>
      <w:r w:rsidRPr="00DA32C2">
        <w:rPr>
          <w:rFonts w:ascii="Times New Roman"/>
        </w:rPr>
        <w:t xml:space="preserve"> shows increasi</w:t>
      </w:r>
      <w:r>
        <w:rPr>
          <w:rFonts w:ascii="Times New Roman"/>
        </w:rPr>
        <w:t xml:space="preserve">ng employment in this industry, </w:t>
      </w:r>
      <w:r w:rsidRPr="00DA32C2">
        <w:rPr>
          <w:rFonts w:ascii="Times New Roman"/>
        </w:rPr>
        <w:t>from 17,132 to 20,605 employees.</w:t>
      </w:r>
      <w:r>
        <w:rPr>
          <w:rFonts w:ascii="Times New Roman"/>
        </w:rPr>
        <w:t xml:space="preserve">  However, </w:t>
      </w:r>
      <w:r w:rsidRPr="00DA32C2">
        <w:rPr>
          <w:rFonts w:ascii="Times New Roman"/>
        </w:rPr>
        <w:t>OSHA has no data to indicate how many of the storage</w:t>
      </w:r>
      <w:r>
        <w:rPr>
          <w:rFonts w:ascii="Times New Roman"/>
        </w:rPr>
        <w:t>-</w:t>
      </w:r>
      <w:r w:rsidRPr="00DA32C2">
        <w:rPr>
          <w:rFonts w:ascii="Times New Roman"/>
        </w:rPr>
        <w:t>battery manufacturing establishments in NAICS 335911 manufacture lead-acid batteries.  Thus, in the absence of such data, OSHA will continue to base its estimates on the USGS data specific to lead manufacturing.</w:t>
      </w:r>
    </w:p>
    <w:p w:rsidR="00A258C1" w:rsidRDefault="00A258C1" w:rsidP="00E012CD">
      <w:pPr>
        <w:rPr>
          <w:rFonts w:ascii="Times New Roman"/>
          <w:b/>
          <w:bCs/>
        </w:rPr>
      </w:pPr>
    </w:p>
    <w:p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9.  Explain any decision to provide any payment or gift to respondents, other than remuneration of contractors or grantees.</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No payments or gifts will be provided to the respondents.</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sz w:val="20"/>
          <w:szCs w:val="20"/>
        </w:rPr>
      </w:pPr>
      <w:r w:rsidRPr="00E07969">
        <w:rPr>
          <w:rFonts w:ascii="Times New Roman"/>
          <w:b/>
          <w:sz w:val="20"/>
          <w:szCs w:val="20"/>
        </w:rPr>
        <w:t>10.  Describe any assurance of confidentiality provided to respondents and the basis of the assurance in statute, regulation, or agency policy.</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Since medical records contain information that may be considered private, OSHA has taken steps to ensure that the data are kept confidential.  Rules of Agency practice and procedure governing OSHA access to </w:t>
      </w:r>
      <w:r>
        <w:rPr>
          <w:rFonts w:ascii="Times New Roman"/>
        </w:rPr>
        <w:t>worker</w:t>
      </w:r>
      <w:r w:rsidRPr="0052502E">
        <w:rPr>
          <w:rFonts w:ascii="Times New Roman"/>
        </w:rPr>
        <w:t xml:space="preserve"> medical records are contained in 29 CFR 1913.10.</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E07969"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RDefault="00E012CD" w:rsidP="00E012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There are no provisions in this standard requiring that questions of a sensitive nature be asked; therefore, this question is not applicable to this clearance request.</w:t>
      </w:r>
    </w:p>
    <w:p w:rsidR="00606D2D" w:rsidRDefault="00606D2D" w:rsidP="00606D2D">
      <w:pPr>
        <w:tabs>
          <w:tab w:val="right" w:pos="9360"/>
        </w:tabs>
        <w:rPr>
          <w:rFonts w:ascii="Times New Roman"/>
        </w:rPr>
      </w:pPr>
      <w:r w:rsidRPr="0052502E">
        <w:rPr>
          <w:rFonts w:ascii="Times New Roman"/>
        </w:rPr>
        <w:tab/>
      </w:r>
    </w:p>
    <w:p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r w:rsidRPr="00E07969">
        <w:rPr>
          <w:rFonts w:ascii="Times New Roman"/>
          <w:b/>
          <w:sz w:val="20"/>
          <w:szCs w:val="20"/>
        </w:rPr>
        <w:t>12.  Provide estimates of the hour burden of the collection of information.  The statement should:</w:t>
      </w:r>
    </w:p>
    <w:p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b/>
          <w:sz w:val="20"/>
          <w:szCs w:val="20"/>
        </w:rPr>
      </w:pPr>
    </w:p>
    <w:p w:rsidR="00606D2D"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w:t>
      </w:r>
    </w:p>
    <w:p w:rsidR="00606D2D" w:rsidRPr="00E07969" w:rsidRDefault="00606D2D" w:rsidP="00606D2D">
      <w:pPr>
        <w:tabs>
          <w:tab w:val="left" w:pos="360"/>
          <w:tab w:val="left" w:pos="960"/>
          <w:tab w:val="left" w:pos="1560"/>
          <w:tab w:val="left" w:pos="2160"/>
          <w:tab w:val="left" w:pos="2760"/>
          <w:tab w:val="left" w:pos="3360"/>
          <w:tab w:val="left" w:pos="4080"/>
          <w:tab w:val="left" w:pos="4680"/>
          <w:tab w:val="left" w:pos="5280"/>
          <w:tab w:val="left" w:pos="5880"/>
        </w:tabs>
        <w:ind w:left="1560" w:hanging="30"/>
        <w:rPr>
          <w:rFonts w:ascii="Times New Roman"/>
          <w:b/>
          <w:sz w:val="20"/>
          <w:szCs w:val="20"/>
        </w:rPr>
      </w:pPr>
      <w:r>
        <w:rPr>
          <w:rFonts w:ascii="Times New Roman"/>
          <w:b/>
          <w:sz w:val="20"/>
          <w:szCs w:val="20"/>
        </w:rPr>
        <w:t xml:space="preserve"> </w:t>
      </w:r>
      <w:proofErr w:type="gramStart"/>
      <w:r w:rsidRPr="00E07969">
        <w:rPr>
          <w:rFonts w:ascii="Times New Roman"/>
          <w:b/>
          <w:sz w:val="20"/>
          <w:szCs w:val="20"/>
        </w:rPr>
        <w:t>the</w:t>
      </w:r>
      <w:proofErr w:type="gramEnd"/>
      <w:r w:rsidRPr="00E07969">
        <w:rPr>
          <w:rFonts w:ascii="Times New Roman"/>
          <w:b/>
          <w:sz w:val="20"/>
          <w:szCs w:val="20"/>
        </w:rPr>
        <w:t xml:space="preserve"> variance.  Generally, estimates should not include burden hours for customary and usual business practices.</w:t>
      </w:r>
    </w:p>
    <w:p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 xml:space="preserve">  </w:t>
      </w:r>
      <w:r w:rsidRPr="00E07969">
        <w:rPr>
          <w:rFonts w:ascii="Times New Roman"/>
          <w:b/>
          <w:sz w:val="20"/>
          <w:szCs w:val="20"/>
        </w:rPr>
        <w:tab/>
        <w:t>If this request for approval covers more than one form, provide separate hour burden estimates for each form.</w:t>
      </w:r>
    </w:p>
    <w:p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606D2D" w:rsidRPr="00E07969" w:rsidRDefault="00606D2D">
      <w:pPr>
        <w:tabs>
          <w:tab w:val="left" w:pos="360"/>
          <w:tab w:val="left" w:pos="960"/>
          <w:tab w:val="left" w:pos="1560"/>
          <w:tab w:val="left" w:pos="2160"/>
          <w:tab w:val="left" w:pos="2760"/>
          <w:tab w:val="left" w:pos="3360"/>
          <w:tab w:val="left" w:pos="4080"/>
          <w:tab w:val="left" w:pos="4680"/>
          <w:tab w:val="left" w:pos="5280"/>
          <w:tab w:val="left" w:pos="5880"/>
        </w:tabs>
        <w:ind w:left="1560" w:hanging="600"/>
        <w:rPr>
          <w:rFonts w:ascii="Times New Roman"/>
          <w:b/>
          <w:sz w:val="20"/>
          <w:szCs w:val="20"/>
        </w:rPr>
      </w:pPr>
      <w:r>
        <w:rPr>
          <w:rFonts w:ascii="Times New Roman"/>
          <w:b/>
          <w:sz w:val="20"/>
          <w:szCs w:val="20"/>
        </w:rPr>
        <w:t>-</w:t>
      </w:r>
      <w:r w:rsidRPr="00E07969">
        <w:rPr>
          <w:rFonts w:ascii="Times New Roman"/>
          <w:b/>
          <w:sz w:val="20"/>
          <w:szCs w:val="20"/>
        </w:rPr>
        <w:tab/>
        <w:t>Provide estimates of annualized cost to respondents for the hour burden for collections of information, identifying and using appropriate wage rate categories.</w:t>
      </w:r>
    </w:p>
    <w:p w:rsidR="00606D2D" w:rsidRPr="0052502E" w:rsidRDefault="00606D2D">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p>
    <w:p w:rsidR="00606D2D" w:rsidRPr="00201D6D" w:rsidRDefault="00606D2D" w:rsidP="00606D2D">
      <w:pPr>
        <w:widowControl/>
        <w:rPr>
          <w:rFonts w:ascii="Times New Roman"/>
          <w:bCs/>
          <w:smallCaps/>
        </w:rPr>
      </w:pPr>
      <w:r w:rsidRPr="00201D6D">
        <w:rPr>
          <w:rFonts w:ascii="Times New Roman"/>
          <w:b/>
          <w:bCs/>
          <w:smallCaps/>
        </w:rPr>
        <w:lastRenderedPageBreak/>
        <w:t>Burden Hour and Cost Determinations</w:t>
      </w:r>
    </w:p>
    <w:p w:rsidR="006C598F" w:rsidRDefault="006C598F" w:rsidP="00606D2D">
      <w:pPr>
        <w:widowControl/>
        <w:rPr>
          <w:rFonts w:ascii="Times New Roman"/>
        </w:rPr>
      </w:pPr>
    </w:p>
    <w:p w:rsidR="00606D2D" w:rsidRPr="00201D6D" w:rsidRDefault="006C598F" w:rsidP="00606D2D">
      <w:pPr>
        <w:widowControl/>
        <w:rPr>
          <w:rFonts w:ascii="Times New Roman"/>
          <w:bCs/>
        </w:rPr>
      </w:pPr>
      <w:r>
        <w:rPr>
          <w:rFonts w:ascii="Times New Roman"/>
        </w:rPr>
        <w:t>E</w:t>
      </w:r>
      <w:r w:rsidRPr="00201D6D">
        <w:rPr>
          <w:rFonts w:ascii="Times New Roman"/>
        </w:rPr>
        <w:t xml:space="preserve">stimates of the number of establishments and exposed </w:t>
      </w:r>
      <w:r>
        <w:rPr>
          <w:rFonts w:ascii="Times New Roman"/>
        </w:rPr>
        <w:t>worker</w:t>
      </w:r>
      <w:r w:rsidRPr="00201D6D">
        <w:rPr>
          <w:rFonts w:ascii="Times New Roman"/>
        </w:rPr>
        <w:t xml:space="preserve">s covered by the Standard have been revised to reflect the most recent available data. </w:t>
      </w:r>
      <w:r>
        <w:rPr>
          <w:rFonts w:ascii="Times New Roman"/>
        </w:rPr>
        <w:t xml:space="preserve"> Table A contains </w:t>
      </w:r>
      <w:r w:rsidRPr="00201D6D">
        <w:rPr>
          <w:rFonts w:ascii="Times New Roman"/>
        </w:rPr>
        <w:t>updated figures from the U.S. Census Bureau, the Bureau of Labor Statistics and other sources cited below</w:t>
      </w:r>
    </w:p>
    <w:p w:rsidR="0054277E" w:rsidRDefault="0054277E" w:rsidP="00606D2D">
      <w:pPr>
        <w:widowControl/>
        <w:rPr>
          <w:rFonts w:ascii="Times New Roman"/>
          <w:b/>
          <w:bCs/>
        </w:rPr>
      </w:pPr>
    </w:p>
    <w:p w:rsidR="00606D2D" w:rsidRPr="00201D6D" w:rsidRDefault="00606D2D" w:rsidP="00606D2D">
      <w:pPr>
        <w:widowControl/>
        <w:rPr>
          <w:rFonts w:ascii="Times New Roman"/>
        </w:rPr>
      </w:pPr>
      <w:r w:rsidRPr="00201D6D">
        <w:rPr>
          <w:rFonts w:ascii="Times New Roman"/>
          <w:b/>
          <w:bCs/>
        </w:rPr>
        <w:t>Wage Rates</w:t>
      </w:r>
    </w:p>
    <w:p w:rsidR="00606D2D" w:rsidRPr="00201D6D" w:rsidRDefault="00606D2D" w:rsidP="00606D2D">
      <w:pPr>
        <w:widowControl/>
        <w:rPr>
          <w:rFonts w:ascii="Times New Roman"/>
        </w:rPr>
      </w:pPr>
    </w:p>
    <w:p w:rsidR="00606D2D" w:rsidRPr="00201D6D" w:rsidRDefault="00606D2D" w:rsidP="00606D2D">
      <w:pPr>
        <w:widowControl/>
        <w:rPr>
          <w:rFonts w:ascii="Times New Roman"/>
          <w:color w:val="000000"/>
        </w:rPr>
      </w:pPr>
      <w:r w:rsidRPr="00201D6D">
        <w:rPr>
          <w:rFonts w:ascii="Times New Roman"/>
          <w:color w:val="000000"/>
        </w:rPr>
        <w:t xml:space="preserve">The following </w:t>
      </w:r>
      <w:r w:rsidRPr="00201D6D">
        <w:rPr>
          <w:rStyle w:val="yshortcuts"/>
          <w:rFonts w:ascii="Times New Roman"/>
          <w:color w:val="000000"/>
        </w:rPr>
        <w:t>hourly wage rates</w:t>
      </w:r>
      <w:r w:rsidRPr="00201D6D">
        <w:rPr>
          <w:rFonts w:ascii="Times New Roman"/>
          <w:color w:val="000000"/>
        </w:rPr>
        <w:t xml:space="preserve"> for the relevant occupational categories have been derived from the May </w:t>
      </w:r>
      <w:r>
        <w:rPr>
          <w:rFonts w:ascii="Times New Roman"/>
          <w:color w:val="000000"/>
        </w:rPr>
        <w:t>2010</w:t>
      </w:r>
      <w:r w:rsidRPr="00201D6D">
        <w:rPr>
          <w:rFonts w:ascii="Times New Roman"/>
          <w:color w:val="000000"/>
        </w:rPr>
        <w:t xml:space="preserve"> National Industry-Specific Occupational Employment and Wage Estimates published by the </w:t>
      </w:r>
      <w:r w:rsidRPr="00201D6D">
        <w:rPr>
          <w:rStyle w:val="yshortcuts"/>
          <w:rFonts w:ascii="Times New Roman"/>
          <w:color w:val="000000"/>
        </w:rPr>
        <w:t>Bureau of Labor Statistics</w:t>
      </w:r>
      <w:r w:rsidRPr="00201D6D">
        <w:rPr>
          <w:rFonts w:ascii="Times New Roman"/>
          <w:color w:val="000000"/>
        </w:rPr>
        <w:t xml:space="preserve">. These wages have been adjusted to reflect the fact that </w:t>
      </w:r>
      <w:r w:rsidRPr="00201D6D">
        <w:rPr>
          <w:rStyle w:val="yshortcuts"/>
          <w:rFonts w:ascii="Times New Roman"/>
          <w:color w:val="000000"/>
        </w:rPr>
        <w:t>fringe benefits</w:t>
      </w:r>
      <w:r w:rsidRPr="00201D6D">
        <w:rPr>
          <w:rFonts w:ascii="Times New Roman"/>
          <w:color w:val="000000"/>
        </w:rPr>
        <w:t xml:space="preserve"> comprise roughly 29.</w:t>
      </w:r>
      <w:r>
        <w:rPr>
          <w:rFonts w:ascii="Times New Roman"/>
          <w:color w:val="000000"/>
        </w:rPr>
        <w:t>5</w:t>
      </w:r>
      <w:r w:rsidRPr="00201D6D">
        <w:rPr>
          <w:rFonts w:ascii="Times New Roman"/>
          <w:color w:val="000000"/>
        </w:rPr>
        <w:t xml:space="preserve"> percent of total worker</w:t>
      </w:r>
      <w:r w:rsidRPr="00201D6D">
        <w:rPr>
          <w:rStyle w:val="yshortcuts"/>
          <w:rFonts w:ascii="Times New Roman"/>
          <w:color w:val="000000"/>
        </w:rPr>
        <w:t xml:space="preserve"> compensation</w:t>
      </w:r>
      <w:r w:rsidRPr="00201D6D">
        <w:rPr>
          <w:rFonts w:ascii="Times New Roman"/>
          <w:color w:val="000000"/>
        </w:rPr>
        <w:t xml:space="preserve"> in the private sector. </w:t>
      </w:r>
      <w:r>
        <w:rPr>
          <w:rFonts w:ascii="Times New Roman"/>
          <w:color w:val="000000"/>
        </w:rPr>
        <w:t xml:space="preserve"> </w:t>
      </w:r>
      <w:r w:rsidRPr="00201D6D">
        <w:rPr>
          <w:rFonts w:ascii="Times New Roman"/>
          <w:color w:val="000000"/>
        </w:rPr>
        <w:t>The costs of labor used in this analysis are therefore estimates of total hourly compensation. These hourly wages are:</w:t>
      </w:r>
    </w:p>
    <w:p w:rsidR="00606D2D" w:rsidRPr="00201D6D" w:rsidRDefault="00606D2D" w:rsidP="00606D2D">
      <w:pPr>
        <w:widowControl/>
        <w:rPr>
          <w:rFonts w:ascii="Times New Roman"/>
        </w:rPr>
      </w:pPr>
    </w:p>
    <w:p w:rsidR="00606D2D" w:rsidRPr="00201D6D" w:rsidRDefault="00606D2D" w:rsidP="00606D2D">
      <w:pPr>
        <w:widowControl/>
        <w:numPr>
          <w:ilvl w:val="0"/>
          <w:numId w:val="1"/>
        </w:numPr>
        <w:rPr>
          <w:rFonts w:ascii="Times New Roman"/>
        </w:rPr>
      </w:pPr>
      <w:r w:rsidRPr="00201D6D">
        <w:rPr>
          <w:rFonts w:ascii="Times New Roman"/>
        </w:rPr>
        <w:t>Worker</w:t>
      </w:r>
      <w:r w:rsidRPr="00201D6D">
        <w:rPr>
          <w:rFonts w:ascii="Times New Roman"/>
        </w:rPr>
        <w:tab/>
      </w:r>
      <w:r w:rsidRPr="00201D6D">
        <w:rPr>
          <w:rFonts w:ascii="Times New Roman"/>
        </w:rPr>
        <w:tab/>
      </w:r>
      <w:r w:rsidRPr="00201D6D">
        <w:rPr>
          <w:rFonts w:ascii="Times New Roman"/>
        </w:rPr>
        <w:tab/>
        <w:t>$</w:t>
      </w:r>
      <w:r>
        <w:rPr>
          <w:rFonts w:ascii="Times New Roman"/>
        </w:rPr>
        <w:t>32.13</w:t>
      </w:r>
    </w:p>
    <w:p w:rsidR="00606D2D" w:rsidRPr="00201D6D" w:rsidRDefault="00606D2D" w:rsidP="00606D2D">
      <w:pPr>
        <w:widowControl/>
        <w:numPr>
          <w:ilvl w:val="0"/>
          <w:numId w:val="1"/>
        </w:numPr>
        <w:rPr>
          <w:rFonts w:ascii="Times New Roman"/>
        </w:rPr>
      </w:pPr>
      <w:r w:rsidRPr="00201D6D">
        <w:rPr>
          <w:rFonts w:ascii="Times New Roman"/>
        </w:rPr>
        <w:t>Clerical/Secretary</w:t>
      </w:r>
      <w:r w:rsidRPr="00201D6D">
        <w:rPr>
          <w:rFonts w:ascii="Times New Roman"/>
        </w:rPr>
        <w:tab/>
      </w:r>
      <w:r w:rsidRPr="00201D6D">
        <w:rPr>
          <w:rFonts w:ascii="Times New Roman"/>
        </w:rPr>
        <w:tab/>
        <w:t>$</w:t>
      </w:r>
      <w:r>
        <w:rPr>
          <w:rFonts w:ascii="Times New Roman"/>
        </w:rPr>
        <w:t>22.82</w:t>
      </w:r>
    </w:p>
    <w:p w:rsidR="00606D2D" w:rsidRPr="00201D6D" w:rsidRDefault="00606D2D" w:rsidP="00606D2D">
      <w:pPr>
        <w:widowControl/>
        <w:numPr>
          <w:ilvl w:val="0"/>
          <w:numId w:val="1"/>
        </w:numPr>
        <w:rPr>
          <w:rFonts w:ascii="Times New Roman"/>
        </w:rPr>
      </w:pPr>
      <w:r w:rsidRPr="00201D6D">
        <w:rPr>
          <w:rFonts w:ascii="Times New Roman"/>
        </w:rPr>
        <w:t>Professional/Manager</w:t>
      </w:r>
      <w:r w:rsidRPr="00201D6D">
        <w:rPr>
          <w:rFonts w:ascii="Times New Roman"/>
        </w:rPr>
        <w:tab/>
        <w:t>$</w:t>
      </w:r>
      <w:r>
        <w:rPr>
          <w:rFonts w:ascii="Times New Roman"/>
        </w:rPr>
        <w:t>53.00</w:t>
      </w:r>
    </w:p>
    <w:p w:rsidR="00606D2D" w:rsidRDefault="00606D2D" w:rsidP="00606D2D">
      <w:pPr>
        <w:widowControl/>
        <w:rPr>
          <w:rFonts w:ascii="Times New Roman"/>
          <w:bCs/>
          <w:sz w:val="22"/>
          <w:szCs w:val="22"/>
        </w:rPr>
      </w:pPr>
    </w:p>
    <w:p w:rsidR="008F707C" w:rsidRDefault="008F707C" w:rsidP="00606D2D">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rsidR="00606D2D" w:rsidRPr="00EC7DB5" w:rsidRDefault="00606D2D" w:rsidP="00606D2D">
      <w:pPr>
        <w:widowControl/>
        <w:rPr>
          <w:rFonts w:ascii="Times New Roman"/>
          <w:bCs/>
        </w:rPr>
      </w:pPr>
      <w:r w:rsidRPr="00EC7DB5">
        <w:rPr>
          <w:rFonts w:ascii="Times New Roman"/>
          <w:b/>
          <w:bCs/>
        </w:rPr>
        <w:t>Exposure Monitoring</w:t>
      </w:r>
      <w:r w:rsidRPr="00EC7DB5">
        <w:rPr>
          <w:rFonts w:ascii="Times New Roman"/>
        </w:rPr>
        <w:t xml:space="preserve"> </w:t>
      </w:r>
      <w:r w:rsidRPr="00EC7DB5">
        <w:rPr>
          <w:rFonts w:ascii="Times New Roman"/>
          <w:b/>
          <w:bCs/>
        </w:rPr>
        <w:t>(§ 1910.1025 (d))</w:t>
      </w:r>
    </w:p>
    <w:p w:rsidR="00606D2D" w:rsidRPr="00EC7DB5" w:rsidRDefault="00606D2D" w:rsidP="00606D2D">
      <w:pPr>
        <w:widowControl/>
        <w:rPr>
          <w:rFonts w:ascii="Times New Roman"/>
        </w:rPr>
      </w:pPr>
    </w:p>
    <w:p w:rsidR="00606D2D" w:rsidRPr="00EC7DB5" w:rsidRDefault="00606D2D" w:rsidP="00606D2D">
      <w:pPr>
        <w:widowControl/>
        <w:rPr>
          <w:rFonts w:ascii="Times New Roman"/>
        </w:rPr>
      </w:pPr>
      <w:r w:rsidRPr="00EC7DB5">
        <w:rPr>
          <w:rFonts w:ascii="Times New Roman"/>
        </w:rPr>
        <w:t>The cost of exposure monitoring is based on the cost per sample and the number of samples that must be taken. Also, employers would have in-house industrial hygiene technicians take the samples and send them to a lab to be analyzed.</w:t>
      </w:r>
    </w:p>
    <w:p w:rsidR="00606D2D" w:rsidRPr="00EC7DB5" w:rsidRDefault="00606D2D" w:rsidP="00606D2D">
      <w:pPr>
        <w:widowControl/>
        <w:rPr>
          <w:rFonts w:ascii="Times New Roman"/>
        </w:rPr>
      </w:pPr>
    </w:p>
    <w:p w:rsidR="00606D2D" w:rsidRPr="00EC7DB5" w:rsidRDefault="00606D2D" w:rsidP="00606D2D">
      <w:pPr>
        <w:keepNext/>
        <w:widowControl/>
        <w:rPr>
          <w:rFonts w:ascii="Times New Roman"/>
        </w:rPr>
      </w:pPr>
      <w:r w:rsidRPr="00EC7DB5">
        <w:rPr>
          <w:rFonts w:ascii="Times New Roman"/>
          <w:u w:val="single"/>
        </w:rPr>
        <w:t>Initial Exposure Measurement</w:t>
      </w:r>
    </w:p>
    <w:p w:rsidR="00606D2D" w:rsidRPr="00956D56" w:rsidRDefault="00606D2D" w:rsidP="00606D2D">
      <w:pPr>
        <w:keepNext/>
        <w:widowControl/>
        <w:rPr>
          <w:rFonts w:ascii="Times New Roman"/>
          <w:sz w:val="22"/>
          <w:szCs w:val="22"/>
        </w:rPr>
      </w:pPr>
    </w:p>
    <w:p w:rsidR="00606D2D" w:rsidRPr="00BA11D4" w:rsidRDefault="00606D2D" w:rsidP="00606D2D">
      <w:pPr>
        <w:widowControl/>
        <w:rPr>
          <w:rFonts w:ascii="Times New Roman"/>
        </w:rPr>
      </w:pPr>
      <w:r w:rsidRPr="00CD7DD3">
        <w:rPr>
          <w:rFonts w:ascii="Times New Roman"/>
        </w:rPr>
        <w:t xml:space="preserve">Employers must determine if any </w:t>
      </w:r>
      <w:r>
        <w:rPr>
          <w:rFonts w:ascii="Times New Roman"/>
        </w:rPr>
        <w:t>worker</w:t>
      </w:r>
      <w:r w:rsidRPr="00CD7DD3">
        <w:rPr>
          <w:rFonts w:ascii="Times New Roman"/>
        </w:rPr>
        <w:t xml:space="preserve">s are exposed to lead at or above the action level.  As evidenced in Table A, we have identified </w:t>
      </w:r>
      <w:r w:rsidR="006E1067">
        <w:rPr>
          <w:rFonts w:ascii="Times New Roman"/>
        </w:rPr>
        <w:t>two</w:t>
      </w:r>
      <w:r w:rsidR="006E1067" w:rsidRPr="00CD7DD3">
        <w:rPr>
          <w:rFonts w:ascii="Times New Roman"/>
        </w:rPr>
        <w:t xml:space="preserve"> </w:t>
      </w:r>
      <w:r w:rsidRPr="00CD7DD3">
        <w:rPr>
          <w:rFonts w:ascii="Times New Roman"/>
        </w:rPr>
        <w:t xml:space="preserve">new </w:t>
      </w:r>
      <w:r w:rsidR="00AC6E61">
        <w:rPr>
          <w:rFonts w:ascii="Times New Roman"/>
        </w:rPr>
        <w:t xml:space="preserve">secondary smelter </w:t>
      </w:r>
      <w:r w:rsidRPr="00CD7DD3">
        <w:rPr>
          <w:rFonts w:ascii="Times New Roman"/>
        </w:rPr>
        <w:t>facilities since the last ICR was prepared</w:t>
      </w:r>
      <w:r w:rsidR="00AC6E61" w:rsidRPr="00BA11D4">
        <w:rPr>
          <w:rFonts w:ascii="Times New Roman"/>
          <w:sz w:val="22"/>
          <w:szCs w:val="22"/>
        </w:rPr>
        <w:t xml:space="preserve">.  </w:t>
      </w:r>
      <w:r w:rsidR="00AC6E61" w:rsidRPr="00BA11D4">
        <w:rPr>
          <w:rFonts w:ascii="Times New Roman"/>
        </w:rPr>
        <w:t>OSHA estimates that there are 86 workers on average at each secondary smelter facility</w:t>
      </w:r>
      <w:r w:rsidR="000F6EA2" w:rsidRPr="00BA11D4">
        <w:rPr>
          <w:rFonts w:ascii="Times New Roman"/>
        </w:rPr>
        <w:t xml:space="preserve"> for a total of 172</w:t>
      </w:r>
      <w:r w:rsidR="00AC6E61" w:rsidRPr="00BA11D4">
        <w:rPr>
          <w:rFonts w:ascii="Times New Roman"/>
        </w:rPr>
        <w:t xml:space="preserve"> new employees.  Approximately one in four employees is actually sampled.  One technician takes eight samples per day, thus OSHA assumes that each sample takes one hour of time.</w:t>
      </w:r>
    </w:p>
    <w:p w:rsidR="00AC6E61" w:rsidRDefault="00AC6E61" w:rsidP="00606D2D">
      <w:pPr>
        <w:widowControl/>
        <w:rPr>
          <w:rFonts w:ascii="Times New Roman"/>
          <w:sz w:val="22"/>
          <w:szCs w:val="22"/>
          <w:u w:val="single"/>
        </w:rPr>
      </w:pPr>
    </w:p>
    <w:p w:rsidR="00AC6E61" w:rsidRPr="0080157B" w:rsidRDefault="00AC6E61" w:rsidP="00AC6E61">
      <w:pPr>
        <w:widowControl/>
        <w:ind w:firstLine="720"/>
        <w:rPr>
          <w:rFonts w:ascii="Times New Roman"/>
        </w:rPr>
      </w:pPr>
      <w:r w:rsidRPr="0080157B">
        <w:rPr>
          <w:rFonts w:ascii="Times New Roman"/>
          <w:b/>
          <w:bCs/>
        </w:rPr>
        <w:t>Burden hours:</w:t>
      </w:r>
      <w:r w:rsidRPr="0080157B">
        <w:rPr>
          <w:rFonts w:ascii="Times New Roman"/>
          <w:b/>
          <w:bCs/>
        </w:rPr>
        <w:tab/>
      </w:r>
      <w:r w:rsidR="000F6EA2">
        <w:rPr>
          <w:rFonts w:ascii="Times New Roman"/>
        </w:rPr>
        <w:t>172</w:t>
      </w:r>
      <w:r>
        <w:rPr>
          <w:rFonts w:ascii="Times New Roman"/>
        </w:rPr>
        <w:t xml:space="preserve"> employees/4 employees per sample</w:t>
      </w:r>
      <w:r w:rsidRPr="0080157B">
        <w:rPr>
          <w:rFonts w:ascii="Times New Roman"/>
        </w:rPr>
        <w:t xml:space="preserve"> × 1 hour = </w:t>
      </w:r>
      <w:r w:rsidR="000F6EA2">
        <w:rPr>
          <w:rFonts w:ascii="Times New Roman"/>
        </w:rPr>
        <w:t>43</w:t>
      </w:r>
      <w:r>
        <w:rPr>
          <w:rFonts w:ascii="Times New Roman"/>
        </w:rPr>
        <w:t xml:space="preserve"> </w:t>
      </w:r>
      <w:r w:rsidRPr="0080157B">
        <w:rPr>
          <w:rFonts w:ascii="Times New Roman"/>
        </w:rPr>
        <w:t>hours</w:t>
      </w:r>
      <w:bookmarkStart w:id="1" w:name="_GoBack"/>
      <w:bookmarkEnd w:id="1"/>
    </w:p>
    <w:p w:rsidR="00AC6E61" w:rsidRPr="0080157B" w:rsidRDefault="00AC6E61" w:rsidP="00AC6E61">
      <w:pPr>
        <w:widowControl/>
        <w:ind w:left="720" w:firstLine="720"/>
        <w:rPr>
          <w:rFonts w:ascii="Times New Roman"/>
        </w:rPr>
      </w:pPr>
      <w:r>
        <w:rPr>
          <w:rFonts w:ascii="Times New Roman"/>
          <w:b/>
          <w:bCs/>
        </w:rPr>
        <w:t xml:space="preserve">  </w:t>
      </w:r>
      <w:r w:rsidRPr="0080157B">
        <w:rPr>
          <w:rFonts w:ascii="Times New Roman"/>
          <w:b/>
          <w:bCs/>
        </w:rPr>
        <w:t>Costs:</w:t>
      </w:r>
      <w:r w:rsidRPr="0080157B">
        <w:rPr>
          <w:rFonts w:ascii="Times New Roman"/>
          <w:b/>
          <w:bCs/>
        </w:rPr>
        <w:tab/>
      </w:r>
      <w:r w:rsidR="000F6EA2">
        <w:rPr>
          <w:rFonts w:ascii="Times New Roman"/>
          <w:bCs/>
        </w:rPr>
        <w:t>43</w:t>
      </w:r>
      <w:r w:rsidRPr="00AC6E61">
        <w:rPr>
          <w:rFonts w:ascii="Times New Roman"/>
          <w:bCs/>
        </w:rPr>
        <w:t xml:space="preserve"> </w:t>
      </w:r>
      <w:r w:rsidRPr="00AC6E61">
        <w:rPr>
          <w:rFonts w:ascii="Times New Roman"/>
        </w:rPr>
        <w:t>h</w:t>
      </w:r>
      <w:r w:rsidRPr="0080157B">
        <w:rPr>
          <w:rFonts w:ascii="Times New Roman"/>
        </w:rPr>
        <w:t>ours × $</w:t>
      </w:r>
      <w:r>
        <w:rPr>
          <w:rFonts w:ascii="Times New Roman"/>
        </w:rPr>
        <w:t>32.13</w:t>
      </w:r>
      <w:r w:rsidRPr="0080157B">
        <w:rPr>
          <w:rFonts w:ascii="Times New Roman"/>
        </w:rPr>
        <w:t xml:space="preserve"> = $</w:t>
      </w:r>
      <w:r w:rsidR="000F6EA2">
        <w:rPr>
          <w:rFonts w:ascii="Times New Roman"/>
        </w:rPr>
        <w:t>1,382</w:t>
      </w:r>
    </w:p>
    <w:p w:rsidR="00AC6E61" w:rsidRDefault="00AC6E61" w:rsidP="00606D2D">
      <w:pPr>
        <w:widowControl/>
        <w:rPr>
          <w:rFonts w:ascii="Times New Roman"/>
          <w:sz w:val="22"/>
          <w:szCs w:val="22"/>
          <w:u w:val="single"/>
        </w:rPr>
      </w:pPr>
    </w:p>
    <w:p w:rsidR="00606D2D" w:rsidRPr="0080157B" w:rsidRDefault="00606D2D" w:rsidP="00606D2D">
      <w:pPr>
        <w:widowControl/>
        <w:rPr>
          <w:rFonts w:ascii="Times New Roman"/>
        </w:rPr>
      </w:pPr>
      <w:r w:rsidRPr="0080157B">
        <w:rPr>
          <w:rFonts w:ascii="Times New Roman"/>
          <w:u w:val="single"/>
        </w:rPr>
        <w:t>Periodic Exposure Measurement</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Based on the initial monitoring results, periodic monitoring is required every six months if </w:t>
      </w:r>
      <w:r>
        <w:rPr>
          <w:rFonts w:ascii="Times New Roman"/>
        </w:rPr>
        <w:t>worker</w:t>
      </w:r>
      <w:r w:rsidRPr="0080157B">
        <w:rPr>
          <w:rFonts w:ascii="Times New Roman"/>
        </w:rPr>
        <w:t xml:space="preserve">s are exposed </w:t>
      </w:r>
      <w:r w:rsidR="00772A4A">
        <w:rPr>
          <w:rFonts w:ascii="Times New Roman"/>
        </w:rPr>
        <w:t xml:space="preserve">at or </w:t>
      </w:r>
      <w:r w:rsidRPr="0080157B">
        <w:rPr>
          <w:rFonts w:ascii="Times New Roman"/>
        </w:rPr>
        <w:t xml:space="preserve">above the action level but below the PEL, and quarterly if </w:t>
      </w:r>
      <w:r>
        <w:rPr>
          <w:rFonts w:ascii="Times New Roman"/>
        </w:rPr>
        <w:t>worker</w:t>
      </w:r>
      <w:r w:rsidRPr="0080157B">
        <w:rPr>
          <w:rFonts w:ascii="Times New Roman"/>
        </w:rPr>
        <w:t xml:space="preserve">s are exposed to lead above the PEL. For purposes of estimating burden hours and costs in this Information Collection Request (ICR), no employers are exposing their </w:t>
      </w:r>
      <w:r>
        <w:rPr>
          <w:rFonts w:ascii="Times New Roman"/>
        </w:rPr>
        <w:t>worker</w:t>
      </w:r>
      <w:r w:rsidRPr="0080157B">
        <w:rPr>
          <w:rFonts w:ascii="Times New Roman"/>
        </w:rPr>
        <w:t>s to lead levels above the PEL, and therefore, there are no burden hours and costs for quarterly monitoring.</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OSHA estimates </w:t>
      </w:r>
      <w:r w:rsidR="00152B7B">
        <w:rPr>
          <w:rFonts w:ascii="Times New Roman"/>
        </w:rPr>
        <w:t>340,843</w:t>
      </w:r>
      <w:r w:rsidR="007D6890">
        <w:rPr>
          <w:rFonts w:ascii="Times New Roman"/>
        </w:rPr>
        <w:t xml:space="preserve"> </w:t>
      </w:r>
      <w:r>
        <w:rPr>
          <w:rFonts w:ascii="Times New Roman"/>
        </w:rPr>
        <w:t>worker</w:t>
      </w:r>
      <w:r w:rsidRPr="0080157B">
        <w:rPr>
          <w:rFonts w:ascii="Times New Roman"/>
        </w:rPr>
        <w:t>s may be exposed to lead at levels between the action level and the PEL, requiring employers to conduct periodic monitoring at six</w:t>
      </w:r>
      <w:r w:rsidRPr="0080157B">
        <w:rPr>
          <w:rFonts w:ascii="Times New Roman"/>
        </w:rPr>
        <w:noBreakHyphen/>
        <w:t xml:space="preserve">month intervals. Approximately one in four </w:t>
      </w:r>
      <w:r>
        <w:rPr>
          <w:rFonts w:ascii="Times New Roman"/>
        </w:rPr>
        <w:t>worker</w:t>
      </w:r>
      <w:r w:rsidRPr="0080157B">
        <w:rPr>
          <w:rFonts w:ascii="Times New Roman"/>
        </w:rPr>
        <w:t>s is actually sampled.</w:t>
      </w:r>
      <w:r w:rsidR="009224EB">
        <w:rPr>
          <w:rFonts w:ascii="Times New Roman"/>
        </w:rPr>
        <w:t xml:space="preserve"> </w:t>
      </w:r>
      <w:r w:rsidRPr="0080157B">
        <w:rPr>
          <w:rFonts w:ascii="Times New Roman"/>
        </w:rPr>
        <w:t xml:space="preserve"> One technician takes eight samples per day, thus OSHA assumes it takes one hour of a technician’s time to sample and document results. Hours involved in periodic exposure monitoring are estimated as follows:</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152B7B">
        <w:rPr>
          <w:rFonts w:ascii="Times New Roman"/>
        </w:rPr>
        <w:t>340,843</w:t>
      </w:r>
      <w:r>
        <w:rPr>
          <w:rFonts w:ascii="Times New Roman"/>
        </w:rPr>
        <w:t xml:space="preserve"> </w:t>
      </w:r>
      <w:r w:rsidRPr="0080157B">
        <w:rPr>
          <w:rFonts w:ascii="Times New Roman"/>
        </w:rPr>
        <w:t xml:space="preserve">÷ 4) × 1 hour × 2 samples/year = </w:t>
      </w:r>
      <w:r w:rsidR="00152B7B">
        <w:rPr>
          <w:rFonts w:ascii="Times New Roman"/>
        </w:rPr>
        <w:t>170,422</w:t>
      </w:r>
      <w:r>
        <w:rPr>
          <w:rFonts w:ascii="Times New Roman"/>
        </w:rPr>
        <w:t xml:space="preserve"> </w:t>
      </w:r>
      <w:r w:rsidRPr="0080157B">
        <w:rPr>
          <w:rFonts w:ascii="Times New Roman"/>
        </w:rPr>
        <w:t>hours</w:t>
      </w:r>
    </w:p>
    <w:p w:rsidR="00606D2D" w:rsidRPr="0080157B" w:rsidRDefault="009224E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152B7B">
        <w:rPr>
          <w:rFonts w:ascii="Times New Roman"/>
        </w:rPr>
        <w:t>170,422</w:t>
      </w:r>
      <w:r w:rsidR="00606D2D" w:rsidRPr="0080157B">
        <w:rPr>
          <w:rFonts w:ascii="Times New Roman"/>
        </w:rPr>
        <w:t xml:space="preserve"> hours × $</w:t>
      </w:r>
      <w:r w:rsidR="00606D2D">
        <w:rPr>
          <w:rFonts w:ascii="Times New Roman"/>
        </w:rPr>
        <w:t>32.13</w:t>
      </w:r>
      <w:r w:rsidR="00606D2D" w:rsidRPr="0080157B">
        <w:rPr>
          <w:rFonts w:ascii="Times New Roman"/>
        </w:rPr>
        <w:t xml:space="preserve"> = $</w:t>
      </w:r>
      <w:r w:rsidR="00152B7B">
        <w:rPr>
          <w:rFonts w:ascii="Times New Roman"/>
        </w:rPr>
        <w:t>5,475,659</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Periodic monitoring is also required whenever there is a production, process, control, or personnel change that may result in new or additional exposures to lead. OSHA has not included any burden estimate for such additional monitoring since it is likely that the estimates given for periodic monitoring above are too high because they do not take into consideration whether employers have reduced some </w:t>
      </w:r>
      <w:r>
        <w:rPr>
          <w:rFonts w:ascii="Times New Roman"/>
        </w:rPr>
        <w:t>worker</w:t>
      </w:r>
      <w:r w:rsidRPr="0080157B">
        <w:rPr>
          <w:rFonts w:ascii="Times New Roman"/>
        </w:rPr>
        <w:t xml:space="preserve"> exposures to below the action level since 1978, so that they could discontinue periodic monitoring. The hours estimated above represent total periodic and additional monitoring burdens.</w:t>
      </w:r>
    </w:p>
    <w:p w:rsidR="00606D2D" w:rsidRPr="0080157B" w:rsidRDefault="00606D2D" w:rsidP="00606D2D">
      <w:pPr>
        <w:widowControl/>
        <w:rPr>
          <w:rFonts w:ascii="Times New Roman"/>
        </w:rPr>
      </w:pPr>
    </w:p>
    <w:p w:rsidR="00606D2D" w:rsidRPr="0080157B" w:rsidRDefault="00606D2D" w:rsidP="0054277E">
      <w:pPr>
        <w:widowControl/>
        <w:autoSpaceDE/>
        <w:autoSpaceDN/>
        <w:adjustRightInd/>
        <w:rPr>
          <w:rFonts w:ascii="Times New Roman"/>
        </w:rPr>
      </w:pPr>
      <w:r w:rsidRPr="0080157B">
        <w:rPr>
          <w:rFonts w:ascii="Times New Roman"/>
          <w:u w:val="single"/>
        </w:rPr>
        <w:t>Employee Notification of Monitoring Results</w:t>
      </w:r>
      <w:r w:rsidRPr="0080157B">
        <w:rPr>
          <w:rFonts w:ascii="Times New Roman"/>
        </w:rPr>
        <w:t xml:space="preserve"> </w:t>
      </w:r>
    </w:p>
    <w:p w:rsidR="00606D2D" w:rsidRPr="00956D56" w:rsidRDefault="00606D2D" w:rsidP="00606D2D">
      <w:pPr>
        <w:widowControl/>
        <w:rPr>
          <w:rFonts w:ascii="Times New Roman"/>
          <w:sz w:val="22"/>
          <w:szCs w:val="22"/>
        </w:rPr>
      </w:pPr>
    </w:p>
    <w:p w:rsidR="00606D2D" w:rsidRPr="0080157B" w:rsidRDefault="00606D2D" w:rsidP="00606D2D">
      <w:pPr>
        <w:widowControl/>
        <w:rPr>
          <w:rFonts w:ascii="Times New Roman"/>
        </w:rPr>
      </w:pPr>
      <w:r w:rsidRPr="0080157B">
        <w:rPr>
          <w:rFonts w:ascii="Times New Roman"/>
        </w:rPr>
        <w:t xml:space="preserve">The standard requires that employers notify workers of monitoring results, individually in writing or by posting the results, within 15 working days of the employer's receipt of the results. A clerk takes 5 minutes (.08 hour) to notify workers of their exposure-monitoring results. OSHA assumes </w:t>
      </w:r>
      <w:r w:rsidR="00152B7B">
        <w:rPr>
          <w:rFonts w:ascii="Times New Roman"/>
        </w:rPr>
        <w:t>56,947</w:t>
      </w:r>
      <w:r w:rsidRPr="0080157B">
        <w:rPr>
          <w:rFonts w:ascii="Times New Roman"/>
        </w:rPr>
        <w:t xml:space="preserve"> </w:t>
      </w:r>
      <w:r w:rsidR="00875785">
        <w:rPr>
          <w:rFonts w:ascii="Times New Roman"/>
        </w:rPr>
        <w:t xml:space="preserve">existing </w:t>
      </w:r>
      <w:r w:rsidRPr="0080157B">
        <w:rPr>
          <w:rFonts w:ascii="Times New Roman"/>
        </w:rPr>
        <w:t>employers conduct periodic semiannual monitoring, taking 5 minutes (.08 hour) to post the results.</w:t>
      </w:r>
      <w:r w:rsidR="00875785">
        <w:rPr>
          <w:rFonts w:ascii="Times New Roman"/>
        </w:rPr>
        <w:t xml:space="preserve">  OSHA also estimates that 2 new employers will conduct initial monitoring, taking 5 minutes to post the results.</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bCs/>
        </w:rPr>
      </w:pPr>
      <w:r w:rsidRPr="0080157B">
        <w:rPr>
          <w:rFonts w:ascii="Times New Roman"/>
          <w:b/>
          <w:bCs/>
        </w:rPr>
        <w:t>Burden hours:</w:t>
      </w:r>
      <w:r w:rsidRPr="0080157B">
        <w:rPr>
          <w:rFonts w:ascii="Times New Roman"/>
          <w:b/>
          <w:bCs/>
        </w:rPr>
        <w:tab/>
      </w:r>
      <w:r w:rsidRPr="0080157B">
        <w:rPr>
          <w:rFonts w:ascii="Times New Roman"/>
          <w:bCs/>
        </w:rPr>
        <w:t>(</w:t>
      </w:r>
      <w:r w:rsidR="00152B7B">
        <w:rPr>
          <w:rFonts w:ascii="Times New Roman"/>
          <w:bCs/>
        </w:rPr>
        <w:t>56,947</w:t>
      </w:r>
      <w:r w:rsidRPr="0080157B">
        <w:rPr>
          <w:rFonts w:ascii="Times New Roman"/>
          <w:bCs/>
        </w:rPr>
        <w:t xml:space="preserve"> employers) × 2 (semiannual)) × .08 hour = </w:t>
      </w:r>
      <w:r w:rsidR="009538AD">
        <w:rPr>
          <w:rFonts w:ascii="Times New Roman"/>
          <w:bCs/>
        </w:rPr>
        <w:t>9,112</w:t>
      </w:r>
      <w:r w:rsidRPr="0080157B">
        <w:rPr>
          <w:rFonts w:ascii="Times New Roman"/>
          <w:bCs/>
        </w:rPr>
        <w:t xml:space="preserve"> hours</w:t>
      </w:r>
    </w:p>
    <w:p w:rsidR="00606D2D" w:rsidRPr="0080157B" w:rsidRDefault="00B24363" w:rsidP="0071495F">
      <w:pPr>
        <w:widowControl/>
        <w:ind w:left="720" w:firstLine="720"/>
        <w:rPr>
          <w:rFonts w:ascii="Times New Roman"/>
          <w:bCs/>
        </w:rPr>
      </w:pPr>
      <w:r>
        <w:rPr>
          <w:rFonts w:ascii="Times New Roman"/>
          <w:b/>
          <w:bCs/>
        </w:rPr>
        <w:t xml:space="preserve">  </w:t>
      </w:r>
      <w:r w:rsidR="00606D2D" w:rsidRPr="0080157B">
        <w:rPr>
          <w:rFonts w:ascii="Times New Roman"/>
          <w:b/>
          <w:bCs/>
        </w:rPr>
        <w:t>Costs:</w:t>
      </w:r>
      <w:r w:rsidR="00606D2D" w:rsidRPr="0080157B">
        <w:rPr>
          <w:rFonts w:ascii="Times New Roman"/>
          <w:bCs/>
        </w:rPr>
        <w:tab/>
      </w:r>
      <w:r w:rsidR="009538AD">
        <w:rPr>
          <w:rFonts w:ascii="Times New Roman"/>
          <w:bCs/>
        </w:rPr>
        <w:t xml:space="preserve">9,112 </w:t>
      </w:r>
      <w:r w:rsidR="00606D2D" w:rsidRPr="0080157B">
        <w:rPr>
          <w:rFonts w:ascii="Times New Roman"/>
          <w:bCs/>
        </w:rPr>
        <w:t>hours × $</w:t>
      </w:r>
      <w:r w:rsidR="00606D2D">
        <w:rPr>
          <w:rFonts w:ascii="Times New Roman"/>
          <w:bCs/>
        </w:rPr>
        <w:t>22.82</w:t>
      </w:r>
      <w:r w:rsidR="00606D2D" w:rsidRPr="0080157B">
        <w:rPr>
          <w:rFonts w:ascii="Times New Roman"/>
          <w:bCs/>
        </w:rPr>
        <w:t xml:space="preserve"> = $</w:t>
      </w:r>
      <w:r w:rsidR="009538AD">
        <w:rPr>
          <w:rFonts w:ascii="Times New Roman"/>
          <w:bCs/>
        </w:rPr>
        <w:t>207,936</w:t>
      </w:r>
    </w:p>
    <w:p w:rsidR="00606D2D" w:rsidRPr="0080157B" w:rsidRDefault="00606D2D" w:rsidP="00606D2D">
      <w:pPr>
        <w:widowControl/>
        <w:rPr>
          <w:rFonts w:ascii="Times New Roman"/>
          <w:bCs/>
        </w:rPr>
      </w:pPr>
    </w:p>
    <w:p w:rsidR="00875785" w:rsidRPr="0080157B" w:rsidRDefault="00875785" w:rsidP="00875785">
      <w:pPr>
        <w:widowControl/>
        <w:ind w:firstLine="720"/>
        <w:rPr>
          <w:rFonts w:ascii="Times New Roman"/>
          <w:bCs/>
        </w:rPr>
      </w:pPr>
      <w:r w:rsidRPr="0080157B">
        <w:rPr>
          <w:rFonts w:ascii="Times New Roman"/>
          <w:b/>
          <w:bCs/>
        </w:rPr>
        <w:t>Burden hours:</w:t>
      </w:r>
      <w:r w:rsidRPr="0080157B">
        <w:rPr>
          <w:rFonts w:ascii="Times New Roman"/>
          <w:b/>
          <w:bCs/>
        </w:rPr>
        <w:tab/>
      </w:r>
      <w:r>
        <w:rPr>
          <w:rFonts w:ascii="Times New Roman"/>
          <w:bCs/>
        </w:rPr>
        <w:t xml:space="preserve">2 new </w:t>
      </w:r>
      <w:r w:rsidRPr="0080157B">
        <w:rPr>
          <w:rFonts w:ascii="Times New Roman"/>
          <w:bCs/>
        </w:rPr>
        <w:t xml:space="preserve">employers × </w:t>
      </w:r>
      <w:r>
        <w:rPr>
          <w:rFonts w:ascii="Times New Roman"/>
          <w:bCs/>
        </w:rPr>
        <w:t xml:space="preserve">1 initial monitoring </w:t>
      </w:r>
      <w:r w:rsidRPr="0080157B">
        <w:rPr>
          <w:rFonts w:ascii="Times New Roman"/>
          <w:bCs/>
        </w:rPr>
        <w:t xml:space="preserve">× .08 hour = </w:t>
      </w:r>
      <w:r>
        <w:rPr>
          <w:rFonts w:ascii="Times New Roman"/>
          <w:bCs/>
        </w:rPr>
        <w:t xml:space="preserve">.16 </w:t>
      </w:r>
      <w:r w:rsidRPr="0080157B">
        <w:rPr>
          <w:rFonts w:ascii="Times New Roman"/>
          <w:bCs/>
        </w:rPr>
        <w:t>hours</w:t>
      </w:r>
      <w:r w:rsidR="00A54080">
        <w:rPr>
          <w:rFonts w:ascii="Times New Roman"/>
          <w:bCs/>
        </w:rPr>
        <w:t xml:space="preserve">     (rounded to 1 hour)</w:t>
      </w:r>
    </w:p>
    <w:p w:rsidR="00875785" w:rsidRPr="0080157B" w:rsidRDefault="00875785" w:rsidP="00875785">
      <w:pPr>
        <w:widowControl/>
        <w:ind w:left="720" w:firstLine="720"/>
        <w:rPr>
          <w:rFonts w:ascii="Times New Roman"/>
          <w:bCs/>
        </w:rPr>
      </w:pPr>
      <w:r>
        <w:rPr>
          <w:rFonts w:ascii="Times New Roman"/>
          <w:b/>
          <w:bCs/>
        </w:rPr>
        <w:t xml:space="preserve">  </w:t>
      </w:r>
      <w:r w:rsidRPr="0080157B">
        <w:rPr>
          <w:rFonts w:ascii="Times New Roman"/>
          <w:b/>
          <w:bCs/>
        </w:rPr>
        <w:t>Costs:</w:t>
      </w:r>
      <w:r w:rsidRPr="0080157B">
        <w:rPr>
          <w:rFonts w:ascii="Times New Roman"/>
          <w:bCs/>
        </w:rPr>
        <w:tab/>
      </w:r>
      <w:r w:rsidR="00A54080">
        <w:rPr>
          <w:rFonts w:ascii="Times New Roman"/>
          <w:bCs/>
        </w:rPr>
        <w:t>1</w:t>
      </w:r>
      <w:r>
        <w:rPr>
          <w:rFonts w:ascii="Times New Roman"/>
          <w:bCs/>
        </w:rPr>
        <w:t xml:space="preserve"> </w:t>
      </w:r>
      <w:r w:rsidRPr="0080157B">
        <w:rPr>
          <w:rFonts w:ascii="Times New Roman"/>
          <w:bCs/>
        </w:rPr>
        <w:t>hour × $</w:t>
      </w:r>
      <w:r>
        <w:rPr>
          <w:rFonts w:ascii="Times New Roman"/>
          <w:bCs/>
        </w:rPr>
        <w:t>22.82</w:t>
      </w:r>
      <w:r w:rsidRPr="0080157B">
        <w:rPr>
          <w:rFonts w:ascii="Times New Roman"/>
          <w:bCs/>
        </w:rPr>
        <w:t xml:space="preserve"> = $</w:t>
      </w:r>
      <w:r w:rsidR="00A54080">
        <w:rPr>
          <w:rFonts w:ascii="Times New Roman"/>
          <w:bCs/>
        </w:rPr>
        <w:t>22.82</w:t>
      </w:r>
    </w:p>
    <w:p w:rsidR="00875785" w:rsidRDefault="00875785" w:rsidP="00530278">
      <w:pPr>
        <w:widowControl/>
        <w:rPr>
          <w:rFonts w:ascii="Times New Roman"/>
          <w:b/>
          <w:bCs/>
        </w:rPr>
      </w:pPr>
    </w:p>
    <w:p w:rsidR="00A54080" w:rsidRPr="00A54080" w:rsidRDefault="00A54080" w:rsidP="00530278">
      <w:pPr>
        <w:widowControl/>
        <w:rPr>
          <w:rFonts w:ascii="Times New Roman"/>
          <w:bCs/>
        </w:rPr>
      </w:pPr>
      <w:r>
        <w:rPr>
          <w:rFonts w:ascii="Times New Roman"/>
          <w:bCs/>
        </w:rPr>
        <w:t>Therefore, the burden hour total for employee notification of monitoring results is 9,113 and the total cost is $207,959.</w:t>
      </w:r>
    </w:p>
    <w:p w:rsidR="00875785" w:rsidRDefault="00875785" w:rsidP="00530278">
      <w:pPr>
        <w:widowControl/>
        <w:rPr>
          <w:rFonts w:ascii="Times New Roman"/>
          <w:b/>
          <w:bCs/>
        </w:rPr>
      </w:pPr>
    </w:p>
    <w:p w:rsidR="00606D2D" w:rsidRPr="0080157B" w:rsidRDefault="00606D2D" w:rsidP="00530278">
      <w:pPr>
        <w:widowControl/>
        <w:rPr>
          <w:rFonts w:ascii="Times New Roman"/>
          <w:bCs/>
        </w:rPr>
      </w:pPr>
      <w:r w:rsidRPr="0080157B">
        <w:rPr>
          <w:rFonts w:ascii="Times New Roman"/>
          <w:b/>
          <w:bCs/>
        </w:rPr>
        <w:t>Written Compliance Program</w:t>
      </w:r>
      <w:r w:rsidRPr="0080157B">
        <w:rPr>
          <w:rFonts w:ascii="Times New Roman"/>
        </w:rPr>
        <w:t xml:space="preserve"> </w:t>
      </w:r>
      <w:r w:rsidRPr="0080157B">
        <w:rPr>
          <w:rFonts w:ascii="Times New Roman"/>
          <w:b/>
          <w:bCs/>
        </w:rPr>
        <w:t>(§ 1910.1025 (e))</w:t>
      </w:r>
    </w:p>
    <w:p w:rsidR="00606D2D" w:rsidRPr="0080157B" w:rsidRDefault="00606D2D" w:rsidP="00606D2D">
      <w:pPr>
        <w:widowControl/>
        <w:rPr>
          <w:rFonts w:ascii="Times New Roman"/>
          <w:bCs/>
        </w:rPr>
      </w:pPr>
    </w:p>
    <w:p w:rsidR="00606D2D" w:rsidRPr="0080157B" w:rsidRDefault="00606D2D" w:rsidP="00606D2D">
      <w:pPr>
        <w:widowControl/>
        <w:rPr>
          <w:rFonts w:ascii="Times New Roman"/>
          <w:bCs/>
        </w:rPr>
      </w:pPr>
      <w:r w:rsidRPr="0080157B">
        <w:rPr>
          <w:rFonts w:ascii="Times New Roman"/>
        </w:rPr>
        <w:t xml:space="preserve">The standard requires that each employer establish and implement a written compliance program to reduce </w:t>
      </w:r>
      <w:r>
        <w:rPr>
          <w:rFonts w:ascii="Times New Roman"/>
        </w:rPr>
        <w:t>worker</w:t>
      </w:r>
      <w:r w:rsidRPr="0080157B">
        <w:rPr>
          <w:rFonts w:ascii="Times New Roman"/>
        </w:rPr>
        <w:t xml:space="preserve"> exposures to or below the PEL (and interim levels, if applicable) solely by means of engineering and work practice controls. Such plans must be revised and updated annually to reflect the current status of the program until all </w:t>
      </w:r>
      <w:r>
        <w:rPr>
          <w:rFonts w:ascii="Times New Roman"/>
        </w:rPr>
        <w:t>worker</w:t>
      </w:r>
      <w:r w:rsidRPr="0080157B">
        <w:rPr>
          <w:rFonts w:ascii="Times New Roman"/>
        </w:rPr>
        <w:t xml:space="preserve"> exposures are reduced to or below the PEL solely by engineering and work practice control methods. The standard required that compliance with this provision be achieved no later than </w:t>
      </w:r>
      <w:r w:rsidR="00BB4935">
        <w:rPr>
          <w:rFonts w:ascii="Times New Roman"/>
        </w:rPr>
        <w:t xml:space="preserve">the compliance dates in the </w:t>
      </w:r>
      <w:r w:rsidR="00BB4935">
        <w:rPr>
          <w:rFonts w:ascii="Times New Roman"/>
        </w:rPr>
        <w:lastRenderedPageBreak/>
        <w:t>implementation table</w:t>
      </w:r>
      <w:r w:rsidR="00560CF0">
        <w:rPr>
          <w:rFonts w:ascii="Times New Roman"/>
        </w:rPr>
        <w:t xml:space="preserve"> (</w:t>
      </w:r>
      <w:r w:rsidR="00BB4935">
        <w:rPr>
          <w:rFonts w:ascii="Times New Roman"/>
        </w:rPr>
        <w:t>199</w:t>
      </w:r>
      <w:r w:rsidR="00560CF0">
        <w:rPr>
          <w:rFonts w:ascii="Times New Roman"/>
        </w:rPr>
        <w:t>6 or earlier, depending on the industry)</w:t>
      </w:r>
      <w:r w:rsidRPr="0080157B">
        <w:rPr>
          <w:rFonts w:ascii="Times New Roman"/>
        </w:rPr>
        <w:t>.</w:t>
      </w:r>
      <w:r w:rsidR="00D15FE6">
        <w:rPr>
          <w:rFonts w:ascii="Times New Roman"/>
        </w:rPr>
        <w:t xml:space="preserve">  </w:t>
      </w:r>
      <w:r w:rsidRPr="0080157B">
        <w:rPr>
          <w:rFonts w:ascii="Times New Roman"/>
        </w:rPr>
        <w:t xml:space="preserve">Therefore, all firms that were in existence prior to </w:t>
      </w:r>
      <w:r w:rsidR="00BB4935">
        <w:rPr>
          <w:rFonts w:ascii="Times New Roman"/>
        </w:rPr>
        <w:t>1996</w:t>
      </w:r>
      <w:r w:rsidR="006D7046">
        <w:rPr>
          <w:rFonts w:ascii="Times New Roman"/>
        </w:rPr>
        <w:t xml:space="preserve"> </w:t>
      </w:r>
      <w:r w:rsidRPr="0080157B">
        <w:rPr>
          <w:rFonts w:ascii="Times New Roman"/>
        </w:rPr>
        <w:t xml:space="preserve">have already prepared their written plans. </w:t>
      </w:r>
      <w:r w:rsidR="00D15FE6">
        <w:rPr>
          <w:rFonts w:ascii="Times New Roman"/>
        </w:rPr>
        <w:t xml:space="preserve">New firms started after these compliance dates may not expose their employees to lead levels in excess of the PEL. </w:t>
      </w:r>
      <w:r w:rsidR="00D15FE6" w:rsidRPr="0080157B">
        <w:rPr>
          <w:rFonts w:ascii="Times New Roman"/>
        </w:rPr>
        <w:t xml:space="preserve"> </w:t>
      </w:r>
      <w:r w:rsidRPr="0080157B">
        <w:rPr>
          <w:rFonts w:ascii="Times New Roman"/>
        </w:rPr>
        <w:t xml:space="preserve">For purposes of this ICR, new firms are assumed to have </w:t>
      </w:r>
      <w:r>
        <w:rPr>
          <w:rFonts w:ascii="Times New Roman"/>
        </w:rPr>
        <w:t>worker</w:t>
      </w:r>
      <w:r w:rsidRPr="0080157B">
        <w:rPr>
          <w:rFonts w:ascii="Times New Roman"/>
        </w:rPr>
        <w:t xml:space="preserve"> lead exposure levels below the PEL; therefore, new firms are not required to develop compliance plans. In addition, existing firms that have successfully reduced </w:t>
      </w:r>
      <w:r>
        <w:rPr>
          <w:rFonts w:ascii="Times New Roman"/>
        </w:rPr>
        <w:t>worker</w:t>
      </w:r>
      <w:r w:rsidRPr="0080157B">
        <w:rPr>
          <w:rFonts w:ascii="Times New Roman"/>
        </w:rPr>
        <w:t xml:space="preserve"> exposure below the PEL are not required to </w:t>
      </w:r>
      <w:r w:rsidR="0026249C">
        <w:rPr>
          <w:rFonts w:ascii="Times New Roman"/>
        </w:rPr>
        <w:t xml:space="preserve">maintain </w:t>
      </w:r>
      <w:r w:rsidRPr="0080157B">
        <w:rPr>
          <w:rFonts w:ascii="Times New Roman"/>
        </w:rPr>
        <w:t>their written compliance plans.</w:t>
      </w:r>
    </w:p>
    <w:p w:rsidR="002D75F2" w:rsidRPr="0080157B" w:rsidRDefault="002D75F2" w:rsidP="00606D2D">
      <w:pPr>
        <w:widowControl/>
        <w:rPr>
          <w:rFonts w:ascii="Times New Roman"/>
          <w:bCs/>
        </w:rPr>
      </w:pPr>
    </w:p>
    <w:p w:rsidR="00606D2D" w:rsidRPr="0080157B" w:rsidRDefault="00606D2D" w:rsidP="00606D2D">
      <w:pPr>
        <w:widowControl/>
        <w:rPr>
          <w:rFonts w:ascii="Times New Roman"/>
        </w:rPr>
      </w:pPr>
      <w:r w:rsidRPr="0080157B">
        <w:rPr>
          <w:rFonts w:ascii="Times New Roman"/>
          <w:b/>
          <w:bCs/>
        </w:rPr>
        <w:t>Administrative Controls</w:t>
      </w:r>
      <w:r w:rsidRPr="0080157B">
        <w:rPr>
          <w:rFonts w:ascii="Times New Roman"/>
        </w:rPr>
        <w:t xml:space="preserve"> </w:t>
      </w:r>
      <w:r w:rsidRPr="0080157B">
        <w:rPr>
          <w:rFonts w:ascii="Times New Roman"/>
          <w:b/>
          <w:bCs/>
        </w:rPr>
        <w:t>(§ 1910.1025 (e</w:t>
      </w:r>
      <w:proofErr w:type="gramStart"/>
      <w:r w:rsidRPr="0080157B">
        <w:rPr>
          <w:rFonts w:ascii="Times New Roman"/>
          <w:b/>
          <w:bCs/>
        </w:rPr>
        <w:t>)(</w:t>
      </w:r>
      <w:proofErr w:type="gramEnd"/>
      <w:r w:rsidRPr="0080157B">
        <w:rPr>
          <w:rFonts w:ascii="Times New Roman"/>
          <w:b/>
          <w:bCs/>
        </w:rPr>
        <w:t>6))</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Although the standard permits the use of </w:t>
      </w:r>
      <w:r>
        <w:rPr>
          <w:rFonts w:ascii="Times New Roman"/>
        </w:rPr>
        <w:t>worker</w:t>
      </w:r>
      <w:r w:rsidRPr="0080157B">
        <w:rPr>
          <w:rFonts w:ascii="Times New Roman"/>
        </w:rPr>
        <w:t xml:space="preserve"> rotation to control exposure to lead, OSHA assumes that the establishment and implementation of such job rotation schedules are not widely used because of the administrative difficulties inherent in such a practice. There may be some operations where such practice is feasible; however, OSHA has no indication of the number of employers or </w:t>
      </w:r>
      <w:r>
        <w:rPr>
          <w:rFonts w:ascii="Times New Roman"/>
        </w:rPr>
        <w:t>worker</w:t>
      </w:r>
      <w:r w:rsidRPr="0080157B">
        <w:rPr>
          <w:rFonts w:ascii="Times New Roman"/>
        </w:rPr>
        <w:t>s who will be involved. OSHA has, therefore, included one hour of supervisory time as the burden of this requirement at a cost of $</w:t>
      </w:r>
      <w:r>
        <w:rPr>
          <w:rFonts w:ascii="Times New Roman"/>
        </w:rPr>
        <w:t>53</w:t>
      </w:r>
      <w:r w:rsidRPr="0080157B">
        <w:rPr>
          <w:rFonts w:ascii="Times New Roman"/>
        </w:rPr>
        <w:t>.</w:t>
      </w:r>
    </w:p>
    <w:p w:rsidR="00606D2D" w:rsidRPr="0080157B" w:rsidRDefault="00606D2D" w:rsidP="00606D2D">
      <w:pPr>
        <w:widowControl/>
        <w:rPr>
          <w:rFonts w:ascii="Times New Roman"/>
        </w:rPr>
      </w:pPr>
    </w:p>
    <w:p w:rsidR="00606D2D" w:rsidRPr="0080157B" w:rsidRDefault="00606D2D" w:rsidP="00606D2D">
      <w:pPr>
        <w:widowControl/>
        <w:rPr>
          <w:rFonts w:ascii="Times New Roman"/>
          <w:bCs/>
        </w:rPr>
      </w:pPr>
      <w:r w:rsidRPr="0080157B">
        <w:rPr>
          <w:rFonts w:ascii="Times New Roman"/>
          <w:b/>
          <w:bCs/>
        </w:rPr>
        <w:t>Respiratory Protection (§ 1910.1025(f</w:t>
      </w:r>
      <w:proofErr w:type="gramStart"/>
      <w:r w:rsidRPr="0080157B">
        <w:rPr>
          <w:rFonts w:ascii="Times New Roman"/>
          <w:b/>
          <w:bCs/>
        </w:rPr>
        <w:t>)(</w:t>
      </w:r>
      <w:proofErr w:type="gramEnd"/>
      <w:r w:rsidRPr="0080157B">
        <w:rPr>
          <w:rFonts w:ascii="Times New Roman"/>
          <w:b/>
          <w:bCs/>
        </w:rPr>
        <w:t>2))</w:t>
      </w:r>
    </w:p>
    <w:p w:rsidR="00606D2D" w:rsidRPr="0080157B" w:rsidRDefault="00606D2D" w:rsidP="00606D2D">
      <w:pPr>
        <w:widowControl/>
        <w:rPr>
          <w:rFonts w:ascii="Times New Roman"/>
          <w:bCs/>
        </w:rPr>
      </w:pPr>
    </w:p>
    <w:p w:rsidR="00606D2D" w:rsidRPr="0080157B" w:rsidRDefault="00606D2D" w:rsidP="00606D2D">
      <w:pPr>
        <w:widowControl/>
        <w:rPr>
          <w:rFonts w:ascii="Times New Roman"/>
        </w:rPr>
      </w:pPr>
      <w:r w:rsidRPr="0080157B">
        <w:rPr>
          <w:rFonts w:ascii="Times New Roman"/>
        </w:rPr>
        <w:t xml:space="preserve">The standard requires the employer to institute a respiratory protection program in accordance with 29 CFR 1910.134. No burden is taken for this requirement. The burden is taken in the Respiratory </w:t>
      </w:r>
      <w:r w:rsidR="00894766">
        <w:rPr>
          <w:rFonts w:ascii="Times New Roman"/>
        </w:rPr>
        <w:t>P</w:t>
      </w:r>
      <w:r w:rsidRPr="0080157B">
        <w:rPr>
          <w:rFonts w:ascii="Times New Roman"/>
        </w:rPr>
        <w:t>rotection paperwork package for §1910.134 (OMB Control Number 1218-0099).</w:t>
      </w:r>
    </w:p>
    <w:p w:rsidR="00606D2D" w:rsidRPr="0080157B" w:rsidRDefault="00606D2D" w:rsidP="00606D2D">
      <w:pPr>
        <w:widowControl/>
        <w:rPr>
          <w:rFonts w:ascii="Times New Roman"/>
        </w:rPr>
      </w:pPr>
    </w:p>
    <w:p w:rsidR="00606D2D" w:rsidRPr="0080157B" w:rsidRDefault="00606D2D" w:rsidP="0054277E">
      <w:pPr>
        <w:widowControl/>
        <w:autoSpaceDE/>
        <w:autoSpaceDN/>
        <w:adjustRightInd/>
        <w:rPr>
          <w:rFonts w:ascii="Times New Roman"/>
        </w:rPr>
      </w:pPr>
      <w:r w:rsidRPr="0080157B">
        <w:rPr>
          <w:rFonts w:ascii="Times New Roman"/>
          <w:b/>
          <w:bCs/>
        </w:rPr>
        <w:t>Notifying the Laundry</w:t>
      </w:r>
      <w:r w:rsidRPr="0080157B">
        <w:rPr>
          <w:rFonts w:ascii="Times New Roman"/>
        </w:rPr>
        <w:t xml:space="preserve"> </w:t>
      </w:r>
      <w:r w:rsidRPr="0080157B">
        <w:rPr>
          <w:rFonts w:ascii="Times New Roman"/>
          <w:b/>
          <w:bCs/>
        </w:rPr>
        <w:t>(§ 1910.1025 (g</w:t>
      </w:r>
      <w:proofErr w:type="gramStart"/>
      <w:r w:rsidRPr="0080157B">
        <w:rPr>
          <w:rFonts w:ascii="Times New Roman"/>
          <w:b/>
          <w:bCs/>
        </w:rPr>
        <w:t>)(</w:t>
      </w:r>
      <w:proofErr w:type="gramEnd"/>
      <w:r w:rsidRPr="0080157B">
        <w:rPr>
          <w:rFonts w:ascii="Times New Roman"/>
          <w:b/>
          <w:bCs/>
        </w:rPr>
        <w:t>vi))</w:t>
      </w:r>
      <w:r w:rsidR="00894766">
        <w:rPr>
          <w:rFonts w:ascii="Times New Roman"/>
          <w:b/>
          <w:bCs/>
        </w:rPr>
        <w:t xml:space="preserve"> </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This ICR assumes no employers have </w:t>
      </w:r>
      <w:r>
        <w:rPr>
          <w:rFonts w:ascii="Times New Roman"/>
        </w:rPr>
        <w:t>worker</w:t>
      </w:r>
      <w:r w:rsidRPr="0080157B">
        <w:rPr>
          <w:rFonts w:ascii="Times New Roman"/>
        </w:rPr>
        <w:t>s exposed over the PEL; therefore there are no burden hours and no costs associated with this provision.</w:t>
      </w:r>
    </w:p>
    <w:p w:rsidR="00606D2D" w:rsidRDefault="00606D2D" w:rsidP="00606D2D">
      <w:pPr>
        <w:widowControl/>
        <w:rPr>
          <w:rFonts w:ascii="Times New Roman"/>
        </w:rPr>
      </w:pPr>
    </w:p>
    <w:p w:rsidR="00894766" w:rsidRP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r w:rsidRPr="00894766">
        <w:rPr>
          <w:rFonts w:ascii="Times New Roman"/>
          <w:b/>
        </w:rPr>
        <w:t xml:space="preserve">Labeling of Contaminated Protective Clothing and Equipment </w:t>
      </w:r>
      <w:r w:rsidRPr="00894766">
        <w:rPr>
          <w:rFonts w:ascii="Times New Roman"/>
          <w:b/>
          <w:bCs/>
        </w:rPr>
        <w:t>(§ 1910.1025(g</w:t>
      </w:r>
      <w:proofErr w:type="gramStart"/>
      <w:r w:rsidRPr="00894766">
        <w:rPr>
          <w:rFonts w:ascii="Times New Roman"/>
          <w:b/>
          <w:bCs/>
        </w:rPr>
        <w:t>)(</w:t>
      </w:r>
      <w:proofErr w:type="gramEnd"/>
      <w:r w:rsidRPr="00894766">
        <w:rPr>
          <w:rFonts w:ascii="Times New Roman"/>
          <w:b/>
          <w:bCs/>
        </w:rPr>
        <w:t>2)(vii))</w:t>
      </w:r>
    </w:p>
    <w:p w:rsidR="00894766" w:rsidRDefault="00894766" w:rsidP="0089476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894766" w:rsidRPr="0036475A" w:rsidRDefault="00894766" w:rsidP="00530278">
      <w:pPr>
        <w:widowControl/>
        <w:autoSpaceDE/>
        <w:autoSpaceDN/>
        <w:adjustRightInd/>
        <w:rPr>
          <w:rFonts w:ascii="Times New Roman"/>
        </w:rPr>
      </w:pPr>
      <w:r w:rsidRPr="0036475A">
        <w:rPr>
          <w:rFonts w:ascii="Times New Roman" w:eastAsia="Times New Roman" w:cs="Melior"/>
        </w:rPr>
        <w:t>Since this provision provides specific language for labels of contaminated protective clothing and equipment, the Agency is exempted from taking burden hours and costs for these provisions. (</w:t>
      </w:r>
      <w:r w:rsidRPr="0036475A">
        <w:rPr>
          <w:rFonts w:ascii="Times New Roman" w:eastAsia="Times New Roman" w:cs="Melior-Italic"/>
          <w:i/>
          <w:iCs/>
        </w:rPr>
        <w:t xml:space="preserve">See </w:t>
      </w:r>
      <w:r w:rsidRPr="0036475A">
        <w:rPr>
          <w:rFonts w:ascii="Times New Roman" w:eastAsia="Times New Roman" w:cs="Melior"/>
        </w:rPr>
        <w:t>5 CFR 1320.2(c</w:t>
      </w:r>
      <w:proofErr w:type="gramStart"/>
      <w:r w:rsidRPr="0036475A">
        <w:rPr>
          <w:rFonts w:ascii="Times New Roman" w:eastAsia="Times New Roman" w:cs="Melior"/>
        </w:rPr>
        <w:t>)(</w:t>
      </w:r>
      <w:proofErr w:type="gramEnd"/>
      <w:r w:rsidRPr="0036475A">
        <w:rPr>
          <w:rFonts w:ascii="Times New Roman" w:eastAsia="Times New Roman" w:cs="Melior"/>
        </w:rPr>
        <w:t>2) (‘‘Controlling paperwork burden on the public’’)).</w:t>
      </w:r>
      <w:r w:rsidRPr="0036475A">
        <w:rPr>
          <w:rFonts w:ascii="Times New Roman"/>
        </w:rPr>
        <w:t xml:space="preserve"> </w:t>
      </w:r>
    </w:p>
    <w:p w:rsidR="00894766" w:rsidRPr="0080157B" w:rsidRDefault="00894766" w:rsidP="00530278">
      <w:pPr>
        <w:widowControl/>
        <w:autoSpaceDE/>
        <w:autoSpaceDN/>
        <w:adjustRightInd/>
        <w:rPr>
          <w:rFonts w:ascii="Times New Roman"/>
        </w:rPr>
      </w:pPr>
    </w:p>
    <w:p w:rsidR="00894766" w:rsidRPr="00530278" w:rsidRDefault="00894766" w:rsidP="00530278">
      <w:pPr>
        <w:widowControl/>
        <w:autoSpaceDE/>
        <w:autoSpaceDN/>
        <w:adjustRightInd/>
        <w:rPr>
          <w:rFonts w:ascii="Times New Roman"/>
          <w:b/>
          <w:bCs/>
        </w:rPr>
      </w:pPr>
      <w:r w:rsidRPr="00530278">
        <w:rPr>
          <w:rFonts w:ascii="Times New Roman"/>
          <w:b/>
          <w:bCs/>
        </w:rPr>
        <w:t>Signs (§ 1910.1025(m))</w:t>
      </w:r>
    </w:p>
    <w:p w:rsidR="00530278" w:rsidRDefault="00530278" w:rsidP="00530278">
      <w:pPr>
        <w:widowControl/>
        <w:autoSpaceDE/>
        <w:autoSpaceDN/>
        <w:adjustRightInd/>
        <w:rPr>
          <w:rFonts w:ascii="Times New Roman"/>
        </w:rPr>
      </w:pPr>
    </w:p>
    <w:p w:rsidR="00894766" w:rsidRPr="00530278" w:rsidRDefault="00894766" w:rsidP="00530278">
      <w:pPr>
        <w:widowControl/>
        <w:autoSpaceDE/>
        <w:autoSpaceDN/>
        <w:adjustRightInd/>
        <w:rPr>
          <w:rFonts w:ascii="Times New Roman"/>
        </w:rPr>
      </w:pPr>
      <w:r w:rsidRPr="00530278">
        <w:rPr>
          <w:rFonts w:ascii="Times New Roman"/>
        </w:rPr>
        <w:t>This ICR assumes no employers have workers exposed over the PEL; therefore, there are no burden hours and no costs associated with this provision.  Furthermore, since this provision provides specific language for warning signs, the Agency is exempted from taking burden hours and costs for these provisions. (</w:t>
      </w:r>
      <w:r w:rsidRPr="00530278">
        <w:rPr>
          <w:rFonts w:ascii="Times New Roman"/>
          <w:i/>
          <w:iCs/>
        </w:rPr>
        <w:t xml:space="preserve">See </w:t>
      </w:r>
      <w:r w:rsidRPr="00530278">
        <w:rPr>
          <w:rFonts w:ascii="Times New Roman"/>
        </w:rPr>
        <w:t>5 CFR 1320.2(c</w:t>
      </w:r>
      <w:proofErr w:type="gramStart"/>
      <w:r w:rsidRPr="00530278">
        <w:rPr>
          <w:rFonts w:ascii="Times New Roman"/>
        </w:rPr>
        <w:t>)(</w:t>
      </w:r>
      <w:proofErr w:type="gramEnd"/>
      <w:r w:rsidRPr="00530278">
        <w:rPr>
          <w:rFonts w:ascii="Times New Roman"/>
        </w:rPr>
        <w:t>2) (‘‘Controlling paperwork burden on the public’’)).</w:t>
      </w:r>
    </w:p>
    <w:p w:rsidR="00530278" w:rsidRPr="00530278" w:rsidRDefault="00530278" w:rsidP="00530278">
      <w:pPr>
        <w:widowControl/>
        <w:autoSpaceDE/>
        <w:autoSpaceDN/>
        <w:adjustRightInd/>
        <w:rPr>
          <w:rFonts w:ascii="Times New Roman"/>
          <w:b/>
          <w:bCs/>
        </w:rPr>
      </w:pPr>
    </w:p>
    <w:p w:rsidR="00606D2D" w:rsidRPr="0080157B" w:rsidRDefault="00606D2D" w:rsidP="00530278">
      <w:pPr>
        <w:widowControl/>
        <w:autoSpaceDE/>
        <w:autoSpaceDN/>
        <w:adjustRightInd/>
        <w:rPr>
          <w:rFonts w:ascii="Times New Roman"/>
        </w:rPr>
      </w:pPr>
      <w:r w:rsidRPr="0080157B">
        <w:rPr>
          <w:rFonts w:ascii="Times New Roman"/>
          <w:b/>
          <w:bCs/>
        </w:rPr>
        <w:t>Medical Surveillance (§ 1910.1025 (j))</w:t>
      </w:r>
    </w:p>
    <w:p w:rsidR="00606D2D" w:rsidRPr="0080157B" w:rsidRDefault="00606D2D" w:rsidP="00530278">
      <w:pPr>
        <w:widowControl/>
        <w:autoSpaceDE/>
        <w:autoSpaceDN/>
        <w:adjustRightInd/>
        <w:rPr>
          <w:rFonts w:ascii="Times New Roman"/>
        </w:rPr>
      </w:pPr>
    </w:p>
    <w:p w:rsidR="00606D2D" w:rsidRPr="0080157B" w:rsidRDefault="00606D2D" w:rsidP="00530278">
      <w:pPr>
        <w:widowControl/>
        <w:autoSpaceDE/>
        <w:autoSpaceDN/>
        <w:adjustRightInd/>
        <w:rPr>
          <w:rFonts w:ascii="Times New Roman"/>
        </w:rPr>
      </w:pPr>
      <w:r w:rsidRPr="0080157B">
        <w:rPr>
          <w:rFonts w:ascii="Times New Roman"/>
        </w:rPr>
        <w:lastRenderedPageBreak/>
        <w:t xml:space="preserve">Employers must institute a medical surveillance program for all </w:t>
      </w:r>
      <w:r>
        <w:rPr>
          <w:rFonts w:ascii="Times New Roman"/>
        </w:rPr>
        <w:t>worker</w:t>
      </w:r>
      <w:r w:rsidRPr="0080157B">
        <w:rPr>
          <w:rFonts w:ascii="Times New Roman"/>
        </w:rPr>
        <w:t xml:space="preserve">s who are or may be exposed to lead </w:t>
      </w:r>
      <w:r w:rsidR="00B24363">
        <w:rPr>
          <w:rFonts w:ascii="Times New Roman"/>
        </w:rPr>
        <w:t>at or above</w:t>
      </w:r>
      <w:r w:rsidRPr="0080157B">
        <w:rPr>
          <w:rFonts w:ascii="Times New Roman"/>
        </w:rPr>
        <w:t xml:space="preserve"> the action level for more than 30 days each year. OSHA estimates that </w:t>
      </w:r>
      <w:r w:rsidR="00593411">
        <w:rPr>
          <w:rFonts w:ascii="Times New Roman"/>
        </w:rPr>
        <w:t>13,722</w:t>
      </w:r>
      <w:r w:rsidRPr="0080157B">
        <w:rPr>
          <w:rFonts w:ascii="Times New Roman"/>
        </w:rPr>
        <w:t xml:space="preserve"> </w:t>
      </w:r>
      <w:r>
        <w:rPr>
          <w:rFonts w:ascii="Times New Roman"/>
        </w:rPr>
        <w:t>worker</w:t>
      </w:r>
      <w:r w:rsidRPr="0080157B">
        <w:rPr>
          <w:rFonts w:ascii="Times New Roman"/>
        </w:rPr>
        <w:t xml:space="preserve">s in the five major industrial sectors are exposed to levels of lead </w:t>
      </w:r>
      <w:r w:rsidR="00B24363">
        <w:rPr>
          <w:rFonts w:ascii="Times New Roman"/>
        </w:rPr>
        <w:t xml:space="preserve">at or </w:t>
      </w:r>
      <w:r w:rsidRPr="0080157B">
        <w:rPr>
          <w:rFonts w:ascii="Times New Roman"/>
        </w:rPr>
        <w:t xml:space="preserve">above the action level for more than 30 days per year and </w:t>
      </w:r>
      <w:r w:rsidR="00593411">
        <w:rPr>
          <w:rFonts w:ascii="Times New Roman"/>
        </w:rPr>
        <w:t xml:space="preserve">327,121 </w:t>
      </w:r>
      <w:r>
        <w:rPr>
          <w:rFonts w:ascii="Times New Roman"/>
        </w:rPr>
        <w:t>worker</w:t>
      </w:r>
      <w:r w:rsidRPr="0080157B">
        <w:rPr>
          <w:rFonts w:ascii="Times New Roman"/>
        </w:rPr>
        <w:t>s in the miscellaneous industry sectors are assumed to be exposed at this level.</w:t>
      </w:r>
    </w:p>
    <w:p w:rsidR="00606D2D" w:rsidRPr="0080157B" w:rsidRDefault="00606D2D" w:rsidP="00530278">
      <w:pPr>
        <w:widowControl/>
        <w:autoSpaceDE/>
        <w:autoSpaceDN/>
        <w:adjustRightInd/>
        <w:rPr>
          <w:rFonts w:ascii="Times New Roman"/>
          <w:u w:val="single"/>
        </w:rPr>
      </w:pPr>
    </w:p>
    <w:p w:rsidR="00606D2D" w:rsidRPr="0080157B" w:rsidRDefault="00606D2D" w:rsidP="00530278">
      <w:pPr>
        <w:widowControl/>
        <w:autoSpaceDE/>
        <w:autoSpaceDN/>
        <w:adjustRightInd/>
        <w:rPr>
          <w:rFonts w:ascii="Times New Roman"/>
        </w:rPr>
      </w:pPr>
      <w:r w:rsidRPr="0080157B">
        <w:rPr>
          <w:rFonts w:ascii="Times New Roman"/>
          <w:u w:val="single"/>
        </w:rPr>
        <w:t>Biological Monitoring</w:t>
      </w:r>
    </w:p>
    <w:p w:rsidR="00606D2D" w:rsidRPr="0080157B" w:rsidRDefault="00606D2D" w:rsidP="00530278">
      <w:pPr>
        <w:widowControl/>
        <w:autoSpaceDE/>
        <w:autoSpaceDN/>
        <w:adjustRightInd/>
        <w:rPr>
          <w:rFonts w:ascii="Times New Roman"/>
        </w:rPr>
      </w:pPr>
    </w:p>
    <w:p w:rsidR="00606D2D" w:rsidRPr="0080157B" w:rsidRDefault="00606D2D" w:rsidP="00530278">
      <w:pPr>
        <w:widowControl/>
        <w:autoSpaceDE/>
        <w:autoSpaceDN/>
        <w:adjustRightInd/>
        <w:rPr>
          <w:rFonts w:ascii="Times New Roman"/>
        </w:rPr>
      </w:pPr>
      <w:r w:rsidRPr="0080157B">
        <w:rPr>
          <w:rFonts w:ascii="Times New Roman"/>
        </w:rPr>
        <w:t xml:space="preserve">The employer must make available biological monitoring in the form of blood sampling and analysis for lead and zinc </w:t>
      </w:r>
      <w:proofErr w:type="spellStart"/>
      <w:r w:rsidRPr="0080157B">
        <w:rPr>
          <w:rFonts w:ascii="Times New Roman"/>
        </w:rPr>
        <w:t>protoporphyrin</w:t>
      </w:r>
      <w:proofErr w:type="spellEnd"/>
      <w:r w:rsidRPr="0080157B">
        <w:rPr>
          <w:rFonts w:ascii="Times New Roman"/>
        </w:rPr>
        <w:t xml:space="preserve"> (ZPP) levels to each </w:t>
      </w:r>
      <w:r>
        <w:rPr>
          <w:rFonts w:ascii="Times New Roman"/>
        </w:rPr>
        <w:t>worker</w:t>
      </w:r>
      <w:r w:rsidRPr="0080157B">
        <w:rPr>
          <w:rFonts w:ascii="Times New Roman"/>
        </w:rPr>
        <w:t xml:space="preserve"> who may be exposed to lead </w:t>
      </w:r>
      <w:r w:rsidR="00B24363">
        <w:rPr>
          <w:rFonts w:ascii="Times New Roman"/>
        </w:rPr>
        <w:t xml:space="preserve">at or </w:t>
      </w:r>
      <w:r w:rsidRPr="0080157B">
        <w:rPr>
          <w:rFonts w:ascii="Times New Roman"/>
        </w:rPr>
        <w:t xml:space="preserve">above the action level for more than 30 days per year. Such monitoring must be made available at least every six months. OSHA assumes that all of the </w:t>
      </w:r>
      <w:r w:rsidR="00152B7B">
        <w:rPr>
          <w:rFonts w:ascii="Times New Roman"/>
        </w:rPr>
        <w:t>340,843</w:t>
      </w:r>
      <w:r w:rsidRPr="0080157B">
        <w:rPr>
          <w:rFonts w:ascii="Times New Roman"/>
        </w:rPr>
        <w:t xml:space="preserve"> </w:t>
      </w:r>
      <w:r>
        <w:rPr>
          <w:rFonts w:ascii="Times New Roman"/>
        </w:rPr>
        <w:t>worker</w:t>
      </w:r>
      <w:r w:rsidRPr="0080157B">
        <w:rPr>
          <w:rFonts w:ascii="Times New Roman"/>
        </w:rPr>
        <w:t xml:space="preserve">s exposed </w:t>
      </w:r>
      <w:r w:rsidR="00341E56">
        <w:rPr>
          <w:rFonts w:ascii="Times New Roman"/>
        </w:rPr>
        <w:t xml:space="preserve">at or </w:t>
      </w:r>
      <w:r w:rsidRPr="0080157B">
        <w:rPr>
          <w:rFonts w:ascii="Times New Roman"/>
        </w:rPr>
        <w:t xml:space="preserve">above the action level in existing industries (see Table A) require such monitoring. OSHA has estimated that blood sampling requires approximately 15 minutes (.25 hour) of the </w:t>
      </w:r>
      <w:r>
        <w:rPr>
          <w:rFonts w:ascii="Times New Roman"/>
        </w:rPr>
        <w:t>worker</w:t>
      </w:r>
      <w:r w:rsidRPr="0080157B">
        <w:rPr>
          <w:rFonts w:ascii="Times New Roman"/>
        </w:rPr>
        <w:t>'s time and of the occupational health nurse's time.</w:t>
      </w:r>
    </w:p>
    <w:p w:rsidR="00606D2D" w:rsidRPr="0080157B" w:rsidRDefault="00606D2D" w:rsidP="00530278">
      <w:pPr>
        <w:widowControl/>
        <w:autoSpaceDE/>
        <w:autoSpaceDN/>
        <w:adjustRightInd/>
        <w:rPr>
          <w:rFonts w:ascii="Times New Roman"/>
        </w:rPr>
      </w:pPr>
    </w:p>
    <w:p w:rsidR="00606D2D" w:rsidRPr="0080157B" w:rsidRDefault="00606D2D" w:rsidP="00530278">
      <w:pPr>
        <w:widowControl/>
        <w:ind w:left="2880" w:hanging="2160"/>
        <w:rPr>
          <w:rFonts w:ascii="Times New Roman"/>
        </w:rPr>
      </w:pPr>
      <w:r w:rsidRPr="0080157B">
        <w:rPr>
          <w:rFonts w:ascii="Times New Roman"/>
          <w:b/>
          <w:bCs/>
        </w:rPr>
        <w:t>Burden hours:</w:t>
      </w:r>
      <w:r w:rsidRPr="0080157B">
        <w:rPr>
          <w:rFonts w:ascii="Times New Roman"/>
        </w:rPr>
        <w:tab/>
      </w:r>
      <w:r w:rsidR="00152B7B">
        <w:rPr>
          <w:rFonts w:ascii="Times New Roman"/>
        </w:rPr>
        <w:t>340,843</w:t>
      </w:r>
      <w:r w:rsidRPr="0080157B">
        <w:rPr>
          <w:rFonts w:ascii="Times New Roman"/>
        </w:rPr>
        <w:t xml:space="preserve"> </w:t>
      </w:r>
      <w:r>
        <w:rPr>
          <w:rFonts w:ascii="Times New Roman"/>
        </w:rPr>
        <w:t>worker</w:t>
      </w:r>
      <w:r w:rsidRPr="0080157B">
        <w:rPr>
          <w:rFonts w:ascii="Times New Roman"/>
        </w:rPr>
        <w:t xml:space="preserve">s × 2 samples per year × .25 hours = </w:t>
      </w:r>
      <w:r w:rsidR="009538AD">
        <w:rPr>
          <w:rFonts w:ascii="Times New Roman"/>
        </w:rPr>
        <w:t>170,422</w:t>
      </w:r>
      <w:r w:rsidRPr="0080157B">
        <w:rPr>
          <w:rFonts w:ascii="Times New Roman"/>
        </w:rPr>
        <w:t xml:space="preserve"> hours</w:t>
      </w:r>
    </w:p>
    <w:p w:rsidR="00606D2D" w:rsidRPr="0080157B" w:rsidRDefault="00606D2D" w:rsidP="00530278">
      <w:pPr>
        <w:widowControl/>
        <w:ind w:left="720" w:firstLine="720"/>
        <w:rPr>
          <w:rFonts w:ascii="Times New Roman"/>
        </w:rPr>
      </w:pPr>
      <w:r w:rsidRPr="0080157B">
        <w:rPr>
          <w:rFonts w:ascii="Times New Roman"/>
          <w:b/>
          <w:bCs/>
        </w:rPr>
        <w:t>Costs:</w:t>
      </w:r>
      <w:r w:rsidRPr="0080157B">
        <w:rPr>
          <w:rFonts w:ascii="Times New Roman"/>
        </w:rPr>
        <w:tab/>
      </w:r>
      <w:r w:rsidRPr="0080157B">
        <w:rPr>
          <w:rFonts w:ascii="Times New Roman"/>
        </w:rPr>
        <w:tab/>
      </w:r>
      <w:r w:rsidR="009538AD">
        <w:rPr>
          <w:rFonts w:ascii="Times New Roman"/>
        </w:rPr>
        <w:t xml:space="preserve">170,422 </w:t>
      </w:r>
      <w:r w:rsidRPr="0080157B">
        <w:rPr>
          <w:rFonts w:ascii="Times New Roman"/>
        </w:rPr>
        <w:t>hours × $</w:t>
      </w:r>
      <w:r>
        <w:rPr>
          <w:rFonts w:ascii="Times New Roman"/>
        </w:rPr>
        <w:t>32.13</w:t>
      </w:r>
      <w:r w:rsidRPr="0080157B">
        <w:rPr>
          <w:rFonts w:ascii="Times New Roman"/>
        </w:rPr>
        <w:t xml:space="preserve"> = $</w:t>
      </w:r>
      <w:r w:rsidR="009538AD">
        <w:rPr>
          <w:rFonts w:ascii="Times New Roman"/>
        </w:rPr>
        <w:t>5,475,659</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The standard requires blood sampling and analysis every two months for </w:t>
      </w:r>
      <w:r>
        <w:rPr>
          <w:rFonts w:ascii="Times New Roman"/>
        </w:rPr>
        <w:t>worker</w:t>
      </w:r>
      <w:r w:rsidRPr="0080157B">
        <w:rPr>
          <w:rFonts w:ascii="Times New Roman"/>
        </w:rPr>
        <w:t xml:space="preserve">s found to have blood lead levels at or above 40 µg/100 g and at least monthly for </w:t>
      </w:r>
      <w:r>
        <w:rPr>
          <w:rFonts w:ascii="Times New Roman"/>
        </w:rPr>
        <w:t>worker</w:t>
      </w:r>
      <w:r w:rsidRPr="0080157B">
        <w:rPr>
          <w:rFonts w:ascii="Times New Roman"/>
        </w:rPr>
        <w:t>s who are removed from exposure to lead due to elevated blood lead levels (in excess of 50 µg/100 g). According to information gathered by OSHA during the rulemaking process for lead, even achievement of the PEL of 50 µg/m</w:t>
      </w:r>
      <w:r w:rsidRPr="0080157B">
        <w:rPr>
          <w:rFonts w:ascii="Times New Roman"/>
          <w:vertAlign w:val="superscript"/>
        </w:rPr>
        <w:t>3</w:t>
      </w:r>
      <w:r w:rsidRPr="0080157B">
        <w:rPr>
          <w:rFonts w:ascii="Times New Roman"/>
        </w:rPr>
        <w:t xml:space="preserve"> will not result in maintaining the blood lead levels of all occupationally exposed </w:t>
      </w:r>
      <w:r>
        <w:rPr>
          <w:rFonts w:ascii="Times New Roman"/>
        </w:rPr>
        <w:t>worker</w:t>
      </w:r>
      <w:r w:rsidRPr="0080157B">
        <w:rPr>
          <w:rFonts w:ascii="Times New Roman"/>
        </w:rPr>
        <w:t xml:space="preserve">s below 40 µg/100 g. Even in those industries achieving compliance with the PEL, OSHA predicts that 0.5 percent of </w:t>
      </w:r>
      <w:r>
        <w:rPr>
          <w:rFonts w:ascii="Times New Roman"/>
        </w:rPr>
        <w:t>worker</w:t>
      </w:r>
      <w:r w:rsidRPr="0080157B">
        <w:rPr>
          <w:rFonts w:ascii="Times New Roman"/>
        </w:rPr>
        <w:t xml:space="preserve"> blood leads will </w:t>
      </w:r>
      <w:r w:rsidR="00B24363">
        <w:rPr>
          <w:rFonts w:ascii="Times New Roman"/>
        </w:rPr>
        <w:t xml:space="preserve">meet or </w:t>
      </w:r>
      <w:r w:rsidRPr="0080157B">
        <w:rPr>
          <w:rFonts w:ascii="Times New Roman"/>
        </w:rPr>
        <w:t>exceed 60 µg/100 g; 5.5 percent will have blood leads between 50</w:t>
      </w:r>
      <w:r w:rsidRPr="0080157B">
        <w:rPr>
          <w:rFonts w:ascii="Times New Roman"/>
        </w:rPr>
        <w:noBreakHyphen/>
        <w:t>60 µg/100 g; and 23.3 percent will be between 40</w:t>
      </w:r>
      <w:r w:rsidRPr="0080157B">
        <w:rPr>
          <w:rFonts w:ascii="Times New Roman"/>
        </w:rPr>
        <w:noBreakHyphen/>
        <w:t xml:space="preserve">50 µg/100 g. Overall, 29.3 percent of exposed </w:t>
      </w:r>
      <w:r>
        <w:rPr>
          <w:rFonts w:ascii="Times New Roman"/>
        </w:rPr>
        <w:t>worker</w:t>
      </w:r>
      <w:r w:rsidRPr="0080157B">
        <w:rPr>
          <w:rFonts w:ascii="Times New Roman"/>
        </w:rPr>
        <w:t xml:space="preserve">s will have blood lead levels </w:t>
      </w:r>
      <w:r w:rsidR="00B24363">
        <w:rPr>
          <w:rFonts w:ascii="Times New Roman"/>
        </w:rPr>
        <w:t xml:space="preserve">at or </w:t>
      </w:r>
      <w:r w:rsidRPr="0080157B">
        <w:rPr>
          <w:rFonts w:ascii="Times New Roman"/>
        </w:rPr>
        <w:t>above 40 µg/100 g at any one time.</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With the above estimates in mind, OSHA estimates 6 percent (or </w:t>
      </w:r>
      <w:r w:rsidR="009538AD">
        <w:rPr>
          <w:rFonts w:ascii="Times New Roman"/>
        </w:rPr>
        <w:t xml:space="preserve">20,451 </w:t>
      </w:r>
      <w:r>
        <w:rPr>
          <w:rFonts w:ascii="Times New Roman"/>
        </w:rPr>
        <w:t>worker</w:t>
      </w:r>
      <w:r w:rsidRPr="0080157B">
        <w:rPr>
          <w:rFonts w:ascii="Times New Roman"/>
        </w:rPr>
        <w:t xml:space="preserve">s) of the </w:t>
      </w:r>
      <w:r w:rsidR="00152B7B">
        <w:rPr>
          <w:rFonts w:ascii="Times New Roman"/>
        </w:rPr>
        <w:t>340,843</w:t>
      </w:r>
      <w:r w:rsidRPr="0080157B">
        <w:rPr>
          <w:rFonts w:ascii="Times New Roman"/>
        </w:rPr>
        <w:t xml:space="preserve"> </w:t>
      </w:r>
      <w:r>
        <w:rPr>
          <w:rFonts w:ascii="Times New Roman"/>
        </w:rPr>
        <w:t>worker</w:t>
      </w:r>
      <w:r w:rsidRPr="00A217D3">
        <w:rPr>
          <w:rFonts w:ascii="Times New Roman"/>
        </w:rPr>
        <w:t xml:space="preserve">s may have blood lead levels which would require removal from further lead exposure and monthly biological monitoring. Since two months of sampling have been accounted for under the biological monitoring estimates discussed above, only 10 additional blood samples must be taken for these </w:t>
      </w:r>
      <w:r>
        <w:rPr>
          <w:rFonts w:ascii="Times New Roman"/>
        </w:rPr>
        <w:t>worker</w:t>
      </w:r>
      <w:r w:rsidRPr="00A217D3">
        <w:rPr>
          <w:rFonts w:ascii="Times New Roman"/>
        </w:rPr>
        <w:t>s.</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9538AD">
        <w:rPr>
          <w:rFonts w:ascii="Times New Roman"/>
        </w:rPr>
        <w:t xml:space="preserve">20,451 </w:t>
      </w:r>
      <w:r>
        <w:rPr>
          <w:rFonts w:ascii="Times New Roman"/>
        </w:rPr>
        <w:t>worker</w:t>
      </w:r>
      <w:r w:rsidRPr="0080157B">
        <w:rPr>
          <w:rFonts w:ascii="Times New Roman"/>
        </w:rPr>
        <w:t xml:space="preserve">s × 10 samples × .25 hour = </w:t>
      </w:r>
      <w:r w:rsidR="009538AD">
        <w:rPr>
          <w:rFonts w:ascii="Times New Roman"/>
        </w:rPr>
        <w:t xml:space="preserve">51,128 </w:t>
      </w:r>
      <w:r w:rsidRPr="0080157B">
        <w:rPr>
          <w:rFonts w:ascii="Times New Roman"/>
        </w:rPr>
        <w:t>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9538AD">
        <w:rPr>
          <w:rFonts w:ascii="Times New Roman"/>
        </w:rPr>
        <w:t>51,128</w:t>
      </w:r>
      <w:r w:rsidR="00606D2D">
        <w:rPr>
          <w:rFonts w:ascii="Times New Roman"/>
        </w:rPr>
        <w:t xml:space="preserve"> worker</w:t>
      </w:r>
      <w:r w:rsidR="00606D2D" w:rsidRPr="0080157B">
        <w:rPr>
          <w:rFonts w:ascii="Times New Roman"/>
        </w:rPr>
        <w:t xml:space="preserve"> hours × $</w:t>
      </w:r>
      <w:r>
        <w:rPr>
          <w:rFonts w:ascii="Times New Roman"/>
        </w:rPr>
        <w:t>32.13</w:t>
      </w:r>
      <w:r w:rsidRPr="0080157B">
        <w:rPr>
          <w:rFonts w:ascii="Times New Roman"/>
        </w:rPr>
        <w:t xml:space="preserve"> </w:t>
      </w:r>
      <w:r>
        <w:rPr>
          <w:rFonts w:ascii="Times New Roman"/>
        </w:rPr>
        <w:t>=</w:t>
      </w:r>
      <w:r w:rsidR="00606D2D" w:rsidRPr="0080157B">
        <w:rPr>
          <w:rFonts w:ascii="Times New Roman"/>
        </w:rPr>
        <w:t xml:space="preserve"> $</w:t>
      </w:r>
      <w:r w:rsidR="009538AD">
        <w:rPr>
          <w:rFonts w:ascii="Times New Roman"/>
        </w:rPr>
        <w:t>1,642,743</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Approximately 23.3 percent (or</w:t>
      </w:r>
      <w:r w:rsidR="009538AD">
        <w:rPr>
          <w:rFonts w:ascii="Times New Roman"/>
        </w:rPr>
        <w:t xml:space="preserve"> 79,416</w:t>
      </w:r>
      <w:r w:rsidRPr="0080157B">
        <w:rPr>
          <w:rFonts w:ascii="Times New Roman"/>
        </w:rPr>
        <w:t xml:space="preserve">) of the </w:t>
      </w:r>
      <w:r w:rsidR="00152B7B">
        <w:rPr>
          <w:rFonts w:ascii="Times New Roman"/>
        </w:rPr>
        <w:t>340,843</w:t>
      </w:r>
      <w:r w:rsidRPr="0080157B">
        <w:rPr>
          <w:rFonts w:ascii="Times New Roman"/>
        </w:rPr>
        <w:t xml:space="preserve"> </w:t>
      </w:r>
      <w:r>
        <w:rPr>
          <w:rFonts w:ascii="Times New Roman"/>
        </w:rPr>
        <w:t>worker</w:t>
      </w:r>
      <w:r w:rsidRPr="0080157B">
        <w:rPr>
          <w:rFonts w:ascii="Times New Roman"/>
        </w:rPr>
        <w:t xml:space="preserve">s employed in those industries may have blood lead levels which would require biological monitoring every two months. Since OSHA has already accounted for two months of such monitoring above, only 4 additional blood samples must be taken for these </w:t>
      </w:r>
      <w:r>
        <w:rPr>
          <w:rFonts w:ascii="Times New Roman"/>
        </w:rPr>
        <w:t>worker</w:t>
      </w:r>
      <w:r w:rsidRPr="0080157B">
        <w:rPr>
          <w:rFonts w:ascii="Times New Roman"/>
        </w:rPr>
        <w:t>s:</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9538AD">
        <w:rPr>
          <w:rFonts w:ascii="Times New Roman"/>
        </w:rPr>
        <w:t xml:space="preserve">79,416 </w:t>
      </w:r>
      <w:r>
        <w:rPr>
          <w:rFonts w:ascii="Times New Roman"/>
        </w:rPr>
        <w:t>worker</w:t>
      </w:r>
      <w:r w:rsidRPr="0080157B">
        <w:rPr>
          <w:rFonts w:ascii="Times New Roman"/>
        </w:rPr>
        <w:t xml:space="preserve">s × 4 samples × .25 hour = </w:t>
      </w:r>
      <w:r w:rsidR="009538AD">
        <w:rPr>
          <w:rFonts w:ascii="Times New Roman"/>
        </w:rPr>
        <w:t xml:space="preserve">79,416 </w:t>
      </w:r>
      <w:r w:rsidRPr="0080157B">
        <w:rPr>
          <w:rFonts w:ascii="Times New Roman"/>
        </w:rPr>
        <w:t>hours</w:t>
      </w:r>
    </w:p>
    <w:p w:rsidR="00606D2D" w:rsidRPr="0080157B" w:rsidRDefault="00B24363" w:rsidP="00530278">
      <w:pPr>
        <w:widowControl/>
        <w:ind w:left="720" w:firstLine="720"/>
        <w:rPr>
          <w:rFonts w:ascii="Times New Roman"/>
        </w:rPr>
      </w:pPr>
      <w:r>
        <w:rPr>
          <w:rFonts w:ascii="Times New Roman"/>
          <w:b/>
          <w:bCs/>
        </w:rPr>
        <w:lastRenderedPageBreak/>
        <w:t xml:space="preserve">  </w:t>
      </w:r>
      <w:r w:rsidR="00606D2D" w:rsidRPr="0080157B">
        <w:rPr>
          <w:rFonts w:ascii="Times New Roman"/>
          <w:b/>
          <w:bCs/>
        </w:rPr>
        <w:t>Costs:</w:t>
      </w:r>
      <w:r w:rsidR="00606D2D" w:rsidRPr="0080157B">
        <w:rPr>
          <w:rFonts w:ascii="Times New Roman"/>
        </w:rPr>
        <w:tab/>
      </w:r>
      <w:r w:rsidR="009538AD">
        <w:rPr>
          <w:rFonts w:ascii="Times New Roman"/>
        </w:rPr>
        <w:t xml:space="preserve">79,416 </w:t>
      </w:r>
      <w:r w:rsidR="00606D2D" w:rsidRPr="0080157B">
        <w:rPr>
          <w:rFonts w:ascii="Times New Roman"/>
        </w:rPr>
        <w:t>× $</w:t>
      </w:r>
      <w:r w:rsidR="00606D2D">
        <w:rPr>
          <w:rFonts w:ascii="Times New Roman"/>
        </w:rPr>
        <w:t>32.13</w:t>
      </w:r>
      <w:r w:rsidR="00606D2D" w:rsidRPr="0080157B">
        <w:rPr>
          <w:rFonts w:ascii="Times New Roman"/>
        </w:rPr>
        <w:t xml:space="preserve"> = $</w:t>
      </w:r>
      <w:r w:rsidR="009538AD">
        <w:rPr>
          <w:rFonts w:ascii="Times New Roman"/>
        </w:rPr>
        <w:t>2,551,636</w:t>
      </w:r>
    </w:p>
    <w:p w:rsidR="00606D2D" w:rsidRPr="0080157B" w:rsidRDefault="00606D2D" w:rsidP="00530278">
      <w:pPr>
        <w:widowControl/>
        <w:rPr>
          <w:rFonts w:ascii="Times New Roman"/>
          <w:u w:val="single"/>
        </w:rPr>
      </w:pPr>
    </w:p>
    <w:p w:rsidR="00606D2D" w:rsidRPr="00A217D3" w:rsidRDefault="00606D2D" w:rsidP="00530278">
      <w:pPr>
        <w:widowControl/>
        <w:rPr>
          <w:rFonts w:ascii="Times New Roman"/>
          <w:u w:val="single"/>
        </w:rPr>
      </w:pPr>
      <w:r w:rsidRPr="00A217D3">
        <w:rPr>
          <w:rFonts w:ascii="Times New Roman"/>
          <w:u w:val="single"/>
        </w:rPr>
        <w:t>Employee Notification of Biological Monitoring Results</w:t>
      </w:r>
    </w:p>
    <w:p w:rsidR="00606D2D" w:rsidRPr="00A217D3" w:rsidRDefault="00606D2D" w:rsidP="00530278">
      <w:pPr>
        <w:widowControl/>
        <w:rPr>
          <w:rFonts w:ascii="Times New Roman"/>
        </w:rPr>
      </w:pPr>
    </w:p>
    <w:p w:rsidR="00606D2D" w:rsidRPr="0080157B" w:rsidRDefault="00606D2D" w:rsidP="00530278">
      <w:pPr>
        <w:widowControl/>
        <w:rPr>
          <w:rFonts w:ascii="Times New Roman"/>
        </w:rPr>
      </w:pPr>
      <w:r w:rsidRPr="00A217D3">
        <w:rPr>
          <w:rFonts w:ascii="Times New Roman"/>
        </w:rPr>
        <w:t xml:space="preserve">The lead standard requires that the employer notify, in writing, within 5 working days after the receipt of biological monitoring results, each </w:t>
      </w:r>
      <w:r>
        <w:rPr>
          <w:rFonts w:ascii="Times New Roman"/>
        </w:rPr>
        <w:t>worker</w:t>
      </w:r>
      <w:r w:rsidRPr="00A217D3">
        <w:rPr>
          <w:rFonts w:ascii="Times New Roman"/>
        </w:rPr>
        <w:t xml:space="preserve"> whose blood lead level exceeds 40</w:t>
      </w:r>
      <w:r w:rsidRPr="0080157B">
        <w:rPr>
          <w:rFonts w:ascii="Times New Roman"/>
        </w:rPr>
        <w:t xml:space="preserve"> µg/100 g of whole blood. Based on the above information, OSHA estimates </w:t>
      </w:r>
      <w:r w:rsidR="009538AD">
        <w:rPr>
          <w:rFonts w:ascii="Times New Roman"/>
        </w:rPr>
        <w:t>20,451</w:t>
      </w:r>
      <w:r w:rsidRPr="0080157B">
        <w:rPr>
          <w:rFonts w:ascii="Times New Roman"/>
        </w:rPr>
        <w:t xml:space="preserve"> workers require monthly notification and approximately </w:t>
      </w:r>
      <w:r w:rsidR="009538AD">
        <w:rPr>
          <w:rFonts w:ascii="Times New Roman"/>
        </w:rPr>
        <w:t xml:space="preserve">79,416 </w:t>
      </w:r>
      <w:r>
        <w:rPr>
          <w:rFonts w:ascii="Times New Roman"/>
        </w:rPr>
        <w:t>worker</w:t>
      </w:r>
      <w:r w:rsidRPr="0080157B">
        <w:rPr>
          <w:rFonts w:ascii="Times New Roman"/>
        </w:rPr>
        <w:t xml:space="preserve">s require bi-monthly notifications. On the basis of </w:t>
      </w:r>
      <w:r>
        <w:rPr>
          <w:rFonts w:ascii="Times New Roman"/>
        </w:rPr>
        <w:t xml:space="preserve">these </w:t>
      </w:r>
      <w:r w:rsidRPr="0080157B">
        <w:rPr>
          <w:rFonts w:ascii="Times New Roman"/>
        </w:rPr>
        <w:t xml:space="preserve">estimates, </w:t>
      </w:r>
      <w:r w:rsidR="009538AD">
        <w:rPr>
          <w:rFonts w:ascii="Times New Roman"/>
        </w:rPr>
        <w:t>99,867</w:t>
      </w:r>
      <w:r>
        <w:rPr>
          <w:rFonts w:ascii="Times New Roman"/>
        </w:rPr>
        <w:t xml:space="preserve"> (</w:t>
      </w:r>
      <w:r w:rsidR="009538AD">
        <w:rPr>
          <w:rFonts w:ascii="Times New Roman"/>
        </w:rPr>
        <w:t xml:space="preserve">20,451 </w:t>
      </w:r>
      <w:r>
        <w:rPr>
          <w:rFonts w:ascii="Times New Roman"/>
        </w:rPr>
        <w:t xml:space="preserve">monthly notifications + </w:t>
      </w:r>
      <w:r w:rsidR="00593411">
        <w:rPr>
          <w:rFonts w:ascii="Times New Roman"/>
        </w:rPr>
        <w:t xml:space="preserve">79,416 </w:t>
      </w:r>
      <w:r>
        <w:rPr>
          <w:rFonts w:ascii="Times New Roman"/>
        </w:rPr>
        <w:t>bi-monthly notification)</w:t>
      </w:r>
      <w:r w:rsidRPr="0080157B">
        <w:rPr>
          <w:rFonts w:ascii="Times New Roman"/>
        </w:rPr>
        <w:t xml:space="preserve"> of the </w:t>
      </w:r>
      <w:r w:rsidR="00152B7B">
        <w:rPr>
          <w:rFonts w:ascii="Times New Roman"/>
        </w:rPr>
        <w:t>340,843</w:t>
      </w:r>
      <w:r w:rsidRPr="0080157B">
        <w:rPr>
          <w:rFonts w:ascii="Times New Roman"/>
        </w:rPr>
        <w:t xml:space="preserve"> </w:t>
      </w:r>
      <w:r>
        <w:rPr>
          <w:rFonts w:ascii="Times New Roman"/>
        </w:rPr>
        <w:t>worker</w:t>
      </w:r>
      <w:r w:rsidRPr="0080157B">
        <w:rPr>
          <w:rFonts w:ascii="Times New Roman"/>
        </w:rPr>
        <w:t xml:space="preserve">s assumed to be exposed at levels </w:t>
      </w:r>
      <w:r w:rsidR="00B24363">
        <w:rPr>
          <w:rFonts w:ascii="Times New Roman"/>
        </w:rPr>
        <w:t xml:space="preserve">at or </w:t>
      </w:r>
      <w:r w:rsidRPr="0080157B">
        <w:rPr>
          <w:rFonts w:ascii="Times New Roman"/>
        </w:rPr>
        <w:t>above 40 µg/100g of whole blood, will require notification of biological monitoring results.</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Such notification takes five minutes (.08 hour) of secretarial time ($</w:t>
      </w:r>
      <w:r>
        <w:rPr>
          <w:rFonts w:ascii="Times New Roman"/>
        </w:rPr>
        <w:t>22.82</w:t>
      </w:r>
      <w:r w:rsidRPr="0080157B">
        <w:rPr>
          <w:rFonts w:ascii="Times New Roman"/>
        </w:rPr>
        <w:t xml:space="preserve"> per hour). </w:t>
      </w:r>
      <w:r>
        <w:rPr>
          <w:rFonts w:ascii="Times New Roman"/>
        </w:rPr>
        <w:t xml:space="preserve"> </w:t>
      </w:r>
      <w:r w:rsidRPr="0080157B">
        <w:rPr>
          <w:rFonts w:ascii="Times New Roman"/>
        </w:rPr>
        <w:t>Total burden hours of this requirement are shown below.</w:t>
      </w:r>
    </w:p>
    <w:p w:rsidR="00606D2D" w:rsidRPr="0080157B" w:rsidRDefault="00606D2D" w:rsidP="00530278">
      <w:pPr>
        <w:widowControl/>
        <w:rPr>
          <w:rFonts w:ascii="Times New Roman"/>
        </w:rPr>
      </w:pPr>
    </w:p>
    <w:p w:rsidR="00606D2D" w:rsidRPr="0080157B" w:rsidRDefault="00606D2D" w:rsidP="00530278">
      <w:pPr>
        <w:keepLines/>
        <w:widowControl/>
        <w:ind w:left="2880" w:hanging="2160"/>
        <w:rPr>
          <w:rFonts w:ascii="Times New Roman"/>
        </w:rPr>
      </w:pPr>
      <w:r w:rsidRPr="0080157B">
        <w:rPr>
          <w:rFonts w:ascii="Times New Roman"/>
          <w:b/>
          <w:bCs/>
        </w:rPr>
        <w:t>Burden hours:</w:t>
      </w:r>
      <w:r w:rsidRPr="0080157B">
        <w:rPr>
          <w:rFonts w:ascii="Times New Roman"/>
          <w:b/>
          <w:bCs/>
        </w:rPr>
        <w:tab/>
      </w:r>
      <w:r w:rsidRPr="0080157B">
        <w:rPr>
          <w:rFonts w:ascii="Times New Roman"/>
        </w:rPr>
        <w:t>(</w:t>
      </w:r>
      <w:r w:rsidR="009538AD">
        <w:rPr>
          <w:rFonts w:ascii="Times New Roman"/>
        </w:rPr>
        <w:t xml:space="preserve">20,451 </w:t>
      </w:r>
      <w:r w:rsidRPr="0080157B">
        <w:rPr>
          <w:rFonts w:ascii="Times New Roman"/>
        </w:rPr>
        <w:t>× 12 notifications × .08 hour) + (</w:t>
      </w:r>
      <w:r w:rsidR="009538AD">
        <w:rPr>
          <w:rFonts w:ascii="Times New Roman"/>
        </w:rPr>
        <w:t>79,416</w:t>
      </w:r>
      <w:r>
        <w:rPr>
          <w:rFonts w:ascii="Times New Roman"/>
        </w:rPr>
        <w:t xml:space="preserve"> </w:t>
      </w:r>
      <w:r w:rsidRPr="0080157B">
        <w:rPr>
          <w:rFonts w:ascii="Times New Roman"/>
        </w:rPr>
        <w:t xml:space="preserve">× 6 notifications × .08 hour) = </w:t>
      </w:r>
      <w:r w:rsidR="00A5044A">
        <w:rPr>
          <w:rFonts w:ascii="Times New Roman"/>
        </w:rPr>
        <w:t xml:space="preserve">57,753 </w:t>
      </w:r>
      <w:r w:rsidRPr="0080157B">
        <w:rPr>
          <w:rFonts w:ascii="Times New Roman"/>
        </w:rPr>
        <w:t>hours</w:t>
      </w:r>
    </w:p>
    <w:p w:rsidR="00606D2D" w:rsidRPr="0080157B" w:rsidRDefault="00B24363" w:rsidP="00530278">
      <w:pPr>
        <w:keepLines/>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A5044A">
        <w:rPr>
          <w:rFonts w:ascii="Times New Roman"/>
        </w:rPr>
        <w:t xml:space="preserve">57,753 </w:t>
      </w:r>
      <w:r w:rsidR="00606D2D" w:rsidRPr="0080157B">
        <w:rPr>
          <w:rFonts w:ascii="Times New Roman"/>
        </w:rPr>
        <w:t>hours × $</w:t>
      </w:r>
      <w:r w:rsidR="00606D2D">
        <w:rPr>
          <w:rFonts w:ascii="Times New Roman"/>
        </w:rPr>
        <w:t>22.82</w:t>
      </w:r>
      <w:r w:rsidR="00606D2D" w:rsidRPr="0080157B">
        <w:rPr>
          <w:rFonts w:ascii="Times New Roman"/>
        </w:rPr>
        <w:t xml:space="preserve"> = $</w:t>
      </w:r>
      <w:r w:rsidR="00A5044A">
        <w:rPr>
          <w:rFonts w:ascii="Times New Roman"/>
        </w:rPr>
        <w:t>1,317,923</w:t>
      </w:r>
    </w:p>
    <w:p w:rsidR="00606D2D" w:rsidRPr="0080157B" w:rsidRDefault="00606D2D" w:rsidP="00530278">
      <w:pPr>
        <w:widowControl/>
        <w:rPr>
          <w:rFonts w:ascii="Times New Roman"/>
        </w:rPr>
      </w:pPr>
    </w:p>
    <w:p w:rsidR="00606D2D" w:rsidRPr="0080157B" w:rsidRDefault="00606D2D" w:rsidP="00530278">
      <w:pPr>
        <w:widowControl/>
        <w:rPr>
          <w:rFonts w:ascii="Times New Roman"/>
          <w:u w:val="single"/>
        </w:rPr>
      </w:pPr>
      <w:r w:rsidRPr="0080157B">
        <w:rPr>
          <w:rFonts w:ascii="Times New Roman"/>
          <w:u w:val="single"/>
        </w:rPr>
        <w:t>Medical Examinations and Consultations</w:t>
      </w:r>
    </w:p>
    <w:p w:rsidR="00606D2D" w:rsidRPr="0080157B" w:rsidRDefault="00606D2D" w:rsidP="00530278">
      <w:pPr>
        <w:widowControl/>
        <w:rPr>
          <w:rFonts w:ascii="Times New Roman"/>
          <w:u w:val="single"/>
        </w:rPr>
      </w:pPr>
    </w:p>
    <w:p w:rsidR="00606D2D" w:rsidRPr="0080157B" w:rsidRDefault="00606D2D" w:rsidP="00530278">
      <w:pPr>
        <w:widowControl/>
        <w:rPr>
          <w:rFonts w:ascii="Times New Roman"/>
        </w:rPr>
      </w:pPr>
      <w:r w:rsidRPr="0080157B">
        <w:rPr>
          <w:rFonts w:ascii="Times New Roman"/>
        </w:rPr>
        <w:t xml:space="preserve">The lead standard requires that employers make medical examinations and consultations available to each </w:t>
      </w:r>
      <w:r>
        <w:rPr>
          <w:rFonts w:ascii="Times New Roman"/>
        </w:rPr>
        <w:t>worker</w:t>
      </w:r>
      <w:r w:rsidRPr="0080157B">
        <w:rPr>
          <w:rFonts w:ascii="Times New Roman"/>
        </w:rPr>
        <w:t xml:space="preserve"> who may be exposed </w:t>
      </w:r>
      <w:r w:rsidR="00B24363">
        <w:rPr>
          <w:rFonts w:ascii="Times New Roman"/>
        </w:rPr>
        <w:t xml:space="preserve">at or </w:t>
      </w:r>
      <w:r w:rsidRPr="0080157B">
        <w:rPr>
          <w:rFonts w:ascii="Times New Roman"/>
        </w:rPr>
        <w:t xml:space="preserve">above the action level for more than 30 days per year. Such examinations and consultations must be provided annually for each worker for whom </w:t>
      </w:r>
      <w:r w:rsidRPr="00A217D3">
        <w:rPr>
          <w:rFonts w:ascii="Times New Roman"/>
        </w:rPr>
        <w:t xml:space="preserve">a blood sampling test conducted at any time during the preceding 12 months indicates a blood lead level at or above 40 µg/100 g of whole blood. </w:t>
      </w:r>
      <w:r>
        <w:rPr>
          <w:rFonts w:ascii="Times New Roman"/>
        </w:rPr>
        <w:t xml:space="preserve">Based on the discussion above, </w:t>
      </w:r>
      <w:r w:rsidRPr="00A217D3">
        <w:rPr>
          <w:rFonts w:ascii="Times New Roman"/>
        </w:rPr>
        <w:t xml:space="preserve">OSHA assumes </w:t>
      </w:r>
      <w:r w:rsidR="00A5044A">
        <w:rPr>
          <w:rFonts w:ascii="Times New Roman"/>
        </w:rPr>
        <w:t>99,867</w:t>
      </w:r>
      <w:r w:rsidRPr="0080157B">
        <w:rPr>
          <w:rFonts w:ascii="Times New Roman"/>
        </w:rPr>
        <w:t xml:space="preserve"> </w:t>
      </w:r>
      <w:r>
        <w:rPr>
          <w:rFonts w:ascii="Times New Roman"/>
        </w:rPr>
        <w:t>worker</w:t>
      </w:r>
      <w:r w:rsidRPr="0080157B">
        <w:rPr>
          <w:rFonts w:ascii="Times New Roman"/>
        </w:rPr>
        <w:t>s will experience blood levels at or above 40 µg/100 g, thus, requiring medical examination. Medical examinations are assumed to require 2 hours of worker time which includes time away from their work station.</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5044A">
        <w:rPr>
          <w:rFonts w:ascii="Times New Roman"/>
        </w:rPr>
        <w:t>99,867</w:t>
      </w:r>
      <w:r w:rsidRPr="0080157B">
        <w:rPr>
          <w:rFonts w:ascii="Times New Roman"/>
        </w:rPr>
        <w:t xml:space="preserve"> exams × 2 hours </w:t>
      </w:r>
      <w:r>
        <w:rPr>
          <w:rFonts w:ascii="Times New Roman"/>
        </w:rPr>
        <w:t>worker</w:t>
      </w:r>
      <w:r w:rsidRPr="0080157B">
        <w:rPr>
          <w:rFonts w:ascii="Times New Roman"/>
        </w:rPr>
        <w:t xml:space="preserve"> time = </w:t>
      </w:r>
      <w:r w:rsidR="00A5044A">
        <w:rPr>
          <w:rFonts w:ascii="Times New Roman"/>
        </w:rPr>
        <w:t xml:space="preserve">199,734 </w:t>
      </w:r>
      <w:r w:rsidRPr="0080157B">
        <w:rPr>
          <w:rFonts w:ascii="Times New Roman"/>
        </w:rPr>
        <w:t>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5044A">
        <w:rPr>
          <w:rFonts w:ascii="Times New Roman"/>
        </w:rPr>
        <w:t xml:space="preserve">199,734 </w:t>
      </w:r>
      <w:r w:rsidR="00606D2D">
        <w:rPr>
          <w:rFonts w:ascii="Times New Roman"/>
        </w:rPr>
        <w:t>worker</w:t>
      </w:r>
      <w:r w:rsidR="00606D2D" w:rsidRPr="0080157B">
        <w:rPr>
          <w:rFonts w:ascii="Times New Roman"/>
        </w:rPr>
        <w:t xml:space="preserve"> hours × $</w:t>
      </w:r>
      <w:r w:rsidR="00606D2D">
        <w:rPr>
          <w:rFonts w:ascii="Times New Roman"/>
        </w:rPr>
        <w:t>32.13</w:t>
      </w:r>
      <w:r w:rsidR="00606D2D" w:rsidRPr="0080157B">
        <w:rPr>
          <w:rFonts w:ascii="Times New Roman"/>
        </w:rPr>
        <w:t xml:space="preserve"> = $</w:t>
      </w:r>
      <w:r w:rsidR="00A5044A">
        <w:rPr>
          <w:rFonts w:ascii="Times New Roman"/>
        </w:rPr>
        <w:t>6,417,453</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OSHA estimates a </w:t>
      </w:r>
      <w:r>
        <w:rPr>
          <w:rFonts w:ascii="Times New Roman"/>
        </w:rPr>
        <w:t>worker</w:t>
      </w:r>
      <w:r w:rsidRPr="0080157B">
        <w:rPr>
          <w:rFonts w:ascii="Times New Roman"/>
        </w:rPr>
        <w:t xml:space="preserve"> turn</w:t>
      </w:r>
      <w:r w:rsidRPr="0080157B">
        <w:rPr>
          <w:rFonts w:ascii="Times New Roman"/>
        </w:rPr>
        <w:noBreakHyphen/>
        <w:t xml:space="preserve">over rate of approximately 30 percent, therefore </w:t>
      </w:r>
      <w:r w:rsidR="00A5044A">
        <w:rPr>
          <w:rFonts w:ascii="Times New Roman"/>
        </w:rPr>
        <w:t xml:space="preserve">102,253 </w:t>
      </w:r>
      <w:r w:rsidRPr="0080157B">
        <w:rPr>
          <w:rFonts w:ascii="Times New Roman"/>
        </w:rPr>
        <w:t xml:space="preserve">workers </w:t>
      </w:r>
      <w:r w:rsidR="00341E56">
        <w:rPr>
          <w:rFonts w:ascii="Times New Roman"/>
        </w:rPr>
        <w:t xml:space="preserve">at or </w:t>
      </w:r>
      <w:r>
        <w:rPr>
          <w:rFonts w:ascii="Times New Roman"/>
        </w:rPr>
        <w:t xml:space="preserve">above the action level but below the PEL </w:t>
      </w:r>
      <w:r w:rsidRPr="0080157B">
        <w:rPr>
          <w:rFonts w:ascii="Times New Roman"/>
        </w:rPr>
        <w:t>in the existing lead</w:t>
      </w:r>
      <w:r w:rsidRPr="0080157B">
        <w:rPr>
          <w:rFonts w:ascii="Times New Roman"/>
        </w:rPr>
        <w:noBreakHyphen/>
        <w:t>using/producing industries will require an initial medical examination.</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A5044A">
        <w:rPr>
          <w:rFonts w:ascii="Times New Roman"/>
        </w:rPr>
        <w:t xml:space="preserve">102,253 </w:t>
      </w:r>
      <w:r w:rsidRPr="0080157B">
        <w:rPr>
          <w:rFonts w:ascii="Times New Roman"/>
        </w:rPr>
        <w:t xml:space="preserve">exams × 2 hours </w:t>
      </w:r>
      <w:r>
        <w:rPr>
          <w:rFonts w:ascii="Times New Roman"/>
        </w:rPr>
        <w:t>worker</w:t>
      </w:r>
      <w:r w:rsidRPr="0080157B">
        <w:rPr>
          <w:rFonts w:ascii="Times New Roman"/>
        </w:rPr>
        <w:t xml:space="preserve"> time = </w:t>
      </w:r>
      <w:r w:rsidR="00A5044A">
        <w:rPr>
          <w:rFonts w:ascii="Times New Roman"/>
        </w:rPr>
        <w:t xml:space="preserve">204,506 </w:t>
      </w:r>
      <w:r w:rsidRPr="0080157B">
        <w:rPr>
          <w:rFonts w:ascii="Times New Roman"/>
        </w:rPr>
        <w:t>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A5044A">
        <w:rPr>
          <w:rFonts w:ascii="Times New Roman"/>
        </w:rPr>
        <w:t xml:space="preserve">204,506 </w:t>
      </w:r>
      <w:r w:rsidR="00606D2D">
        <w:rPr>
          <w:rFonts w:ascii="Times New Roman"/>
        </w:rPr>
        <w:t>worker</w:t>
      </w:r>
      <w:r w:rsidR="00606D2D" w:rsidRPr="0080157B">
        <w:rPr>
          <w:rFonts w:ascii="Times New Roman"/>
        </w:rPr>
        <w:t xml:space="preserve"> hours × $</w:t>
      </w:r>
      <w:r w:rsidR="00606D2D">
        <w:rPr>
          <w:rFonts w:ascii="Times New Roman"/>
        </w:rPr>
        <w:t>32.13</w:t>
      </w:r>
      <w:r w:rsidR="00606D2D" w:rsidRPr="0080157B">
        <w:rPr>
          <w:rFonts w:ascii="Times New Roman"/>
        </w:rPr>
        <w:t xml:space="preserve"> = $</w:t>
      </w:r>
      <w:r w:rsidR="00A5044A">
        <w:rPr>
          <w:rFonts w:ascii="Times New Roman"/>
        </w:rPr>
        <w:t>6,570,778</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In accordance with the lead standard, each employer must also make medical examinations available to those worker who have developed signs or symptoms commonly associated with lead intoxication, to those worker who desire medical advice concerning the effects of current or past exposures to lead on the </w:t>
      </w:r>
      <w:r>
        <w:rPr>
          <w:rFonts w:ascii="Times New Roman"/>
        </w:rPr>
        <w:t>worker</w:t>
      </w:r>
      <w:r w:rsidRPr="0080157B">
        <w:rPr>
          <w:rFonts w:ascii="Times New Roman"/>
        </w:rPr>
        <w:t xml:space="preserve">'s ability to produce healthy children or to those worker who demonstrate difficulty in breathing during respirator fit testing or during respirator use. OSHA </w:t>
      </w:r>
      <w:r w:rsidRPr="0080157B">
        <w:rPr>
          <w:rFonts w:ascii="Times New Roman"/>
        </w:rPr>
        <w:lastRenderedPageBreak/>
        <w:t xml:space="preserve">estimates that no more than 5 percent (or </w:t>
      </w:r>
      <w:r w:rsidR="00D51520">
        <w:rPr>
          <w:rFonts w:ascii="Times New Roman"/>
        </w:rPr>
        <w:t>17,042</w:t>
      </w:r>
      <w:r w:rsidRPr="0080157B">
        <w:rPr>
          <w:rFonts w:ascii="Times New Roman"/>
        </w:rPr>
        <w:t xml:space="preserve">) of worker exposed </w:t>
      </w:r>
      <w:r w:rsidR="00341E56">
        <w:rPr>
          <w:rFonts w:ascii="Times New Roman"/>
        </w:rPr>
        <w:t xml:space="preserve">at or </w:t>
      </w:r>
      <w:r w:rsidRPr="0080157B">
        <w:rPr>
          <w:rFonts w:ascii="Times New Roman"/>
        </w:rPr>
        <w:t>above the action level in each industrial sector will receive medical examinations as a result of these specified circumstances.</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D51520">
        <w:rPr>
          <w:rFonts w:ascii="Times New Roman"/>
        </w:rPr>
        <w:t>17,042</w:t>
      </w:r>
      <w:r w:rsidRPr="0080157B">
        <w:rPr>
          <w:rFonts w:ascii="Times New Roman"/>
        </w:rPr>
        <w:t xml:space="preserve"> exams × 2 hours </w:t>
      </w:r>
      <w:r>
        <w:rPr>
          <w:rFonts w:ascii="Times New Roman"/>
        </w:rPr>
        <w:t>worker</w:t>
      </w:r>
      <w:r w:rsidRPr="0080157B">
        <w:rPr>
          <w:rFonts w:ascii="Times New Roman"/>
        </w:rPr>
        <w:t xml:space="preserve"> time = </w:t>
      </w:r>
      <w:r w:rsidR="00D51520">
        <w:rPr>
          <w:rFonts w:ascii="Times New Roman"/>
        </w:rPr>
        <w:t>34,084</w:t>
      </w:r>
      <w:r w:rsidRPr="0080157B">
        <w:rPr>
          <w:rFonts w:ascii="Times New Roman"/>
        </w:rPr>
        <w:t xml:space="preserve"> 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D51520">
        <w:rPr>
          <w:rFonts w:ascii="Times New Roman"/>
        </w:rPr>
        <w:t xml:space="preserve">34,084 </w:t>
      </w:r>
      <w:r w:rsidR="00606D2D">
        <w:rPr>
          <w:rFonts w:ascii="Times New Roman"/>
        </w:rPr>
        <w:t>worker</w:t>
      </w:r>
      <w:r w:rsidR="00606D2D" w:rsidRPr="0080157B">
        <w:rPr>
          <w:rFonts w:ascii="Times New Roman"/>
        </w:rPr>
        <w:t xml:space="preserve"> hours × $</w:t>
      </w:r>
      <w:r w:rsidR="00606D2D">
        <w:rPr>
          <w:rFonts w:ascii="Times New Roman"/>
        </w:rPr>
        <w:t>32.13</w:t>
      </w:r>
      <w:r w:rsidR="00606D2D" w:rsidRPr="0080157B">
        <w:rPr>
          <w:rFonts w:ascii="Times New Roman"/>
        </w:rPr>
        <w:t xml:space="preserve"> = $</w:t>
      </w:r>
      <w:r w:rsidR="00D51520">
        <w:rPr>
          <w:rFonts w:ascii="Times New Roman"/>
        </w:rPr>
        <w:t>1,095,119</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In accordance with the lead standard, each employer must provide a medical examination as medically appropriate for each </w:t>
      </w:r>
      <w:r>
        <w:rPr>
          <w:rFonts w:ascii="Times New Roman"/>
        </w:rPr>
        <w:t>worker</w:t>
      </w:r>
      <w:r w:rsidRPr="0080157B">
        <w:rPr>
          <w:rFonts w:ascii="Times New Roman"/>
        </w:rPr>
        <w:t xml:space="preserve"> either removed from exposure to lead due to a risk of sustaining material impairment to health, or otherwise limited pursuant to a final medical determination. Based on the information collected during the rulemaking proceedings for this standard, OSHA has estimated that approximately </w:t>
      </w:r>
      <w:r w:rsidR="009538AD">
        <w:rPr>
          <w:rFonts w:ascii="Times New Roman"/>
        </w:rPr>
        <w:t xml:space="preserve">20,451 </w:t>
      </w:r>
      <w:r w:rsidRPr="0080157B">
        <w:rPr>
          <w:rFonts w:ascii="Times New Roman"/>
        </w:rPr>
        <w:t>worker</w:t>
      </w:r>
      <w:r w:rsidR="00D51520">
        <w:rPr>
          <w:rFonts w:ascii="Times New Roman"/>
        </w:rPr>
        <w:t>s</w:t>
      </w:r>
      <w:r w:rsidRPr="0080157B">
        <w:rPr>
          <w:rFonts w:ascii="Times New Roman"/>
        </w:rPr>
        <w:t xml:space="preserve"> may require some additional medical examinations as a result of their being removed from lead exposure because of their high blood lead levels. OSHA has estimated that approximately five percent (or </w:t>
      </w:r>
      <w:r w:rsidR="00D51520">
        <w:rPr>
          <w:rFonts w:ascii="Times New Roman"/>
        </w:rPr>
        <w:t>1,023</w:t>
      </w:r>
      <w:r w:rsidRPr="0080157B">
        <w:rPr>
          <w:rFonts w:ascii="Times New Roman"/>
        </w:rPr>
        <w:t>) of these worker</w:t>
      </w:r>
      <w:r>
        <w:rPr>
          <w:rFonts w:ascii="Times New Roman"/>
        </w:rPr>
        <w:t>s</w:t>
      </w:r>
      <w:r w:rsidRPr="0080157B">
        <w:rPr>
          <w:rFonts w:ascii="Times New Roman"/>
        </w:rPr>
        <w:t xml:space="preserve"> may require additional medical examinations.</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D51520">
        <w:rPr>
          <w:rFonts w:ascii="Times New Roman"/>
        </w:rPr>
        <w:t>1,023</w:t>
      </w:r>
      <w:r w:rsidRPr="0080157B">
        <w:rPr>
          <w:rFonts w:ascii="Times New Roman"/>
        </w:rPr>
        <w:t xml:space="preserve"> exams × 2 hours </w:t>
      </w:r>
      <w:r>
        <w:rPr>
          <w:rFonts w:ascii="Times New Roman"/>
        </w:rPr>
        <w:t>worker</w:t>
      </w:r>
      <w:r w:rsidRPr="0080157B">
        <w:rPr>
          <w:rFonts w:ascii="Times New Roman"/>
        </w:rPr>
        <w:t xml:space="preserve"> time = </w:t>
      </w:r>
      <w:r w:rsidR="007C4025">
        <w:rPr>
          <w:rFonts w:ascii="Times New Roman"/>
        </w:rPr>
        <w:t xml:space="preserve">2,046 </w:t>
      </w:r>
      <w:r w:rsidRPr="0080157B">
        <w:rPr>
          <w:rFonts w:ascii="Times New Roman"/>
        </w:rPr>
        <w:t>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7C4025">
        <w:rPr>
          <w:rFonts w:ascii="Times New Roman"/>
        </w:rPr>
        <w:t xml:space="preserve">2,046 </w:t>
      </w:r>
      <w:r w:rsidR="00606D2D">
        <w:rPr>
          <w:rFonts w:ascii="Times New Roman"/>
        </w:rPr>
        <w:t>worker</w:t>
      </w:r>
      <w:r w:rsidR="00606D2D" w:rsidRPr="0080157B">
        <w:rPr>
          <w:rFonts w:ascii="Times New Roman"/>
        </w:rPr>
        <w:t xml:space="preserve"> hours × $</w:t>
      </w:r>
      <w:r w:rsidR="00606D2D">
        <w:rPr>
          <w:rFonts w:ascii="Times New Roman"/>
        </w:rPr>
        <w:t>32.13</w:t>
      </w:r>
      <w:r w:rsidR="00606D2D" w:rsidRPr="0080157B">
        <w:rPr>
          <w:rFonts w:ascii="Times New Roman"/>
        </w:rPr>
        <w:t xml:space="preserve"> = $</w:t>
      </w:r>
      <w:r w:rsidR="007C4025">
        <w:rPr>
          <w:rFonts w:ascii="Times New Roman"/>
        </w:rPr>
        <w:t>65,738</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u w:val="single"/>
        </w:rPr>
        <w:t>Multiple Physician Review Mechanism</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The lead standard requires that each employer promptly notify each </w:t>
      </w:r>
      <w:r>
        <w:rPr>
          <w:rFonts w:ascii="Times New Roman"/>
        </w:rPr>
        <w:t>worker</w:t>
      </w:r>
      <w:r w:rsidRPr="0080157B">
        <w:rPr>
          <w:rFonts w:ascii="Times New Roman"/>
        </w:rPr>
        <w:t xml:space="preserve"> of his or her right to seek a second medical opinion after each occasion during which a physician conducts a medical examination or consultation. This requirement can be fulfilled by including a photocopy of such notification with the physician's written medical opinion that the employer must provide to each </w:t>
      </w:r>
      <w:r>
        <w:rPr>
          <w:rFonts w:ascii="Times New Roman"/>
        </w:rPr>
        <w:t>worker</w:t>
      </w:r>
      <w:r w:rsidRPr="0080157B">
        <w:rPr>
          <w:rFonts w:ascii="Times New Roman"/>
        </w:rPr>
        <w:t xml:space="preserve"> after each medical examination. OSHA estimates that inclusion of this notification form will require no more than 1 minute (.0</w:t>
      </w:r>
      <w:r>
        <w:rPr>
          <w:rFonts w:ascii="Times New Roman"/>
        </w:rPr>
        <w:t>2</w:t>
      </w:r>
      <w:r w:rsidRPr="0080157B">
        <w:rPr>
          <w:rFonts w:ascii="Times New Roman"/>
        </w:rPr>
        <w:t xml:space="preserve"> hour) of clerical time. According to the estimates made above, employers will provide approximately </w:t>
      </w:r>
      <w:r w:rsidR="007C4025">
        <w:rPr>
          <w:rFonts w:ascii="Times New Roman"/>
        </w:rPr>
        <w:t>220,185</w:t>
      </w:r>
      <w:r w:rsidRPr="0080157B">
        <w:rPr>
          <w:rFonts w:ascii="Times New Roman"/>
        </w:rPr>
        <w:t xml:space="preserve"> medical examinations </w:t>
      </w:r>
      <w:r>
        <w:rPr>
          <w:rFonts w:ascii="Times New Roman"/>
        </w:rPr>
        <w:t>(</w:t>
      </w:r>
      <w:r w:rsidR="00A5044A">
        <w:rPr>
          <w:rFonts w:ascii="Times New Roman"/>
        </w:rPr>
        <w:t>99,867</w:t>
      </w:r>
      <w:r>
        <w:rPr>
          <w:rFonts w:ascii="Times New Roman"/>
        </w:rPr>
        <w:t xml:space="preserve"> + </w:t>
      </w:r>
      <w:r w:rsidR="00D51520">
        <w:rPr>
          <w:rFonts w:ascii="Times New Roman"/>
        </w:rPr>
        <w:t>102,253</w:t>
      </w:r>
      <w:r>
        <w:rPr>
          <w:rFonts w:ascii="Times New Roman"/>
        </w:rPr>
        <w:t xml:space="preserve"> + </w:t>
      </w:r>
      <w:r w:rsidR="00D51520">
        <w:rPr>
          <w:rFonts w:ascii="Times New Roman"/>
        </w:rPr>
        <w:t>17,042</w:t>
      </w:r>
      <w:r>
        <w:rPr>
          <w:rFonts w:ascii="Times New Roman"/>
        </w:rPr>
        <w:t xml:space="preserve"> + </w:t>
      </w:r>
      <w:r w:rsidR="00D51520">
        <w:rPr>
          <w:rFonts w:ascii="Times New Roman"/>
        </w:rPr>
        <w:t>1,023</w:t>
      </w:r>
      <w:r>
        <w:rPr>
          <w:rFonts w:ascii="Times New Roman"/>
        </w:rPr>
        <w:t xml:space="preserve">) </w:t>
      </w:r>
      <w:r w:rsidRPr="0080157B">
        <w:rPr>
          <w:rFonts w:ascii="Times New Roman"/>
        </w:rPr>
        <w:t xml:space="preserve">each year which will require the insertion of this notification in each </w:t>
      </w:r>
      <w:r>
        <w:rPr>
          <w:rFonts w:ascii="Times New Roman"/>
        </w:rPr>
        <w:t>worker</w:t>
      </w:r>
      <w:r w:rsidRPr="0080157B">
        <w:rPr>
          <w:rFonts w:ascii="Times New Roman"/>
        </w:rPr>
        <w:t>'s medical opinion.</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7C4025">
        <w:rPr>
          <w:rFonts w:ascii="Times New Roman"/>
        </w:rPr>
        <w:t>220,185</w:t>
      </w:r>
      <w:r w:rsidRPr="0080157B">
        <w:rPr>
          <w:rFonts w:ascii="Times New Roman"/>
        </w:rPr>
        <w:t xml:space="preserve"> exams × .016 hour = </w:t>
      </w:r>
      <w:r w:rsidR="007C4025">
        <w:rPr>
          <w:rFonts w:ascii="Times New Roman"/>
        </w:rPr>
        <w:t>3,523</w:t>
      </w:r>
      <w:r w:rsidRPr="0080157B">
        <w:rPr>
          <w:rFonts w:ascii="Times New Roman"/>
        </w:rPr>
        <w:t xml:space="preserve"> 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C4025">
        <w:rPr>
          <w:rFonts w:ascii="Times New Roman"/>
        </w:rPr>
        <w:t>3,523</w:t>
      </w:r>
      <w:r w:rsidR="00606D2D">
        <w:rPr>
          <w:rFonts w:ascii="Times New Roman"/>
        </w:rPr>
        <w:t xml:space="preserve"> </w:t>
      </w:r>
      <w:r w:rsidR="00606D2D" w:rsidRPr="0080157B">
        <w:rPr>
          <w:rFonts w:ascii="Times New Roman"/>
        </w:rPr>
        <w:t>hours × $</w:t>
      </w:r>
      <w:r w:rsidR="00606D2D">
        <w:rPr>
          <w:rFonts w:ascii="Times New Roman"/>
        </w:rPr>
        <w:t>22.82</w:t>
      </w:r>
      <w:r w:rsidR="00606D2D" w:rsidRPr="0080157B">
        <w:rPr>
          <w:rFonts w:ascii="Times New Roman"/>
        </w:rPr>
        <w:t xml:space="preserve"> = $</w:t>
      </w:r>
      <w:r w:rsidR="007C4025">
        <w:rPr>
          <w:rFonts w:ascii="Times New Roman"/>
        </w:rPr>
        <w:t>80,395</w:t>
      </w:r>
    </w:p>
    <w:p w:rsidR="00606D2D" w:rsidRPr="0080157B" w:rsidRDefault="00606D2D" w:rsidP="00530278">
      <w:pPr>
        <w:widowControl/>
        <w:rPr>
          <w:rFonts w:ascii="Times New Roman"/>
          <w:u w:val="single"/>
        </w:rPr>
      </w:pPr>
    </w:p>
    <w:p w:rsidR="00606D2D" w:rsidRPr="0080157B" w:rsidRDefault="00606D2D" w:rsidP="00530278">
      <w:pPr>
        <w:widowControl/>
        <w:rPr>
          <w:rFonts w:ascii="Times New Roman"/>
        </w:rPr>
      </w:pPr>
      <w:r w:rsidRPr="0080157B">
        <w:rPr>
          <w:rFonts w:ascii="Times New Roman"/>
          <w:u w:val="single"/>
        </w:rPr>
        <w:t>Information Provided to Examining and Consulting Physicians</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Information must be provided to physicians who will conduct medical examinations of worker under the requirements of the lead standard. A clerical </w:t>
      </w:r>
      <w:r>
        <w:rPr>
          <w:rFonts w:ascii="Times New Roman"/>
        </w:rPr>
        <w:t>worker</w:t>
      </w:r>
      <w:r w:rsidRPr="0080157B">
        <w:rPr>
          <w:rFonts w:ascii="Times New Roman"/>
        </w:rPr>
        <w:t xml:space="preserve"> takes 5 minutes (.08 hour) to provide the required information to physicians. Based on the analysis above there are </w:t>
      </w:r>
      <w:r w:rsidR="007C4025">
        <w:rPr>
          <w:rFonts w:ascii="Times New Roman"/>
        </w:rPr>
        <w:t>220,185</w:t>
      </w:r>
      <w:r w:rsidRPr="0080157B">
        <w:rPr>
          <w:rFonts w:ascii="Times New Roman"/>
        </w:rPr>
        <w:t xml:space="preserve"> examinations to be performed annually.</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b/>
          <w:bCs/>
        </w:rPr>
        <w:tab/>
      </w:r>
      <w:r w:rsidR="007C4025">
        <w:rPr>
          <w:rFonts w:ascii="Times New Roman"/>
        </w:rPr>
        <w:t xml:space="preserve">220,185 </w:t>
      </w:r>
      <w:r w:rsidRPr="0080157B">
        <w:rPr>
          <w:rFonts w:ascii="Times New Roman"/>
        </w:rPr>
        <w:t xml:space="preserve">exams × .08 hours = </w:t>
      </w:r>
      <w:r w:rsidR="007C4025">
        <w:rPr>
          <w:rFonts w:ascii="Times New Roman"/>
        </w:rPr>
        <w:t>17,615</w:t>
      </w:r>
      <w:r w:rsidRPr="0080157B">
        <w:rPr>
          <w:rFonts w:ascii="Times New Roman"/>
        </w:rPr>
        <w:t xml:space="preserve"> hours</w:t>
      </w:r>
    </w:p>
    <w:p w:rsidR="00606D2D" w:rsidRPr="0080157B" w:rsidRDefault="00B24363" w:rsidP="00530278">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7C4025">
        <w:rPr>
          <w:rFonts w:ascii="Times New Roman"/>
        </w:rPr>
        <w:t xml:space="preserve">17,615 </w:t>
      </w:r>
      <w:r w:rsidR="00606D2D" w:rsidRPr="0080157B">
        <w:rPr>
          <w:rFonts w:ascii="Times New Roman"/>
        </w:rPr>
        <w:t>hours × $</w:t>
      </w:r>
      <w:r w:rsidR="00606D2D">
        <w:rPr>
          <w:rFonts w:ascii="Times New Roman"/>
        </w:rPr>
        <w:t>22.82</w:t>
      </w:r>
      <w:r w:rsidR="00606D2D" w:rsidRPr="0080157B">
        <w:rPr>
          <w:rFonts w:ascii="Times New Roman"/>
        </w:rPr>
        <w:t xml:space="preserve"> = $</w:t>
      </w:r>
      <w:r w:rsidR="007C4025">
        <w:rPr>
          <w:rFonts w:ascii="Times New Roman"/>
        </w:rPr>
        <w:t>401,974</w:t>
      </w:r>
    </w:p>
    <w:p w:rsidR="00606D2D" w:rsidRPr="0080157B" w:rsidRDefault="00606D2D" w:rsidP="00530278">
      <w:pPr>
        <w:widowControl/>
        <w:rPr>
          <w:rFonts w:ascii="Times New Roman"/>
          <w:u w:val="single"/>
        </w:rPr>
      </w:pPr>
    </w:p>
    <w:p w:rsidR="00606D2D" w:rsidRPr="0080157B" w:rsidRDefault="00606D2D" w:rsidP="00530278">
      <w:pPr>
        <w:widowControl/>
        <w:rPr>
          <w:rFonts w:ascii="Times New Roman"/>
        </w:rPr>
      </w:pPr>
      <w:r w:rsidRPr="0080157B">
        <w:rPr>
          <w:rFonts w:ascii="Times New Roman"/>
          <w:u w:val="single"/>
        </w:rPr>
        <w:t>Physician's Written Opinion</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OSHA estimates five minutes (.08 hour) of clerical time is needed to give each examined </w:t>
      </w:r>
      <w:r>
        <w:rPr>
          <w:rFonts w:ascii="Times New Roman"/>
        </w:rPr>
        <w:t>worker</w:t>
      </w:r>
      <w:r w:rsidRPr="0080157B">
        <w:rPr>
          <w:rFonts w:ascii="Times New Roman"/>
        </w:rPr>
        <w:t xml:space="preserve"> a copy of the physician's written opinion.</w:t>
      </w:r>
    </w:p>
    <w:p w:rsidR="00606D2D" w:rsidRPr="0080157B" w:rsidRDefault="00606D2D" w:rsidP="00530278">
      <w:pPr>
        <w:widowControl/>
        <w:rPr>
          <w:rFonts w:ascii="Times New Roman"/>
        </w:rPr>
      </w:pPr>
    </w:p>
    <w:p w:rsidR="00606D2D" w:rsidRPr="0080157B" w:rsidRDefault="00606D2D" w:rsidP="00530278">
      <w:pPr>
        <w:widowControl/>
        <w:ind w:firstLine="720"/>
        <w:rPr>
          <w:rFonts w:ascii="Times New Roman"/>
        </w:rPr>
      </w:pPr>
      <w:r w:rsidRPr="0080157B">
        <w:rPr>
          <w:rFonts w:ascii="Times New Roman"/>
          <w:b/>
          <w:bCs/>
        </w:rPr>
        <w:t>Burden hours:</w:t>
      </w:r>
      <w:r w:rsidRPr="0080157B">
        <w:rPr>
          <w:rFonts w:ascii="Times New Roman"/>
        </w:rPr>
        <w:tab/>
      </w:r>
      <w:r w:rsidR="007C4025">
        <w:rPr>
          <w:rFonts w:ascii="Times New Roman"/>
        </w:rPr>
        <w:t>220,185</w:t>
      </w:r>
      <w:r w:rsidRPr="0080157B">
        <w:rPr>
          <w:rFonts w:ascii="Times New Roman"/>
        </w:rPr>
        <w:t xml:space="preserve"> exams × .08 hour = </w:t>
      </w:r>
      <w:r w:rsidR="007C4025">
        <w:rPr>
          <w:rFonts w:ascii="Times New Roman"/>
        </w:rPr>
        <w:t xml:space="preserve">17,615 </w:t>
      </w:r>
      <w:r w:rsidRPr="0080157B">
        <w:rPr>
          <w:rFonts w:ascii="Times New Roman"/>
        </w:rPr>
        <w:t>hours</w:t>
      </w:r>
    </w:p>
    <w:p w:rsidR="00606D2D" w:rsidRPr="0080157B" w:rsidRDefault="00B24363" w:rsidP="00530278">
      <w:pPr>
        <w:widowControl/>
        <w:ind w:left="720" w:firstLine="720"/>
        <w:rPr>
          <w:rFonts w:ascii="Times New Roman"/>
          <w:u w:val="single"/>
        </w:rPr>
      </w:pPr>
      <w:r>
        <w:rPr>
          <w:rFonts w:ascii="Times New Roman"/>
          <w:b/>
          <w:bCs/>
        </w:rPr>
        <w:t xml:space="preserve">  </w:t>
      </w:r>
      <w:r w:rsidR="00606D2D" w:rsidRPr="0080157B">
        <w:rPr>
          <w:rFonts w:ascii="Times New Roman"/>
          <w:b/>
          <w:bCs/>
        </w:rPr>
        <w:t>Costs:</w:t>
      </w:r>
      <w:r w:rsidR="00606D2D" w:rsidRPr="0080157B">
        <w:rPr>
          <w:rFonts w:ascii="Times New Roman"/>
        </w:rPr>
        <w:tab/>
      </w:r>
      <w:r w:rsidR="007C4025">
        <w:rPr>
          <w:rFonts w:ascii="Times New Roman"/>
        </w:rPr>
        <w:t>17,615</w:t>
      </w:r>
      <w:r w:rsidR="00606D2D" w:rsidRPr="0080157B">
        <w:rPr>
          <w:rFonts w:ascii="Times New Roman"/>
        </w:rPr>
        <w:t xml:space="preserve"> hours × $</w:t>
      </w:r>
      <w:r w:rsidR="00606D2D">
        <w:rPr>
          <w:rFonts w:ascii="Times New Roman"/>
        </w:rPr>
        <w:t>22.82</w:t>
      </w:r>
      <w:r w:rsidR="00606D2D" w:rsidRPr="0080157B">
        <w:rPr>
          <w:rFonts w:ascii="Times New Roman"/>
        </w:rPr>
        <w:t xml:space="preserve"> = $</w:t>
      </w:r>
      <w:r w:rsidR="007C4025">
        <w:rPr>
          <w:rFonts w:ascii="Times New Roman"/>
        </w:rPr>
        <w:t>401,974</w:t>
      </w:r>
    </w:p>
    <w:p w:rsidR="00606D2D" w:rsidRDefault="00606D2D" w:rsidP="00530278">
      <w:pPr>
        <w:widowControl/>
        <w:rPr>
          <w:rFonts w:ascii="Times New Roman"/>
          <w:u w:val="single"/>
        </w:rPr>
      </w:pPr>
    </w:p>
    <w:p w:rsidR="00606D2D" w:rsidRPr="0080157B" w:rsidRDefault="00606D2D" w:rsidP="00530278">
      <w:pPr>
        <w:widowControl/>
        <w:rPr>
          <w:rFonts w:ascii="Times New Roman"/>
        </w:rPr>
      </w:pPr>
      <w:r w:rsidRPr="0080157B">
        <w:rPr>
          <w:rFonts w:ascii="Times New Roman"/>
          <w:u w:val="single"/>
        </w:rPr>
        <w:t>Chelation Notification</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 xml:space="preserve">In accordance with the lead standard, each employer must notify each </w:t>
      </w:r>
      <w:r>
        <w:rPr>
          <w:rFonts w:ascii="Times New Roman"/>
        </w:rPr>
        <w:t>worker</w:t>
      </w:r>
      <w:r w:rsidRPr="0080157B">
        <w:rPr>
          <w:rFonts w:ascii="Times New Roman"/>
        </w:rPr>
        <w:t xml:space="preserve"> in writing prior to therapeutic or diagnostic chelation. OSHA has prohibited the use of prophylactic chelation and permits diagnostic and therapeutic only under the supervision of a licensed physician with appropriate medical monitoring in an acceptable clinical setting. </w:t>
      </w:r>
      <w:r>
        <w:rPr>
          <w:rFonts w:ascii="Times New Roman"/>
        </w:rPr>
        <w:t xml:space="preserve"> </w:t>
      </w:r>
      <w:r w:rsidRPr="0080157B">
        <w:rPr>
          <w:rFonts w:ascii="Times New Roman"/>
        </w:rPr>
        <w:t xml:space="preserve">In general, chelation is only performed in severe cases of lead intoxication. Unless severe symptoms are present, therapeutic chelation is not recommended given the opportunity to remove a </w:t>
      </w:r>
      <w:r>
        <w:rPr>
          <w:rFonts w:ascii="Times New Roman"/>
        </w:rPr>
        <w:t>worker</w:t>
      </w:r>
      <w:r w:rsidRPr="0080157B">
        <w:rPr>
          <w:rFonts w:ascii="Times New Roman"/>
        </w:rPr>
        <w:t xml:space="preserve"> from exposure and to allow the body to naturally excrete accumulated lead. </w:t>
      </w:r>
      <w:r>
        <w:rPr>
          <w:rFonts w:ascii="Times New Roman"/>
        </w:rPr>
        <w:t xml:space="preserve"> </w:t>
      </w:r>
      <w:r w:rsidRPr="0080157B">
        <w:rPr>
          <w:rFonts w:ascii="Times New Roman"/>
        </w:rPr>
        <w:t xml:space="preserve">For this reason, OSHA does not anticipate much use of chelation and, consequently, does not foresee the need for large scale notification of worker. </w:t>
      </w:r>
      <w:r>
        <w:rPr>
          <w:rFonts w:ascii="Times New Roman"/>
        </w:rPr>
        <w:t xml:space="preserve"> </w:t>
      </w:r>
      <w:r w:rsidRPr="0080157B">
        <w:rPr>
          <w:rFonts w:ascii="Times New Roman"/>
        </w:rPr>
        <w:t>Therefore, we have estimated that one hour of secretarial time at a cost of $</w:t>
      </w:r>
      <w:r>
        <w:rPr>
          <w:rFonts w:ascii="Times New Roman"/>
        </w:rPr>
        <w:t>23</w:t>
      </w:r>
      <w:r w:rsidRPr="0080157B">
        <w:rPr>
          <w:rFonts w:ascii="Times New Roman"/>
        </w:rPr>
        <w:t>.</w:t>
      </w:r>
    </w:p>
    <w:p w:rsidR="00857660" w:rsidRDefault="00857660">
      <w:pPr>
        <w:widowControl/>
        <w:autoSpaceDE/>
        <w:autoSpaceDN/>
        <w:adjustRightInd/>
        <w:rPr>
          <w:rFonts w:ascii="Times New Roman"/>
          <w:b/>
          <w:bCs/>
        </w:rPr>
      </w:pPr>
    </w:p>
    <w:p w:rsidR="00606D2D" w:rsidRPr="0080157B" w:rsidRDefault="00606D2D" w:rsidP="00530278">
      <w:pPr>
        <w:widowControl/>
        <w:rPr>
          <w:rFonts w:ascii="Times New Roman"/>
        </w:rPr>
      </w:pPr>
      <w:r w:rsidRPr="0080157B">
        <w:rPr>
          <w:rFonts w:ascii="Times New Roman"/>
          <w:b/>
          <w:bCs/>
        </w:rPr>
        <w:t>Employee Information and Training</w:t>
      </w:r>
      <w:r w:rsidRPr="0080157B">
        <w:rPr>
          <w:rFonts w:ascii="Times New Roman"/>
        </w:rPr>
        <w:t xml:space="preserve"> </w:t>
      </w:r>
      <w:r w:rsidRPr="0080157B">
        <w:rPr>
          <w:rFonts w:ascii="Times New Roman"/>
          <w:b/>
          <w:bCs/>
        </w:rPr>
        <w:t>(§ 1910.1025 (l))</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u w:val="single"/>
        </w:rPr>
        <w:t>Training Program</w:t>
      </w:r>
    </w:p>
    <w:p w:rsidR="00606D2D" w:rsidRPr="0080157B" w:rsidRDefault="00606D2D" w:rsidP="00530278">
      <w:pPr>
        <w:widowControl/>
        <w:rPr>
          <w:rFonts w:ascii="Times New Roman"/>
        </w:rPr>
      </w:pPr>
    </w:p>
    <w:p w:rsidR="00606D2D" w:rsidRPr="0080157B" w:rsidRDefault="00606D2D" w:rsidP="00530278">
      <w:pPr>
        <w:widowControl/>
        <w:rPr>
          <w:rFonts w:ascii="Times New Roman"/>
        </w:rPr>
      </w:pPr>
      <w:r w:rsidRPr="0080157B">
        <w:rPr>
          <w:rFonts w:ascii="Times New Roman"/>
        </w:rPr>
        <w:t>As the lead standard contains the majority of the information employers must include in their training programs, OSHA has estimated that preparation of the training program should entail no more than eight hours of a</w:t>
      </w:r>
      <w:r w:rsidR="006E1067">
        <w:rPr>
          <w:rFonts w:ascii="Times New Roman"/>
        </w:rPr>
        <w:t xml:space="preserve"> new</w:t>
      </w:r>
      <w:r w:rsidRPr="0080157B">
        <w:rPr>
          <w:rFonts w:ascii="Times New Roman"/>
        </w:rPr>
        <w:t xml:space="preserve"> employer's time. Since there is no requirement to annually review and update training program, there are no burden hours and costs for reviewing and updating.</w:t>
      </w:r>
    </w:p>
    <w:p w:rsidR="006E1067" w:rsidRDefault="006E1067" w:rsidP="006E1067">
      <w:pPr>
        <w:widowControl/>
        <w:ind w:firstLine="720"/>
        <w:rPr>
          <w:rFonts w:ascii="Times New Roman"/>
          <w:b/>
          <w:bCs/>
        </w:rPr>
      </w:pPr>
    </w:p>
    <w:p w:rsidR="006E1067" w:rsidRPr="0080157B" w:rsidRDefault="006E1067" w:rsidP="006E1067">
      <w:pPr>
        <w:widowControl/>
        <w:ind w:firstLine="720"/>
        <w:rPr>
          <w:rFonts w:ascii="Times New Roman"/>
        </w:rPr>
      </w:pPr>
      <w:r w:rsidRPr="0080157B">
        <w:rPr>
          <w:rFonts w:ascii="Times New Roman"/>
          <w:b/>
          <w:bCs/>
        </w:rPr>
        <w:t>Burden hours:</w:t>
      </w:r>
      <w:r w:rsidRPr="0080157B">
        <w:rPr>
          <w:rFonts w:ascii="Times New Roman"/>
        </w:rPr>
        <w:tab/>
      </w:r>
      <w:r w:rsidR="00FD4E47">
        <w:rPr>
          <w:rFonts w:ascii="Times New Roman"/>
        </w:rPr>
        <w:t xml:space="preserve">2 new </w:t>
      </w:r>
      <w:proofErr w:type="gramStart"/>
      <w:r>
        <w:rPr>
          <w:rFonts w:ascii="Times New Roman"/>
        </w:rPr>
        <w:t>employer</w:t>
      </w:r>
      <w:r w:rsidR="00FD4E47">
        <w:rPr>
          <w:rFonts w:ascii="Times New Roman"/>
        </w:rPr>
        <w:t>s</w:t>
      </w:r>
      <w:proofErr w:type="gramEnd"/>
      <w:r>
        <w:rPr>
          <w:rFonts w:ascii="Times New Roman"/>
        </w:rPr>
        <w:t xml:space="preserve"> × 8</w:t>
      </w:r>
      <w:r w:rsidRPr="0080157B">
        <w:rPr>
          <w:rFonts w:ascii="Times New Roman"/>
        </w:rPr>
        <w:t xml:space="preserve"> hour</w:t>
      </w:r>
      <w:r>
        <w:rPr>
          <w:rFonts w:ascii="Times New Roman"/>
        </w:rPr>
        <w:t>s</w:t>
      </w:r>
      <w:r w:rsidRPr="0080157B">
        <w:rPr>
          <w:rFonts w:ascii="Times New Roman"/>
        </w:rPr>
        <w:t xml:space="preserve"> = </w:t>
      </w:r>
      <w:r>
        <w:rPr>
          <w:rFonts w:ascii="Times New Roman"/>
        </w:rPr>
        <w:t xml:space="preserve">16 </w:t>
      </w:r>
      <w:r w:rsidRPr="0080157B">
        <w:rPr>
          <w:rFonts w:ascii="Times New Roman"/>
        </w:rPr>
        <w:t>hours</w:t>
      </w:r>
    </w:p>
    <w:p w:rsidR="006E1067" w:rsidRPr="0080157B" w:rsidRDefault="006E1067" w:rsidP="006E1067">
      <w:pPr>
        <w:widowControl/>
        <w:ind w:left="720" w:firstLine="720"/>
        <w:rPr>
          <w:rFonts w:ascii="Times New Roman"/>
          <w:u w:val="single"/>
        </w:rPr>
      </w:pPr>
      <w:r>
        <w:rPr>
          <w:rFonts w:ascii="Times New Roman"/>
          <w:b/>
          <w:bCs/>
        </w:rPr>
        <w:t xml:space="preserve">  </w:t>
      </w:r>
      <w:r w:rsidRPr="0080157B">
        <w:rPr>
          <w:rFonts w:ascii="Times New Roman"/>
          <w:b/>
          <w:bCs/>
        </w:rPr>
        <w:t>Costs:</w:t>
      </w:r>
      <w:r w:rsidRPr="0080157B">
        <w:rPr>
          <w:rFonts w:ascii="Times New Roman"/>
        </w:rPr>
        <w:tab/>
      </w:r>
      <w:r>
        <w:rPr>
          <w:rFonts w:ascii="Times New Roman"/>
        </w:rPr>
        <w:t xml:space="preserve">16 </w:t>
      </w:r>
      <w:r w:rsidRPr="0080157B">
        <w:rPr>
          <w:rFonts w:ascii="Times New Roman"/>
        </w:rPr>
        <w:t>hours × $</w:t>
      </w:r>
      <w:r w:rsidR="00FD4E47">
        <w:rPr>
          <w:rFonts w:ascii="Times New Roman"/>
        </w:rPr>
        <w:t xml:space="preserve">53.00 </w:t>
      </w:r>
      <w:r w:rsidRPr="0080157B">
        <w:rPr>
          <w:rFonts w:ascii="Times New Roman"/>
        </w:rPr>
        <w:t>= $</w:t>
      </w:r>
      <w:r w:rsidR="00FD4E47">
        <w:rPr>
          <w:rFonts w:ascii="Times New Roman"/>
        </w:rPr>
        <w:t>848</w:t>
      </w:r>
    </w:p>
    <w:p w:rsidR="00606D2D" w:rsidRPr="008F707C"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b/>
          <w:bCs/>
        </w:rPr>
        <w:t>Recordkeeping</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u w:val="single"/>
        </w:rPr>
        <w:t>Exposure Monitoring Records</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OSHA estimates that employers take 5 minutes (.08 hour) to update and maintain each </w:t>
      </w:r>
      <w:r>
        <w:rPr>
          <w:rFonts w:ascii="Times New Roman"/>
        </w:rPr>
        <w:t>worker</w:t>
      </w:r>
      <w:r w:rsidRPr="0080157B">
        <w:rPr>
          <w:rFonts w:ascii="Times New Roman"/>
        </w:rPr>
        <w:t xml:space="preserve">’s exposure monitoring record annually, and that a secretary fulfills this requirement. The number of </w:t>
      </w:r>
      <w:r>
        <w:rPr>
          <w:rFonts w:ascii="Times New Roman"/>
        </w:rPr>
        <w:t>worker</w:t>
      </w:r>
      <w:r w:rsidRPr="0080157B">
        <w:rPr>
          <w:rFonts w:ascii="Times New Roman"/>
        </w:rPr>
        <w:t xml:space="preserve">s exposed who must be monitored periodically in existing facilities totals </w:t>
      </w:r>
      <w:r w:rsidR="00152B7B">
        <w:rPr>
          <w:rFonts w:ascii="Times New Roman"/>
        </w:rPr>
        <w:t>340,843</w:t>
      </w:r>
      <w:r w:rsidRPr="0080157B">
        <w:rPr>
          <w:rFonts w:ascii="Times New Roman"/>
        </w:rPr>
        <w:t>.</w:t>
      </w:r>
      <w:r w:rsidR="002C5C0E">
        <w:rPr>
          <w:rFonts w:ascii="Times New Roman"/>
        </w:rPr>
        <w:t xml:space="preserve">  The number of workers who will receive initial monitoring in new facilities is 172.</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152B7B">
        <w:rPr>
          <w:rFonts w:ascii="Times New Roman"/>
        </w:rPr>
        <w:t>340,843</w:t>
      </w:r>
      <w:r w:rsidRPr="0080157B">
        <w:rPr>
          <w:rFonts w:ascii="Times New Roman"/>
        </w:rPr>
        <w:t xml:space="preserve"> × .08 hour = </w:t>
      </w:r>
      <w:r w:rsidR="00F12454">
        <w:rPr>
          <w:rFonts w:ascii="Times New Roman"/>
        </w:rPr>
        <w:t>27,267</w:t>
      </w:r>
      <w:r w:rsidRPr="0080157B">
        <w:rPr>
          <w:rFonts w:ascii="Times New Roman"/>
        </w:rPr>
        <w:t xml:space="preserve"> hours</w:t>
      </w:r>
    </w:p>
    <w:p w:rsidR="00606D2D"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F12454">
        <w:rPr>
          <w:rFonts w:ascii="Times New Roman"/>
          <w:bCs/>
        </w:rPr>
        <w:t>27,267</w:t>
      </w:r>
      <w:r w:rsidR="00606D2D" w:rsidRPr="0080157B">
        <w:rPr>
          <w:rFonts w:ascii="Times New Roman"/>
        </w:rPr>
        <w:t xml:space="preserve"> hours × $</w:t>
      </w:r>
      <w:r w:rsidR="00606D2D">
        <w:rPr>
          <w:rFonts w:ascii="Times New Roman"/>
        </w:rPr>
        <w:t>22.82</w:t>
      </w:r>
      <w:r w:rsidR="00606D2D" w:rsidRPr="0080157B">
        <w:rPr>
          <w:rFonts w:ascii="Times New Roman"/>
        </w:rPr>
        <w:t xml:space="preserve"> = $</w:t>
      </w:r>
      <w:r w:rsidR="00F12454">
        <w:rPr>
          <w:rFonts w:ascii="Times New Roman"/>
        </w:rPr>
        <w:t>622,233</w:t>
      </w:r>
    </w:p>
    <w:p w:rsidR="00603346" w:rsidRDefault="00603346" w:rsidP="00A54080">
      <w:pPr>
        <w:widowControl/>
        <w:rPr>
          <w:rFonts w:ascii="Times New Roman"/>
          <w:b/>
          <w:bCs/>
        </w:rPr>
      </w:pPr>
    </w:p>
    <w:p w:rsidR="00603346" w:rsidRPr="0080157B" w:rsidRDefault="00603346" w:rsidP="00603346">
      <w:pPr>
        <w:widowControl/>
        <w:ind w:firstLine="720"/>
        <w:rPr>
          <w:rFonts w:ascii="Times New Roman"/>
        </w:rPr>
      </w:pPr>
      <w:r w:rsidRPr="0080157B">
        <w:rPr>
          <w:rFonts w:ascii="Times New Roman"/>
          <w:b/>
          <w:bCs/>
        </w:rPr>
        <w:t>Burden hours:</w:t>
      </w:r>
      <w:r w:rsidRPr="0080157B">
        <w:rPr>
          <w:rFonts w:ascii="Times New Roman"/>
        </w:rPr>
        <w:tab/>
      </w:r>
      <w:r>
        <w:rPr>
          <w:rFonts w:ascii="Times New Roman"/>
        </w:rPr>
        <w:t xml:space="preserve">172 </w:t>
      </w:r>
      <w:r w:rsidRPr="0080157B">
        <w:rPr>
          <w:rFonts w:ascii="Times New Roman"/>
        </w:rPr>
        <w:t xml:space="preserve">× .08 hour = </w:t>
      </w:r>
      <w:r>
        <w:rPr>
          <w:rFonts w:ascii="Times New Roman"/>
        </w:rPr>
        <w:t xml:space="preserve">14 </w:t>
      </w:r>
    </w:p>
    <w:p w:rsidR="00603346" w:rsidRDefault="00603346" w:rsidP="00603346">
      <w:pPr>
        <w:widowControl/>
        <w:ind w:left="720" w:firstLine="720"/>
        <w:rPr>
          <w:rFonts w:ascii="Times New Roman"/>
        </w:rPr>
      </w:pPr>
      <w:r>
        <w:rPr>
          <w:rFonts w:ascii="Times New Roman"/>
          <w:b/>
          <w:bCs/>
        </w:rPr>
        <w:t xml:space="preserve">  </w:t>
      </w:r>
      <w:r w:rsidRPr="0080157B">
        <w:rPr>
          <w:rFonts w:ascii="Times New Roman"/>
          <w:b/>
          <w:bCs/>
        </w:rPr>
        <w:t>Costs:</w:t>
      </w:r>
      <w:r w:rsidRPr="0080157B">
        <w:rPr>
          <w:rFonts w:ascii="Times New Roman"/>
          <w:b/>
          <w:bCs/>
        </w:rPr>
        <w:tab/>
      </w:r>
      <w:r>
        <w:rPr>
          <w:rFonts w:ascii="Times New Roman"/>
          <w:bCs/>
        </w:rPr>
        <w:t>14 hour</w:t>
      </w:r>
      <w:r w:rsidRPr="0080157B">
        <w:rPr>
          <w:rFonts w:ascii="Times New Roman"/>
        </w:rPr>
        <w:t xml:space="preserve"> × $</w:t>
      </w:r>
      <w:r>
        <w:rPr>
          <w:rFonts w:ascii="Times New Roman"/>
        </w:rPr>
        <w:t>22.82</w:t>
      </w:r>
      <w:r w:rsidRPr="0080157B">
        <w:rPr>
          <w:rFonts w:ascii="Times New Roman"/>
        </w:rPr>
        <w:t xml:space="preserve"> = $</w:t>
      </w:r>
      <w:r>
        <w:rPr>
          <w:rFonts w:ascii="Times New Roman"/>
        </w:rPr>
        <w:t>319</w:t>
      </w:r>
    </w:p>
    <w:p w:rsidR="00292F90" w:rsidRDefault="00292F90" w:rsidP="006B2D2C">
      <w:pPr>
        <w:widowControl/>
        <w:rPr>
          <w:rFonts w:ascii="Times New Roman"/>
          <w:b/>
          <w:bCs/>
        </w:rPr>
      </w:pPr>
    </w:p>
    <w:p w:rsidR="00603346" w:rsidRPr="00292F90" w:rsidRDefault="00292F90" w:rsidP="006B2D2C">
      <w:pPr>
        <w:widowControl/>
        <w:rPr>
          <w:rFonts w:ascii="Times New Roman"/>
        </w:rPr>
      </w:pPr>
      <w:r w:rsidRPr="00292F90">
        <w:rPr>
          <w:rFonts w:ascii="Times New Roman"/>
          <w:bCs/>
        </w:rPr>
        <w:t xml:space="preserve">Therefore, the burden hour total is </w:t>
      </w:r>
      <w:r>
        <w:rPr>
          <w:rFonts w:ascii="Times New Roman"/>
          <w:bCs/>
        </w:rPr>
        <w:t>27,281 and the total cost is $622,552.</w:t>
      </w:r>
    </w:p>
    <w:p w:rsidR="00606D2D" w:rsidRPr="0080157B" w:rsidRDefault="00606D2D" w:rsidP="00606D2D">
      <w:pPr>
        <w:widowControl/>
        <w:ind w:firstLine="720"/>
        <w:rPr>
          <w:rFonts w:ascii="Times New Roman"/>
          <w:u w:val="single"/>
        </w:rPr>
      </w:pPr>
    </w:p>
    <w:p w:rsidR="00606D2D" w:rsidRPr="0080157B" w:rsidRDefault="00606D2D" w:rsidP="00606D2D">
      <w:pPr>
        <w:widowControl/>
        <w:rPr>
          <w:rFonts w:ascii="Times New Roman"/>
        </w:rPr>
      </w:pPr>
      <w:r w:rsidRPr="0080157B">
        <w:rPr>
          <w:rFonts w:ascii="Times New Roman"/>
          <w:u w:val="single"/>
        </w:rPr>
        <w:t>Medical Surveillance Records</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OSHA estimates employers take 10 minutes (.17 hour) to establish, update, and maintain </w:t>
      </w:r>
      <w:r>
        <w:rPr>
          <w:rFonts w:ascii="Times New Roman"/>
        </w:rPr>
        <w:t>worker</w:t>
      </w:r>
      <w:r w:rsidRPr="0080157B">
        <w:rPr>
          <w:rFonts w:ascii="Times New Roman"/>
        </w:rPr>
        <w:t xml:space="preserve"> medical surveillance records. The number of records to be created and maintained in each industrial sector is based on the number of </w:t>
      </w:r>
      <w:r>
        <w:rPr>
          <w:rFonts w:ascii="Times New Roman"/>
        </w:rPr>
        <w:t>worker</w:t>
      </w:r>
      <w:r w:rsidRPr="0080157B">
        <w:rPr>
          <w:rFonts w:ascii="Times New Roman"/>
        </w:rPr>
        <w:t>s exposed who must be provided medical examinations due to their occupational exposure to lead.</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152B7B">
        <w:rPr>
          <w:rFonts w:ascii="Times New Roman"/>
        </w:rPr>
        <w:t>340,843</w:t>
      </w:r>
      <w:r>
        <w:rPr>
          <w:rFonts w:ascii="Times New Roman"/>
        </w:rPr>
        <w:t xml:space="preserve"> worker</w:t>
      </w:r>
      <w:r w:rsidRPr="0080157B">
        <w:rPr>
          <w:rFonts w:ascii="Times New Roman"/>
        </w:rPr>
        <w:t xml:space="preserve">s × .17 hour = </w:t>
      </w:r>
      <w:r w:rsidR="00F12454">
        <w:rPr>
          <w:rFonts w:ascii="Times New Roman"/>
        </w:rPr>
        <w:t xml:space="preserve">57,943 </w:t>
      </w:r>
      <w:r w:rsidRPr="0080157B">
        <w:rPr>
          <w:rFonts w:ascii="Times New Roman"/>
        </w:rPr>
        <w:t>hours</w:t>
      </w:r>
    </w:p>
    <w:p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F12454">
        <w:rPr>
          <w:rFonts w:ascii="Times New Roman"/>
        </w:rPr>
        <w:t xml:space="preserve">57,943 </w:t>
      </w:r>
      <w:r w:rsidR="00606D2D" w:rsidRPr="0080157B">
        <w:rPr>
          <w:rFonts w:ascii="Times New Roman"/>
        </w:rPr>
        <w:t>hours × $</w:t>
      </w:r>
      <w:r w:rsidR="00606D2D">
        <w:rPr>
          <w:rFonts w:ascii="Times New Roman"/>
        </w:rPr>
        <w:t>22.82</w:t>
      </w:r>
      <w:r w:rsidR="00606D2D" w:rsidRPr="0080157B">
        <w:rPr>
          <w:rFonts w:ascii="Times New Roman"/>
        </w:rPr>
        <w:t xml:space="preserve"> = $</w:t>
      </w:r>
      <w:r w:rsidR="00F12454">
        <w:rPr>
          <w:rFonts w:ascii="Times New Roman"/>
        </w:rPr>
        <w:t>1,322,259</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u w:val="single"/>
        </w:rPr>
        <w:t>Medical Removal Records</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Approximately five percent of the </w:t>
      </w:r>
      <w:r w:rsidR="009538AD">
        <w:rPr>
          <w:rFonts w:ascii="Times New Roman"/>
        </w:rPr>
        <w:t xml:space="preserve">20,451 </w:t>
      </w:r>
      <w:r>
        <w:rPr>
          <w:rFonts w:ascii="Times New Roman"/>
        </w:rPr>
        <w:t>worker</w:t>
      </w:r>
      <w:r w:rsidRPr="0080157B">
        <w:rPr>
          <w:rFonts w:ascii="Times New Roman"/>
        </w:rPr>
        <w:t>s are removed from lead exposure as a result of their being found to have blood lead levels in excess of 50 µg / 100 g. OSHA estimates that approximately 5 minutes (.08 hour) will be required to establish and maintain medical removal records.</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9538AD">
        <w:rPr>
          <w:rFonts w:ascii="Times New Roman"/>
        </w:rPr>
        <w:t xml:space="preserve">20,451 </w:t>
      </w:r>
      <w:r w:rsidRPr="0080157B">
        <w:rPr>
          <w:rFonts w:ascii="Times New Roman"/>
        </w:rPr>
        <w:t xml:space="preserve">records × 5% × .08 hour = </w:t>
      </w:r>
      <w:r w:rsidR="00F12454">
        <w:rPr>
          <w:rFonts w:ascii="Times New Roman"/>
        </w:rPr>
        <w:t>82</w:t>
      </w:r>
      <w:r w:rsidRPr="0080157B">
        <w:rPr>
          <w:rFonts w:ascii="Times New Roman"/>
        </w:rPr>
        <w:t xml:space="preserve"> hours</w:t>
      </w:r>
    </w:p>
    <w:p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F12454">
        <w:rPr>
          <w:rFonts w:ascii="Times New Roman"/>
        </w:rPr>
        <w:t xml:space="preserve">82 </w:t>
      </w:r>
      <w:r w:rsidR="00606D2D" w:rsidRPr="0080157B">
        <w:rPr>
          <w:rFonts w:ascii="Times New Roman"/>
        </w:rPr>
        <w:t>hours × $</w:t>
      </w:r>
      <w:r w:rsidR="00606D2D">
        <w:rPr>
          <w:rFonts w:ascii="Times New Roman"/>
        </w:rPr>
        <w:t>22.82</w:t>
      </w:r>
      <w:r w:rsidR="00606D2D" w:rsidRPr="0080157B">
        <w:rPr>
          <w:rFonts w:ascii="Times New Roman"/>
        </w:rPr>
        <w:t xml:space="preserve"> = $</w:t>
      </w:r>
      <w:r w:rsidR="00F12454">
        <w:rPr>
          <w:rFonts w:ascii="Times New Roman"/>
        </w:rPr>
        <w:t>1,871</w:t>
      </w:r>
    </w:p>
    <w:p w:rsidR="00606D2D" w:rsidRPr="0080157B" w:rsidRDefault="00606D2D" w:rsidP="00606D2D">
      <w:pPr>
        <w:widowControl/>
        <w:rPr>
          <w:rFonts w:ascii="Times New Roman"/>
          <w:u w:val="single"/>
        </w:rPr>
      </w:pPr>
    </w:p>
    <w:p w:rsidR="00606D2D" w:rsidRPr="0080157B" w:rsidRDefault="00606D2D" w:rsidP="00606D2D">
      <w:pPr>
        <w:widowControl/>
        <w:rPr>
          <w:rFonts w:ascii="Times New Roman"/>
        </w:rPr>
      </w:pPr>
      <w:r w:rsidRPr="0080157B">
        <w:rPr>
          <w:rFonts w:ascii="Times New Roman"/>
          <w:u w:val="single"/>
        </w:rPr>
        <w:t>Employee Access</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OSHA has no information that permits any confident determination of the number of </w:t>
      </w:r>
      <w:r>
        <w:rPr>
          <w:rFonts w:ascii="Times New Roman"/>
        </w:rPr>
        <w:t>worker</w:t>
      </w:r>
      <w:r w:rsidRPr="0080157B">
        <w:rPr>
          <w:rFonts w:ascii="Times New Roman"/>
        </w:rPr>
        <w:t xml:space="preserve">s who will request access to their exposure monitoring, medical, and/or medical removal records each year. </w:t>
      </w:r>
      <w:r w:rsidR="00515D3B">
        <w:rPr>
          <w:rFonts w:ascii="Times New Roman"/>
        </w:rPr>
        <w:t xml:space="preserve"> </w:t>
      </w:r>
      <w:r w:rsidRPr="0080157B">
        <w:rPr>
          <w:rFonts w:ascii="Times New Roman"/>
        </w:rPr>
        <w:t xml:space="preserve">OSHA therefore assumes that approximately 10 percent of </w:t>
      </w:r>
      <w:r>
        <w:rPr>
          <w:rFonts w:ascii="Times New Roman"/>
        </w:rPr>
        <w:t>worker</w:t>
      </w:r>
      <w:r w:rsidRPr="0080157B">
        <w:rPr>
          <w:rFonts w:ascii="Times New Roman"/>
        </w:rPr>
        <w:t xml:space="preserve">s exposed to lead </w:t>
      </w:r>
      <w:r w:rsidR="00341E56">
        <w:rPr>
          <w:rFonts w:ascii="Times New Roman"/>
        </w:rPr>
        <w:t xml:space="preserve">at or above the </w:t>
      </w:r>
      <w:r w:rsidRPr="0080157B">
        <w:rPr>
          <w:rFonts w:ascii="Times New Roman"/>
        </w:rPr>
        <w:t>action level will annually request access to these records. Providing access will require approximately 5 minutes (.08 hour) per request.</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152B7B">
        <w:rPr>
          <w:rFonts w:ascii="Times New Roman"/>
        </w:rPr>
        <w:t>340,843</w:t>
      </w:r>
      <w:r w:rsidRPr="0080157B">
        <w:rPr>
          <w:rFonts w:ascii="Times New Roman"/>
        </w:rPr>
        <w:t xml:space="preserve"> </w:t>
      </w:r>
      <w:r>
        <w:rPr>
          <w:rFonts w:ascii="Times New Roman"/>
        </w:rPr>
        <w:t>worker</w:t>
      </w:r>
      <w:r w:rsidRPr="0080157B">
        <w:rPr>
          <w:rFonts w:ascii="Times New Roman"/>
        </w:rPr>
        <w:t xml:space="preserve">s × 10% × .08 hour = </w:t>
      </w:r>
      <w:r w:rsidR="00F12454">
        <w:rPr>
          <w:rFonts w:ascii="Times New Roman"/>
        </w:rPr>
        <w:t>2,727</w:t>
      </w:r>
      <w:r w:rsidRPr="0080157B">
        <w:rPr>
          <w:rFonts w:ascii="Times New Roman"/>
        </w:rPr>
        <w:t xml:space="preserve"> hours</w:t>
      </w:r>
    </w:p>
    <w:p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b/>
          <w:bCs/>
        </w:rPr>
        <w:tab/>
      </w:r>
      <w:r w:rsidR="00F12454">
        <w:rPr>
          <w:rFonts w:ascii="Times New Roman"/>
        </w:rPr>
        <w:t>2,727</w:t>
      </w:r>
      <w:r w:rsidR="00606D2D" w:rsidRPr="0080157B">
        <w:rPr>
          <w:rFonts w:ascii="Times New Roman"/>
        </w:rPr>
        <w:t xml:space="preserve"> hours × $</w:t>
      </w:r>
      <w:r w:rsidR="00606D2D">
        <w:rPr>
          <w:rFonts w:ascii="Times New Roman"/>
        </w:rPr>
        <w:t>22.82</w:t>
      </w:r>
      <w:r w:rsidR="00606D2D" w:rsidRPr="0080157B">
        <w:rPr>
          <w:rFonts w:ascii="Times New Roman"/>
        </w:rPr>
        <w:t xml:space="preserve"> = $</w:t>
      </w:r>
      <w:r w:rsidR="00F12454">
        <w:rPr>
          <w:rFonts w:ascii="Times New Roman"/>
        </w:rPr>
        <w:t>62,230</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u w:val="single"/>
        </w:rPr>
        <w:t>Federal Access</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 xml:space="preserve">The employer must provide, upon request, compliance plans, exposure monitoring, medical surveillance, and </w:t>
      </w:r>
      <w:r>
        <w:rPr>
          <w:rFonts w:ascii="Times New Roman"/>
        </w:rPr>
        <w:t>worker</w:t>
      </w:r>
      <w:r w:rsidRPr="0080157B">
        <w:rPr>
          <w:rFonts w:ascii="Times New Roman"/>
        </w:rPr>
        <w:t xml:space="preserve"> training and information program to the Assistant Secretary and the Director. </w:t>
      </w:r>
      <w:r>
        <w:rPr>
          <w:rFonts w:ascii="Times New Roman"/>
        </w:rPr>
        <w:t xml:space="preserve"> S</w:t>
      </w:r>
      <w:r w:rsidRPr="0080157B">
        <w:rPr>
          <w:rFonts w:ascii="Times New Roman"/>
        </w:rPr>
        <w:t xml:space="preserve">uch requests would occur in the context of a compliance inspection. </w:t>
      </w:r>
      <w:r>
        <w:rPr>
          <w:rFonts w:ascii="Times New Roman"/>
        </w:rPr>
        <w:t xml:space="preserve">The Agency estimates that OSHA compliance officers will conduct </w:t>
      </w:r>
      <w:r w:rsidR="00F12454">
        <w:rPr>
          <w:rFonts w:ascii="Times New Roman"/>
        </w:rPr>
        <w:t>797</w:t>
      </w:r>
      <w:r>
        <w:rPr>
          <w:rFonts w:ascii="Times New Roman"/>
        </w:rPr>
        <w:t xml:space="preserve"> inspections annually </w:t>
      </w:r>
      <w:r w:rsidRPr="0080157B">
        <w:rPr>
          <w:rFonts w:ascii="Times New Roman"/>
        </w:rPr>
        <w:t xml:space="preserve">where OSHA could </w:t>
      </w:r>
      <w:r>
        <w:rPr>
          <w:rFonts w:ascii="Times New Roman"/>
        </w:rPr>
        <w:t xml:space="preserve">request </w:t>
      </w:r>
      <w:r w:rsidRPr="0080157B">
        <w:rPr>
          <w:rFonts w:ascii="Times New Roman"/>
        </w:rPr>
        <w:t>access to exposure monitoring, medical surveillance, and training materials.</w:t>
      </w:r>
      <w:r w:rsidRPr="00104E1E">
        <w:rPr>
          <w:rStyle w:val="FootnoteReference"/>
          <w:vertAlign w:val="superscript"/>
        </w:rPr>
        <w:footnoteReference w:id="5"/>
      </w:r>
      <w:r w:rsidRPr="0080157B">
        <w:rPr>
          <w:rFonts w:ascii="Times New Roman"/>
        </w:rPr>
        <w:t xml:space="preserve"> </w:t>
      </w:r>
      <w:r w:rsidRPr="0080157B">
        <w:rPr>
          <w:rFonts w:ascii="Times New Roman"/>
        </w:rPr>
        <w:lastRenderedPageBreak/>
        <w:t>Providing access to such materials should require no more than 5 minutes of supervisor time ($</w:t>
      </w:r>
      <w:r>
        <w:rPr>
          <w:rFonts w:ascii="Times New Roman"/>
        </w:rPr>
        <w:t>53</w:t>
      </w:r>
      <w:r w:rsidRPr="0080157B">
        <w:rPr>
          <w:rFonts w:ascii="Times New Roman"/>
        </w:rPr>
        <w:t>).</w:t>
      </w:r>
    </w:p>
    <w:p w:rsidR="00606D2D" w:rsidRPr="0080157B" w:rsidRDefault="00606D2D" w:rsidP="00606D2D">
      <w:pPr>
        <w:widowControl/>
        <w:rPr>
          <w:rFonts w:ascii="Times New Roman"/>
        </w:rPr>
      </w:pPr>
    </w:p>
    <w:p w:rsidR="00606D2D" w:rsidRPr="0080157B" w:rsidRDefault="00606D2D" w:rsidP="00606D2D">
      <w:pPr>
        <w:widowControl/>
        <w:ind w:firstLine="720"/>
        <w:rPr>
          <w:rFonts w:ascii="Times New Roman"/>
        </w:rPr>
      </w:pPr>
      <w:r w:rsidRPr="0080157B">
        <w:rPr>
          <w:rFonts w:ascii="Times New Roman"/>
          <w:b/>
          <w:bCs/>
        </w:rPr>
        <w:t>Burden hours:</w:t>
      </w:r>
      <w:r w:rsidRPr="0080157B">
        <w:rPr>
          <w:rFonts w:ascii="Times New Roman"/>
        </w:rPr>
        <w:tab/>
      </w:r>
      <w:r w:rsidR="00F12454">
        <w:rPr>
          <w:rFonts w:ascii="Times New Roman"/>
        </w:rPr>
        <w:t>797</w:t>
      </w:r>
      <w:r>
        <w:rPr>
          <w:rFonts w:ascii="Times New Roman"/>
        </w:rPr>
        <w:t xml:space="preserve"> </w:t>
      </w:r>
      <w:r w:rsidRPr="0080157B">
        <w:rPr>
          <w:rFonts w:ascii="Times New Roman"/>
        </w:rPr>
        <w:t xml:space="preserve">inspections × .08 hour = </w:t>
      </w:r>
      <w:r w:rsidR="00F12454">
        <w:rPr>
          <w:rFonts w:ascii="Times New Roman"/>
        </w:rPr>
        <w:t>64</w:t>
      </w:r>
      <w:r w:rsidRPr="0080157B">
        <w:rPr>
          <w:rFonts w:ascii="Times New Roman"/>
        </w:rPr>
        <w:t xml:space="preserve"> hours</w:t>
      </w:r>
    </w:p>
    <w:p w:rsidR="00606D2D" w:rsidRPr="0080157B" w:rsidRDefault="00515D3B" w:rsidP="00606D2D">
      <w:pPr>
        <w:widowControl/>
        <w:ind w:left="720" w:firstLine="720"/>
        <w:rPr>
          <w:rFonts w:ascii="Times New Roman"/>
        </w:rPr>
      </w:pPr>
      <w:r>
        <w:rPr>
          <w:rFonts w:ascii="Times New Roman"/>
          <w:b/>
          <w:bCs/>
        </w:rPr>
        <w:t xml:space="preserve">  </w:t>
      </w:r>
      <w:r w:rsidR="00606D2D" w:rsidRPr="0080157B">
        <w:rPr>
          <w:rFonts w:ascii="Times New Roman"/>
          <w:b/>
          <w:bCs/>
        </w:rPr>
        <w:t>Costs:</w:t>
      </w:r>
      <w:r w:rsidR="00606D2D" w:rsidRPr="0080157B">
        <w:rPr>
          <w:rFonts w:ascii="Times New Roman"/>
        </w:rPr>
        <w:tab/>
      </w:r>
      <w:r w:rsidR="00F12454">
        <w:rPr>
          <w:rFonts w:ascii="Times New Roman"/>
        </w:rPr>
        <w:t>64</w:t>
      </w:r>
      <w:r w:rsidR="00606D2D" w:rsidRPr="0080157B">
        <w:rPr>
          <w:rFonts w:ascii="Times New Roman"/>
        </w:rPr>
        <w:t xml:space="preserve"> hours × $</w:t>
      </w:r>
      <w:r w:rsidR="00606D2D">
        <w:rPr>
          <w:rFonts w:ascii="Times New Roman"/>
        </w:rPr>
        <w:t>53</w:t>
      </w:r>
      <w:r w:rsidR="00606D2D" w:rsidRPr="0080157B">
        <w:rPr>
          <w:rFonts w:ascii="Times New Roman"/>
        </w:rPr>
        <w:t xml:space="preserve"> = $</w:t>
      </w:r>
      <w:r w:rsidR="00F12454">
        <w:rPr>
          <w:rFonts w:ascii="Times New Roman"/>
        </w:rPr>
        <w:t>3,392</w:t>
      </w:r>
    </w:p>
    <w:p w:rsidR="00292F90" w:rsidRDefault="00292F90">
      <w:pPr>
        <w:widowControl/>
        <w:autoSpaceDE/>
        <w:autoSpaceDN/>
        <w:adjustRightInd/>
        <w:rPr>
          <w:rFonts w:ascii="Times New Roman"/>
          <w:b/>
        </w:rPr>
      </w:pPr>
      <w:r>
        <w:rPr>
          <w:rFonts w:ascii="Times New Roman"/>
          <w:b/>
        </w:rPr>
        <w:br w:type="page"/>
      </w:r>
    </w:p>
    <w:p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lastRenderedPageBreak/>
        <w:t>Table 1</w:t>
      </w:r>
    </w:p>
    <w:p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Summary of Burden Hours and Costs for the</w:t>
      </w:r>
    </w:p>
    <w:p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Collections of Information contained in the</w:t>
      </w:r>
    </w:p>
    <w:p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r w:rsidRPr="001E59E0">
        <w:rPr>
          <w:rFonts w:ascii="Times New Roman"/>
          <w:b/>
        </w:rPr>
        <w:t>Lead in General Industry Standard</w:t>
      </w:r>
    </w:p>
    <w:p w:rsidR="002C49DA"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tbl>
      <w:tblPr>
        <w:tblW w:w="10170" w:type="dxa"/>
        <w:tblInd w:w="18" w:type="dxa"/>
        <w:tblLayout w:type="fixed"/>
        <w:tblLook w:val="04A0" w:firstRow="1" w:lastRow="0" w:firstColumn="1" w:lastColumn="0" w:noHBand="0" w:noVBand="1"/>
      </w:tblPr>
      <w:tblGrid>
        <w:gridCol w:w="3690"/>
        <w:gridCol w:w="1350"/>
        <w:gridCol w:w="1260"/>
        <w:gridCol w:w="1350"/>
        <w:gridCol w:w="1260"/>
        <w:gridCol w:w="1260"/>
      </w:tblGrid>
      <w:tr w:rsidR="002C49DA" w:rsidRPr="009863D4" w:rsidTr="005317C7">
        <w:trPr>
          <w:trHeight w:val="558"/>
          <w:tblHeader/>
        </w:trPr>
        <w:tc>
          <w:tcPr>
            <w:tcW w:w="3690" w:type="dxa"/>
            <w:tcBorders>
              <w:top w:val="double" w:sz="6" w:space="0" w:color="000000"/>
              <w:left w:val="double" w:sz="6" w:space="0" w:color="000000"/>
              <w:bottom w:val="double" w:sz="6" w:space="0" w:color="000000"/>
              <w:right w:val="single" w:sz="8" w:space="0" w:color="000000"/>
            </w:tcBorders>
            <w:shd w:val="clear" w:color="auto" w:fill="auto"/>
            <w:vAlign w:val="bottom"/>
          </w:tcPr>
          <w:p w:rsidR="002C49DA" w:rsidRPr="009863D4" w:rsidRDefault="002C49DA" w:rsidP="00DB0F76">
            <w:pPr>
              <w:widowControl/>
              <w:autoSpaceDE/>
              <w:autoSpaceDN/>
              <w:adjustRightInd/>
              <w:jc w:val="center"/>
              <w:rPr>
                <w:rFonts w:ascii="Times New Roman" w:eastAsia="Times New Roman"/>
                <w:b/>
                <w:bCs/>
                <w:color w:val="000000"/>
                <w:sz w:val="20"/>
                <w:szCs w:val="20"/>
              </w:rPr>
            </w:pPr>
            <w:r w:rsidRPr="009863D4">
              <w:rPr>
                <w:rFonts w:ascii="Times New Roman" w:eastAsia="Times New Roman"/>
                <w:b/>
                <w:bCs/>
                <w:color w:val="000000"/>
                <w:sz w:val="20"/>
                <w:szCs w:val="20"/>
              </w:rPr>
              <w:t>Information Collection Requirement</w:t>
            </w:r>
          </w:p>
        </w:tc>
        <w:tc>
          <w:tcPr>
            <w:tcW w:w="1350" w:type="dxa"/>
            <w:tcBorders>
              <w:top w:val="double" w:sz="6" w:space="0" w:color="000000"/>
              <w:left w:val="nil"/>
              <w:bottom w:val="double" w:sz="6" w:space="0" w:color="000000"/>
              <w:right w:val="single" w:sz="8" w:space="0" w:color="000000"/>
            </w:tcBorders>
            <w:shd w:val="clear" w:color="auto" w:fill="auto"/>
            <w:vAlign w:val="bottom"/>
          </w:tcPr>
          <w:p w:rsidR="002C49DA" w:rsidRPr="009863D4" w:rsidRDefault="002C49DA" w:rsidP="00DB0F76">
            <w:pPr>
              <w:widowControl/>
              <w:autoSpaceDE/>
              <w:autoSpaceDN/>
              <w:adjustRightInd/>
              <w:jc w:val="center"/>
              <w:rPr>
                <w:rFonts w:ascii="Times New Roman" w:eastAsia="Times New Roman"/>
                <w:b/>
                <w:bCs/>
                <w:color w:val="000000"/>
                <w:sz w:val="20"/>
                <w:szCs w:val="20"/>
              </w:rPr>
            </w:pPr>
            <w:r w:rsidRPr="009863D4">
              <w:rPr>
                <w:rFonts w:ascii="Times New Roman" w:eastAsia="Times New Roman"/>
                <w:b/>
                <w:bCs/>
                <w:color w:val="000000"/>
                <w:sz w:val="20"/>
                <w:szCs w:val="20"/>
              </w:rPr>
              <w:t>Responses</w:t>
            </w:r>
          </w:p>
        </w:tc>
        <w:tc>
          <w:tcPr>
            <w:tcW w:w="1260" w:type="dxa"/>
            <w:tcBorders>
              <w:top w:val="double" w:sz="6" w:space="0" w:color="000000"/>
              <w:left w:val="nil"/>
              <w:bottom w:val="double" w:sz="6" w:space="0" w:color="000000"/>
              <w:right w:val="single" w:sz="8" w:space="0" w:color="000000"/>
            </w:tcBorders>
            <w:shd w:val="clear" w:color="auto" w:fill="auto"/>
            <w:vAlign w:val="bottom"/>
          </w:tcPr>
          <w:p w:rsidR="002C49DA" w:rsidRPr="009863D4" w:rsidRDefault="002C49DA" w:rsidP="00DB0F76">
            <w:pPr>
              <w:widowControl/>
              <w:autoSpaceDE/>
              <w:autoSpaceDN/>
              <w:adjustRightInd/>
              <w:jc w:val="center"/>
              <w:rPr>
                <w:rFonts w:ascii="Times New Roman" w:eastAsia="Times New Roman"/>
                <w:b/>
                <w:bCs/>
                <w:color w:val="000000"/>
                <w:sz w:val="20"/>
                <w:szCs w:val="20"/>
              </w:rPr>
            </w:pPr>
            <w:r w:rsidRPr="009863D4">
              <w:rPr>
                <w:rFonts w:ascii="Times New Roman" w:eastAsia="Times New Roman"/>
                <w:b/>
                <w:bCs/>
                <w:color w:val="000000"/>
                <w:sz w:val="20"/>
                <w:szCs w:val="20"/>
              </w:rPr>
              <w:t xml:space="preserve">Current Burden Hours </w:t>
            </w:r>
            <w:r w:rsidRPr="009863D4">
              <w:rPr>
                <w:rFonts w:hAnsi="@MS Mincho" w:hint="eastAsia"/>
                <w:color w:val="000000"/>
                <w:sz w:val="16"/>
                <w:szCs w:val="16"/>
              </w:rPr>
              <w:t> </w:t>
            </w:r>
          </w:p>
        </w:tc>
        <w:tc>
          <w:tcPr>
            <w:tcW w:w="1350" w:type="dxa"/>
            <w:tcBorders>
              <w:top w:val="double" w:sz="6" w:space="0" w:color="000000"/>
              <w:left w:val="nil"/>
              <w:bottom w:val="double" w:sz="6" w:space="0" w:color="000000"/>
              <w:right w:val="single" w:sz="8" w:space="0" w:color="000000"/>
            </w:tcBorders>
            <w:shd w:val="clear" w:color="auto" w:fill="auto"/>
            <w:vAlign w:val="bottom"/>
          </w:tcPr>
          <w:p w:rsidR="002C49DA" w:rsidRPr="009863D4" w:rsidRDefault="002C49DA" w:rsidP="00DB0F76">
            <w:pPr>
              <w:widowControl/>
              <w:autoSpaceDE/>
              <w:autoSpaceDN/>
              <w:adjustRightInd/>
              <w:jc w:val="center"/>
              <w:rPr>
                <w:rFonts w:ascii="Times New Roman" w:eastAsia="Times New Roman"/>
                <w:b/>
                <w:bCs/>
                <w:color w:val="000000"/>
                <w:sz w:val="20"/>
                <w:szCs w:val="20"/>
              </w:rPr>
            </w:pPr>
            <w:r w:rsidRPr="009863D4">
              <w:rPr>
                <w:rFonts w:ascii="Times New Roman" w:eastAsia="Times New Roman"/>
                <w:b/>
                <w:bCs/>
                <w:color w:val="000000"/>
                <w:sz w:val="20"/>
                <w:szCs w:val="20"/>
              </w:rPr>
              <w:t>Proposed Burden Hours</w:t>
            </w:r>
          </w:p>
        </w:tc>
        <w:tc>
          <w:tcPr>
            <w:tcW w:w="1260" w:type="dxa"/>
            <w:tcBorders>
              <w:top w:val="double" w:sz="6" w:space="0" w:color="000000"/>
              <w:left w:val="nil"/>
              <w:bottom w:val="double" w:sz="6" w:space="0" w:color="000000"/>
              <w:right w:val="single" w:sz="8" w:space="0" w:color="000000"/>
            </w:tcBorders>
            <w:shd w:val="clear" w:color="auto" w:fill="auto"/>
            <w:vAlign w:val="bottom"/>
          </w:tcPr>
          <w:p w:rsidR="002C49DA" w:rsidRPr="009863D4" w:rsidRDefault="002C49DA" w:rsidP="00AC6E61">
            <w:pPr>
              <w:widowControl/>
              <w:autoSpaceDE/>
              <w:autoSpaceDN/>
              <w:adjustRightInd/>
              <w:jc w:val="center"/>
              <w:rPr>
                <w:rFonts w:ascii="Times New Roman" w:eastAsia="Times New Roman"/>
                <w:b/>
                <w:bCs/>
                <w:color w:val="000000"/>
                <w:sz w:val="20"/>
                <w:szCs w:val="20"/>
              </w:rPr>
            </w:pPr>
            <w:r w:rsidRPr="009863D4">
              <w:rPr>
                <w:rFonts w:ascii="Times New Roman" w:eastAsia="Times New Roman"/>
                <w:b/>
                <w:bCs/>
                <w:color w:val="000000"/>
                <w:sz w:val="20"/>
                <w:szCs w:val="20"/>
              </w:rPr>
              <w:t>Change</w:t>
            </w:r>
          </w:p>
        </w:tc>
        <w:tc>
          <w:tcPr>
            <w:tcW w:w="1260" w:type="dxa"/>
            <w:tcBorders>
              <w:top w:val="double" w:sz="6" w:space="0" w:color="000000"/>
              <w:left w:val="nil"/>
              <w:bottom w:val="double" w:sz="6" w:space="0" w:color="000000"/>
              <w:right w:val="double" w:sz="6" w:space="0" w:color="000000"/>
            </w:tcBorders>
            <w:shd w:val="clear" w:color="auto" w:fill="auto"/>
            <w:vAlign w:val="bottom"/>
          </w:tcPr>
          <w:p w:rsidR="002C49DA" w:rsidRPr="009863D4" w:rsidRDefault="002C49DA" w:rsidP="00DB0F76">
            <w:pPr>
              <w:widowControl/>
              <w:autoSpaceDE/>
              <w:autoSpaceDN/>
              <w:adjustRightInd/>
              <w:jc w:val="center"/>
              <w:rPr>
                <w:rFonts w:ascii="Times New Roman" w:eastAsia="Times New Roman"/>
                <w:b/>
                <w:bCs/>
                <w:color w:val="000000"/>
                <w:sz w:val="20"/>
                <w:szCs w:val="20"/>
              </w:rPr>
            </w:pPr>
            <w:r w:rsidRPr="009863D4">
              <w:rPr>
                <w:rFonts w:ascii="Times New Roman" w:eastAsia="Times New Roman"/>
                <w:b/>
                <w:bCs/>
                <w:color w:val="000000"/>
                <w:sz w:val="20"/>
                <w:szCs w:val="20"/>
              </w:rPr>
              <w:t>Estimated Cost</w:t>
            </w:r>
          </w:p>
        </w:tc>
      </w:tr>
      <w:tr w:rsidR="002C49DA" w:rsidRPr="009863D4" w:rsidTr="005317C7">
        <w:trPr>
          <w:trHeight w:val="330"/>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EXPOSURE MONITORING</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Initial Exposure Measurement</w:t>
            </w:r>
          </w:p>
        </w:tc>
        <w:tc>
          <w:tcPr>
            <w:tcW w:w="1350" w:type="dxa"/>
            <w:tcBorders>
              <w:top w:val="nil"/>
              <w:left w:val="nil"/>
              <w:bottom w:val="single" w:sz="8" w:space="0" w:color="000000"/>
              <w:right w:val="single" w:sz="8" w:space="0" w:color="000000"/>
            </w:tcBorders>
            <w:shd w:val="clear" w:color="auto" w:fill="auto"/>
          </w:tcPr>
          <w:p w:rsidR="002C49DA" w:rsidRPr="009863D4" w:rsidRDefault="00FD4E47"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43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1350" w:type="dxa"/>
            <w:tcBorders>
              <w:top w:val="nil"/>
              <w:left w:val="nil"/>
              <w:bottom w:val="single" w:sz="8" w:space="0" w:color="000000"/>
              <w:right w:val="single" w:sz="8" w:space="0" w:color="000000"/>
            </w:tcBorders>
            <w:shd w:val="clear" w:color="auto" w:fill="auto"/>
          </w:tcPr>
          <w:p w:rsidR="002C49DA" w:rsidRPr="009863D4" w:rsidRDefault="000F6EA2" w:rsidP="000F6EA2">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43</w:t>
            </w:r>
          </w:p>
        </w:tc>
        <w:tc>
          <w:tcPr>
            <w:tcW w:w="1260" w:type="dxa"/>
            <w:tcBorders>
              <w:top w:val="nil"/>
              <w:left w:val="nil"/>
              <w:bottom w:val="single" w:sz="8" w:space="0" w:color="000000"/>
              <w:right w:val="single" w:sz="8" w:space="0" w:color="000000"/>
            </w:tcBorders>
            <w:shd w:val="clear" w:color="auto" w:fill="auto"/>
          </w:tcPr>
          <w:p w:rsidR="002C49DA" w:rsidRPr="009863D4" w:rsidRDefault="000F6EA2"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43</w:t>
            </w:r>
          </w:p>
        </w:tc>
        <w:tc>
          <w:tcPr>
            <w:tcW w:w="1260" w:type="dxa"/>
            <w:tcBorders>
              <w:top w:val="nil"/>
              <w:left w:val="nil"/>
              <w:bottom w:val="single" w:sz="8" w:space="0" w:color="000000"/>
              <w:right w:val="single" w:sz="8" w:space="0" w:color="000000"/>
            </w:tcBorders>
            <w:shd w:val="clear" w:color="auto" w:fill="auto"/>
          </w:tcPr>
          <w:p w:rsidR="002C49DA" w:rsidRPr="009863D4" w:rsidRDefault="00AC6E61" w:rsidP="000F6EA2">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w:t>
            </w:r>
            <w:r w:rsidR="000F6EA2">
              <w:rPr>
                <w:rFonts w:ascii="Times New Roman" w:eastAsia="Times New Roman"/>
                <w:color w:val="000000"/>
                <w:sz w:val="20"/>
                <w:szCs w:val="20"/>
              </w:rPr>
              <w:t>1,382</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Periodic Exposure Measurement</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170,422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185,273</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170,422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14,851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5,475,659</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2C49DA">
            <w:pPr>
              <w:widowControl/>
              <w:autoSpaceDE/>
              <w:autoSpaceDN/>
              <w:adjustRightInd/>
              <w:ind w:left="432"/>
              <w:rPr>
                <w:rFonts w:ascii="Times New Roman" w:eastAsia="Times New Roman"/>
                <w:color w:val="000000"/>
                <w:sz w:val="20"/>
                <w:szCs w:val="20"/>
              </w:rPr>
            </w:pPr>
            <w:r w:rsidRPr="009863D4">
              <w:rPr>
                <w:rFonts w:ascii="Times New Roman" w:eastAsia="Times New Roman"/>
                <w:color w:val="000000"/>
                <w:sz w:val="20"/>
                <w:szCs w:val="20"/>
              </w:rPr>
              <w:t xml:space="preserve">Employee Notification of </w:t>
            </w:r>
            <w:r>
              <w:rPr>
                <w:rFonts w:ascii="Times New Roman" w:eastAsia="Times New Roman"/>
                <w:color w:val="000000"/>
                <w:sz w:val="20"/>
                <w:szCs w:val="20"/>
              </w:rPr>
              <w:t xml:space="preserve"> </w:t>
            </w:r>
            <w:r w:rsidRPr="009863D4">
              <w:rPr>
                <w:rFonts w:ascii="Times New Roman" w:eastAsia="Times New Roman"/>
                <w:color w:val="000000"/>
                <w:sz w:val="20"/>
                <w:szCs w:val="20"/>
              </w:rPr>
              <w:t>Monitoring Results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113,89</w:t>
            </w:r>
            <w:r w:rsidR="00A54080">
              <w:rPr>
                <w:rFonts w:ascii="Times New Roman" w:eastAsia="Times New Roman"/>
                <w:color w:val="000000"/>
                <w:sz w:val="20"/>
                <w:szCs w:val="20"/>
              </w:rPr>
              <w:t>6</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9,825</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9,11</w:t>
            </w:r>
            <w:r w:rsidR="00A54080">
              <w:rPr>
                <w:rFonts w:ascii="Times New Roman" w:eastAsia="Times New Roman"/>
                <w:color w:val="000000"/>
                <w:sz w:val="20"/>
                <w:szCs w:val="20"/>
              </w:rPr>
              <w:t>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71</w:t>
            </w:r>
            <w:r w:rsidR="00A54080">
              <w:rPr>
                <w:rFonts w:ascii="Times New Roman" w:eastAsia="Times New Roman"/>
                <w:color w:val="000000"/>
                <w:sz w:val="20"/>
                <w:szCs w:val="20"/>
              </w:rPr>
              <w:t>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A54080">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207,</w:t>
            </w:r>
            <w:r w:rsidR="00A54080">
              <w:rPr>
                <w:rFonts w:ascii="Times New Roman" w:eastAsia="Times New Roman"/>
                <w:color w:val="000000"/>
                <w:sz w:val="20"/>
                <w:szCs w:val="20"/>
              </w:rPr>
              <w:t>959</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COMPLIANCE PROGRAM</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ADMINISTRATIVE CONTROLS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$5</w:t>
            </w:r>
            <w:r>
              <w:rPr>
                <w:rFonts w:ascii="Times New Roman" w:eastAsia="Times New Roman"/>
                <w:color w:val="000000"/>
                <w:sz w:val="20"/>
                <w:szCs w:val="20"/>
              </w:rPr>
              <w:t>3</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RESPIRATOR PROGRAM</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NOTIFY THE LAUNDRY</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MEDICAL SURVEILLANCE</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Biological Monitoring</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Chars="200" w:firstLine="400"/>
              <w:jc w:val="right"/>
              <w:rPr>
                <w:rFonts w:ascii="Times New Roman" w:eastAsia="Times New Roman"/>
                <w:i/>
                <w:color w:val="000000"/>
                <w:sz w:val="20"/>
                <w:szCs w:val="20"/>
              </w:rPr>
            </w:pPr>
            <w:r w:rsidRPr="002C49DA">
              <w:rPr>
                <w:rFonts w:ascii="Times New Roman" w:eastAsia="Times New Roman"/>
                <w:i/>
                <w:color w:val="000000"/>
                <w:sz w:val="20"/>
                <w:szCs w:val="20"/>
              </w:rPr>
              <w:t>Biannual</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681,686</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185,273</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170,422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-14,851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$5,475,659</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Chars="200" w:firstLine="400"/>
              <w:jc w:val="right"/>
              <w:rPr>
                <w:rFonts w:ascii="Times New Roman" w:eastAsia="Times New Roman"/>
                <w:i/>
                <w:color w:val="000000"/>
                <w:sz w:val="20"/>
                <w:szCs w:val="20"/>
              </w:rPr>
            </w:pPr>
            <w:r w:rsidRPr="002C49DA">
              <w:rPr>
                <w:rFonts w:ascii="Times New Roman" w:eastAsia="Times New Roman"/>
                <w:i/>
                <w:color w:val="000000"/>
                <w:sz w:val="20"/>
                <w:szCs w:val="20"/>
              </w:rPr>
              <w:t>Monthly</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204,510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55,583</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51,128</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-4,455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$1,642,743</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Chars="200" w:firstLine="400"/>
              <w:jc w:val="right"/>
              <w:rPr>
                <w:rFonts w:ascii="Times New Roman" w:eastAsia="Times New Roman"/>
                <w:i/>
                <w:color w:val="000000"/>
                <w:sz w:val="20"/>
                <w:szCs w:val="20"/>
              </w:rPr>
            </w:pPr>
            <w:r w:rsidRPr="002C49DA">
              <w:rPr>
                <w:rFonts w:ascii="Times New Roman" w:eastAsia="Times New Roman"/>
                <w:i/>
                <w:color w:val="000000"/>
                <w:sz w:val="20"/>
                <w:szCs w:val="20"/>
              </w:rPr>
              <w:t>Every Two Months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317,664</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86,337</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79,416</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-6,921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$2,551,636</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Employee Notification</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721,908</w:t>
            </w:r>
          </w:p>
        </w:tc>
        <w:tc>
          <w:tcPr>
            <w:tcW w:w="1260" w:type="dxa"/>
            <w:tcBorders>
              <w:top w:val="nil"/>
              <w:left w:val="nil"/>
              <w:bottom w:val="single" w:sz="8" w:space="0" w:color="000000"/>
              <w:right w:val="single" w:sz="8" w:space="0" w:color="000000"/>
            </w:tcBorders>
            <w:shd w:val="clear" w:color="auto" w:fill="auto"/>
          </w:tcPr>
          <w:p w:rsidR="002C49DA" w:rsidRPr="002C49DA" w:rsidRDefault="002C49DA" w:rsidP="007A6ACA">
            <w:pPr>
              <w:widowControl/>
              <w:autoSpaceDE/>
              <w:autoSpaceDN/>
              <w:adjustRightInd/>
              <w:jc w:val="right"/>
              <w:rPr>
                <w:rFonts w:ascii="Times New Roman" w:eastAsia="Times New Roman"/>
                <w:color w:val="000000"/>
                <w:sz w:val="20"/>
                <w:szCs w:val="20"/>
              </w:rPr>
            </w:pPr>
            <w:r w:rsidRPr="002C49DA">
              <w:rPr>
                <w:rFonts w:ascii="Times New Roman" w:eastAsia="Times New Roman"/>
                <w:color w:val="000000"/>
                <w:sz w:val="20"/>
                <w:szCs w:val="20"/>
              </w:rPr>
              <w:t>62,785</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57,753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5,032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1,317,923</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Medical Examinations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Chars="200" w:firstLine="400"/>
              <w:jc w:val="right"/>
              <w:rPr>
                <w:rFonts w:ascii="Times New Roman" w:eastAsia="Times New Roman"/>
                <w:i/>
                <w:color w:val="000000"/>
                <w:sz w:val="20"/>
                <w:szCs w:val="20"/>
              </w:rPr>
            </w:pPr>
            <w:r w:rsidRPr="002C49DA">
              <w:rPr>
                <w:rFonts w:ascii="Times New Roman" w:eastAsia="Times New Roman"/>
                <w:i/>
                <w:color w:val="000000"/>
                <w:sz w:val="20"/>
                <w:szCs w:val="20"/>
              </w:rPr>
              <w:t>At or Above the AL</w:t>
            </w:r>
          </w:p>
        </w:tc>
        <w:tc>
          <w:tcPr>
            <w:tcW w:w="1350" w:type="dxa"/>
            <w:tcBorders>
              <w:top w:val="nil"/>
              <w:left w:val="nil"/>
              <w:bottom w:val="single" w:sz="8" w:space="0" w:color="000000"/>
              <w:right w:val="single" w:sz="8" w:space="0" w:color="000000"/>
            </w:tcBorders>
            <w:shd w:val="clear" w:color="auto" w:fill="auto"/>
          </w:tcPr>
          <w:p w:rsidR="002C49DA" w:rsidRPr="009863D4" w:rsidDel="004F5898"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99,</w:t>
            </w:r>
            <w:r w:rsidR="00593411">
              <w:rPr>
                <w:rFonts w:ascii="Times New Roman" w:eastAsia="Times New Roman"/>
                <w:color w:val="000000"/>
                <w:sz w:val="20"/>
                <w:szCs w:val="20"/>
              </w:rPr>
              <w:t>867</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217,140</w:t>
            </w:r>
          </w:p>
        </w:tc>
        <w:tc>
          <w:tcPr>
            <w:tcW w:w="1350" w:type="dxa"/>
            <w:tcBorders>
              <w:top w:val="nil"/>
              <w:left w:val="nil"/>
              <w:bottom w:val="single" w:sz="8" w:space="0" w:color="000000"/>
              <w:right w:val="single" w:sz="8" w:space="0" w:color="000000"/>
            </w:tcBorders>
            <w:shd w:val="clear" w:color="auto" w:fill="auto"/>
          </w:tcPr>
          <w:p w:rsidR="002C49DA" w:rsidRPr="009863D4" w:rsidDel="004F5898"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199,734</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-17,406</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$6,417,453</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Chars="200" w:firstLine="400"/>
              <w:jc w:val="right"/>
              <w:rPr>
                <w:rFonts w:ascii="Times New Roman" w:eastAsia="Times New Roman"/>
                <w:i/>
                <w:color w:val="000000"/>
                <w:sz w:val="20"/>
                <w:szCs w:val="20"/>
              </w:rPr>
            </w:pPr>
            <w:r w:rsidRPr="002C49DA">
              <w:rPr>
                <w:rFonts w:ascii="Times New Roman" w:eastAsia="Times New Roman"/>
                <w:i/>
                <w:color w:val="000000"/>
                <w:sz w:val="20"/>
                <w:szCs w:val="20"/>
              </w:rPr>
              <w:t>Initial</w:t>
            </w:r>
          </w:p>
        </w:tc>
        <w:tc>
          <w:tcPr>
            <w:tcW w:w="1350" w:type="dxa"/>
            <w:tcBorders>
              <w:top w:val="nil"/>
              <w:left w:val="nil"/>
              <w:bottom w:val="single" w:sz="8" w:space="0" w:color="000000"/>
              <w:right w:val="single" w:sz="8" w:space="0" w:color="000000"/>
            </w:tcBorders>
            <w:shd w:val="clear" w:color="auto" w:fill="auto"/>
          </w:tcPr>
          <w:p w:rsidR="002C49DA" w:rsidRPr="009863D4" w:rsidDel="004F5898"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102,2</w:t>
            </w:r>
            <w:r w:rsidR="00593411">
              <w:rPr>
                <w:rFonts w:ascii="Times New Roman" w:eastAsia="Times New Roman"/>
                <w:color w:val="000000"/>
                <w:sz w:val="20"/>
                <w:szCs w:val="20"/>
              </w:rPr>
              <w:t>53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222,328</w:t>
            </w:r>
          </w:p>
        </w:tc>
        <w:tc>
          <w:tcPr>
            <w:tcW w:w="1350" w:type="dxa"/>
            <w:tcBorders>
              <w:top w:val="nil"/>
              <w:left w:val="nil"/>
              <w:bottom w:val="single" w:sz="8" w:space="0" w:color="000000"/>
              <w:right w:val="single" w:sz="8" w:space="0" w:color="000000"/>
            </w:tcBorders>
            <w:shd w:val="clear" w:color="auto" w:fill="auto"/>
          </w:tcPr>
          <w:p w:rsidR="002C49DA" w:rsidRPr="009863D4" w:rsidDel="004F5898"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204,506</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-17,822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$6,570,778</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Chars="200" w:firstLine="400"/>
              <w:jc w:val="right"/>
              <w:rPr>
                <w:rFonts w:ascii="Times New Roman" w:eastAsia="Times New Roman"/>
                <w:i/>
                <w:color w:val="000000"/>
                <w:sz w:val="20"/>
                <w:szCs w:val="20"/>
              </w:rPr>
            </w:pPr>
            <w:r w:rsidRPr="002C49DA">
              <w:rPr>
                <w:rFonts w:ascii="Times New Roman" w:eastAsia="Times New Roman"/>
                <w:i/>
                <w:color w:val="000000"/>
                <w:sz w:val="20"/>
                <w:szCs w:val="20"/>
              </w:rPr>
              <w:t>Employee Signs and Symptoms</w:t>
            </w:r>
          </w:p>
        </w:tc>
        <w:tc>
          <w:tcPr>
            <w:tcW w:w="1350" w:type="dxa"/>
            <w:tcBorders>
              <w:top w:val="nil"/>
              <w:left w:val="nil"/>
              <w:bottom w:val="single" w:sz="8" w:space="0" w:color="000000"/>
              <w:right w:val="single" w:sz="8" w:space="0" w:color="000000"/>
            </w:tcBorders>
            <w:shd w:val="clear" w:color="auto" w:fill="auto"/>
          </w:tcPr>
          <w:p w:rsidR="002C49DA" w:rsidRPr="009863D4" w:rsidDel="004F5898"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17,042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37,054</w:t>
            </w:r>
          </w:p>
        </w:tc>
        <w:tc>
          <w:tcPr>
            <w:tcW w:w="1350" w:type="dxa"/>
            <w:tcBorders>
              <w:top w:val="nil"/>
              <w:left w:val="nil"/>
              <w:bottom w:val="single" w:sz="8" w:space="0" w:color="000000"/>
              <w:right w:val="single" w:sz="8" w:space="0" w:color="000000"/>
            </w:tcBorders>
            <w:shd w:val="clear" w:color="auto" w:fill="auto"/>
          </w:tcPr>
          <w:p w:rsidR="002C49DA" w:rsidRPr="009863D4" w:rsidDel="004F5898"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34,084</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-2,970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$1,095,119</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2C49DA" w:rsidRDefault="002C49DA" w:rsidP="00DB0F76">
            <w:pPr>
              <w:widowControl/>
              <w:autoSpaceDE/>
              <w:autoSpaceDN/>
              <w:adjustRightInd/>
              <w:ind w:firstLine="400"/>
              <w:jc w:val="right"/>
              <w:rPr>
                <w:rFonts w:ascii="Times New Roman" w:eastAsia="Times New Roman"/>
                <w:i/>
                <w:color w:val="000000"/>
                <w:sz w:val="20"/>
                <w:szCs w:val="20"/>
              </w:rPr>
            </w:pPr>
            <w:r w:rsidRPr="002C49DA">
              <w:rPr>
                <w:rFonts w:ascii="Times New Roman" w:eastAsia="Times New Roman"/>
                <w:i/>
                <w:color w:val="000000"/>
                <w:sz w:val="20"/>
                <w:szCs w:val="20"/>
              </w:rPr>
              <w:t xml:space="preserve"> Removal</w:t>
            </w:r>
          </w:p>
        </w:tc>
        <w:tc>
          <w:tcPr>
            <w:tcW w:w="1350" w:type="dxa"/>
            <w:tcBorders>
              <w:top w:val="nil"/>
              <w:left w:val="nil"/>
              <w:bottom w:val="single" w:sz="8" w:space="0" w:color="000000"/>
              <w:right w:val="single" w:sz="8" w:space="0" w:color="000000"/>
            </w:tcBorders>
            <w:shd w:val="clear" w:color="auto" w:fill="auto"/>
          </w:tcPr>
          <w:p w:rsidR="002C49DA"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1,023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2,224</w:t>
            </w:r>
          </w:p>
        </w:tc>
        <w:tc>
          <w:tcPr>
            <w:tcW w:w="1350" w:type="dxa"/>
            <w:tcBorders>
              <w:top w:val="nil"/>
              <w:left w:val="nil"/>
              <w:bottom w:val="single" w:sz="8" w:space="0" w:color="000000"/>
              <w:right w:val="single" w:sz="8" w:space="0" w:color="000000"/>
            </w:tcBorders>
            <w:shd w:val="clear" w:color="auto" w:fill="auto"/>
          </w:tcPr>
          <w:p w:rsidR="002C49DA"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2,046</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-178</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$65</w:t>
            </w:r>
            <w:r w:rsidR="007A6ACA">
              <w:rPr>
                <w:rFonts w:ascii="Times New Roman" w:eastAsia="Times New Roman"/>
                <w:color w:val="000000"/>
                <w:sz w:val="20"/>
                <w:szCs w:val="20"/>
              </w:rPr>
              <w:t>,</w:t>
            </w:r>
            <w:r>
              <w:rPr>
                <w:rFonts w:ascii="Times New Roman" w:eastAsia="Times New Roman"/>
                <w:color w:val="000000"/>
                <w:sz w:val="20"/>
                <w:szCs w:val="20"/>
              </w:rPr>
              <w:t>738</w:t>
            </w:r>
          </w:p>
        </w:tc>
      </w:tr>
      <w:tr w:rsidR="002C49DA" w:rsidRPr="009863D4" w:rsidTr="005317C7">
        <w:trPr>
          <w:trHeight w:val="315"/>
        </w:trPr>
        <w:tc>
          <w:tcPr>
            <w:tcW w:w="3690" w:type="dxa"/>
            <w:tcBorders>
              <w:top w:val="single" w:sz="8" w:space="0" w:color="000000"/>
              <w:left w:val="single" w:sz="8" w:space="0" w:color="000000"/>
              <w:bottom w:val="single" w:sz="8" w:space="0" w:color="000000"/>
              <w:right w:val="single" w:sz="8" w:space="0" w:color="000000"/>
            </w:tcBorders>
            <w:shd w:val="clear" w:color="auto" w:fill="auto"/>
          </w:tcPr>
          <w:p w:rsidR="002C49DA" w:rsidRPr="00363B3A" w:rsidRDefault="002C49DA" w:rsidP="00DB0F76">
            <w:pPr>
              <w:widowControl/>
              <w:autoSpaceDE/>
              <w:autoSpaceDN/>
              <w:adjustRightInd/>
              <w:ind w:firstLineChars="200" w:firstLine="400"/>
              <w:rPr>
                <w:rFonts w:ascii="Times New Roman" w:eastAsia="Times New Roman"/>
                <w:color w:val="000000"/>
                <w:sz w:val="20"/>
                <w:szCs w:val="20"/>
              </w:rPr>
            </w:pPr>
            <w:r w:rsidRPr="00363B3A">
              <w:rPr>
                <w:rFonts w:ascii="Times New Roman" w:eastAsia="Times New Roman"/>
                <w:color w:val="000000"/>
                <w:sz w:val="20"/>
                <w:szCs w:val="20"/>
              </w:rPr>
              <w:t xml:space="preserve">Physician Review </w:t>
            </w:r>
          </w:p>
        </w:tc>
        <w:tc>
          <w:tcPr>
            <w:tcW w:w="1350" w:type="dxa"/>
            <w:tcBorders>
              <w:top w:val="single" w:sz="8" w:space="0" w:color="000000"/>
              <w:left w:val="nil"/>
              <w:bottom w:val="single" w:sz="8" w:space="0" w:color="000000"/>
              <w:right w:val="single" w:sz="8" w:space="0" w:color="000000"/>
            </w:tcBorders>
            <w:shd w:val="clear" w:color="auto" w:fill="auto"/>
          </w:tcPr>
          <w:p w:rsidR="002C49DA" w:rsidRPr="00363B3A"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220,185</w:t>
            </w:r>
          </w:p>
        </w:tc>
        <w:tc>
          <w:tcPr>
            <w:tcW w:w="1260" w:type="dxa"/>
            <w:tcBorders>
              <w:top w:val="single" w:sz="8" w:space="0" w:color="000000"/>
              <w:left w:val="nil"/>
              <w:bottom w:val="single" w:sz="8" w:space="0" w:color="000000"/>
              <w:right w:val="single" w:sz="8" w:space="0" w:color="000000"/>
            </w:tcBorders>
            <w:shd w:val="clear" w:color="auto" w:fill="auto"/>
          </w:tcPr>
          <w:p w:rsidR="002C49DA" w:rsidRPr="00363B3A" w:rsidRDefault="002C49DA" w:rsidP="007A6ACA">
            <w:pPr>
              <w:widowControl/>
              <w:autoSpaceDE/>
              <w:autoSpaceDN/>
              <w:adjustRightInd/>
              <w:jc w:val="right"/>
              <w:rPr>
                <w:rFonts w:ascii="Times New Roman" w:eastAsia="Times New Roman"/>
                <w:color w:val="000000"/>
                <w:sz w:val="20"/>
                <w:szCs w:val="20"/>
              </w:rPr>
            </w:pPr>
            <w:r w:rsidRPr="00363B3A">
              <w:rPr>
                <w:rFonts w:ascii="Times New Roman" w:eastAsia="Times New Roman"/>
                <w:color w:val="000000"/>
                <w:sz w:val="20"/>
                <w:szCs w:val="20"/>
              </w:rPr>
              <w:t>3,830</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3,523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307</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80,3</w:t>
            </w:r>
            <w:r w:rsidR="00593411">
              <w:rPr>
                <w:rFonts w:ascii="Times New Roman" w:eastAsia="Times New Roman"/>
                <w:color w:val="000000"/>
                <w:sz w:val="20"/>
                <w:szCs w:val="20"/>
              </w:rPr>
              <w:t>95</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Information to the Physician</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220,185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19,150</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17,615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1,535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401,974</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Physician's Opinion</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220,185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19,150</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17,615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1,535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401,974</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Chelation Notification</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sidRPr="009863D4">
              <w:rPr>
                <w:rFonts w:ascii="Times New Roman" w:eastAsia="Times New Roman"/>
                <w:color w:val="000000"/>
                <w:sz w:val="20"/>
                <w:szCs w:val="20"/>
              </w:rPr>
              <w:t>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1</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sidRPr="009863D4">
              <w:rPr>
                <w:rFonts w:ascii="Times New Roman" w:eastAsia="Times New Roman"/>
                <w:color w:val="000000"/>
                <w:sz w:val="20"/>
                <w:szCs w:val="20"/>
              </w:rPr>
              <w:t>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$23</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EMPLOYEE INFORMATION AND TRAINING</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r>
      <w:tr w:rsidR="00857660"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857660" w:rsidRPr="009863D4" w:rsidRDefault="00857660" w:rsidP="00A258C1">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Training Program Development</w:t>
            </w:r>
          </w:p>
        </w:tc>
        <w:tc>
          <w:tcPr>
            <w:tcW w:w="1350" w:type="dxa"/>
            <w:tcBorders>
              <w:top w:val="nil"/>
              <w:left w:val="nil"/>
              <w:bottom w:val="single" w:sz="8" w:space="0" w:color="000000"/>
              <w:right w:val="single" w:sz="8" w:space="0" w:color="000000"/>
            </w:tcBorders>
            <w:shd w:val="clear" w:color="auto" w:fill="auto"/>
          </w:tcPr>
          <w:p w:rsidR="00857660" w:rsidRDefault="0096302F" w:rsidP="00A258C1">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w:t>
            </w:r>
          </w:p>
        </w:tc>
        <w:tc>
          <w:tcPr>
            <w:tcW w:w="1260" w:type="dxa"/>
            <w:tcBorders>
              <w:top w:val="nil"/>
              <w:left w:val="nil"/>
              <w:bottom w:val="single" w:sz="8" w:space="0" w:color="000000"/>
              <w:right w:val="single" w:sz="8" w:space="0" w:color="000000"/>
            </w:tcBorders>
            <w:shd w:val="clear" w:color="auto" w:fill="auto"/>
          </w:tcPr>
          <w:p w:rsidR="00857660" w:rsidRPr="009863D4" w:rsidRDefault="00857660" w:rsidP="00A258C1">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c>
          <w:tcPr>
            <w:tcW w:w="1350" w:type="dxa"/>
            <w:tcBorders>
              <w:top w:val="nil"/>
              <w:left w:val="nil"/>
              <w:bottom w:val="single" w:sz="8" w:space="0" w:color="000000"/>
              <w:right w:val="single" w:sz="8" w:space="0" w:color="000000"/>
            </w:tcBorders>
            <w:shd w:val="clear" w:color="auto" w:fill="auto"/>
          </w:tcPr>
          <w:p w:rsidR="00857660" w:rsidRDefault="0096302F" w:rsidP="00A258C1">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16</w:t>
            </w:r>
          </w:p>
        </w:tc>
        <w:tc>
          <w:tcPr>
            <w:tcW w:w="1260" w:type="dxa"/>
            <w:tcBorders>
              <w:top w:val="nil"/>
              <w:left w:val="nil"/>
              <w:bottom w:val="single" w:sz="8" w:space="0" w:color="000000"/>
              <w:right w:val="single" w:sz="8" w:space="0" w:color="000000"/>
            </w:tcBorders>
            <w:shd w:val="clear" w:color="auto" w:fill="auto"/>
          </w:tcPr>
          <w:p w:rsidR="00857660" w:rsidRPr="009863D4" w:rsidRDefault="0096302F" w:rsidP="00A258C1">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16</w:t>
            </w:r>
          </w:p>
        </w:tc>
        <w:tc>
          <w:tcPr>
            <w:tcW w:w="1260" w:type="dxa"/>
            <w:tcBorders>
              <w:top w:val="nil"/>
              <w:left w:val="nil"/>
              <w:bottom w:val="single" w:sz="8" w:space="0" w:color="000000"/>
              <w:right w:val="single" w:sz="8" w:space="0" w:color="000000"/>
            </w:tcBorders>
            <w:shd w:val="clear" w:color="auto" w:fill="auto"/>
          </w:tcPr>
          <w:p w:rsidR="00857660" w:rsidRPr="009863D4" w:rsidRDefault="00857660" w:rsidP="00FD4E47">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w:t>
            </w:r>
            <w:r w:rsidR="00FD4E47">
              <w:rPr>
                <w:rFonts w:ascii="Times New Roman" w:eastAsia="Times New Roman"/>
                <w:color w:val="000000"/>
                <w:sz w:val="20"/>
                <w:szCs w:val="20"/>
              </w:rPr>
              <w:t>848</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5317C7" w:rsidP="006602ED">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 xml:space="preserve">Provide </w:t>
            </w:r>
            <w:r w:rsidR="002C49DA" w:rsidRPr="009863D4">
              <w:rPr>
                <w:rFonts w:ascii="Times New Roman" w:eastAsia="Times New Roman"/>
                <w:color w:val="000000"/>
                <w:sz w:val="20"/>
                <w:szCs w:val="20"/>
              </w:rPr>
              <w:t xml:space="preserve">Training </w:t>
            </w:r>
            <w:r>
              <w:rPr>
                <w:rFonts w:ascii="Times New Roman" w:eastAsia="Times New Roman"/>
                <w:color w:val="000000"/>
                <w:sz w:val="20"/>
                <w:szCs w:val="20"/>
              </w:rPr>
              <w:t>(</w:t>
            </w:r>
            <w:r w:rsidR="002C49DA">
              <w:rPr>
                <w:rFonts w:ascii="Times New Roman" w:eastAsia="Times New Roman"/>
                <w:color w:val="000000"/>
                <w:sz w:val="20"/>
                <w:szCs w:val="20"/>
              </w:rPr>
              <w:t>New</w:t>
            </w:r>
            <w:r>
              <w:rPr>
                <w:rFonts w:ascii="Times New Roman" w:eastAsia="Times New Roman"/>
                <w:color w:val="000000"/>
                <w:sz w:val="20"/>
                <w:szCs w:val="20"/>
              </w:rPr>
              <w:t xml:space="preserve"> Employers)</w:t>
            </w:r>
          </w:p>
        </w:tc>
        <w:tc>
          <w:tcPr>
            <w:tcW w:w="1350" w:type="dxa"/>
            <w:tcBorders>
              <w:top w:val="nil"/>
              <w:left w:val="nil"/>
              <w:bottom w:val="single" w:sz="8" w:space="0" w:color="000000"/>
              <w:right w:val="single" w:sz="8" w:space="0" w:color="000000"/>
            </w:tcBorders>
            <w:shd w:val="clear" w:color="auto" w:fill="auto"/>
          </w:tcPr>
          <w:p w:rsidR="002C49DA" w:rsidRPr="009863D4" w:rsidRDefault="00875785"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142</w:t>
            </w:r>
          </w:p>
        </w:tc>
        <w:tc>
          <w:tcPr>
            <w:tcW w:w="1350" w:type="dxa"/>
            <w:tcBorders>
              <w:top w:val="nil"/>
              <w:left w:val="nil"/>
              <w:bottom w:val="single" w:sz="8" w:space="0" w:color="000000"/>
              <w:right w:val="single" w:sz="8" w:space="0" w:color="000000"/>
            </w:tcBorders>
            <w:shd w:val="clear" w:color="auto" w:fill="auto"/>
          </w:tcPr>
          <w:p w:rsidR="002C49DA" w:rsidRPr="009863D4" w:rsidRDefault="004E3A54"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sidR="004E3A54">
              <w:rPr>
                <w:rFonts w:ascii="Times New Roman" w:eastAsia="Times New Roman"/>
                <w:color w:val="000000"/>
                <w:sz w:val="20"/>
                <w:szCs w:val="20"/>
              </w:rPr>
              <w:t>142</w:t>
            </w:r>
          </w:p>
        </w:tc>
        <w:tc>
          <w:tcPr>
            <w:tcW w:w="1260" w:type="dxa"/>
            <w:tcBorders>
              <w:top w:val="nil"/>
              <w:left w:val="nil"/>
              <w:bottom w:val="single" w:sz="8" w:space="0" w:color="000000"/>
              <w:right w:val="single" w:sz="8" w:space="0" w:color="000000"/>
            </w:tcBorders>
            <w:shd w:val="clear" w:color="auto" w:fill="auto"/>
          </w:tcPr>
          <w:p w:rsidR="002C49DA" w:rsidRPr="009863D4" w:rsidRDefault="00857660"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5317C7" w:rsidP="005317C7">
            <w:pPr>
              <w:widowControl/>
              <w:autoSpaceDE/>
              <w:autoSpaceDN/>
              <w:adjustRightInd/>
              <w:ind w:firstLineChars="200" w:firstLine="400"/>
              <w:rPr>
                <w:rFonts w:ascii="Times New Roman" w:eastAsia="Times New Roman"/>
                <w:color w:val="000000"/>
                <w:sz w:val="20"/>
                <w:szCs w:val="20"/>
              </w:rPr>
            </w:pPr>
            <w:r>
              <w:rPr>
                <w:rFonts w:ascii="Times New Roman" w:eastAsia="Times New Roman"/>
                <w:color w:val="000000"/>
                <w:sz w:val="20"/>
                <w:szCs w:val="20"/>
              </w:rPr>
              <w:t xml:space="preserve">Provide </w:t>
            </w:r>
            <w:r w:rsidR="002C49DA">
              <w:rPr>
                <w:rFonts w:ascii="Times New Roman" w:eastAsia="Times New Roman"/>
                <w:color w:val="000000"/>
                <w:sz w:val="20"/>
                <w:szCs w:val="20"/>
              </w:rPr>
              <w:t>Training</w:t>
            </w:r>
            <w:r>
              <w:rPr>
                <w:rFonts w:ascii="Times New Roman" w:eastAsia="Times New Roman"/>
                <w:color w:val="000000"/>
                <w:sz w:val="20"/>
                <w:szCs w:val="20"/>
              </w:rPr>
              <w:t xml:space="preserve"> (</w:t>
            </w:r>
            <w:r w:rsidR="002C49DA">
              <w:rPr>
                <w:rFonts w:ascii="Times New Roman" w:eastAsia="Times New Roman"/>
                <w:color w:val="000000"/>
                <w:sz w:val="20"/>
                <w:szCs w:val="20"/>
              </w:rPr>
              <w:t>Existing</w:t>
            </w:r>
            <w:r>
              <w:rPr>
                <w:rFonts w:ascii="Times New Roman" w:eastAsia="Times New Roman"/>
                <w:color w:val="000000"/>
                <w:sz w:val="20"/>
                <w:szCs w:val="20"/>
              </w:rPr>
              <w:t xml:space="preserve"> Employers)</w:t>
            </w:r>
          </w:p>
        </w:tc>
        <w:tc>
          <w:tcPr>
            <w:tcW w:w="1350" w:type="dxa"/>
            <w:tcBorders>
              <w:top w:val="nil"/>
              <w:left w:val="nil"/>
              <w:bottom w:val="single" w:sz="8" w:space="0" w:color="000000"/>
              <w:right w:val="single" w:sz="8" w:space="0" w:color="000000"/>
            </w:tcBorders>
            <w:shd w:val="clear" w:color="auto" w:fill="auto"/>
          </w:tcPr>
          <w:p w:rsidR="002C49DA" w:rsidRPr="009863D4" w:rsidRDefault="00875785"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18,527</w:t>
            </w:r>
          </w:p>
        </w:tc>
        <w:tc>
          <w:tcPr>
            <w:tcW w:w="1350" w:type="dxa"/>
            <w:tcBorders>
              <w:top w:val="nil"/>
              <w:left w:val="nil"/>
              <w:bottom w:val="single" w:sz="8" w:space="0" w:color="000000"/>
              <w:right w:val="single" w:sz="8" w:space="0" w:color="000000"/>
            </w:tcBorders>
            <w:shd w:val="clear" w:color="auto" w:fill="auto"/>
          </w:tcPr>
          <w:p w:rsidR="002C49DA" w:rsidRPr="009863D4" w:rsidRDefault="004E3A54"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w:t>
            </w:r>
            <w:r w:rsidR="004E3A54">
              <w:rPr>
                <w:rFonts w:ascii="Times New Roman" w:eastAsia="Times New Roman"/>
                <w:color w:val="000000"/>
                <w:sz w:val="20"/>
                <w:szCs w:val="20"/>
              </w:rPr>
              <w:t>18,527</w:t>
            </w:r>
          </w:p>
        </w:tc>
        <w:tc>
          <w:tcPr>
            <w:tcW w:w="1260" w:type="dxa"/>
            <w:tcBorders>
              <w:top w:val="nil"/>
              <w:left w:val="nil"/>
              <w:bottom w:val="single" w:sz="8" w:space="0" w:color="000000"/>
              <w:right w:val="single" w:sz="8" w:space="0" w:color="000000"/>
            </w:tcBorders>
            <w:shd w:val="clear" w:color="auto" w:fill="auto"/>
          </w:tcPr>
          <w:p w:rsidR="002C49DA" w:rsidRPr="009863D4" w:rsidRDefault="00857660"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Access to Training Materials</w:t>
            </w:r>
          </w:p>
        </w:tc>
        <w:tc>
          <w:tcPr>
            <w:tcW w:w="1350" w:type="dxa"/>
            <w:tcBorders>
              <w:top w:val="nil"/>
              <w:left w:val="nil"/>
              <w:bottom w:val="single" w:sz="8" w:space="0" w:color="000000"/>
              <w:right w:val="single" w:sz="8" w:space="0" w:color="000000"/>
            </w:tcBorders>
            <w:shd w:val="clear" w:color="auto" w:fill="auto"/>
          </w:tcPr>
          <w:p w:rsidR="002C49DA" w:rsidRPr="009863D4" w:rsidRDefault="00875785"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4,912</w:t>
            </w:r>
          </w:p>
        </w:tc>
        <w:tc>
          <w:tcPr>
            <w:tcW w:w="1350" w:type="dxa"/>
            <w:tcBorders>
              <w:top w:val="nil"/>
              <w:left w:val="nil"/>
              <w:bottom w:val="single" w:sz="8" w:space="0" w:color="000000"/>
              <w:right w:val="single" w:sz="8" w:space="0" w:color="000000"/>
            </w:tcBorders>
            <w:shd w:val="clear" w:color="auto" w:fill="auto"/>
          </w:tcPr>
          <w:p w:rsidR="002C49DA" w:rsidRPr="009863D4" w:rsidRDefault="004E3A54"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sidR="004E3A54">
              <w:rPr>
                <w:rFonts w:ascii="Times New Roman" w:eastAsia="Times New Roman"/>
                <w:color w:val="000000"/>
                <w:sz w:val="20"/>
                <w:szCs w:val="20"/>
              </w:rPr>
              <w:t>4,912</w:t>
            </w:r>
          </w:p>
        </w:tc>
        <w:tc>
          <w:tcPr>
            <w:tcW w:w="1260" w:type="dxa"/>
            <w:tcBorders>
              <w:top w:val="nil"/>
              <w:left w:val="nil"/>
              <w:bottom w:val="single" w:sz="8" w:space="0" w:color="000000"/>
              <w:right w:val="single" w:sz="8" w:space="0" w:color="000000"/>
            </w:tcBorders>
            <w:shd w:val="clear" w:color="auto" w:fill="auto"/>
          </w:tcPr>
          <w:p w:rsidR="002C49DA" w:rsidRPr="009863D4" w:rsidRDefault="00857660" w:rsidP="007A6ACA">
            <w:pPr>
              <w:widowControl/>
              <w:autoSpaceDE/>
              <w:autoSpaceDN/>
              <w:adjustRightInd/>
              <w:jc w:val="right"/>
              <w:rPr>
                <w:rFonts w:ascii="Times New Roman" w:eastAsia="Times New Roman"/>
                <w:color w:val="000000"/>
                <w:sz w:val="20"/>
                <w:szCs w:val="20"/>
              </w:rPr>
            </w:pPr>
            <w:r>
              <w:rPr>
                <w:rFonts w:ascii="Times New Roman" w:eastAsia="Times New Roman"/>
                <w:color w:val="000000"/>
                <w:sz w:val="20"/>
                <w:szCs w:val="20"/>
              </w:rPr>
              <w:t>$0</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rPr>
                <w:rFonts w:ascii="Times New Roman" w:eastAsia="Times New Roman"/>
                <w:color w:val="000000"/>
                <w:sz w:val="20"/>
                <w:szCs w:val="20"/>
              </w:rPr>
            </w:pPr>
            <w:r w:rsidRPr="009863D4">
              <w:rPr>
                <w:rFonts w:ascii="Times New Roman" w:eastAsia="Times New Roman"/>
                <w:color w:val="000000"/>
                <w:sz w:val="20"/>
                <w:szCs w:val="20"/>
              </w:rPr>
              <w:t>RECORDKEEPING</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lastRenderedPageBreak/>
              <w:t>Exposure Records</w:t>
            </w:r>
          </w:p>
        </w:tc>
        <w:tc>
          <w:tcPr>
            <w:tcW w:w="1350" w:type="dxa"/>
            <w:tcBorders>
              <w:top w:val="nil"/>
              <w:left w:val="nil"/>
              <w:bottom w:val="single" w:sz="8" w:space="0" w:color="000000"/>
              <w:right w:val="single" w:sz="8" w:space="0" w:color="000000"/>
            </w:tcBorders>
            <w:shd w:val="clear" w:color="auto" w:fill="auto"/>
          </w:tcPr>
          <w:p w:rsidR="002C49DA" w:rsidRPr="009863D4" w:rsidRDefault="00292F90"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341,015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29,644</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292F90">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27,</w:t>
            </w:r>
            <w:r w:rsidR="00292F90">
              <w:rPr>
                <w:rFonts w:ascii="Times New Roman" w:eastAsia="Times New Roman"/>
                <w:color w:val="000000"/>
                <w:sz w:val="20"/>
                <w:szCs w:val="20"/>
              </w:rPr>
              <w:t>281</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292F90">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2,</w:t>
            </w:r>
            <w:r w:rsidR="00292F90">
              <w:rPr>
                <w:rFonts w:ascii="Times New Roman" w:eastAsia="Times New Roman"/>
                <w:color w:val="000000"/>
                <w:sz w:val="20"/>
                <w:szCs w:val="20"/>
              </w:rPr>
              <w:t>363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292F90">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622,</w:t>
            </w:r>
            <w:r w:rsidR="00292F90">
              <w:rPr>
                <w:rFonts w:ascii="Times New Roman" w:eastAsia="Times New Roman"/>
                <w:color w:val="000000"/>
                <w:sz w:val="20"/>
                <w:szCs w:val="20"/>
              </w:rPr>
              <w:t>522</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Medical Records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340,843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62,993</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57,943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5,050</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1,322,259</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Removal Records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1,023</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89</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82</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7</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1,871</w:t>
            </w:r>
          </w:p>
        </w:tc>
      </w:tr>
      <w:tr w:rsidR="002C49DA" w:rsidRPr="009863D4" w:rsidTr="005317C7">
        <w:trPr>
          <w:trHeight w:val="315"/>
        </w:trPr>
        <w:tc>
          <w:tcPr>
            <w:tcW w:w="3690" w:type="dxa"/>
            <w:tcBorders>
              <w:top w:val="nil"/>
              <w:left w:val="single" w:sz="8" w:space="0" w:color="000000"/>
              <w:bottom w:val="single" w:sz="8" w:space="0" w:color="000000"/>
              <w:right w:val="single" w:sz="8" w:space="0" w:color="000000"/>
            </w:tcBorders>
            <w:shd w:val="clear" w:color="auto" w:fill="auto"/>
          </w:tcPr>
          <w:p w:rsidR="002C49DA" w:rsidRPr="009863D4" w:rsidRDefault="002C49DA" w:rsidP="00DB0F76">
            <w:pPr>
              <w:widowControl/>
              <w:autoSpaceDE/>
              <w:autoSpaceDN/>
              <w:adjustRightInd/>
              <w:ind w:firstLineChars="200" w:firstLine="400"/>
              <w:rPr>
                <w:rFonts w:ascii="Times New Roman" w:eastAsia="Times New Roman"/>
                <w:color w:val="000000"/>
                <w:sz w:val="20"/>
                <w:szCs w:val="20"/>
              </w:rPr>
            </w:pPr>
            <w:r w:rsidRPr="009863D4">
              <w:rPr>
                <w:rFonts w:ascii="Times New Roman" w:eastAsia="Times New Roman"/>
                <w:color w:val="000000"/>
                <w:sz w:val="20"/>
                <w:szCs w:val="20"/>
              </w:rPr>
              <w:t>Access to Records</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34,084</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2,992</w:t>
            </w:r>
          </w:p>
        </w:tc>
        <w:tc>
          <w:tcPr>
            <w:tcW w:w="135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ind w:firstLineChars="200" w:firstLine="400"/>
              <w:jc w:val="right"/>
              <w:rPr>
                <w:rFonts w:ascii="Times New Roman" w:eastAsia="Times New Roman"/>
                <w:color w:val="000000"/>
                <w:sz w:val="20"/>
                <w:szCs w:val="20"/>
              </w:rPr>
            </w:pPr>
            <w:r>
              <w:rPr>
                <w:rFonts w:ascii="Times New Roman" w:eastAsia="Times New Roman"/>
                <w:color w:val="000000"/>
                <w:sz w:val="20"/>
                <w:szCs w:val="20"/>
              </w:rPr>
              <w:t>2,727</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265</w:t>
            </w:r>
          </w:p>
        </w:tc>
        <w:tc>
          <w:tcPr>
            <w:tcW w:w="1260" w:type="dxa"/>
            <w:tcBorders>
              <w:top w:val="nil"/>
              <w:left w:val="nil"/>
              <w:bottom w:val="single" w:sz="8" w:space="0" w:color="000000"/>
              <w:right w:val="single" w:sz="8" w:space="0" w:color="000000"/>
            </w:tcBorders>
            <w:shd w:val="clear" w:color="auto" w:fill="auto"/>
          </w:tcPr>
          <w:p w:rsidR="002C49DA" w:rsidRPr="009863D4" w:rsidRDefault="002C49DA" w:rsidP="007A6ACA">
            <w:pPr>
              <w:widowControl/>
              <w:autoSpaceDE/>
              <w:autoSpaceDN/>
              <w:adjustRightInd/>
              <w:jc w:val="right"/>
              <w:rPr>
                <w:rFonts w:ascii="Times New Roman" w:eastAsia="Times New Roman"/>
                <w:color w:val="000000"/>
                <w:sz w:val="20"/>
                <w:szCs w:val="20"/>
              </w:rPr>
            </w:pPr>
            <w:r w:rsidRPr="009863D4">
              <w:rPr>
                <w:rFonts w:ascii="Times New Roman" w:eastAsia="Times New Roman"/>
                <w:color w:val="000000"/>
                <w:sz w:val="20"/>
                <w:szCs w:val="20"/>
              </w:rPr>
              <w:t>$</w:t>
            </w:r>
            <w:r>
              <w:rPr>
                <w:rFonts w:ascii="Times New Roman" w:eastAsia="Times New Roman"/>
                <w:color w:val="000000"/>
                <w:sz w:val="20"/>
                <w:szCs w:val="20"/>
              </w:rPr>
              <w:t>62,230</w:t>
            </w:r>
          </w:p>
        </w:tc>
      </w:tr>
      <w:tr w:rsidR="002C49DA" w:rsidRPr="009863D4" w:rsidTr="005317C7">
        <w:trPr>
          <w:trHeight w:val="315"/>
        </w:trPr>
        <w:tc>
          <w:tcPr>
            <w:tcW w:w="3690" w:type="dxa"/>
            <w:tcBorders>
              <w:top w:val="single" w:sz="8" w:space="0" w:color="000000"/>
              <w:left w:val="single" w:sz="8" w:space="0" w:color="000000"/>
              <w:bottom w:val="single" w:sz="8" w:space="0" w:color="000000"/>
              <w:right w:val="single" w:sz="8" w:space="0" w:color="000000"/>
            </w:tcBorders>
            <w:shd w:val="clear" w:color="auto" w:fill="FFFFFF"/>
          </w:tcPr>
          <w:p w:rsidR="002C49DA" w:rsidRPr="009863D4" w:rsidRDefault="002C49DA" w:rsidP="00DB0F76">
            <w:pPr>
              <w:widowControl/>
              <w:autoSpaceDE/>
              <w:autoSpaceDN/>
              <w:adjustRightInd/>
              <w:rPr>
                <w:rFonts w:ascii="Times New Roman" w:eastAsia="Times New Roman"/>
                <w:b/>
                <w:bCs/>
                <w:color w:val="000000"/>
                <w:sz w:val="20"/>
                <w:szCs w:val="20"/>
              </w:rPr>
            </w:pPr>
            <w:r w:rsidRPr="009863D4">
              <w:rPr>
                <w:rFonts w:ascii="Times New Roman" w:eastAsia="Times New Roman"/>
                <w:b/>
                <w:bCs/>
                <w:color w:val="000000"/>
                <w:sz w:val="20"/>
                <w:szCs w:val="20"/>
              </w:rPr>
              <w:t>TOTAL</w:t>
            </w:r>
          </w:p>
        </w:tc>
        <w:tc>
          <w:tcPr>
            <w:tcW w:w="1350" w:type="dxa"/>
            <w:tcBorders>
              <w:top w:val="single" w:sz="8" w:space="0" w:color="000000"/>
              <w:left w:val="nil"/>
              <w:bottom w:val="single" w:sz="8" w:space="0" w:color="000000"/>
              <w:right w:val="single" w:sz="8" w:space="0" w:color="000000"/>
            </w:tcBorders>
            <w:shd w:val="clear" w:color="auto" w:fill="FFFFFF"/>
          </w:tcPr>
          <w:p w:rsidR="002C49DA" w:rsidRPr="009863D4" w:rsidRDefault="00530278" w:rsidP="00FD4E47">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3,807,</w:t>
            </w:r>
            <w:r w:rsidR="00292F90">
              <w:rPr>
                <w:rFonts w:ascii="Times New Roman" w:eastAsia="Times New Roman"/>
                <w:b/>
                <w:bCs/>
                <w:color w:val="000000"/>
                <w:sz w:val="20"/>
                <w:szCs w:val="20"/>
              </w:rPr>
              <w:t>838</w:t>
            </w:r>
          </w:p>
        </w:tc>
        <w:tc>
          <w:tcPr>
            <w:tcW w:w="1260" w:type="dxa"/>
            <w:tcBorders>
              <w:top w:val="single" w:sz="8" w:space="0" w:color="000000"/>
              <w:left w:val="nil"/>
              <w:bottom w:val="single" w:sz="8" w:space="0" w:color="000000"/>
              <w:right w:val="single" w:sz="8" w:space="0" w:color="000000"/>
            </w:tcBorders>
            <w:shd w:val="clear" w:color="auto" w:fill="FFFFFF"/>
          </w:tcPr>
          <w:p w:rsidR="002C49DA" w:rsidRPr="009863D4" w:rsidRDefault="002C49DA" w:rsidP="007A6ACA">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1,225,253</w:t>
            </w:r>
          </w:p>
        </w:tc>
        <w:tc>
          <w:tcPr>
            <w:tcW w:w="1350" w:type="dxa"/>
            <w:tcBorders>
              <w:top w:val="single" w:sz="8" w:space="0" w:color="000000"/>
              <w:left w:val="nil"/>
              <w:bottom w:val="single" w:sz="8" w:space="0" w:color="000000"/>
              <w:right w:val="single" w:sz="8" w:space="0" w:color="000000"/>
            </w:tcBorders>
            <w:shd w:val="clear" w:color="auto" w:fill="FFFFFF"/>
          </w:tcPr>
          <w:p w:rsidR="002C49DA" w:rsidRPr="009863D4" w:rsidRDefault="00530278" w:rsidP="00FD4E47">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1,105,</w:t>
            </w:r>
            <w:r w:rsidR="00FD4E47">
              <w:rPr>
                <w:rFonts w:ascii="Times New Roman" w:eastAsia="Times New Roman"/>
                <w:b/>
                <w:bCs/>
                <w:color w:val="000000"/>
                <w:sz w:val="20"/>
                <w:szCs w:val="20"/>
              </w:rPr>
              <w:t>4</w:t>
            </w:r>
            <w:r w:rsidR="00292F90">
              <w:rPr>
                <w:rFonts w:ascii="Times New Roman" w:eastAsia="Times New Roman"/>
                <w:b/>
                <w:bCs/>
                <w:color w:val="000000"/>
                <w:sz w:val="20"/>
                <w:szCs w:val="20"/>
              </w:rPr>
              <w:t>71</w:t>
            </w:r>
          </w:p>
        </w:tc>
        <w:tc>
          <w:tcPr>
            <w:tcW w:w="1260" w:type="dxa"/>
            <w:tcBorders>
              <w:top w:val="single" w:sz="8" w:space="0" w:color="000000"/>
              <w:left w:val="nil"/>
              <w:bottom w:val="single" w:sz="8" w:space="0" w:color="000000"/>
              <w:right w:val="single" w:sz="8" w:space="0" w:color="000000"/>
            </w:tcBorders>
            <w:shd w:val="clear" w:color="auto" w:fill="FFFFFF"/>
          </w:tcPr>
          <w:p w:rsidR="002C49DA" w:rsidRPr="009863D4" w:rsidRDefault="004E3A54" w:rsidP="00FD4E47">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-119,</w:t>
            </w:r>
            <w:r w:rsidR="00FD4E47">
              <w:rPr>
                <w:rFonts w:ascii="Times New Roman" w:eastAsia="Times New Roman"/>
                <w:b/>
                <w:bCs/>
                <w:color w:val="000000"/>
                <w:sz w:val="20"/>
                <w:szCs w:val="20"/>
              </w:rPr>
              <w:t>7</w:t>
            </w:r>
            <w:r w:rsidR="00292F90">
              <w:rPr>
                <w:rFonts w:ascii="Times New Roman" w:eastAsia="Times New Roman"/>
                <w:b/>
                <w:bCs/>
                <w:color w:val="000000"/>
                <w:sz w:val="20"/>
                <w:szCs w:val="20"/>
              </w:rPr>
              <w:t>82</w:t>
            </w:r>
          </w:p>
        </w:tc>
        <w:tc>
          <w:tcPr>
            <w:tcW w:w="1260" w:type="dxa"/>
            <w:tcBorders>
              <w:top w:val="single" w:sz="8" w:space="0" w:color="000000"/>
              <w:left w:val="nil"/>
              <w:bottom w:val="single" w:sz="8" w:space="0" w:color="000000"/>
              <w:right w:val="single" w:sz="8" w:space="0" w:color="000000"/>
            </w:tcBorders>
            <w:shd w:val="clear" w:color="auto" w:fill="FFFFFF"/>
          </w:tcPr>
          <w:p w:rsidR="002C49DA" w:rsidRPr="009863D4" w:rsidRDefault="00530278" w:rsidP="00292F90">
            <w:pPr>
              <w:widowControl/>
              <w:autoSpaceDE/>
              <w:autoSpaceDN/>
              <w:adjustRightInd/>
              <w:jc w:val="right"/>
              <w:rPr>
                <w:rFonts w:ascii="Times New Roman" w:eastAsia="Times New Roman"/>
                <w:b/>
                <w:bCs/>
                <w:color w:val="000000"/>
                <w:sz w:val="20"/>
                <w:szCs w:val="20"/>
              </w:rPr>
            </w:pPr>
            <w:r>
              <w:rPr>
                <w:rFonts w:ascii="Times New Roman" w:eastAsia="Times New Roman"/>
                <w:b/>
                <w:bCs/>
                <w:color w:val="000000"/>
                <w:sz w:val="20"/>
                <w:szCs w:val="20"/>
              </w:rPr>
              <w:t>$33,</w:t>
            </w:r>
            <w:r w:rsidR="00292F90">
              <w:rPr>
                <w:rFonts w:ascii="Times New Roman" w:eastAsia="Times New Roman"/>
                <w:b/>
                <w:bCs/>
                <w:color w:val="000000"/>
                <w:sz w:val="20"/>
                <w:szCs w:val="20"/>
              </w:rPr>
              <w:t>716,228</w:t>
            </w:r>
          </w:p>
        </w:tc>
      </w:tr>
    </w:tbl>
    <w:p w:rsidR="002C49DA" w:rsidRPr="001E59E0" w:rsidRDefault="002C49DA" w:rsidP="002C49DA">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rPr>
      </w:pPr>
    </w:p>
    <w:p w:rsidR="002C49DA" w:rsidRDefault="002C49DA">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 xml:space="preserve">13.  Provide an estimate of the total annual cost burden to respondents or </w:t>
      </w:r>
      <w:proofErr w:type="spellStart"/>
      <w:r w:rsidRPr="00FA1B4F">
        <w:rPr>
          <w:rFonts w:ascii="Times New Roman"/>
          <w:b/>
          <w:sz w:val="20"/>
          <w:szCs w:val="20"/>
        </w:rPr>
        <w:t>recordkeepers</w:t>
      </w:r>
      <w:proofErr w:type="spellEnd"/>
      <w:r w:rsidRPr="00FA1B4F">
        <w:rPr>
          <w:rFonts w:ascii="Times New Roman"/>
          <w:b/>
          <w:sz w:val="20"/>
          <w:szCs w:val="20"/>
        </w:rPr>
        <w:t xml:space="preserve"> resulting from the collection of information.  (Do not include the cost of any hour burden shown in Items 12 and 14).</w:t>
      </w: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w:t>
      </w:r>
      <w:r>
        <w:rPr>
          <w:rFonts w:ascii="Times New Roman"/>
          <w:b/>
          <w:sz w:val="20"/>
          <w:szCs w:val="20"/>
        </w:rPr>
        <w:t xml:space="preserve">ncluding system and technology </w:t>
      </w:r>
      <w:r w:rsidRPr="00FA1B4F">
        <w:rPr>
          <w:rFonts w:ascii="Times New Roman"/>
          <w:b/>
          <w:sz w:val="20"/>
          <w:szCs w:val="20"/>
        </w:rPr>
        <w:t>acquisition, expected useful life of capital equipment, the discount rate(s), and the time period over which costs will be incurred.  Capital and start-up costs, among other items, preparations for collecting information such as purchasing computers and software; monitoring, sampling, drilling and testing equipment; and record storage facilities.</w:t>
      </w: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sz w:val="20"/>
          <w:szCs w:val="20"/>
        </w:rPr>
      </w:pPr>
      <w:r>
        <w:rPr>
          <w:rFonts w:ascii="Times New Roman"/>
          <w:b/>
          <w:sz w:val="20"/>
          <w:szCs w:val="20"/>
        </w:rPr>
        <w:t>-</w:t>
      </w:r>
      <w:r w:rsidRPr="00FA1B4F">
        <w:rPr>
          <w:rFonts w:asci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ind w:left="1830" w:hanging="600"/>
        <w:rPr>
          <w:rFonts w:ascii="Times New Roman"/>
          <w:b/>
          <w:bCs/>
          <w:sz w:val="20"/>
          <w:szCs w:val="20"/>
        </w:rPr>
      </w:pPr>
      <w:r>
        <w:rPr>
          <w:rFonts w:ascii="Times New Roman"/>
          <w:b/>
          <w:sz w:val="20"/>
          <w:szCs w:val="20"/>
        </w:rPr>
        <w:t>-</w:t>
      </w:r>
      <w:r w:rsidRPr="00FA1B4F">
        <w:rPr>
          <w:rFonts w:ascii="Times New Roman"/>
          <w:b/>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A1B4F">
        <w:rPr>
          <w:rFonts w:ascii="Times New Roman"/>
          <w:b/>
          <w:sz w:val="20"/>
          <w:szCs w:val="20"/>
        </w:rPr>
        <w:t>government,</w:t>
      </w:r>
      <w:proofErr w:type="gramEnd"/>
      <w:r w:rsidRPr="00FA1B4F">
        <w:rPr>
          <w:rFonts w:ascii="Times New Roman"/>
          <w:b/>
          <w:sz w:val="20"/>
          <w:szCs w:val="20"/>
        </w:rPr>
        <w:t xml:space="preserve"> or (4) as part of customary and usual business or Private practices.</w:t>
      </w: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rsidR="00606D2D" w:rsidRPr="0080157B" w:rsidRDefault="00606D2D" w:rsidP="00606D2D">
      <w:pPr>
        <w:widowControl/>
        <w:rPr>
          <w:rFonts w:ascii="Times New Roman"/>
          <w:bCs/>
        </w:rPr>
      </w:pPr>
      <w:r w:rsidRPr="0080157B">
        <w:rPr>
          <w:rFonts w:ascii="Times New Roman"/>
          <w:b/>
          <w:bCs/>
        </w:rPr>
        <w:t>Exposure Monitoring</w:t>
      </w:r>
    </w:p>
    <w:p w:rsidR="00606D2D" w:rsidRPr="0080157B" w:rsidRDefault="00606D2D" w:rsidP="00606D2D">
      <w:pPr>
        <w:widowControl/>
        <w:rPr>
          <w:rFonts w:ascii="Times New Roman"/>
          <w:bCs/>
        </w:rPr>
      </w:pPr>
    </w:p>
    <w:p w:rsidR="00606D2D" w:rsidRPr="0080157B" w:rsidRDefault="00606D2D" w:rsidP="00606D2D">
      <w:pPr>
        <w:widowControl/>
        <w:rPr>
          <w:rFonts w:ascii="Times New Roman"/>
        </w:rPr>
      </w:pPr>
      <w:r w:rsidRPr="0080157B">
        <w:rPr>
          <w:rFonts w:ascii="Times New Roman"/>
        </w:rPr>
        <w:t xml:space="preserve">The agency assumes that employers will incur costs for analyzing the samples taken for exposure monitoring. </w:t>
      </w:r>
      <w:r>
        <w:rPr>
          <w:rFonts w:ascii="Times New Roman"/>
        </w:rPr>
        <w:t xml:space="preserve"> </w:t>
      </w:r>
      <w:r w:rsidRPr="0080157B">
        <w:rPr>
          <w:rFonts w:ascii="Times New Roman"/>
        </w:rPr>
        <w:t>The Agency assumes that it will cost $</w:t>
      </w:r>
      <w:r>
        <w:rPr>
          <w:rFonts w:ascii="Times New Roman"/>
        </w:rPr>
        <w:t>27</w:t>
      </w:r>
      <w:r w:rsidRPr="0080157B">
        <w:rPr>
          <w:rFonts w:ascii="Times New Roman"/>
        </w:rPr>
        <w:t xml:space="preserve"> per sample, including supplies used and analysis of the sample taken.</w:t>
      </w:r>
      <w:r w:rsidRPr="0082283A">
        <w:rPr>
          <w:rStyle w:val="FootnoteReference"/>
          <w:rFonts w:ascii="Times New Roman"/>
          <w:vertAlign w:val="superscript"/>
        </w:rPr>
        <w:footnoteReference w:id="6"/>
      </w:r>
      <w:r w:rsidRPr="0080157B">
        <w:rPr>
          <w:rFonts w:ascii="Times New Roman"/>
        </w:rPr>
        <w:t xml:space="preserve"> </w:t>
      </w:r>
      <w:r>
        <w:rPr>
          <w:rFonts w:ascii="Times New Roman"/>
        </w:rPr>
        <w:t xml:space="preserve"> </w:t>
      </w:r>
      <w:r w:rsidRPr="0080157B">
        <w:rPr>
          <w:rFonts w:ascii="Times New Roman"/>
        </w:rPr>
        <w:t>The costs are as follows:</w:t>
      </w:r>
    </w:p>
    <w:p w:rsidR="00606D2D" w:rsidRPr="0080157B" w:rsidRDefault="00606D2D" w:rsidP="00606D2D">
      <w:pPr>
        <w:widowControl/>
        <w:rPr>
          <w:rFonts w:ascii="Times New Roman"/>
        </w:rPr>
      </w:pPr>
    </w:p>
    <w:p w:rsidR="00437958" w:rsidRPr="006B2D2C" w:rsidRDefault="00606D2D" w:rsidP="00437958">
      <w:pPr>
        <w:widowControl/>
        <w:tabs>
          <w:tab w:val="left" w:pos="720"/>
          <w:tab w:val="left" w:pos="1440"/>
          <w:tab w:val="left" w:pos="2160"/>
        </w:tabs>
        <w:ind w:firstLine="720"/>
        <w:rPr>
          <w:rFonts w:ascii="Times New Roman"/>
          <w:bCs/>
        </w:rPr>
      </w:pPr>
      <w:r w:rsidRPr="0080157B">
        <w:rPr>
          <w:rFonts w:ascii="Times New Roman"/>
          <w:b/>
          <w:bCs/>
        </w:rPr>
        <w:t>Costs:</w:t>
      </w:r>
      <w:r w:rsidRPr="0080157B">
        <w:rPr>
          <w:rFonts w:ascii="Times New Roman"/>
          <w:b/>
          <w:bCs/>
        </w:rPr>
        <w:tab/>
      </w:r>
      <w:r w:rsidR="00437958">
        <w:rPr>
          <w:rFonts w:ascii="Times New Roman"/>
          <w:b/>
          <w:bCs/>
        </w:rPr>
        <w:tab/>
      </w:r>
      <w:r w:rsidR="00437958">
        <w:rPr>
          <w:rFonts w:ascii="Times New Roman"/>
          <w:bCs/>
        </w:rPr>
        <w:t>43 initial samples x $27 per sample = $1,161</w:t>
      </w:r>
    </w:p>
    <w:p w:rsidR="00875785" w:rsidRDefault="00437958" w:rsidP="00437958">
      <w:pPr>
        <w:widowControl/>
        <w:tabs>
          <w:tab w:val="left" w:pos="720"/>
          <w:tab w:val="left" w:pos="1440"/>
          <w:tab w:val="left" w:pos="2160"/>
        </w:tabs>
        <w:ind w:firstLine="720"/>
        <w:rPr>
          <w:rFonts w:ascii="Times New Roman"/>
        </w:rPr>
      </w:pPr>
      <w:r>
        <w:rPr>
          <w:rFonts w:ascii="Times New Roman"/>
          <w:b/>
          <w:bCs/>
        </w:rPr>
        <w:tab/>
      </w:r>
      <w:r>
        <w:rPr>
          <w:rFonts w:ascii="Times New Roman"/>
          <w:b/>
          <w:bCs/>
        </w:rPr>
        <w:tab/>
      </w:r>
      <w:r w:rsidR="00F12454">
        <w:rPr>
          <w:rFonts w:ascii="Times New Roman"/>
        </w:rPr>
        <w:t>170,422</w:t>
      </w:r>
      <w:r w:rsidR="00606D2D" w:rsidRPr="0080157B">
        <w:rPr>
          <w:rFonts w:ascii="Times New Roman"/>
        </w:rPr>
        <w:t xml:space="preserve"> </w:t>
      </w:r>
      <w:r>
        <w:rPr>
          <w:rFonts w:ascii="Times New Roman"/>
        </w:rPr>
        <w:t xml:space="preserve">periodic </w:t>
      </w:r>
      <w:r w:rsidR="00606D2D" w:rsidRPr="0080157B">
        <w:rPr>
          <w:rFonts w:ascii="Times New Roman"/>
        </w:rPr>
        <w:t>samples × $</w:t>
      </w:r>
      <w:r w:rsidR="00606D2D">
        <w:rPr>
          <w:rFonts w:ascii="Times New Roman"/>
        </w:rPr>
        <w:t>27</w:t>
      </w:r>
      <w:r w:rsidR="00606D2D" w:rsidRPr="0080157B">
        <w:rPr>
          <w:rFonts w:ascii="Times New Roman"/>
        </w:rPr>
        <w:t xml:space="preserve"> per sample = $</w:t>
      </w:r>
      <w:r w:rsidR="00F12454">
        <w:rPr>
          <w:rFonts w:ascii="Times New Roman"/>
        </w:rPr>
        <w:t>4,601,394</w:t>
      </w:r>
    </w:p>
    <w:p w:rsidR="00875785" w:rsidRDefault="00875785" w:rsidP="00437958">
      <w:pPr>
        <w:widowControl/>
        <w:tabs>
          <w:tab w:val="left" w:pos="720"/>
          <w:tab w:val="left" w:pos="1440"/>
          <w:tab w:val="left" w:pos="2160"/>
        </w:tabs>
        <w:ind w:firstLine="720"/>
        <w:rPr>
          <w:rFonts w:ascii="Times New Roman"/>
        </w:rPr>
      </w:pPr>
    </w:p>
    <w:p w:rsidR="00875785" w:rsidRPr="0080157B" w:rsidRDefault="00875785" w:rsidP="006B2D2C">
      <w:pPr>
        <w:widowControl/>
        <w:tabs>
          <w:tab w:val="left" w:pos="720"/>
          <w:tab w:val="left" w:pos="1440"/>
          <w:tab w:val="left" w:pos="2160"/>
        </w:tabs>
        <w:rPr>
          <w:rFonts w:ascii="Times New Roman"/>
        </w:rPr>
      </w:pPr>
      <w:r>
        <w:rPr>
          <w:rFonts w:ascii="Times New Roman"/>
        </w:rPr>
        <w:t>T</w:t>
      </w:r>
      <w:r w:rsidR="00603346">
        <w:rPr>
          <w:rFonts w:ascii="Times New Roman"/>
        </w:rPr>
        <w:t>herefore, t</w:t>
      </w:r>
      <w:r>
        <w:rPr>
          <w:rFonts w:ascii="Times New Roman"/>
        </w:rPr>
        <w:t>he total exposure monitoring cost is $4,602,555.</w:t>
      </w:r>
    </w:p>
    <w:p w:rsidR="00606D2D" w:rsidRPr="0080157B" w:rsidRDefault="00606D2D" w:rsidP="006B2D2C">
      <w:pPr>
        <w:widowControl/>
        <w:tabs>
          <w:tab w:val="left" w:pos="720"/>
          <w:tab w:val="left" w:pos="1440"/>
          <w:tab w:val="left" w:pos="2160"/>
        </w:tabs>
        <w:ind w:firstLine="720"/>
        <w:rPr>
          <w:rFonts w:ascii="Times New Roman"/>
        </w:rPr>
      </w:pPr>
    </w:p>
    <w:p w:rsidR="00606D2D" w:rsidRPr="0080157B" w:rsidRDefault="00606D2D" w:rsidP="00606D2D">
      <w:pPr>
        <w:widowControl/>
        <w:rPr>
          <w:rFonts w:ascii="Times New Roman"/>
        </w:rPr>
      </w:pPr>
      <w:r w:rsidRPr="0080157B">
        <w:rPr>
          <w:rFonts w:ascii="Times New Roman"/>
          <w:b/>
          <w:bCs/>
        </w:rPr>
        <w:t>Biological Monitoring</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rPr>
        <w:t>The Agency assumes that the cost for a blood lead and ZPP is $</w:t>
      </w:r>
      <w:r>
        <w:rPr>
          <w:rFonts w:ascii="Times New Roman"/>
        </w:rPr>
        <w:t>70.86</w:t>
      </w:r>
      <w:r w:rsidRPr="0080157B">
        <w:rPr>
          <w:rFonts w:ascii="Times New Roman"/>
        </w:rPr>
        <w:t>.</w:t>
      </w:r>
      <w:r w:rsidRPr="0080157B">
        <w:rPr>
          <w:rStyle w:val="FootnoteReference"/>
          <w:rFonts w:ascii="Times New Roman"/>
          <w:vertAlign w:val="superscript"/>
        </w:rPr>
        <w:footnoteReference w:id="7"/>
      </w:r>
      <w:r w:rsidRPr="0080157B">
        <w:rPr>
          <w:rFonts w:ascii="Times New Roman"/>
        </w:rPr>
        <w:t xml:space="preserve"> </w:t>
      </w:r>
      <w:r>
        <w:rPr>
          <w:rFonts w:ascii="Times New Roman"/>
        </w:rPr>
        <w:t xml:space="preserve"> </w:t>
      </w:r>
      <w:r w:rsidRPr="0080157B">
        <w:rPr>
          <w:rFonts w:ascii="Times New Roman"/>
        </w:rPr>
        <w:t xml:space="preserve">The total number of biological monitoring tests, as described under “Biological Monitoring” section is </w:t>
      </w:r>
      <w:r w:rsidR="00425C56">
        <w:rPr>
          <w:rFonts w:ascii="Times New Roman"/>
        </w:rPr>
        <w:t>1,203,860</w:t>
      </w:r>
      <w:r w:rsidRPr="0080157B">
        <w:rPr>
          <w:rFonts w:ascii="Times New Roman"/>
        </w:rPr>
        <w:t xml:space="preserve"> samples ((</w:t>
      </w:r>
      <w:r w:rsidR="00152B7B">
        <w:rPr>
          <w:rFonts w:ascii="Times New Roman"/>
        </w:rPr>
        <w:t>340,843</w:t>
      </w:r>
      <w:r w:rsidRPr="0080157B">
        <w:rPr>
          <w:rFonts w:ascii="Times New Roman"/>
        </w:rPr>
        <w:t xml:space="preserve"> × 2) + (</w:t>
      </w:r>
      <w:r w:rsidR="009538AD">
        <w:rPr>
          <w:rFonts w:ascii="Times New Roman"/>
        </w:rPr>
        <w:t>20,451</w:t>
      </w:r>
      <w:r w:rsidRPr="0080157B">
        <w:rPr>
          <w:rFonts w:ascii="Times New Roman"/>
        </w:rPr>
        <w:t xml:space="preserve"> × 10) + (</w:t>
      </w:r>
      <w:r w:rsidR="009538AD">
        <w:rPr>
          <w:rFonts w:ascii="Times New Roman"/>
        </w:rPr>
        <w:t xml:space="preserve">79,416 </w:t>
      </w:r>
      <w:r w:rsidRPr="0080157B">
        <w:rPr>
          <w:rFonts w:ascii="Times New Roman"/>
        </w:rPr>
        <w:t>× 4)). Therefore</w:t>
      </w:r>
      <w:r w:rsidR="00603346">
        <w:rPr>
          <w:rFonts w:ascii="Times New Roman"/>
        </w:rPr>
        <w:t>,</w:t>
      </w:r>
      <w:r w:rsidRPr="0080157B">
        <w:rPr>
          <w:rFonts w:ascii="Times New Roman"/>
        </w:rPr>
        <w:t xml:space="preserve"> the cost is $</w:t>
      </w:r>
      <w:r w:rsidR="00425C56">
        <w:rPr>
          <w:rFonts w:ascii="Times New Roman"/>
        </w:rPr>
        <w:t>85,305,520</w:t>
      </w:r>
      <w:r w:rsidRPr="0080157B">
        <w:rPr>
          <w:rFonts w:ascii="Times New Roman"/>
        </w:rPr>
        <w:t>.</w:t>
      </w:r>
      <w:r w:rsidRPr="0080157B">
        <w:t xml:space="preserve"> </w:t>
      </w:r>
    </w:p>
    <w:p w:rsidR="00606D2D" w:rsidRPr="0080157B" w:rsidRDefault="00606D2D" w:rsidP="00606D2D">
      <w:pPr>
        <w:widowControl/>
        <w:rPr>
          <w:rFonts w:ascii="Times New Roman"/>
        </w:rPr>
      </w:pPr>
    </w:p>
    <w:p w:rsidR="00606D2D" w:rsidRPr="0080157B" w:rsidRDefault="00606D2D" w:rsidP="00606D2D">
      <w:pPr>
        <w:widowControl/>
        <w:rPr>
          <w:rFonts w:ascii="Times New Roman"/>
        </w:rPr>
      </w:pPr>
      <w:r w:rsidRPr="0080157B">
        <w:rPr>
          <w:rFonts w:ascii="Times New Roman"/>
          <w:b/>
          <w:bCs/>
        </w:rPr>
        <w:t>Medical Examinations</w:t>
      </w:r>
    </w:p>
    <w:p w:rsidR="00606D2D" w:rsidRPr="0080157B" w:rsidRDefault="00606D2D" w:rsidP="00606D2D">
      <w:pPr>
        <w:widowControl/>
        <w:rPr>
          <w:rFonts w:ascii="Times New Roman"/>
        </w:rPr>
      </w:pPr>
    </w:p>
    <w:p w:rsidR="00606D2D" w:rsidRDefault="00606D2D" w:rsidP="00606D2D">
      <w:pPr>
        <w:widowControl/>
        <w:rPr>
          <w:rFonts w:ascii="Times New Roman"/>
        </w:rPr>
      </w:pPr>
      <w:r w:rsidRPr="0080157B">
        <w:rPr>
          <w:rFonts w:ascii="Times New Roman"/>
        </w:rPr>
        <w:t xml:space="preserve">The total number of medical examinations is </w:t>
      </w:r>
      <w:r w:rsidR="007C4025">
        <w:rPr>
          <w:rFonts w:ascii="Times New Roman"/>
        </w:rPr>
        <w:t>220,185</w:t>
      </w:r>
      <w:r w:rsidRPr="0080157B">
        <w:rPr>
          <w:rStyle w:val="CommentReference"/>
          <w:sz w:val="24"/>
          <w:szCs w:val="24"/>
        </w:rPr>
        <w:t xml:space="preserve"> </w:t>
      </w:r>
      <w:r w:rsidRPr="0080157B">
        <w:rPr>
          <w:rFonts w:ascii="Times New Roman"/>
        </w:rPr>
        <w:t>(see “Medical Surveillance” item 12). The Agency estimates the cost of a medical examination to be $</w:t>
      </w:r>
      <w:r>
        <w:rPr>
          <w:rFonts w:ascii="Times New Roman"/>
        </w:rPr>
        <w:t>242</w:t>
      </w:r>
      <w:r w:rsidRPr="0080157B">
        <w:rPr>
          <w:rFonts w:ascii="Times New Roman"/>
        </w:rPr>
        <w:t>.</w:t>
      </w:r>
      <w:r w:rsidRPr="0080157B">
        <w:rPr>
          <w:rStyle w:val="FootnoteReference"/>
          <w:rFonts w:ascii="Times New Roman"/>
          <w:vertAlign w:val="superscript"/>
        </w:rPr>
        <w:footnoteReference w:id="8"/>
      </w:r>
      <w:r w:rsidRPr="0080157B">
        <w:rPr>
          <w:rFonts w:ascii="Times New Roman"/>
        </w:rPr>
        <w:t xml:space="preserve"> </w:t>
      </w:r>
      <w:r>
        <w:rPr>
          <w:rFonts w:ascii="Times New Roman"/>
        </w:rPr>
        <w:t xml:space="preserve"> </w:t>
      </w:r>
      <w:r w:rsidRPr="0080157B">
        <w:rPr>
          <w:rFonts w:ascii="Times New Roman"/>
        </w:rPr>
        <w:t>Therefore, the total cost for medical examinations is $</w:t>
      </w:r>
      <w:r w:rsidR="00425C56">
        <w:rPr>
          <w:rFonts w:ascii="Times New Roman"/>
        </w:rPr>
        <w:t>53,284,770</w:t>
      </w:r>
      <w:r w:rsidRPr="0080157B">
        <w:rPr>
          <w:rFonts w:ascii="Times New Roman"/>
        </w:rPr>
        <w:t>.</w:t>
      </w:r>
    </w:p>
    <w:p w:rsidR="00606D2D" w:rsidRDefault="00606D2D" w:rsidP="00606D2D">
      <w:pPr>
        <w:widowControl/>
        <w:rPr>
          <w:rFonts w:ascii="Times New Roman"/>
        </w:rPr>
      </w:pPr>
    </w:p>
    <w:p w:rsidR="00606D2D" w:rsidRPr="00956D56" w:rsidRDefault="006C598F" w:rsidP="006C598F">
      <w:pPr>
        <w:widowControl/>
        <w:ind w:left="990"/>
        <w:rPr>
          <w:rFonts w:ascii="Times New Roman"/>
          <w:b/>
          <w:sz w:val="22"/>
          <w:szCs w:val="22"/>
        </w:rPr>
      </w:pPr>
      <w:r>
        <w:rPr>
          <w:rFonts w:ascii="Times New Roman"/>
          <w:b/>
          <w:sz w:val="22"/>
          <w:szCs w:val="22"/>
        </w:rPr>
        <w:t xml:space="preserve">                          </w:t>
      </w:r>
      <w:r w:rsidR="00606D2D" w:rsidRPr="00956D56">
        <w:rPr>
          <w:rFonts w:ascii="Times New Roman"/>
          <w:b/>
          <w:sz w:val="22"/>
          <w:szCs w:val="22"/>
        </w:rPr>
        <w:t>Cost Summary</w:t>
      </w:r>
      <w:r>
        <w:rPr>
          <w:rFonts w:ascii="Times New Roman"/>
          <w:b/>
          <w:sz w:val="22"/>
          <w:szCs w:val="22"/>
        </w:rPr>
        <w:t xml:space="preserve"> </w:t>
      </w:r>
      <w:r w:rsidR="00606D2D">
        <w:rPr>
          <w:rFonts w:ascii="Times New Roman"/>
          <w:b/>
          <w:sz w:val="22"/>
          <w:szCs w:val="22"/>
        </w:rPr>
        <w:t>for Monitoring and Examinations</w:t>
      </w:r>
    </w:p>
    <w:tbl>
      <w:tblPr>
        <w:tblW w:w="0" w:type="auto"/>
        <w:jc w:val="center"/>
        <w:tblInd w:w="570"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4230"/>
        <w:gridCol w:w="3240"/>
      </w:tblGrid>
      <w:tr w:rsidR="00606D2D" w:rsidRPr="00956D56">
        <w:trPr>
          <w:jc w:val="center"/>
        </w:trPr>
        <w:tc>
          <w:tcPr>
            <w:tcW w:w="4230" w:type="dxa"/>
            <w:tcBorders>
              <w:top w:val="double" w:sz="4" w:space="0" w:color="auto"/>
              <w:bottom w:val="single" w:sz="4" w:space="0" w:color="auto"/>
            </w:tcBorders>
            <w:vAlign w:val="center"/>
          </w:tcPr>
          <w:p w:rsidR="00606D2D" w:rsidRPr="00956D56" w:rsidRDefault="00606D2D" w:rsidP="00606D2D">
            <w:pPr>
              <w:widowControl/>
              <w:spacing w:before="60" w:after="60"/>
              <w:rPr>
                <w:rFonts w:ascii="Times New Roman"/>
                <w:b/>
                <w:bCs/>
              </w:rPr>
            </w:pPr>
            <w:r w:rsidRPr="00956D56">
              <w:rPr>
                <w:rFonts w:ascii="Times New Roman"/>
                <w:b/>
                <w:bCs/>
                <w:sz w:val="22"/>
                <w:szCs w:val="22"/>
              </w:rPr>
              <w:t>Provision</w:t>
            </w:r>
          </w:p>
        </w:tc>
        <w:tc>
          <w:tcPr>
            <w:tcW w:w="3240" w:type="dxa"/>
            <w:tcBorders>
              <w:top w:val="double" w:sz="4" w:space="0" w:color="auto"/>
              <w:bottom w:val="single" w:sz="4" w:space="0" w:color="auto"/>
            </w:tcBorders>
            <w:vAlign w:val="center"/>
          </w:tcPr>
          <w:p w:rsidR="00606D2D" w:rsidRPr="00956D56" w:rsidRDefault="00606D2D" w:rsidP="00606D2D">
            <w:pPr>
              <w:widowControl/>
              <w:spacing w:before="60" w:after="60"/>
              <w:rPr>
                <w:rFonts w:ascii="Times New Roman"/>
                <w:b/>
                <w:bCs/>
              </w:rPr>
            </w:pPr>
            <w:r w:rsidRPr="00956D56">
              <w:rPr>
                <w:rFonts w:ascii="Times New Roman"/>
                <w:b/>
                <w:bCs/>
                <w:sz w:val="22"/>
                <w:szCs w:val="22"/>
              </w:rPr>
              <w:t>Cost</w:t>
            </w:r>
          </w:p>
        </w:tc>
      </w:tr>
      <w:tr w:rsidR="00606D2D" w:rsidRPr="00956D56">
        <w:trPr>
          <w:jc w:val="center"/>
        </w:trPr>
        <w:tc>
          <w:tcPr>
            <w:tcW w:w="4230" w:type="dxa"/>
            <w:tcBorders>
              <w:top w:val="single" w:sz="4" w:space="0" w:color="auto"/>
            </w:tcBorders>
            <w:vAlign w:val="center"/>
          </w:tcPr>
          <w:p w:rsidR="00606D2D" w:rsidRPr="00956D56" w:rsidRDefault="00606D2D" w:rsidP="00606D2D">
            <w:pPr>
              <w:widowControl/>
              <w:spacing w:before="60" w:after="60"/>
              <w:rPr>
                <w:rFonts w:ascii="Times New Roman"/>
              </w:rPr>
            </w:pPr>
            <w:r w:rsidRPr="00956D56">
              <w:rPr>
                <w:rFonts w:ascii="Times New Roman"/>
                <w:sz w:val="22"/>
                <w:szCs w:val="22"/>
              </w:rPr>
              <w:t>Exposure Monitoring</w:t>
            </w:r>
          </w:p>
        </w:tc>
        <w:tc>
          <w:tcPr>
            <w:tcW w:w="3240" w:type="dxa"/>
            <w:tcBorders>
              <w:top w:val="single" w:sz="4" w:space="0" w:color="auto"/>
            </w:tcBorders>
            <w:vAlign w:val="center"/>
          </w:tcPr>
          <w:p w:rsidR="00606D2D" w:rsidRPr="00956D56" w:rsidRDefault="00606D2D" w:rsidP="00875785">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875785">
              <w:rPr>
                <w:rFonts w:ascii="Times New Roman"/>
                <w:sz w:val="22"/>
                <w:szCs w:val="22"/>
              </w:rPr>
              <w:t xml:space="preserve"> 4,602,555</w:t>
            </w:r>
          </w:p>
        </w:tc>
      </w:tr>
      <w:tr w:rsidR="00606D2D" w:rsidRPr="00956D56">
        <w:trPr>
          <w:jc w:val="center"/>
        </w:trPr>
        <w:tc>
          <w:tcPr>
            <w:tcW w:w="4230" w:type="dxa"/>
            <w:vAlign w:val="center"/>
          </w:tcPr>
          <w:p w:rsidR="00606D2D" w:rsidRPr="00956D56" w:rsidRDefault="00606D2D" w:rsidP="00606D2D">
            <w:pPr>
              <w:widowControl/>
              <w:spacing w:before="60" w:after="60"/>
              <w:rPr>
                <w:rFonts w:ascii="Times New Roman"/>
              </w:rPr>
            </w:pPr>
            <w:r w:rsidRPr="00956D56">
              <w:rPr>
                <w:rFonts w:ascii="Times New Roman"/>
                <w:sz w:val="22"/>
                <w:szCs w:val="22"/>
              </w:rPr>
              <w:t>Biological Monitoring</w:t>
            </w:r>
          </w:p>
        </w:tc>
        <w:tc>
          <w:tcPr>
            <w:tcW w:w="3240" w:type="dxa"/>
            <w:vAlign w:val="center"/>
          </w:tcPr>
          <w:p w:rsidR="00606D2D" w:rsidRPr="00956D56" w:rsidRDefault="00606D2D" w:rsidP="00425C56">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425C56">
              <w:rPr>
                <w:rFonts w:ascii="Times New Roman"/>
                <w:sz w:val="22"/>
                <w:szCs w:val="22"/>
              </w:rPr>
              <w:t>85,305,520</w:t>
            </w:r>
          </w:p>
        </w:tc>
      </w:tr>
      <w:tr w:rsidR="00606D2D" w:rsidRPr="00956D56">
        <w:trPr>
          <w:jc w:val="center"/>
        </w:trPr>
        <w:tc>
          <w:tcPr>
            <w:tcW w:w="4230" w:type="dxa"/>
            <w:tcBorders>
              <w:bottom w:val="single" w:sz="8" w:space="0" w:color="000000"/>
            </w:tcBorders>
            <w:vAlign w:val="center"/>
          </w:tcPr>
          <w:p w:rsidR="00606D2D" w:rsidRPr="00956D56" w:rsidRDefault="00606D2D" w:rsidP="00606D2D">
            <w:pPr>
              <w:widowControl/>
              <w:spacing w:before="60" w:after="60"/>
              <w:rPr>
                <w:rFonts w:ascii="Times New Roman"/>
              </w:rPr>
            </w:pPr>
            <w:r w:rsidRPr="00956D56">
              <w:rPr>
                <w:rFonts w:ascii="Times New Roman"/>
                <w:sz w:val="22"/>
                <w:szCs w:val="22"/>
              </w:rPr>
              <w:t>Medical Examinations</w:t>
            </w:r>
          </w:p>
        </w:tc>
        <w:tc>
          <w:tcPr>
            <w:tcW w:w="3240" w:type="dxa"/>
            <w:tcBorders>
              <w:bottom w:val="single" w:sz="8" w:space="0" w:color="000000"/>
            </w:tcBorders>
            <w:vAlign w:val="center"/>
          </w:tcPr>
          <w:p w:rsidR="00606D2D" w:rsidRPr="00956D56" w:rsidRDefault="00606D2D" w:rsidP="00425C56">
            <w:pPr>
              <w:widowControl/>
              <w:spacing w:before="60" w:after="60"/>
              <w:rPr>
                <w:rFonts w:ascii="Times New Roman"/>
              </w:rPr>
            </w:pPr>
            <w:r w:rsidRPr="00956D56">
              <w:rPr>
                <w:rFonts w:ascii="Times New Roman"/>
                <w:sz w:val="22"/>
                <w:szCs w:val="22"/>
              </w:rPr>
              <w:t>$</w:t>
            </w:r>
            <w:r w:rsidR="00515D3B">
              <w:rPr>
                <w:rFonts w:ascii="Times New Roman"/>
                <w:sz w:val="22"/>
                <w:szCs w:val="22"/>
              </w:rPr>
              <w:t xml:space="preserve"> </w:t>
            </w:r>
            <w:r w:rsidR="00425C56">
              <w:rPr>
                <w:rFonts w:ascii="Times New Roman"/>
                <w:sz w:val="22"/>
                <w:szCs w:val="22"/>
              </w:rPr>
              <w:t>53,284,770</w:t>
            </w:r>
          </w:p>
        </w:tc>
      </w:tr>
      <w:tr w:rsidR="00606D2D" w:rsidRPr="00956D56">
        <w:trPr>
          <w:jc w:val="center"/>
        </w:trPr>
        <w:tc>
          <w:tcPr>
            <w:tcW w:w="4230" w:type="dxa"/>
            <w:tcBorders>
              <w:top w:val="single" w:sz="8" w:space="0" w:color="000000"/>
              <w:bottom w:val="double" w:sz="4" w:space="0" w:color="auto"/>
            </w:tcBorders>
            <w:vAlign w:val="center"/>
          </w:tcPr>
          <w:p w:rsidR="00606D2D" w:rsidRPr="00956D56" w:rsidRDefault="00606D2D" w:rsidP="00606D2D">
            <w:pPr>
              <w:widowControl/>
              <w:spacing w:before="60" w:after="60"/>
              <w:rPr>
                <w:rFonts w:ascii="Times New Roman"/>
                <w:b/>
              </w:rPr>
            </w:pPr>
            <w:r w:rsidRPr="00956D56">
              <w:rPr>
                <w:rFonts w:ascii="Times New Roman"/>
                <w:b/>
                <w:sz w:val="22"/>
                <w:szCs w:val="22"/>
              </w:rPr>
              <w:t>Total</w:t>
            </w:r>
          </w:p>
        </w:tc>
        <w:tc>
          <w:tcPr>
            <w:tcW w:w="3240" w:type="dxa"/>
            <w:tcBorders>
              <w:top w:val="single" w:sz="8" w:space="0" w:color="000000"/>
              <w:bottom w:val="double" w:sz="4" w:space="0" w:color="auto"/>
            </w:tcBorders>
            <w:vAlign w:val="center"/>
          </w:tcPr>
          <w:p w:rsidR="00606D2D" w:rsidRPr="00F26CF9" w:rsidRDefault="00606D2D" w:rsidP="00875785">
            <w:pPr>
              <w:widowControl/>
              <w:spacing w:before="60" w:after="60"/>
              <w:rPr>
                <w:rFonts w:ascii="Times New Roman"/>
                <w:b/>
              </w:rPr>
            </w:pPr>
            <w:r w:rsidRPr="00956D56">
              <w:rPr>
                <w:rFonts w:ascii="Times New Roman"/>
                <w:b/>
                <w:sz w:val="22"/>
                <w:szCs w:val="22"/>
              </w:rPr>
              <w:t>$</w:t>
            </w:r>
            <w:r w:rsidR="00F25F7F">
              <w:rPr>
                <w:rFonts w:ascii="Times New Roman"/>
                <w:b/>
                <w:sz w:val="22"/>
                <w:szCs w:val="22"/>
              </w:rPr>
              <w:t>143,192,845</w:t>
            </w:r>
          </w:p>
        </w:tc>
      </w:tr>
    </w:tbl>
    <w:p w:rsidR="00606D2D" w:rsidRDefault="00606D2D" w:rsidP="00E44D91">
      <w:pPr>
        <w:widowControl/>
        <w:autoSpaceDE/>
        <w:autoSpaceDN/>
        <w:adjustRightInd/>
        <w:rPr>
          <w:rFonts w:ascii="Times New Roman"/>
          <w:b/>
          <w:bCs/>
          <w:sz w:val="22"/>
          <w:szCs w:val="22"/>
        </w:rPr>
      </w:pPr>
    </w:p>
    <w:p w:rsidR="00857660" w:rsidRDefault="00857660">
      <w:pPr>
        <w:widowControl/>
        <w:autoSpaceDE/>
        <w:autoSpaceDN/>
        <w:adjustRightInd/>
        <w:rPr>
          <w:rFonts w:ascii="Times New Roman"/>
          <w:b/>
          <w:sz w:val="20"/>
          <w:szCs w:val="20"/>
        </w:rPr>
      </w:pPr>
      <w:r>
        <w:rPr>
          <w:rFonts w:ascii="Times New Roman"/>
          <w:b/>
          <w:sz w:val="20"/>
          <w:szCs w:val="20"/>
        </w:rPr>
        <w:br w:type="page"/>
      </w:r>
    </w:p>
    <w:p w:rsidR="00515D3B" w:rsidRDefault="00606D2D" w:rsidP="00E44D91">
      <w:pPr>
        <w:widowControl/>
        <w:autoSpaceDE/>
        <w:autoSpaceDN/>
        <w:adjustRightInd/>
        <w:rPr>
          <w:rFonts w:ascii="Times New Roman"/>
          <w:b/>
          <w:sz w:val="20"/>
          <w:szCs w:val="20"/>
        </w:rPr>
      </w:pPr>
      <w:r w:rsidRPr="00FA1B4F">
        <w:rPr>
          <w:rFonts w:ascii="Times New Roman"/>
          <w:b/>
          <w:sz w:val="20"/>
          <w:szCs w:val="20"/>
        </w:rPr>
        <w:lastRenderedPageBreak/>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sz w:val="20"/>
          <w:szCs w:val="20"/>
        </w:rPr>
      </w:pPr>
      <w:proofErr w:type="gramStart"/>
      <w:r w:rsidRPr="00FA1B4F">
        <w:rPr>
          <w:rFonts w:ascii="Times New Roman"/>
          <w:b/>
          <w:sz w:val="20"/>
          <w:szCs w:val="20"/>
        </w:rPr>
        <w:t>without</w:t>
      </w:r>
      <w:proofErr w:type="gramEnd"/>
      <w:r w:rsidRPr="00FA1B4F">
        <w:rPr>
          <w:rFonts w:ascii="Times New Roman"/>
          <w:b/>
          <w:sz w:val="20"/>
          <w:szCs w:val="20"/>
        </w:rPr>
        <w:t xml:space="preserve"> this collection of information.  Agencies also may aggregate cost estimates from Items 12, 13, and 14 in a single table.</w:t>
      </w: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rPr>
      </w:pPr>
    </w:p>
    <w:p w:rsidR="00606D2D" w:rsidRPr="00956D56" w:rsidRDefault="00606D2D" w:rsidP="00E27DD2">
      <w:pPr>
        <w:widowControl/>
        <w:autoSpaceDE/>
        <w:autoSpaceDN/>
        <w:adjustRightInd/>
        <w:rPr>
          <w:rFonts w:ascii="Times New Roman"/>
          <w:b/>
          <w:bCs/>
          <w:sz w:val="22"/>
          <w:szCs w:val="22"/>
        </w:rPr>
      </w:pPr>
      <w:r w:rsidRPr="00956D56">
        <w:rPr>
          <w:rFonts w:ascii="Times New Roman"/>
          <w:b/>
          <w:bCs/>
          <w:sz w:val="22"/>
          <w:szCs w:val="22"/>
        </w:rPr>
        <w:t>Federal Inspections</w:t>
      </w:r>
    </w:p>
    <w:p w:rsidR="00606D2D" w:rsidRPr="00956D56" w:rsidRDefault="00606D2D" w:rsidP="00606D2D">
      <w:pPr>
        <w:widowControl/>
        <w:rPr>
          <w:rFonts w:ascii="Times New Roman"/>
          <w:bCs/>
          <w:sz w:val="22"/>
          <w:szCs w:val="22"/>
        </w:rPr>
      </w:pPr>
    </w:p>
    <w:p w:rsidR="00606D2D" w:rsidRPr="0080157B" w:rsidRDefault="00606D2D" w:rsidP="00606D2D">
      <w:pPr>
        <w:widowControl/>
        <w:rPr>
          <w:rFonts w:ascii="Times New Roman"/>
        </w:rPr>
      </w:pPr>
      <w:r w:rsidRPr="0080157B">
        <w:rPr>
          <w:rFonts w:ascii="Times New Roman"/>
        </w:rPr>
        <w:t xml:space="preserve">OSHA estimates that a compliance officer </w:t>
      </w:r>
      <w:r w:rsidR="00D7068F" w:rsidRPr="009E5B45">
        <w:rPr>
          <w:rFonts w:ascii="Times New Roman"/>
        </w:rPr>
        <w:t>(GS-12, step 5), at an hourly wage rate</w:t>
      </w:r>
      <w:r w:rsidR="00D7068F" w:rsidRPr="001D471E">
        <w:t xml:space="preserve"> </w:t>
      </w:r>
      <w:r w:rsidRPr="0080157B">
        <w:rPr>
          <w:rFonts w:ascii="Times New Roman"/>
        </w:rPr>
        <w:t>$</w:t>
      </w:r>
      <w:r>
        <w:rPr>
          <w:rFonts w:ascii="Times New Roman"/>
        </w:rPr>
        <w:t>37.37</w:t>
      </w:r>
      <w:r w:rsidR="00515D3B" w:rsidRPr="0080157B">
        <w:rPr>
          <w:rStyle w:val="FootnoteReference"/>
          <w:rFonts w:ascii="Times New Roman"/>
          <w:vertAlign w:val="superscript"/>
        </w:rPr>
        <w:footnoteReference w:id="9"/>
      </w:r>
      <w:r>
        <w:rPr>
          <w:rFonts w:ascii="Times New Roman"/>
        </w:rPr>
        <w:t xml:space="preserve"> </w:t>
      </w:r>
      <w:r w:rsidRPr="0080157B">
        <w:rPr>
          <w:rFonts w:ascii="Times New Roman"/>
        </w:rPr>
        <w:t xml:space="preserve">per hour takes 10 minutes </w:t>
      </w:r>
      <w:r w:rsidR="00515D3B">
        <w:rPr>
          <w:rFonts w:ascii="Times New Roman"/>
        </w:rPr>
        <w:t xml:space="preserve">(.17 hour) </w:t>
      </w:r>
      <w:r w:rsidRPr="0080157B">
        <w:rPr>
          <w:rFonts w:ascii="Times New Roman"/>
        </w:rPr>
        <w:t xml:space="preserve">to review the records. </w:t>
      </w:r>
      <w:r>
        <w:rPr>
          <w:rFonts w:ascii="Times New Roman"/>
        </w:rPr>
        <w:t xml:space="preserve">  </w:t>
      </w:r>
      <w:r w:rsidRPr="0080157B">
        <w:rPr>
          <w:rFonts w:ascii="Times New Roman"/>
        </w:rPr>
        <w:t>Therefore, the cost to the Federal Government related to inspections is as follows:</w:t>
      </w:r>
    </w:p>
    <w:p w:rsidR="00606D2D" w:rsidRPr="0080157B" w:rsidRDefault="00606D2D" w:rsidP="00606D2D">
      <w:pPr>
        <w:widowControl/>
        <w:rPr>
          <w:rFonts w:ascii="Times New Roman"/>
          <w:b/>
        </w:rPr>
      </w:pPr>
    </w:p>
    <w:p w:rsidR="00606D2D" w:rsidRPr="0080157B" w:rsidRDefault="00606D2D" w:rsidP="00844929">
      <w:pPr>
        <w:widowControl/>
        <w:ind w:left="720" w:firstLine="720"/>
        <w:rPr>
          <w:rFonts w:ascii="Times New Roman"/>
        </w:rPr>
      </w:pPr>
      <w:r w:rsidRPr="0080157B">
        <w:rPr>
          <w:rFonts w:ascii="Times New Roman"/>
          <w:b/>
          <w:bCs/>
        </w:rPr>
        <w:t>Costs:</w:t>
      </w:r>
      <w:r w:rsidRPr="0080157B">
        <w:rPr>
          <w:rFonts w:ascii="Times New Roman"/>
          <w:b/>
          <w:bCs/>
        </w:rPr>
        <w:tab/>
      </w:r>
      <w:r w:rsidRPr="0080157B">
        <w:rPr>
          <w:rFonts w:ascii="Times New Roman"/>
          <w:b/>
          <w:bCs/>
        </w:rPr>
        <w:tab/>
      </w:r>
      <w:r w:rsidR="00F12454">
        <w:rPr>
          <w:rFonts w:ascii="Times New Roman"/>
          <w:bCs/>
        </w:rPr>
        <w:t>797</w:t>
      </w:r>
      <w:r>
        <w:rPr>
          <w:rFonts w:ascii="Times New Roman"/>
          <w:b/>
          <w:bCs/>
        </w:rPr>
        <w:t xml:space="preserve"> </w:t>
      </w:r>
      <w:r w:rsidRPr="0080157B">
        <w:rPr>
          <w:rFonts w:ascii="Times New Roman"/>
        </w:rPr>
        <w:t>inspections × $</w:t>
      </w:r>
      <w:r>
        <w:rPr>
          <w:rFonts w:ascii="Times New Roman"/>
        </w:rPr>
        <w:t>37.37</w:t>
      </w:r>
      <w:r w:rsidRPr="0080157B">
        <w:rPr>
          <w:rFonts w:ascii="Times New Roman"/>
        </w:rPr>
        <w:t xml:space="preserve"> × .17 hour = $</w:t>
      </w:r>
      <w:r w:rsidR="00425C56">
        <w:rPr>
          <w:rFonts w:ascii="Times New Roman"/>
        </w:rPr>
        <w:t>29,784</w:t>
      </w:r>
    </w:p>
    <w:p w:rsidR="00606D2D" w:rsidRPr="001C18E7" w:rsidRDefault="00606D2D" w:rsidP="00606D2D">
      <w:pPr>
        <w:widowControl/>
        <w:rPr>
          <w:rFonts w:ascii="Times New Roman"/>
          <w:strike/>
          <w:sz w:val="22"/>
          <w:szCs w:val="22"/>
        </w:rPr>
      </w:pPr>
    </w:p>
    <w:p w:rsidR="00606D2D" w:rsidRPr="00765C5C" w:rsidRDefault="00606D2D" w:rsidP="00606D2D">
      <w:pPr>
        <w:tabs>
          <w:tab w:val="left" w:pos="0"/>
        </w:tabs>
        <w:ind w:firstLine="90"/>
        <w:rPr>
          <w:rFonts w:ascii="Times New Roman"/>
          <w:sz w:val="20"/>
          <w:szCs w:val="20"/>
        </w:rPr>
      </w:pPr>
      <w:r w:rsidRPr="00765C5C">
        <w:rPr>
          <w:rFonts w:ascii="Times New Roman"/>
          <w:b/>
          <w:sz w:val="20"/>
          <w:szCs w:val="20"/>
        </w:rPr>
        <w:t>15</w:t>
      </w:r>
      <w:r w:rsidRPr="00765C5C">
        <w:rPr>
          <w:rFonts w:ascii="Times New Roman"/>
          <w:sz w:val="20"/>
          <w:szCs w:val="20"/>
        </w:rPr>
        <w:t xml:space="preserve">. </w:t>
      </w:r>
      <w:r w:rsidRPr="00765C5C">
        <w:rPr>
          <w:rFonts w:ascii="Times New Roman"/>
          <w:b/>
          <w:bCs/>
          <w:sz w:val="20"/>
          <w:szCs w:val="20"/>
          <w:lang w:val="en-JM"/>
        </w:rPr>
        <w:t>Explain the reasons for any program changes or adjustments.</w:t>
      </w:r>
    </w:p>
    <w:p w:rsidR="00606D2D"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606D2D" w:rsidRDefault="00606D2D" w:rsidP="00606D2D">
      <w:pPr>
        <w:rPr>
          <w:rFonts w:ascii="Times New Roman"/>
          <w:color w:val="FF0000"/>
        </w:rPr>
      </w:pPr>
      <w:r w:rsidRPr="003E6A6B">
        <w:rPr>
          <w:rFonts w:ascii="Times New Roman"/>
        </w:rPr>
        <w:t xml:space="preserve">The Agency is requesting </w:t>
      </w:r>
      <w:proofErr w:type="gramStart"/>
      <w:r w:rsidRPr="003E6A6B">
        <w:rPr>
          <w:rFonts w:ascii="Times New Roman"/>
        </w:rPr>
        <w:t>a</w:t>
      </w:r>
      <w:proofErr w:type="gramEnd"/>
      <w:r w:rsidRPr="003E6A6B">
        <w:rPr>
          <w:rFonts w:ascii="Times New Roman"/>
        </w:rPr>
        <w:t xml:space="preserve"> </w:t>
      </w:r>
      <w:r w:rsidR="004E3A54">
        <w:rPr>
          <w:rFonts w:ascii="Times New Roman"/>
        </w:rPr>
        <w:t>119,</w:t>
      </w:r>
      <w:r w:rsidR="00F25F7F">
        <w:rPr>
          <w:rFonts w:ascii="Times New Roman"/>
        </w:rPr>
        <w:t>782</w:t>
      </w:r>
      <w:r w:rsidR="004E3A54">
        <w:rPr>
          <w:rFonts w:ascii="Times New Roman"/>
        </w:rPr>
        <w:t xml:space="preserve"> </w:t>
      </w:r>
      <w:r w:rsidRPr="003E6A6B">
        <w:rPr>
          <w:rFonts w:ascii="Times New Roman"/>
        </w:rPr>
        <w:t xml:space="preserve">hour </w:t>
      </w:r>
      <w:r>
        <w:rPr>
          <w:rFonts w:ascii="Times New Roman"/>
        </w:rPr>
        <w:t xml:space="preserve">adjustment </w:t>
      </w:r>
      <w:r w:rsidRPr="003E6A6B">
        <w:rPr>
          <w:rFonts w:ascii="Times New Roman"/>
        </w:rPr>
        <w:t xml:space="preserve">decrease, from </w:t>
      </w:r>
      <w:r w:rsidR="00F73AA2">
        <w:rPr>
          <w:rFonts w:ascii="Times New Roman"/>
        </w:rPr>
        <w:t>1,225,253</w:t>
      </w:r>
      <w:r w:rsidRPr="003E6A6B">
        <w:rPr>
          <w:rFonts w:ascii="Times New Roman"/>
        </w:rPr>
        <w:t xml:space="preserve"> hours to </w:t>
      </w:r>
      <w:r w:rsidR="004E3A54">
        <w:rPr>
          <w:rFonts w:ascii="Times New Roman"/>
        </w:rPr>
        <w:t>1,105,</w:t>
      </w:r>
      <w:r w:rsidR="00F25F7F">
        <w:rPr>
          <w:rFonts w:ascii="Times New Roman"/>
        </w:rPr>
        <w:t xml:space="preserve">471 </w:t>
      </w:r>
      <w:r w:rsidRPr="003E6A6B">
        <w:rPr>
          <w:rFonts w:ascii="Times New Roman"/>
        </w:rPr>
        <w:t>hours.  The decrease is primarily</w:t>
      </w:r>
      <w:r w:rsidR="007A2404">
        <w:rPr>
          <w:rFonts w:ascii="Times New Roman"/>
        </w:rPr>
        <w:t xml:space="preserve"> </w:t>
      </w:r>
      <w:r w:rsidRPr="003E6A6B">
        <w:rPr>
          <w:rFonts w:ascii="Times New Roman"/>
        </w:rPr>
        <w:t>due to the</w:t>
      </w:r>
      <w:r w:rsidR="00242A51">
        <w:rPr>
          <w:rFonts w:ascii="Times New Roman"/>
        </w:rPr>
        <w:t xml:space="preserve"> estimated</w:t>
      </w:r>
      <w:r w:rsidRPr="003E6A6B">
        <w:rPr>
          <w:rFonts w:ascii="Times New Roman"/>
        </w:rPr>
        <w:t xml:space="preserve"> reduction in the number of facilities (from </w:t>
      </w:r>
      <w:r>
        <w:rPr>
          <w:rFonts w:ascii="Times New Roman"/>
        </w:rPr>
        <w:t>61,40</w:t>
      </w:r>
      <w:r w:rsidR="00F73AA2">
        <w:rPr>
          <w:rFonts w:ascii="Times New Roman"/>
        </w:rPr>
        <w:t>5</w:t>
      </w:r>
      <w:r w:rsidRPr="003E6A6B">
        <w:rPr>
          <w:rFonts w:ascii="Times New Roman"/>
        </w:rPr>
        <w:t xml:space="preserve"> to </w:t>
      </w:r>
      <w:r w:rsidR="0071495F">
        <w:rPr>
          <w:rFonts w:ascii="Times New Roman"/>
        </w:rPr>
        <w:t>56,94</w:t>
      </w:r>
      <w:r w:rsidR="002C5C0E">
        <w:rPr>
          <w:rFonts w:ascii="Times New Roman"/>
        </w:rPr>
        <w:t>9</w:t>
      </w:r>
      <w:r w:rsidRPr="003E6A6B">
        <w:rPr>
          <w:rFonts w:ascii="Times New Roman"/>
        </w:rPr>
        <w:t xml:space="preserve">) and exposed </w:t>
      </w:r>
      <w:r>
        <w:rPr>
          <w:rFonts w:ascii="Times New Roman"/>
        </w:rPr>
        <w:t>worker</w:t>
      </w:r>
      <w:r w:rsidRPr="003E6A6B">
        <w:rPr>
          <w:rFonts w:ascii="Times New Roman"/>
        </w:rPr>
        <w:t xml:space="preserve">s (from </w:t>
      </w:r>
      <w:r>
        <w:rPr>
          <w:rFonts w:ascii="Times New Roman"/>
        </w:rPr>
        <w:t>871,894</w:t>
      </w:r>
      <w:r w:rsidRPr="003E6A6B">
        <w:rPr>
          <w:rFonts w:ascii="Times New Roman"/>
        </w:rPr>
        <w:t xml:space="preserve"> to</w:t>
      </w:r>
      <w:r w:rsidR="009558F9">
        <w:rPr>
          <w:rFonts w:ascii="Times New Roman"/>
        </w:rPr>
        <w:t xml:space="preserve"> </w:t>
      </w:r>
      <w:r w:rsidR="001E1DE3">
        <w:rPr>
          <w:rFonts w:ascii="Times New Roman"/>
        </w:rPr>
        <w:t>804,</w:t>
      </w:r>
      <w:r w:rsidR="00425C56">
        <w:rPr>
          <w:rFonts w:ascii="Times New Roman"/>
        </w:rPr>
        <w:t>507</w:t>
      </w:r>
      <w:r w:rsidRPr="003E6A6B">
        <w:rPr>
          <w:rFonts w:ascii="Times New Roman"/>
        </w:rPr>
        <w:t>)</w:t>
      </w:r>
      <w:r w:rsidR="009558F9">
        <w:rPr>
          <w:rFonts w:ascii="Times New Roman"/>
        </w:rPr>
        <w:t>, based on updated data</w:t>
      </w:r>
      <w:r w:rsidRPr="003E6A6B">
        <w:rPr>
          <w:rFonts w:ascii="Times New Roman"/>
        </w:rPr>
        <w:t xml:space="preserve">. </w:t>
      </w:r>
      <w:r>
        <w:rPr>
          <w:rFonts w:ascii="Times New Roman"/>
        </w:rPr>
        <w:t xml:space="preserve"> </w:t>
      </w:r>
      <w:r w:rsidRPr="003E6A6B">
        <w:rPr>
          <w:rFonts w:ascii="Times New Roman"/>
        </w:rPr>
        <w:t xml:space="preserve">Additionally, </w:t>
      </w:r>
      <w:r>
        <w:rPr>
          <w:rFonts w:ascii="Times New Roman"/>
        </w:rPr>
        <w:t>due to the reduction in the number of facilities and exposed workers as stated above, there is a decrea</w:t>
      </w:r>
      <w:r w:rsidR="001927D7">
        <w:rPr>
          <w:rFonts w:ascii="Times New Roman"/>
        </w:rPr>
        <w:t>se in total operation and mainten</w:t>
      </w:r>
      <w:r w:rsidR="004E3A54">
        <w:rPr>
          <w:rFonts w:ascii="Times New Roman"/>
        </w:rPr>
        <w:t>a</w:t>
      </w:r>
      <w:r w:rsidR="001927D7">
        <w:rPr>
          <w:rFonts w:ascii="Times New Roman"/>
        </w:rPr>
        <w:t>nce</w:t>
      </w:r>
      <w:r>
        <w:rPr>
          <w:rFonts w:ascii="Times New Roman"/>
        </w:rPr>
        <w:t xml:space="preserve"> </w:t>
      </w:r>
      <w:r w:rsidRPr="003E6A6B">
        <w:rPr>
          <w:rFonts w:ascii="Times New Roman"/>
        </w:rPr>
        <w:t>cost</w:t>
      </w:r>
      <w:r>
        <w:rPr>
          <w:rFonts w:ascii="Times New Roman"/>
        </w:rPr>
        <w:t>s</w:t>
      </w:r>
      <w:r w:rsidRPr="003E6A6B">
        <w:rPr>
          <w:rFonts w:ascii="Times New Roman"/>
        </w:rPr>
        <w:t xml:space="preserve"> </w:t>
      </w:r>
      <w:r>
        <w:rPr>
          <w:rFonts w:ascii="Times New Roman"/>
        </w:rPr>
        <w:t>of $</w:t>
      </w:r>
      <w:r w:rsidR="006602ED">
        <w:rPr>
          <w:rFonts w:ascii="Times New Roman"/>
        </w:rPr>
        <w:t>373,454</w:t>
      </w:r>
      <w:r>
        <w:rPr>
          <w:rFonts w:ascii="Times New Roman"/>
        </w:rPr>
        <w:t xml:space="preserve"> (from $143,566,299 to $</w:t>
      </w:r>
      <w:r w:rsidR="009558F9">
        <w:rPr>
          <w:rFonts w:ascii="Times New Roman"/>
        </w:rPr>
        <w:t>143,</w:t>
      </w:r>
      <w:r w:rsidR="00425C56">
        <w:rPr>
          <w:rFonts w:ascii="Times New Roman"/>
        </w:rPr>
        <w:t>19</w:t>
      </w:r>
      <w:r w:rsidR="006602ED">
        <w:rPr>
          <w:rFonts w:ascii="Times New Roman"/>
        </w:rPr>
        <w:t>2,845</w:t>
      </w:r>
      <w:r>
        <w:rPr>
          <w:rFonts w:ascii="Times New Roman"/>
        </w:rPr>
        <w:t>)</w:t>
      </w:r>
      <w:r w:rsidR="004E3A54">
        <w:rPr>
          <w:rFonts w:ascii="Times New Roman"/>
        </w:rPr>
        <w:t>,</w:t>
      </w:r>
      <w:r w:rsidR="004E3A54" w:rsidRPr="004E3A54">
        <w:rPr>
          <w:rFonts w:ascii="Times New Roman"/>
        </w:rPr>
        <w:t xml:space="preserve"> </w:t>
      </w:r>
      <w:r w:rsidR="004E3A54" w:rsidRPr="003E6A6B">
        <w:rPr>
          <w:rFonts w:ascii="Times New Roman"/>
        </w:rPr>
        <w:t xml:space="preserve">although </w:t>
      </w:r>
      <w:r w:rsidR="004E3A54">
        <w:rPr>
          <w:rFonts w:ascii="Times New Roman"/>
        </w:rPr>
        <w:t xml:space="preserve">the cost to perform exposure monitoring has increased from $25 to $27, </w:t>
      </w:r>
      <w:r w:rsidR="004E3A54" w:rsidRPr="003E6A6B">
        <w:rPr>
          <w:rFonts w:ascii="Times New Roman"/>
        </w:rPr>
        <w:t xml:space="preserve">to perform </w:t>
      </w:r>
      <w:r w:rsidR="004E3A54">
        <w:rPr>
          <w:rFonts w:ascii="Times New Roman"/>
        </w:rPr>
        <w:t xml:space="preserve">biological </w:t>
      </w:r>
      <w:r w:rsidR="004E3A54" w:rsidRPr="003E6A6B">
        <w:rPr>
          <w:rFonts w:ascii="Times New Roman"/>
        </w:rPr>
        <w:t>medical surveillance has increased from $</w:t>
      </w:r>
      <w:r w:rsidR="004E3A54">
        <w:rPr>
          <w:rFonts w:ascii="Times New Roman"/>
        </w:rPr>
        <w:t>65.40</w:t>
      </w:r>
      <w:r w:rsidR="004E3A54" w:rsidRPr="003E6A6B">
        <w:rPr>
          <w:rFonts w:ascii="Times New Roman"/>
        </w:rPr>
        <w:t xml:space="preserve"> to $</w:t>
      </w:r>
      <w:r w:rsidR="004E3A54">
        <w:rPr>
          <w:rFonts w:ascii="Times New Roman"/>
        </w:rPr>
        <w:t>70.86,</w:t>
      </w:r>
      <w:r w:rsidR="004E3A54" w:rsidRPr="003E6A6B">
        <w:rPr>
          <w:rFonts w:ascii="Times New Roman"/>
        </w:rPr>
        <w:t xml:space="preserve"> and </w:t>
      </w:r>
      <w:r w:rsidR="004E3A54">
        <w:rPr>
          <w:rFonts w:ascii="Times New Roman"/>
        </w:rPr>
        <w:t xml:space="preserve">to perform </w:t>
      </w:r>
      <w:r w:rsidR="004E3A54" w:rsidRPr="003E6A6B">
        <w:rPr>
          <w:rFonts w:ascii="Times New Roman"/>
        </w:rPr>
        <w:t>medical examinations increased from $</w:t>
      </w:r>
      <w:r w:rsidR="004E3A54">
        <w:rPr>
          <w:rFonts w:ascii="Times New Roman"/>
        </w:rPr>
        <w:t>223</w:t>
      </w:r>
      <w:r w:rsidR="004E3A54" w:rsidRPr="003E6A6B">
        <w:rPr>
          <w:rFonts w:ascii="Times New Roman"/>
        </w:rPr>
        <w:t xml:space="preserve"> to $</w:t>
      </w:r>
      <w:r w:rsidR="004E3A54">
        <w:rPr>
          <w:rFonts w:ascii="Times New Roman"/>
        </w:rPr>
        <w:t>242</w:t>
      </w:r>
      <w:r w:rsidRPr="003E6A6B">
        <w:rPr>
          <w:rFonts w:ascii="Times New Roman"/>
        </w:rPr>
        <w:t>.</w:t>
      </w:r>
    </w:p>
    <w:p w:rsidR="00DB0F38" w:rsidRDefault="00DB0F38">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A71C27" w:rsidRPr="00E27DD2" w:rsidRDefault="00743A58" w:rsidP="00743A5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E27DD2">
        <w:rPr>
          <w:rFonts w:ascii="Times New Roman"/>
        </w:rPr>
        <w:t>Upon further analysis, the requirement that emp</w:t>
      </w:r>
      <w:r w:rsidR="00E17698" w:rsidRPr="00E27DD2">
        <w:rPr>
          <w:rFonts w:ascii="Times New Roman"/>
        </w:rPr>
        <w:t xml:space="preserve">loyers provide training to </w:t>
      </w:r>
      <w:r w:rsidRPr="00E27DD2">
        <w:rPr>
          <w:rFonts w:ascii="Times New Roman"/>
        </w:rPr>
        <w:t xml:space="preserve">workers is not considered to be a collection of information.  </w:t>
      </w:r>
      <w:r w:rsidR="00E17698" w:rsidRPr="00E27DD2">
        <w:rPr>
          <w:rFonts w:ascii="Times New Roman"/>
        </w:rPr>
        <w:t>In a</w:t>
      </w:r>
      <w:r w:rsidR="0021064F" w:rsidRPr="00E27DD2">
        <w:rPr>
          <w:rFonts w:ascii="Times New Roman"/>
        </w:rPr>
        <w:t xml:space="preserve">ddition, the requirements that </w:t>
      </w:r>
      <w:r w:rsidR="00E17698" w:rsidRPr="00E27DD2">
        <w:rPr>
          <w:rFonts w:ascii="Times New Roman"/>
        </w:rPr>
        <w:t>employer</w:t>
      </w:r>
      <w:r w:rsidR="0021064F" w:rsidRPr="00E27DD2">
        <w:rPr>
          <w:rFonts w:ascii="Times New Roman"/>
        </w:rPr>
        <w:t>s</w:t>
      </w:r>
      <w:r w:rsidR="00E17698" w:rsidRPr="00E27DD2">
        <w:rPr>
          <w:rFonts w:ascii="Times New Roman"/>
        </w:rPr>
        <w:t xml:space="preserve"> make copies of the Standard and appendices readily available </w:t>
      </w:r>
      <w:r w:rsidR="00D03878" w:rsidRPr="00E27DD2">
        <w:rPr>
          <w:rFonts w:ascii="Times New Roman"/>
        </w:rPr>
        <w:t xml:space="preserve">to affected workers </w:t>
      </w:r>
      <w:r w:rsidR="00E17698" w:rsidRPr="00E27DD2">
        <w:rPr>
          <w:rFonts w:ascii="Times New Roman"/>
        </w:rPr>
        <w:t xml:space="preserve">and distribute </w:t>
      </w:r>
      <w:r w:rsidR="00D03878" w:rsidRPr="00E27DD2">
        <w:rPr>
          <w:rFonts w:ascii="Times New Roman"/>
        </w:rPr>
        <w:t xml:space="preserve">to workers </w:t>
      </w:r>
      <w:r w:rsidR="00E17698" w:rsidRPr="00E27DD2">
        <w:rPr>
          <w:rFonts w:ascii="Times New Roman"/>
        </w:rPr>
        <w:t xml:space="preserve">training </w:t>
      </w:r>
      <w:r w:rsidR="00D03878" w:rsidRPr="00E27DD2">
        <w:rPr>
          <w:rFonts w:ascii="Times New Roman"/>
        </w:rPr>
        <w:t xml:space="preserve">and information program </w:t>
      </w:r>
      <w:r w:rsidR="00E17698" w:rsidRPr="00E27DD2">
        <w:rPr>
          <w:rFonts w:ascii="Times New Roman"/>
        </w:rPr>
        <w:t>materials</w:t>
      </w:r>
      <w:r w:rsidR="00D03878" w:rsidRPr="00E27DD2">
        <w:rPr>
          <w:rFonts w:ascii="Times New Roman"/>
        </w:rPr>
        <w:t xml:space="preserve"> made available to the employer by OSHA </w:t>
      </w:r>
      <w:r w:rsidR="00E17698" w:rsidRPr="00E27DD2">
        <w:rPr>
          <w:rFonts w:ascii="Times New Roman"/>
        </w:rPr>
        <w:t>are not considered to be collections of information.</w:t>
      </w:r>
      <w:r w:rsidR="004E3A54" w:rsidRPr="00E27DD2">
        <w:rPr>
          <w:rFonts w:ascii="Times New Roman"/>
        </w:rPr>
        <w:t xml:space="preserve">  T</w:t>
      </w:r>
      <w:r w:rsidR="009F069A" w:rsidRPr="00E27DD2">
        <w:rPr>
          <w:rFonts w:ascii="Times New Roman"/>
        </w:rPr>
        <w:t>herefore, OSHA removed t</w:t>
      </w:r>
      <w:r w:rsidR="004E3A54" w:rsidRPr="00E27DD2">
        <w:rPr>
          <w:rFonts w:ascii="Times New Roman"/>
        </w:rPr>
        <w:t>he burden hours and costs associated with these requirements.</w:t>
      </w:r>
    </w:p>
    <w:p w:rsidR="00743A58" w:rsidRDefault="00743A58">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sidRPr="00FA1B4F">
        <w:rPr>
          <w:rFonts w:ascii="Times New Roman"/>
          <w:b/>
          <w:sz w:val="20"/>
          <w:szCs w:val="20"/>
        </w:rPr>
        <w:t>16.  For collections of information whose results will be published, outline plans for tabulation, and publication.  Address any complex analytical technique that will be used.  Provide the time schedule for the entire project, including beginning and ending dates of the collection of information, completion of report, publication dates, and other actions.</w:t>
      </w: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r w:rsidRPr="0052502E">
        <w:rPr>
          <w:rFonts w:ascii="Times New Roman"/>
        </w:rPr>
        <w:t>This question is not applicable as this information to be collected will not be published for statistical use.</w:t>
      </w: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rsidR="00606D2D" w:rsidRPr="00FA1B4F"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sz w:val="20"/>
          <w:szCs w:val="20"/>
        </w:rPr>
      </w:pPr>
      <w:r w:rsidRPr="00FA1B4F">
        <w:rPr>
          <w:rFonts w:ascii="Times New Roman"/>
          <w:b/>
          <w:sz w:val="20"/>
          <w:szCs w:val="20"/>
        </w:rPr>
        <w:t>17.  If seeking approval to not display the expiration date for OMB approval of the information collection, explain the reasons that display would be inappropriate.</w:t>
      </w: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r w:rsidRPr="0052502E">
        <w:rPr>
          <w:rFonts w:ascii="Times New Roman"/>
        </w:rPr>
        <w:t>There are no forms on which to display the expiration date.</w:t>
      </w:r>
    </w:p>
    <w:p w:rsidR="00606D2D" w:rsidRPr="0052502E" w:rsidRDefault="00606D2D">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19"/>
          <w:szCs w:val="19"/>
        </w:rPr>
      </w:pPr>
    </w:p>
    <w:p w:rsidR="00606D2D" w:rsidRPr="004E402F" w:rsidRDefault="00606D2D" w:rsidP="00606D2D">
      <w:p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sz w:val="20"/>
          <w:szCs w:val="20"/>
        </w:rPr>
      </w:pPr>
      <w:r w:rsidRPr="004E402F">
        <w:rPr>
          <w:rFonts w:ascii="Times New Roman"/>
          <w:b/>
          <w:bCs/>
          <w:sz w:val="20"/>
          <w:szCs w:val="20"/>
        </w:rPr>
        <w:t xml:space="preserve">18.  </w:t>
      </w:r>
      <w:r w:rsidRPr="004E402F">
        <w:rPr>
          <w:rFonts w:ascii="Times New Roman"/>
          <w:b/>
          <w:sz w:val="20"/>
          <w:szCs w:val="20"/>
        </w:rPr>
        <w:t xml:space="preserve">Explain each exception to the certification statement. </w:t>
      </w:r>
      <w:r w:rsidRPr="004E402F">
        <w:rPr>
          <w:rFonts w:ascii="Times New Roman"/>
          <w:b/>
          <w:sz w:val="20"/>
          <w:szCs w:val="20"/>
          <w:lang w:val="en-JM"/>
        </w:rPr>
        <w:t> </w:t>
      </w:r>
    </w:p>
    <w:p w:rsidR="00606D2D" w:rsidRPr="00D82581" w:rsidRDefault="00606D2D" w:rsidP="00606D2D">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sz w:val="22"/>
          <w:szCs w:val="22"/>
        </w:rPr>
      </w:pPr>
    </w:p>
    <w:p w:rsidR="00606D2D" w:rsidRPr="004E402F" w:rsidRDefault="00606D2D" w:rsidP="00606D2D">
      <w:pPr>
        <w:rPr>
          <w:rFonts w:ascii="Times New Roman"/>
          <w:lang w:val="en-JM"/>
        </w:rPr>
      </w:pPr>
      <w:r w:rsidRPr="004E402F">
        <w:rPr>
          <w:rFonts w:ascii="Times New Roman"/>
          <w:lang w:val="en-JM"/>
        </w:rPr>
        <w:t>OSHA is not requesting an exception to the certification statement.</w:t>
      </w:r>
    </w:p>
    <w:p w:rsidR="00606D2D" w:rsidRPr="004E402F" w:rsidRDefault="00606D2D" w:rsidP="00606D2D">
      <w:pPr>
        <w:rPr>
          <w:rFonts w:ascii="Times New Roman"/>
          <w:lang w:val="en-JM"/>
        </w:rPr>
      </w:pPr>
    </w:p>
    <w:p w:rsidR="00606D2D" w:rsidRPr="004E402F" w:rsidRDefault="00606D2D" w:rsidP="00606D2D">
      <w:pPr>
        <w:rPr>
          <w:rFonts w:ascii="Times New Roman"/>
          <w:b/>
          <w:lang w:val="en-JM"/>
        </w:rPr>
      </w:pPr>
      <w:r w:rsidRPr="004E402F">
        <w:rPr>
          <w:rFonts w:ascii="Times New Roman"/>
          <w:b/>
          <w:lang w:val="en-JM"/>
        </w:rPr>
        <w:t>B. COLLECTION OF INFORMATION EMPLOYING STATISTICAL METHODS.</w:t>
      </w:r>
    </w:p>
    <w:p w:rsidR="00606D2D" w:rsidRPr="004E402F" w:rsidRDefault="00606D2D" w:rsidP="00606D2D">
      <w:pPr>
        <w:rPr>
          <w:rFonts w:ascii="Times New Roman"/>
          <w:b/>
          <w:lang w:val="en-JM"/>
        </w:rPr>
      </w:pPr>
    </w:p>
    <w:p w:rsidR="00844929" w:rsidRDefault="00606D2D" w:rsidP="00606D2D">
      <w:pPr>
        <w:rPr>
          <w:rFonts w:ascii="Times New Roman"/>
          <w:lang w:val="en-JM"/>
        </w:rPr>
        <w:sectPr w:rsidR="00844929">
          <w:footerReference w:type="default" r:id="rId14"/>
          <w:pgSz w:w="12240" w:h="15840"/>
          <w:pgMar w:top="1440" w:right="1440" w:bottom="1440" w:left="1440" w:header="1440" w:footer="1440" w:gutter="0"/>
          <w:cols w:space="720"/>
          <w:noEndnote/>
          <w:docGrid w:linePitch="360"/>
        </w:sectPr>
      </w:pPr>
      <w:r w:rsidRPr="004E402F">
        <w:rPr>
          <w:rFonts w:ascii="Times New Roman"/>
          <w:lang w:val="en-JM"/>
        </w:rPr>
        <w:t>This Supporting Statement does not contain any collection of information requirements that employ statistical methods.</w:t>
      </w:r>
    </w:p>
    <w:p w:rsidR="00606D2D" w:rsidRPr="004E402F" w:rsidRDefault="00606D2D" w:rsidP="00606D2D">
      <w:pPr>
        <w:rPr>
          <w:rFonts w:ascii="Times New Roman"/>
          <w:lang w:val="en-JM"/>
        </w:rPr>
      </w:pPr>
    </w:p>
    <w:p w:rsidR="00606D2D" w:rsidRDefault="00606D2D" w:rsidP="00606D2D">
      <w:pPr>
        <w:widowControl/>
        <w:ind w:left="270"/>
        <w:jc w:val="center"/>
        <w:rPr>
          <w:rFonts w:ascii="Times New Roman"/>
          <w:b/>
          <w:sz w:val="22"/>
          <w:szCs w:val="22"/>
        </w:rPr>
      </w:pPr>
      <w:r w:rsidRPr="00956D56">
        <w:rPr>
          <w:rFonts w:ascii="Times New Roman"/>
          <w:b/>
          <w:sz w:val="22"/>
          <w:szCs w:val="22"/>
        </w:rPr>
        <w:t xml:space="preserve">Table A. Estimated Number of Facilities and Exposed </w:t>
      </w:r>
      <w:r>
        <w:rPr>
          <w:rFonts w:ascii="Times New Roman"/>
          <w:b/>
          <w:sz w:val="22"/>
          <w:szCs w:val="22"/>
        </w:rPr>
        <w:t>Workers</w:t>
      </w:r>
    </w:p>
    <w:tbl>
      <w:tblPr>
        <w:tblW w:w="12040" w:type="dxa"/>
        <w:tblInd w:w="85" w:type="dxa"/>
        <w:tblLook w:val="04A0" w:firstRow="1" w:lastRow="0" w:firstColumn="1" w:lastColumn="0" w:noHBand="0" w:noVBand="1"/>
      </w:tblPr>
      <w:tblGrid>
        <w:gridCol w:w="2800"/>
        <w:gridCol w:w="1540"/>
        <w:gridCol w:w="1540"/>
        <w:gridCol w:w="1540"/>
        <w:gridCol w:w="1540"/>
        <w:gridCol w:w="1540"/>
        <w:gridCol w:w="1540"/>
      </w:tblGrid>
      <w:tr w:rsidR="00606D2D" w:rsidRPr="00AF42AC">
        <w:trPr>
          <w:trHeight w:val="330"/>
        </w:trPr>
        <w:tc>
          <w:tcPr>
            <w:tcW w:w="2800" w:type="dxa"/>
            <w:vMerge w:val="restart"/>
            <w:tcBorders>
              <w:top w:val="double" w:sz="6" w:space="0" w:color="000000"/>
              <w:left w:val="double" w:sz="6" w:space="0" w:color="000000"/>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bookmarkStart w:id="2" w:name="RANGE!A17"/>
            <w:r w:rsidRPr="00AF42AC">
              <w:rPr>
                <w:rFonts w:ascii="Times New Roman" w:eastAsia="Times New Roman"/>
                <w:b/>
                <w:bCs/>
                <w:color w:val="000000"/>
                <w:sz w:val="20"/>
                <w:szCs w:val="20"/>
              </w:rPr>
              <w:t>Industrial Sector</w:t>
            </w:r>
            <w:bookmarkEnd w:id="2"/>
          </w:p>
        </w:tc>
        <w:tc>
          <w:tcPr>
            <w:tcW w:w="4620" w:type="dxa"/>
            <w:gridSpan w:val="3"/>
            <w:tcBorders>
              <w:top w:val="double" w:sz="6" w:space="0" w:color="000000"/>
              <w:left w:val="nil"/>
              <w:bottom w:val="single" w:sz="8" w:space="0" w:color="000000"/>
              <w:right w:val="single" w:sz="8" w:space="0" w:color="000000"/>
            </w:tcBorders>
            <w:shd w:val="clear" w:color="auto" w:fill="auto"/>
            <w:vAlign w:val="bottom"/>
          </w:tcPr>
          <w:p w:rsidR="00606D2D" w:rsidRPr="00AF42AC" w:rsidRDefault="00606D2D" w:rsidP="00330966">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200</w:t>
            </w:r>
            <w:r w:rsidR="00651FC3">
              <w:rPr>
                <w:rFonts w:ascii="Times New Roman" w:eastAsia="Times New Roman"/>
                <w:b/>
                <w:bCs/>
                <w:color w:val="000000"/>
                <w:sz w:val="20"/>
                <w:szCs w:val="20"/>
              </w:rPr>
              <w:t>9</w:t>
            </w:r>
            <w:r w:rsidRPr="00AF42AC">
              <w:rPr>
                <w:rFonts w:ascii="Times New Roman" w:eastAsia="Times New Roman"/>
                <w:b/>
                <w:bCs/>
                <w:color w:val="000000"/>
                <w:sz w:val="20"/>
                <w:szCs w:val="20"/>
              </w:rPr>
              <w:t xml:space="preserve"> </w:t>
            </w:r>
            <w:r w:rsidR="00E95E57">
              <w:rPr>
                <w:rFonts w:ascii="Times New Roman" w:eastAsia="Times New Roman"/>
                <w:b/>
                <w:bCs/>
                <w:color w:val="000000"/>
                <w:sz w:val="20"/>
                <w:szCs w:val="20"/>
              </w:rPr>
              <w:t xml:space="preserve">ICR </w:t>
            </w:r>
            <w:r w:rsidRPr="00AF42AC">
              <w:rPr>
                <w:rFonts w:ascii="Times New Roman" w:eastAsia="Times New Roman"/>
                <w:b/>
                <w:bCs/>
                <w:color w:val="000000"/>
                <w:sz w:val="20"/>
                <w:szCs w:val="20"/>
              </w:rPr>
              <w:t>Estimates</w:t>
            </w:r>
          </w:p>
        </w:tc>
        <w:tc>
          <w:tcPr>
            <w:tcW w:w="4620" w:type="dxa"/>
            <w:gridSpan w:val="3"/>
            <w:tcBorders>
              <w:top w:val="double" w:sz="6" w:space="0" w:color="000000"/>
              <w:left w:val="nil"/>
              <w:bottom w:val="single" w:sz="8" w:space="0" w:color="000000"/>
              <w:right w:val="double" w:sz="6"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New Estimates</w:t>
            </w:r>
          </w:p>
        </w:tc>
      </w:tr>
      <w:tr w:rsidR="00606D2D" w:rsidRPr="00AF42AC">
        <w:trPr>
          <w:trHeight w:val="1560"/>
        </w:trPr>
        <w:tc>
          <w:tcPr>
            <w:tcW w:w="2800" w:type="dxa"/>
            <w:vMerge/>
            <w:tcBorders>
              <w:top w:val="double" w:sz="6" w:space="0" w:color="000000"/>
              <w:left w:val="double" w:sz="6" w:space="0" w:color="000000"/>
              <w:bottom w:val="nil"/>
              <w:right w:val="single" w:sz="8" w:space="0" w:color="000000"/>
            </w:tcBorders>
            <w:vAlign w:val="center"/>
          </w:tcPr>
          <w:p w:rsidR="00606D2D" w:rsidRPr="00AF42AC" w:rsidRDefault="00606D2D" w:rsidP="00606D2D">
            <w:pPr>
              <w:widowControl/>
              <w:autoSpaceDE/>
              <w:autoSpaceDN/>
              <w:adjustRightInd/>
              <w:rPr>
                <w:rFonts w:ascii="Times New Roman" w:eastAsia="Times New Roman"/>
                <w:b/>
                <w:bCs/>
                <w:color w:val="000000"/>
                <w:sz w:val="20"/>
                <w:szCs w:val="20"/>
              </w:rPr>
            </w:pP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Estimated # Facilities</w:t>
            </w: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 xml:space="preserve">Estimated # Exposed </w:t>
            </w:r>
            <w:r>
              <w:rPr>
                <w:rFonts w:ascii="Times New Roman" w:eastAsia="Times New Roman"/>
                <w:b/>
                <w:bCs/>
                <w:color w:val="000000"/>
                <w:sz w:val="20"/>
                <w:szCs w:val="20"/>
              </w:rPr>
              <w:t>Worker</w:t>
            </w:r>
            <w:r w:rsidRPr="00AF42AC">
              <w:rPr>
                <w:rFonts w:ascii="Times New Roman" w:eastAsia="Times New Roman"/>
                <w:b/>
                <w:bCs/>
                <w:color w:val="000000"/>
                <w:sz w:val="20"/>
                <w:szCs w:val="20"/>
              </w:rPr>
              <w:t>s</w:t>
            </w: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18"/>
                <w:szCs w:val="18"/>
              </w:rPr>
            </w:pPr>
            <w:r w:rsidRPr="00AF42AC">
              <w:rPr>
                <w:rFonts w:ascii="Times New Roman" w:eastAsia="Times New Roman"/>
                <w:b/>
                <w:bCs/>
                <w:color w:val="000000"/>
                <w:sz w:val="18"/>
                <w:szCs w:val="18"/>
              </w:rPr>
              <w:t xml:space="preserve">Estimated # </w:t>
            </w:r>
            <w:r>
              <w:rPr>
                <w:rFonts w:ascii="Times New Roman" w:eastAsia="Times New Roman"/>
                <w:b/>
                <w:bCs/>
                <w:color w:val="000000"/>
                <w:sz w:val="18"/>
                <w:szCs w:val="18"/>
              </w:rPr>
              <w:t>Worker</w:t>
            </w:r>
            <w:r w:rsidRPr="00AF42AC">
              <w:rPr>
                <w:rFonts w:ascii="Times New Roman" w:eastAsia="Times New Roman"/>
                <w:b/>
                <w:bCs/>
                <w:color w:val="000000"/>
                <w:sz w:val="18"/>
                <w:szCs w:val="18"/>
              </w:rPr>
              <w:t>s Exposed Above the Action Level, but Below the PEL</w:t>
            </w: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Estimated # Facilities</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b/>
                <w:bCs/>
                <w:color w:val="000000"/>
                <w:sz w:val="20"/>
                <w:szCs w:val="20"/>
              </w:rPr>
            </w:pPr>
            <w:r w:rsidRPr="00AF42AC">
              <w:rPr>
                <w:rFonts w:ascii="Times New Roman" w:eastAsia="Times New Roman"/>
                <w:b/>
                <w:bCs/>
                <w:color w:val="000000"/>
                <w:sz w:val="20"/>
                <w:szCs w:val="20"/>
              </w:rPr>
              <w:t xml:space="preserve">Estimated # of Exposed </w:t>
            </w:r>
            <w:r>
              <w:rPr>
                <w:rFonts w:ascii="Times New Roman" w:eastAsia="Times New Roman"/>
                <w:b/>
                <w:bCs/>
                <w:color w:val="000000"/>
                <w:sz w:val="20"/>
                <w:szCs w:val="20"/>
              </w:rPr>
              <w:t>Worker</w:t>
            </w:r>
            <w:r w:rsidRPr="00AF42AC">
              <w:rPr>
                <w:rFonts w:ascii="Times New Roman" w:eastAsia="Times New Roman"/>
                <w:b/>
                <w:bCs/>
                <w:color w:val="000000"/>
                <w:sz w:val="20"/>
                <w:szCs w:val="20"/>
              </w:rPr>
              <w:t>s [</w:t>
            </w:r>
            <w:proofErr w:type="spellStart"/>
            <w:r w:rsidRPr="00AF42AC">
              <w:rPr>
                <w:rFonts w:ascii="Times New Roman" w:eastAsia="Times New Roman"/>
                <w:b/>
                <w:bCs/>
                <w:color w:val="000000"/>
                <w:sz w:val="20"/>
                <w:szCs w:val="20"/>
              </w:rPr>
              <w:t>i</w:t>
            </w:r>
            <w:proofErr w:type="spellEnd"/>
            <w:r w:rsidRPr="00AF42AC">
              <w:rPr>
                <w:rFonts w:ascii="Times New Roman" w:eastAsia="Times New Roman"/>
                <w:b/>
                <w:bCs/>
                <w:color w:val="000000"/>
                <w:sz w:val="20"/>
                <w:szCs w:val="20"/>
              </w:rPr>
              <w:t>]</w:t>
            </w:r>
          </w:p>
        </w:tc>
        <w:tc>
          <w:tcPr>
            <w:tcW w:w="1540" w:type="dxa"/>
            <w:tcBorders>
              <w:top w:val="nil"/>
              <w:left w:val="nil"/>
              <w:bottom w:val="single" w:sz="8" w:space="0" w:color="000000"/>
              <w:right w:val="double" w:sz="6"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b/>
                <w:bCs/>
                <w:color w:val="000000"/>
                <w:sz w:val="20"/>
                <w:szCs w:val="20"/>
              </w:rPr>
            </w:pPr>
            <w:r w:rsidRPr="00AF42AC">
              <w:rPr>
                <w:rFonts w:ascii="Times New Roman" w:eastAsia="Times New Roman"/>
                <w:b/>
                <w:bCs/>
                <w:color w:val="000000"/>
                <w:sz w:val="20"/>
                <w:szCs w:val="20"/>
              </w:rPr>
              <w:t xml:space="preserve">Estimated # </w:t>
            </w:r>
            <w:r>
              <w:rPr>
                <w:rFonts w:ascii="Times New Roman" w:eastAsia="Times New Roman"/>
                <w:b/>
                <w:bCs/>
                <w:color w:val="000000"/>
                <w:sz w:val="20"/>
                <w:szCs w:val="20"/>
              </w:rPr>
              <w:t>Worker</w:t>
            </w:r>
            <w:r w:rsidRPr="00AF42AC">
              <w:rPr>
                <w:rFonts w:ascii="Times New Roman" w:eastAsia="Times New Roman"/>
                <w:b/>
                <w:bCs/>
                <w:color w:val="000000"/>
                <w:sz w:val="20"/>
                <w:szCs w:val="20"/>
              </w:rPr>
              <w:t xml:space="preserve">s Exposed </w:t>
            </w:r>
            <w:r w:rsidR="009C20A5">
              <w:rPr>
                <w:rFonts w:ascii="Times New Roman" w:eastAsia="Times New Roman"/>
                <w:b/>
                <w:bCs/>
                <w:color w:val="000000"/>
                <w:sz w:val="20"/>
                <w:szCs w:val="20"/>
              </w:rPr>
              <w:t xml:space="preserve">At or </w:t>
            </w:r>
            <w:r w:rsidRPr="00AF42AC">
              <w:rPr>
                <w:rFonts w:ascii="Times New Roman" w:eastAsia="Times New Roman"/>
                <w:b/>
                <w:bCs/>
                <w:color w:val="000000"/>
                <w:sz w:val="20"/>
                <w:szCs w:val="20"/>
              </w:rPr>
              <w:t>Above the Action Level, but Below the PEL [ii]</w:t>
            </w:r>
          </w:p>
        </w:tc>
      </w:tr>
      <w:tr w:rsidR="00606D2D" w:rsidRPr="00AF42AC">
        <w:trPr>
          <w:trHeight w:val="315"/>
        </w:trPr>
        <w:tc>
          <w:tcPr>
            <w:tcW w:w="2800" w:type="dxa"/>
            <w:tcBorders>
              <w:top w:val="single" w:sz="8" w:space="0" w:color="000000"/>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bookmarkStart w:id="3" w:name="RANGE!A18"/>
            <w:bookmarkStart w:id="4" w:name="RANGE!A19"/>
            <w:bookmarkEnd w:id="3"/>
            <w:r w:rsidRPr="00AF42AC">
              <w:rPr>
                <w:rFonts w:ascii="Times New Roman" w:eastAsia="Times New Roman"/>
                <w:color w:val="000000"/>
                <w:sz w:val="20"/>
                <w:szCs w:val="20"/>
              </w:rPr>
              <w:t>Primary Smelting</w:t>
            </w:r>
            <w:bookmarkEnd w:id="4"/>
          </w:p>
        </w:tc>
        <w:tc>
          <w:tcPr>
            <w:tcW w:w="1540" w:type="dxa"/>
            <w:tcBorders>
              <w:top w:val="single" w:sz="8" w:space="0" w:color="000000"/>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w:t>
            </w:r>
          </w:p>
        </w:tc>
        <w:tc>
          <w:tcPr>
            <w:tcW w:w="1540" w:type="dxa"/>
            <w:tcBorders>
              <w:top w:val="single" w:sz="8" w:space="0" w:color="000000"/>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291</w:t>
            </w:r>
          </w:p>
        </w:tc>
        <w:tc>
          <w:tcPr>
            <w:tcW w:w="1540" w:type="dxa"/>
            <w:tcBorders>
              <w:top w:val="single" w:sz="8" w:space="0" w:color="000000"/>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259</w:t>
            </w:r>
          </w:p>
        </w:tc>
        <w:tc>
          <w:tcPr>
            <w:tcW w:w="1540" w:type="dxa"/>
            <w:tcBorders>
              <w:top w:val="single" w:sz="8" w:space="0" w:color="000000"/>
              <w:left w:val="nil"/>
              <w:bottom w:val="single" w:sz="8" w:space="0" w:color="000000"/>
              <w:right w:val="single" w:sz="8" w:space="0" w:color="000000"/>
            </w:tcBorders>
            <w:shd w:val="clear" w:color="000000" w:fill="F2DDDC"/>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1[iii]</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291</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259</w:t>
            </w:r>
          </w:p>
        </w:tc>
      </w:tr>
      <w:tr w:rsidR="00606D2D" w:rsidRPr="00AF42AC">
        <w:trPr>
          <w:trHeight w:val="315"/>
        </w:trPr>
        <w:tc>
          <w:tcPr>
            <w:tcW w:w="2800" w:type="dxa"/>
            <w:tcBorders>
              <w:top w:val="nil"/>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bookmarkStart w:id="5" w:name="RANGE!A20"/>
            <w:r w:rsidRPr="00AF42AC">
              <w:rPr>
                <w:rFonts w:ascii="Times New Roman" w:eastAsia="Times New Roman"/>
                <w:color w:val="000000"/>
                <w:sz w:val="20"/>
                <w:szCs w:val="20"/>
              </w:rPr>
              <w:t>Secondary Smelting</w:t>
            </w:r>
            <w:bookmarkEnd w:id="5"/>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21</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1,97</w:t>
            </w:r>
            <w:r w:rsidR="000343A5">
              <w:rPr>
                <w:rFonts w:ascii="Times New Roman" w:eastAsia="Times New Roman"/>
                <w:color w:val="000000"/>
                <w:sz w:val="20"/>
                <w:szCs w:val="20"/>
              </w:rPr>
              <w:t>4</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95</w:t>
            </w:r>
            <w:r w:rsidR="000343A5">
              <w:rPr>
                <w:rFonts w:ascii="Times New Roman" w:eastAsia="Times New Roman"/>
                <w:color w:val="000000"/>
                <w:sz w:val="20"/>
                <w:szCs w:val="20"/>
              </w:rPr>
              <w:t>8</w:t>
            </w:r>
          </w:p>
        </w:tc>
        <w:tc>
          <w:tcPr>
            <w:tcW w:w="1540" w:type="dxa"/>
            <w:tcBorders>
              <w:top w:val="nil"/>
              <w:left w:val="nil"/>
              <w:bottom w:val="single" w:sz="8" w:space="0" w:color="000000"/>
              <w:right w:val="single" w:sz="8" w:space="0" w:color="000000"/>
            </w:tcBorders>
            <w:shd w:val="clear" w:color="000000" w:fill="F2DDDC"/>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w:t>
            </w:r>
            <w:r w:rsidR="00A258C1">
              <w:rPr>
                <w:rFonts w:ascii="Times New Roman" w:eastAsia="Times New Roman"/>
                <w:color w:val="000000"/>
                <w:sz w:val="20"/>
                <w:szCs w:val="20"/>
              </w:rPr>
              <w:t>2</w:t>
            </w:r>
            <w:r w:rsidRPr="00AF42AC">
              <w:rPr>
                <w:rFonts w:ascii="Times New Roman" w:eastAsia="Times New Roman"/>
                <w:color w:val="000000"/>
                <w:sz w:val="20"/>
                <w:szCs w:val="20"/>
              </w:rPr>
              <w:t>[iv]</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CA7E22"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1,880</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CA7E22"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912</w:t>
            </w:r>
          </w:p>
        </w:tc>
      </w:tr>
      <w:tr w:rsidR="00606D2D" w:rsidRPr="00AF42AC">
        <w:trPr>
          <w:trHeight w:val="315"/>
        </w:trPr>
        <w:tc>
          <w:tcPr>
            <w:tcW w:w="2800" w:type="dxa"/>
            <w:tcBorders>
              <w:top w:val="nil"/>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bookmarkStart w:id="6" w:name="RANGE!A21"/>
            <w:r w:rsidRPr="00AF42AC">
              <w:rPr>
                <w:rFonts w:ascii="Times New Roman" w:eastAsia="Times New Roman"/>
                <w:color w:val="000000"/>
                <w:sz w:val="20"/>
                <w:szCs w:val="20"/>
              </w:rPr>
              <w:t>Battery Manufacture</w:t>
            </w:r>
            <w:bookmarkEnd w:id="6"/>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98</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7D6890">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13,</w:t>
            </w:r>
            <w:r w:rsidR="000343A5">
              <w:rPr>
                <w:rFonts w:ascii="Times New Roman" w:eastAsia="Times New Roman"/>
                <w:color w:val="000000"/>
                <w:sz w:val="20"/>
                <w:szCs w:val="20"/>
              </w:rPr>
              <w:t>23</w:t>
            </w:r>
            <w:r w:rsidR="00E95E57">
              <w:rPr>
                <w:rFonts w:ascii="Times New Roman" w:eastAsia="Times New Roman"/>
                <w:color w:val="000000"/>
                <w:sz w:val="20"/>
                <w:szCs w:val="20"/>
              </w:rPr>
              <w:t>0</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8,</w:t>
            </w:r>
            <w:r w:rsidR="000343A5">
              <w:rPr>
                <w:rFonts w:ascii="Times New Roman" w:eastAsia="Times New Roman"/>
                <w:color w:val="000000"/>
                <w:sz w:val="20"/>
                <w:szCs w:val="20"/>
              </w:rPr>
              <w:t>732</w:t>
            </w:r>
          </w:p>
        </w:tc>
        <w:tc>
          <w:tcPr>
            <w:tcW w:w="1540" w:type="dxa"/>
            <w:tcBorders>
              <w:top w:val="nil"/>
              <w:left w:val="nil"/>
              <w:bottom w:val="single" w:sz="8" w:space="0" w:color="000000"/>
              <w:right w:val="single" w:sz="8" w:space="0" w:color="000000"/>
            </w:tcBorders>
            <w:shd w:val="clear" w:color="000000" w:fill="F2DDDC"/>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66[v]</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CA7E22"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8,926</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CA7E22"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5,891</w:t>
            </w:r>
          </w:p>
        </w:tc>
      </w:tr>
      <w:tr w:rsidR="00606D2D" w:rsidRPr="00AF42AC">
        <w:trPr>
          <w:trHeight w:val="315"/>
        </w:trPr>
        <w:tc>
          <w:tcPr>
            <w:tcW w:w="2800" w:type="dxa"/>
            <w:tcBorders>
              <w:top w:val="nil"/>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bookmarkStart w:id="7" w:name="RANGE!A22"/>
            <w:r w:rsidRPr="00AF42AC">
              <w:rPr>
                <w:rFonts w:ascii="Times New Roman" w:eastAsia="Times New Roman"/>
                <w:color w:val="000000"/>
                <w:sz w:val="20"/>
                <w:szCs w:val="20"/>
              </w:rPr>
              <w:t>Nonferrous Foundries</w:t>
            </w:r>
            <w:bookmarkEnd w:id="7"/>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327</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14,0</w:t>
            </w:r>
            <w:r w:rsidR="000343A5">
              <w:rPr>
                <w:rFonts w:ascii="Times New Roman" w:eastAsia="Times New Roman"/>
                <w:color w:val="000000"/>
                <w:sz w:val="20"/>
                <w:szCs w:val="20"/>
              </w:rPr>
              <w:t>45</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7,8</w:t>
            </w:r>
            <w:r w:rsidR="000343A5">
              <w:rPr>
                <w:rFonts w:ascii="Times New Roman" w:eastAsia="Times New Roman"/>
                <w:color w:val="000000"/>
                <w:sz w:val="20"/>
                <w:szCs w:val="20"/>
              </w:rPr>
              <w:t>65</w:t>
            </w:r>
          </w:p>
        </w:tc>
        <w:tc>
          <w:tcPr>
            <w:tcW w:w="1540" w:type="dxa"/>
            <w:tcBorders>
              <w:top w:val="nil"/>
              <w:left w:val="nil"/>
              <w:bottom w:val="single" w:sz="8" w:space="0" w:color="000000"/>
              <w:right w:val="single" w:sz="8" w:space="0" w:color="000000"/>
            </w:tcBorders>
            <w:shd w:val="clear" w:color="000000" w:fill="F2DDDC"/>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26</w:t>
            </w:r>
            <w:r>
              <w:rPr>
                <w:rFonts w:ascii="Times New Roman" w:eastAsia="Times New Roman"/>
                <w:color w:val="000000"/>
                <w:sz w:val="20"/>
                <w:szCs w:val="20"/>
              </w:rPr>
              <w:t>7</w:t>
            </w:r>
            <w:r w:rsidRPr="00AF42AC">
              <w:rPr>
                <w:rFonts w:ascii="Times New Roman" w:eastAsia="Times New Roman"/>
                <w:color w:val="000000"/>
                <w:sz w:val="20"/>
                <w:szCs w:val="20"/>
              </w:rPr>
              <w:t>[vi]</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CA7E22"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11,469</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CA7E22"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6,422</w:t>
            </w:r>
          </w:p>
        </w:tc>
      </w:tr>
      <w:tr w:rsidR="00606D2D" w:rsidRPr="00AF42AC">
        <w:trPr>
          <w:trHeight w:val="315"/>
        </w:trPr>
        <w:tc>
          <w:tcPr>
            <w:tcW w:w="2800" w:type="dxa"/>
            <w:tcBorders>
              <w:top w:val="nil"/>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bookmarkStart w:id="8" w:name="RANGE!A23"/>
            <w:r w:rsidRPr="00AF42AC">
              <w:rPr>
                <w:rFonts w:ascii="Times New Roman" w:eastAsia="Times New Roman"/>
                <w:color w:val="000000"/>
                <w:sz w:val="20"/>
                <w:szCs w:val="20"/>
              </w:rPr>
              <w:t>Lead Pigment Manufacture</w:t>
            </w:r>
            <w:bookmarkEnd w:id="8"/>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9</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3</w:t>
            </w:r>
            <w:r w:rsidR="000343A5">
              <w:rPr>
                <w:rFonts w:ascii="Times New Roman" w:eastAsia="Times New Roman"/>
                <w:color w:val="000000"/>
                <w:sz w:val="20"/>
                <w:szCs w:val="20"/>
              </w:rPr>
              <w:t>32</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0343A5"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282</w:t>
            </w:r>
          </w:p>
        </w:tc>
        <w:tc>
          <w:tcPr>
            <w:tcW w:w="1540" w:type="dxa"/>
            <w:tcBorders>
              <w:top w:val="nil"/>
              <w:left w:val="nil"/>
              <w:bottom w:val="single" w:sz="8" w:space="0" w:color="000000"/>
              <w:right w:val="single" w:sz="8" w:space="0" w:color="000000"/>
            </w:tcBorders>
            <w:shd w:val="clear" w:color="000000" w:fill="F2DDDC"/>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8[vii]</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280</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238</w:t>
            </w:r>
          </w:p>
        </w:tc>
      </w:tr>
      <w:tr w:rsidR="00606D2D" w:rsidRPr="00AF42AC">
        <w:trPr>
          <w:trHeight w:val="540"/>
        </w:trPr>
        <w:tc>
          <w:tcPr>
            <w:tcW w:w="2800" w:type="dxa"/>
            <w:tcBorders>
              <w:top w:val="nil"/>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r w:rsidRPr="00AF42AC">
              <w:rPr>
                <w:rFonts w:ascii="Times New Roman" w:eastAsia="Times New Roman"/>
                <w:color w:val="000000"/>
                <w:sz w:val="20"/>
                <w:szCs w:val="20"/>
              </w:rPr>
              <w:t>Additional 5 Sector Estimates from 1987 ICR</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23</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1,580</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964</w:t>
            </w:r>
          </w:p>
        </w:tc>
        <w:tc>
          <w:tcPr>
            <w:tcW w:w="1540" w:type="dxa"/>
            <w:tcBorders>
              <w:top w:val="nil"/>
              <w:left w:val="nil"/>
              <w:bottom w:val="single" w:sz="8" w:space="0" w:color="000000"/>
              <w:right w:val="single" w:sz="8" w:space="0" w:color="000000"/>
            </w:tcBorders>
            <w:shd w:val="clear" w:color="000000" w:fill="F2DDDC"/>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w:t>
            </w:r>
            <w:r>
              <w:rPr>
                <w:rFonts w:ascii="Times New Roman" w:eastAsia="Times New Roman"/>
                <w:color w:val="000000"/>
                <w:sz w:val="20"/>
                <w:szCs w:val="20"/>
              </w:rPr>
              <w:t>9</w:t>
            </w:r>
            <w:r w:rsidRPr="00AF42AC">
              <w:rPr>
                <w:rFonts w:ascii="Times New Roman" w:eastAsia="Times New Roman"/>
                <w:color w:val="000000"/>
                <w:sz w:val="20"/>
                <w:szCs w:val="20"/>
              </w:rPr>
              <w:t>[viii]</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1,290</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787</w:t>
            </w:r>
          </w:p>
        </w:tc>
      </w:tr>
      <w:tr w:rsidR="00606D2D" w:rsidRPr="00AF42AC">
        <w:trPr>
          <w:trHeight w:val="315"/>
        </w:trPr>
        <w:tc>
          <w:tcPr>
            <w:tcW w:w="2800" w:type="dxa"/>
            <w:tcBorders>
              <w:top w:val="nil"/>
              <w:left w:val="double" w:sz="6" w:space="0" w:color="000000"/>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r w:rsidRPr="00AF42AC">
              <w:rPr>
                <w:rFonts w:ascii="Times New Roman" w:eastAsia="Times New Roman"/>
                <w:color w:val="000000"/>
                <w:sz w:val="20"/>
                <w:szCs w:val="20"/>
              </w:rPr>
              <w:t>Miscellaneous Sectors</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58,025</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794,797</w:t>
            </w:r>
          </w:p>
        </w:tc>
        <w:tc>
          <w:tcPr>
            <w:tcW w:w="1540" w:type="dxa"/>
            <w:tcBorders>
              <w:top w:val="nil"/>
              <w:left w:val="nil"/>
              <w:bottom w:val="single" w:sz="8" w:space="0" w:color="000000"/>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334,749</w:t>
            </w:r>
          </w:p>
        </w:tc>
        <w:tc>
          <w:tcPr>
            <w:tcW w:w="1540" w:type="dxa"/>
            <w:tcBorders>
              <w:top w:val="nil"/>
              <w:left w:val="nil"/>
              <w:bottom w:val="single" w:sz="8" w:space="0" w:color="000000"/>
              <w:right w:val="single" w:sz="8" w:space="0" w:color="000000"/>
            </w:tcBorders>
            <w:shd w:val="clear" w:color="000000" w:fill="F2DDDC"/>
            <w:vAlign w:val="bottom"/>
          </w:tcPr>
          <w:p w:rsidR="00606D2D" w:rsidRPr="00AF42AC" w:rsidRDefault="0098077C"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53,873</w:t>
            </w:r>
            <w:r w:rsidR="00606D2D" w:rsidRPr="00AF42AC">
              <w:rPr>
                <w:rFonts w:ascii="Times New Roman" w:eastAsia="Times New Roman"/>
                <w:color w:val="000000"/>
                <w:sz w:val="20"/>
                <w:szCs w:val="20"/>
              </w:rPr>
              <w:t>[viii]</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98077C"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737,918</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98077C"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310,793</w:t>
            </w:r>
          </w:p>
        </w:tc>
      </w:tr>
      <w:tr w:rsidR="00606D2D" w:rsidRPr="00AF42AC">
        <w:trPr>
          <w:trHeight w:val="540"/>
        </w:trPr>
        <w:tc>
          <w:tcPr>
            <w:tcW w:w="2800" w:type="dxa"/>
            <w:tcBorders>
              <w:top w:val="nil"/>
              <w:left w:val="double" w:sz="6" w:space="0" w:color="000000"/>
              <w:bottom w:val="nil"/>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color w:val="000000"/>
                <w:sz w:val="20"/>
                <w:szCs w:val="20"/>
              </w:rPr>
            </w:pPr>
            <w:r w:rsidRPr="00AF42AC">
              <w:rPr>
                <w:rFonts w:ascii="Times New Roman" w:eastAsia="Times New Roman"/>
                <w:color w:val="000000"/>
                <w:sz w:val="20"/>
                <w:szCs w:val="20"/>
              </w:rPr>
              <w:t>Additional Miscellaneous Sector Estimates from 1987 ICR</w:t>
            </w: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2,901</w:t>
            </w: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45,725</w:t>
            </w:r>
          </w:p>
        </w:tc>
        <w:tc>
          <w:tcPr>
            <w:tcW w:w="1540" w:type="dxa"/>
            <w:tcBorders>
              <w:top w:val="nil"/>
              <w:left w:val="nil"/>
              <w:bottom w:val="nil"/>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color w:val="000000"/>
                <w:sz w:val="20"/>
                <w:szCs w:val="20"/>
              </w:rPr>
            </w:pPr>
            <w:r w:rsidRPr="00AF42AC">
              <w:rPr>
                <w:rFonts w:ascii="Times New Roman" w:eastAsia="Times New Roman"/>
                <w:color w:val="000000"/>
                <w:sz w:val="20"/>
                <w:szCs w:val="20"/>
              </w:rPr>
              <w:t>16,737</w:t>
            </w:r>
          </w:p>
        </w:tc>
        <w:tc>
          <w:tcPr>
            <w:tcW w:w="1540" w:type="dxa"/>
            <w:tcBorders>
              <w:top w:val="nil"/>
              <w:left w:val="nil"/>
              <w:bottom w:val="nil"/>
              <w:right w:val="single" w:sz="8" w:space="0" w:color="000000"/>
            </w:tcBorders>
            <w:shd w:val="clear" w:color="000000" w:fill="F2DDDC"/>
            <w:vAlign w:val="bottom"/>
          </w:tcPr>
          <w:p w:rsidR="00606D2D" w:rsidRPr="00AF42AC" w:rsidRDefault="0098077C"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2,693</w:t>
            </w:r>
            <w:r w:rsidR="00606D2D" w:rsidRPr="00AF42AC">
              <w:rPr>
                <w:rFonts w:ascii="Times New Roman" w:eastAsia="Times New Roman"/>
                <w:color w:val="000000"/>
                <w:sz w:val="20"/>
                <w:szCs w:val="20"/>
              </w:rPr>
              <w:t>[viii]</w:t>
            </w:r>
          </w:p>
        </w:tc>
        <w:tc>
          <w:tcPr>
            <w:tcW w:w="1540" w:type="dxa"/>
            <w:tcBorders>
              <w:top w:val="nil"/>
              <w:left w:val="nil"/>
              <w:bottom w:val="single" w:sz="8" w:space="0" w:color="000000"/>
              <w:right w:val="single" w:sz="8" w:space="0" w:color="000000"/>
            </w:tcBorders>
            <w:shd w:val="clear" w:color="000000" w:fill="F2DDDC"/>
            <w:noWrap/>
            <w:vAlign w:val="bottom"/>
          </w:tcPr>
          <w:p w:rsidR="00606D2D" w:rsidRPr="00AF42AC" w:rsidRDefault="0098077C"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42,453</w:t>
            </w:r>
          </w:p>
        </w:tc>
        <w:tc>
          <w:tcPr>
            <w:tcW w:w="1540" w:type="dxa"/>
            <w:tcBorders>
              <w:top w:val="nil"/>
              <w:left w:val="nil"/>
              <w:bottom w:val="single" w:sz="8" w:space="0" w:color="000000"/>
              <w:right w:val="double" w:sz="6" w:space="0" w:color="000000"/>
            </w:tcBorders>
            <w:shd w:val="clear" w:color="000000" w:fill="F2DDDC"/>
            <w:noWrap/>
            <w:vAlign w:val="bottom"/>
          </w:tcPr>
          <w:p w:rsidR="00606D2D" w:rsidRPr="00AF42AC" w:rsidRDefault="0098077C" w:rsidP="00606D2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15,539</w:t>
            </w:r>
          </w:p>
        </w:tc>
      </w:tr>
      <w:tr w:rsidR="00606D2D" w:rsidRPr="00AF42AC">
        <w:trPr>
          <w:trHeight w:val="315"/>
        </w:trPr>
        <w:tc>
          <w:tcPr>
            <w:tcW w:w="2800" w:type="dxa"/>
            <w:tcBorders>
              <w:top w:val="single" w:sz="8" w:space="0" w:color="000000"/>
              <w:left w:val="double" w:sz="6" w:space="0" w:color="000000"/>
              <w:bottom w:val="double" w:sz="4" w:space="0" w:color="auto"/>
              <w:right w:val="single" w:sz="8" w:space="0" w:color="000000"/>
            </w:tcBorders>
            <w:shd w:val="clear" w:color="auto" w:fill="auto"/>
            <w:vAlign w:val="bottom"/>
          </w:tcPr>
          <w:p w:rsidR="00606D2D" w:rsidRPr="00AF42AC" w:rsidRDefault="00606D2D" w:rsidP="00606D2D">
            <w:pPr>
              <w:widowControl/>
              <w:autoSpaceDE/>
              <w:autoSpaceDN/>
              <w:adjustRightInd/>
              <w:rPr>
                <w:rFonts w:ascii="Times New Roman" w:eastAsia="Times New Roman"/>
                <w:b/>
                <w:bCs/>
                <w:color w:val="000000"/>
                <w:sz w:val="20"/>
                <w:szCs w:val="20"/>
              </w:rPr>
            </w:pPr>
            <w:r w:rsidRPr="00AF42AC">
              <w:rPr>
                <w:rFonts w:ascii="Times New Roman" w:eastAsia="Times New Roman"/>
                <w:b/>
                <w:bCs/>
                <w:color w:val="000000"/>
                <w:sz w:val="20"/>
                <w:szCs w:val="20"/>
              </w:rPr>
              <w:t>Total</w:t>
            </w:r>
          </w:p>
        </w:tc>
        <w:tc>
          <w:tcPr>
            <w:tcW w:w="1540" w:type="dxa"/>
            <w:tcBorders>
              <w:top w:val="single" w:sz="8" w:space="0" w:color="000000"/>
              <w:left w:val="nil"/>
              <w:bottom w:val="double" w:sz="4" w:space="0" w:color="auto"/>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61,40</w:t>
            </w:r>
            <w:r>
              <w:rPr>
                <w:rFonts w:ascii="Times New Roman" w:eastAsia="Times New Roman"/>
                <w:b/>
                <w:bCs/>
                <w:color w:val="000000"/>
                <w:sz w:val="20"/>
                <w:szCs w:val="20"/>
              </w:rPr>
              <w:t>5</w:t>
            </w:r>
          </w:p>
        </w:tc>
        <w:tc>
          <w:tcPr>
            <w:tcW w:w="1540" w:type="dxa"/>
            <w:tcBorders>
              <w:top w:val="single" w:sz="8" w:space="0" w:color="000000"/>
              <w:left w:val="nil"/>
              <w:bottom w:val="double" w:sz="4" w:space="0" w:color="auto"/>
              <w:right w:val="single" w:sz="8" w:space="0" w:color="000000"/>
            </w:tcBorders>
            <w:shd w:val="clear" w:color="auto" w:fill="auto"/>
            <w:vAlign w:val="bottom"/>
          </w:tcPr>
          <w:p w:rsidR="00606D2D" w:rsidRPr="00AF42AC" w:rsidRDefault="00606D2D" w:rsidP="00606D2D">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871,</w:t>
            </w:r>
            <w:r w:rsidR="000343A5">
              <w:rPr>
                <w:rFonts w:ascii="Times New Roman" w:eastAsia="Times New Roman"/>
                <w:b/>
                <w:bCs/>
                <w:color w:val="000000"/>
                <w:sz w:val="20"/>
                <w:szCs w:val="20"/>
              </w:rPr>
              <w:t>974</w:t>
            </w:r>
          </w:p>
        </w:tc>
        <w:tc>
          <w:tcPr>
            <w:tcW w:w="1540" w:type="dxa"/>
            <w:tcBorders>
              <w:top w:val="single" w:sz="8" w:space="0" w:color="000000"/>
              <w:left w:val="nil"/>
              <w:bottom w:val="double" w:sz="4" w:space="0" w:color="auto"/>
              <w:right w:val="single" w:sz="8" w:space="0" w:color="000000"/>
            </w:tcBorders>
            <w:shd w:val="clear" w:color="auto" w:fill="auto"/>
            <w:vAlign w:val="bottom"/>
          </w:tcPr>
          <w:p w:rsidR="00606D2D" w:rsidRPr="00AF42AC" w:rsidRDefault="00606D2D" w:rsidP="000343A5">
            <w:pPr>
              <w:widowControl/>
              <w:autoSpaceDE/>
              <w:autoSpaceDN/>
              <w:adjustRightInd/>
              <w:jc w:val="center"/>
              <w:rPr>
                <w:rFonts w:ascii="Times New Roman" w:eastAsia="Times New Roman"/>
                <w:b/>
                <w:bCs/>
                <w:color w:val="000000"/>
                <w:sz w:val="20"/>
                <w:szCs w:val="20"/>
              </w:rPr>
            </w:pPr>
            <w:r w:rsidRPr="00AF42AC">
              <w:rPr>
                <w:rFonts w:ascii="Times New Roman" w:eastAsia="Times New Roman"/>
                <w:b/>
                <w:bCs/>
                <w:color w:val="000000"/>
                <w:sz w:val="20"/>
                <w:szCs w:val="20"/>
              </w:rPr>
              <w:t>370,</w:t>
            </w:r>
            <w:r w:rsidR="000343A5">
              <w:rPr>
                <w:rFonts w:ascii="Times New Roman" w:eastAsia="Times New Roman"/>
                <w:b/>
                <w:bCs/>
                <w:color w:val="000000"/>
                <w:sz w:val="20"/>
                <w:szCs w:val="20"/>
              </w:rPr>
              <w:t>546</w:t>
            </w:r>
          </w:p>
        </w:tc>
        <w:tc>
          <w:tcPr>
            <w:tcW w:w="1540" w:type="dxa"/>
            <w:tcBorders>
              <w:top w:val="single" w:sz="8" w:space="0" w:color="000000"/>
              <w:left w:val="nil"/>
              <w:bottom w:val="double" w:sz="4" w:space="0" w:color="auto"/>
              <w:right w:val="single" w:sz="8" w:space="0" w:color="000000"/>
            </w:tcBorders>
            <w:shd w:val="clear" w:color="000000" w:fill="F2DDDC"/>
            <w:vAlign w:val="bottom"/>
          </w:tcPr>
          <w:p w:rsidR="00606D2D" w:rsidRPr="00AF42AC" w:rsidRDefault="0098077C" w:rsidP="00606D2D">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56</w:t>
            </w:r>
            <w:r w:rsidR="00231B97">
              <w:rPr>
                <w:rFonts w:ascii="Times New Roman" w:eastAsia="Times New Roman"/>
                <w:b/>
                <w:bCs/>
                <w:color w:val="000000"/>
                <w:sz w:val="20"/>
                <w:szCs w:val="20"/>
              </w:rPr>
              <w:t>,</w:t>
            </w:r>
            <w:r>
              <w:rPr>
                <w:rFonts w:ascii="Times New Roman" w:eastAsia="Times New Roman"/>
                <w:b/>
                <w:bCs/>
                <w:color w:val="000000"/>
                <w:sz w:val="20"/>
                <w:szCs w:val="20"/>
              </w:rPr>
              <w:t>94</w:t>
            </w:r>
            <w:r w:rsidR="00A258C1">
              <w:rPr>
                <w:rFonts w:ascii="Times New Roman" w:eastAsia="Times New Roman"/>
                <w:b/>
                <w:bCs/>
                <w:color w:val="000000"/>
                <w:sz w:val="20"/>
                <w:szCs w:val="20"/>
              </w:rPr>
              <w:t>9</w:t>
            </w:r>
          </w:p>
        </w:tc>
        <w:tc>
          <w:tcPr>
            <w:tcW w:w="1540" w:type="dxa"/>
            <w:tcBorders>
              <w:top w:val="nil"/>
              <w:left w:val="nil"/>
              <w:bottom w:val="double" w:sz="4" w:space="0" w:color="auto"/>
              <w:right w:val="single" w:sz="8" w:space="0" w:color="000000"/>
            </w:tcBorders>
            <w:shd w:val="clear" w:color="000000" w:fill="F2DDDC"/>
            <w:vAlign w:val="bottom"/>
          </w:tcPr>
          <w:p w:rsidR="00606D2D" w:rsidRPr="00AF42AC" w:rsidRDefault="00CA7E22" w:rsidP="00606D2D">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804,507</w:t>
            </w:r>
          </w:p>
        </w:tc>
        <w:tc>
          <w:tcPr>
            <w:tcW w:w="1540" w:type="dxa"/>
            <w:tcBorders>
              <w:top w:val="nil"/>
              <w:left w:val="nil"/>
              <w:bottom w:val="double" w:sz="4" w:space="0" w:color="auto"/>
              <w:right w:val="double" w:sz="6" w:space="0" w:color="000000"/>
            </w:tcBorders>
            <w:shd w:val="clear" w:color="000000" w:fill="F2DDDC"/>
            <w:vAlign w:val="bottom"/>
          </w:tcPr>
          <w:p w:rsidR="00606D2D" w:rsidRPr="00AF42AC" w:rsidRDefault="00CA7E22" w:rsidP="00606D2D">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340,843</w:t>
            </w:r>
          </w:p>
        </w:tc>
      </w:tr>
    </w:tbl>
    <w:p w:rsidR="00606D2D" w:rsidRPr="005C4E74"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w:t>
      </w:r>
      <w:proofErr w:type="spellStart"/>
      <w:r w:rsidRPr="005C4E74">
        <w:rPr>
          <w:rFonts w:ascii="Times New Roman" w:eastAsia="Times New Roman"/>
          <w:sz w:val="20"/>
          <w:szCs w:val="20"/>
          <w:vertAlign w:val="superscript"/>
        </w:rPr>
        <w:t>i</w:t>
      </w:r>
      <w:proofErr w:type="spellEnd"/>
      <w:r w:rsidRPr="005C4E74">
        <w:rPr>
          <w:rFonts w:ascii="Times New Roman" w:eastAsia="Times New Roman"/>
          <w:sz w:val="20"/>
          <w:szCs w:val="20"/>
          <w:vertAlign w:val="superscript"/>
        </w:rPr>
        <w:t>]</w:t>
      </w:r>
      <w:r w:rsidRPr="005C4E74">
        <w:rPr>
          <w:rFonts w:ascii="Times New Roman" w:eastAsia="Times New Roman"/>
          <w:sz w:val="20"/>
          <w:szCs w:val="20"/>
        </w:rPr>
        <w:t xml:space="preserve"> The ratio of estimated number of exposed workers to the estimated number of facilities has been retained from the previous ICR. Values presented in this column reflect this original ratio and updated facility data.</w:t>
      </w:r>
    </w:p>
    <w:p w:rsidR="00844929" w:rsidRPr="005C4E74" w:rsidRDefault="00844929" w:rsidP="005C4E74">
      <w:pPr>
        <w:widowControl/>
        <w:rPr>
          <w:rFonts w:ascii="Times New Roman"/>
          <w:sz w:val="22"/>
          <w:szCs w:val="22"/>
        </w:rPr>
      </w:pPr>
      <w:r w:rsidRPr="005C4E74">
        <w:rPr>
          <w:rFonts w:ascii="Times New Roman" w:eastAsia="Times New Roman"/>
          <w:sz w:val="20"/>
          <w:szCs w:val="20"/>
          <w:vertAlign w:val="superscript"/>
        </w:rPr>
        <w:t>[ii]</w:t>
      </w:r>
      <w:r w:rsidRPr="005C4E74">
        <w:rPr>
          <w:rFonts w:ascii="Times New Roman" w:eastAsia="Times New Roman"/>
          <w:sz w:val="20"/>
          <w:szCs w:val="20"/>
        </w:rPr>
        <w:t xml:space="preserve"> The ratio of estimated number of workers exposed </w:t>
      </w:r>
      <w:r w:rsidR="009C20A5">
        <w:rPr>
          <w:rFonts w:ascii="Times New Roman" w:eastAsia="Times New Roman"/>
          <w:sz w:val="20"/>
          <w:szCs w:val="20"/>
        </w:rPr>
        <w:t xml:space="preserve">at or </w:t>
      </w:r>
      <w:r w:rsidRPr="005C4E74">
        <w:rPr>
          <w:rFonts w:ascii="Times New Roman" w:eastAsia="Times New Roman"/>
          <w:sz w:val="20"/>
          <w:szCs w:val="20"/>
        </w:rPr>
        <w:t>above the action level, but below the permissible exposure limit has been retained from the previous ICR.</w:t>
      </w:r>
    </w:p>
    <w:p w:rsidR="00844929" w:rsidRPr="006B2D2C" w:rsidRDefault="00844929" w:rsidP="005C4E74">
      <w:pPr>
        <w:widowControl/>
        <w:rPr>
          <w:rFonts w:ascii="Times New Roman" w:eastAsia="Times New Roman"/>
          <w:sz w:val="22"/>
          <w:szCs w:val="20"/>
        </w:rPr>
      </w:pPr>
      <w:r w:rsidRPr="005C4E74">
        <w:rPr>
          <w:rFonts w:ascii="Times New Roman" w:eastAsia="Times New Roman"/>
          <w:sz w:val="20"/>
          <w:szCs w:val="20"/>
          <w:vertAlign w:val="superscript"/>
        </w:rPr>
        <w:t>[iii]</w:t>
      </w:r>
      <w:r w:rsidRPr="005C4E74">
        <w:rPr>
          <w:rFonts w:ascii="Times New Roman" w:eastAsia="Times New Roman"/>
          <w:sz w:val="20"/>
          <w:szCs w:val="20"/>
        </w:rPr>
        <w:t xml:space="preserve"> Source: U.S. Geological Survey (USGS), Mineral Commodity Summaries, January 2011. The USGS reports that primary lead was processed at one smelter-refinery in Missouri in </w:t>
      </w:r>
      <w:r w:rsidRPr="005C4E74">
        <w:rPr>
          <w:rFonts w:ascii="Times New Roman" w:eastAsia="Times New Roman"/>
          <w:sz w:val="22"/>
          <w:szCs w:val="20"/>
        </w:rPr>
        <w:t>2010.</w:t>
      </w:r>
      <w:r w:rsidR="00F86E3D">
        <w:rPr>
          <w:rFonts w:ascii="Times New Roman" w:eastAsia="Times New Roman"/>
          <w:sz w:val="22"/>
          <w:szCs w:val="20"/>
        </w:rPr>
        <w:t xml:space="preserve">  </w:t>
      </w:r>
      <w:r w:rsidR="00F86E3D" w:rsidRPr="006B2D2C">
        <w:rPr>
          <w:rFonts w:ascii="Times New Roman" w:eastAsia="Times New Roman"/>
          <w:sz w:val="20"/>
          <w:szCs w:val="20"/>
        </w:rPr>
        <w:t xml:space="preserve">(See:  </w:t>
      </w:r>
      <w:r w:rsidR="00F86E3D">
        <w:rPr>
          <w:rFonts w:ascii="Times New Roman" w:eastAsia="Times New Roman"/>
          <w:sz w:val="20"/>
          <w:szCs w:val="20"/>
        </w:rPr>
        <w:t>USGS</w:t>
      </w:r>
      <w:r w:rsidR="00F86E3D" w:rsidRPr="00F86E3D">
        <w:rPr>
          <w:rFonts w:ascii="Times New Roman"/>
          <w:sz w:val="20"/>
          <w:szCs w:val="20"/>
        </w:rPr>
        <w:t>’s “Mineral Commodity Summaries 2011</w:t>
      </w:r>
      <w:r w:rsidR="00F86E3D">
        <w:rPr>
          <w:rFonts w:ascii="Times New Roman"/>
          <w:sz w:val="20"/>
          <w:szCs w:val="20"/>
        </w:rPr>
        <w:t>,</w:t>
      </w:r>
      <w:r w:rsidR="00F86E3D" w:rsidRPr="00F86E3D">
        <w:rPr>
          <w:rFonts w:ascii="Times New Roman"/>
          <w:sz w:val="20"/>
          <w:szCs w:val="20"/>
        </w:rPr>
        <w:t>” (</w:t>
      </w:r>
      <w:hyperlink r:id="rId15" w:history="1">
        <w:r w:rsidR="00F86E3D" w:rsidRPr="00F86E3D">
          <w:rPr>
            <w:rStyle w:val="Hyperlink"/>
            <w:rFonts w:ascii="Times New Roman"/>
            <w:sz w:val="20"/>
            <w:szCs w:val="20"/>
          </w:rPr>
          <w:t>http://minerals.usgs.gov/minerals/pubs/mcs/2011/mcs2011.pdf</w:t>
        </w:r>
      </w:hyperlink>
      <w:r w:rsidR="00F86E3D" w:rsidRPr="00F86E3D">
        <w:rPr>
          <w:rFonts w:ascii="Times New Roman"/>
          <w:sz w:val="20"/>
          <w:szCs w:val="20"/>
        </w:rPr>
        <w:t>.)</w:t>
      </w:r>
      <w:r w:rsidR="00F86E3D">
        <w:rPr>
          <w:rFonts w:ascii="Times New Roman"/>
        </w:rPr>
        <w:t xml:space="preserve">   </w:t>
      </w:r>
    </w:p>
    <w:p w:rsidR="00A258C1" w:rsidRPr="00A258C1" w:rsidRDefault="00844929" w:rsidP="00A258C1">
      <w:pPr>
        <w:tabs>
          <w:tab w:val="right" w:pos="9360"/>
        </w:tabs>
        <w:rPr>
          <w:rFonts w:ascii="Times New Roman"/>
          <w:sz w:val="20"/>
          <w:szCs w:val="20"/>
        </w:rPr>
      </w:pPr>
      <w:r w:rsidRPr="005C4E74">
        <w:rPr>
          <w:rFonts w:ascii="Times New Roman" w:eastAsia="Times New Roman"/>
          <w:sz w:val="20"/>
          <w:szCs w:val="20"/>
          <w:vertAlign w:val="superscript"/>
        </w:rPr>
        <w:t>[iv</w:t>
      </w:r>
      <w:proofErr w:type="gramStart"/>
      <w:r w:rsidRPr="005C4E74">
        <w:rPr>
          <w:rFonts w:ascii="Times New Roman" w:eastAsia="Times New Roman"/>
          <w:sz w:val="20"/>
          <w:szCs w:val="20"/>
          <w:vertAlign w:val="superscript"/>
        </w:rPr>
        <w:t>]</w:t>
      </w:r>
      <w:r w:rsidR="002C49DA">
        <w:rPr>
          <w:rFonts w:ascii="Times New Roman" w:eastAsia="Times New Roman"/>
          <w:sz w:val="20"/>
          <w:szCs w:val="20"/>
          <w:vertAlign w:val="superscript"/>
        </w:rPr>
        <w:t xml:space="preserve"> </w:t>
      </w:r>
      <w:r w:rsidRPr="005C4E74">
        <w:rPr>
          <w:rFonts w:ascii="Times New Roman" w:eastAsia="Times New Roman"/>
          <w:sz w:val="20"/>
          <w:szCs w:val="20"/>
        </w:rPr>
        <w:t xml:space="preserve"> Source</w:t>
      </w:r>
      <w:proofErr w:type="gramEnd"/>
      <w:r w:rsidRPr="005C4E74">
        <w:rPr>
          <w:rFonts w:ascii="Times New Roman" w:eastAsia="Times New Roman"/>
          <w:sz w:val="20"/>
          <w:szCs w:val="20"/>
        </w:rPr>
        <w:t>: USGS, 2011. The USGS reports that there were 20 plants producing secondary lead in the United States in 2010.</w:t>
      </w:r>
      <w:r w:rsidR="00A258C1">
        <w:rPr>
          <w:rFonts w:ascii="Times New Roman" w:eastAsia="Times New Roman"/>
          <w:sz w:val="20"/>
          <w:szCs w:val="20"/>
        </w:rPr>
        <w:t xml:space="preserve">  </w:t>
      </w:r>
      <w:r w:rsidR="00A258C1" w:rsidRPr="00603346">
        <w:rPr>
          <w:rFonts w:ascii="Times New Roman"/>
          <w:sz w:val="20"/>
          <w:szCs w:val="20"/>
        </w:rPr>
        <w:t>OSHA has added 2 additional secondary smelte</w:t>
      </w:r>
      <w:r w:rsidR="00603346">
        <w:rPr>
          <w:rFonts w:ascii="Times New Roman"/>
          <w:sz w:val="20"/>
          <w:szCs w:val="20"/>
        </w:rPr>
        <w:t xml:space="preserve">r facilities to the </w:t>
      </w:r>
      <w:r w:rsidR="00A258C1" w:rsidRPr="00603346">
        <w:rPr>
          <w:rFonts w:ascii="Times New Roman"/>
          <w:sz w:val="20"/>
          <w:szCs w:val="20"/>
        </w:rPr>
        <w:t>estimates</w:t>
      </w:r>
      <w:r w:rsidR="00603346">
        <w:rPr>
          <w:rFonts w:ascii="Times New Roman"/>
          <w:sz w:val="20"/>
          <w:szCs w:val="20"/>
        </w:rPr>
        <w:t xml:space="preserve"> shown in th</w:t>
      </w:r>
      <w:r w:rsidR="00F86E3D">
        <w:rPr>
          <w:rFonts w:ascii="Times New Roman"/>
          <w:sz w:val="20"/>
          <w:szCs w:val="20"/>
        </w:rPr>
        <w:t>e ICR posted for public comment</w:t>
      </w:r>
      <w:r w:rsidR="00A258C1" w:rsidRPr="00603346">
        <w:rPr>
          <w:rFonts w:ascii="Times New Roman"/>
          <w:sz w:val="20"/>
          <w:szCs w:val="20"/>
        </w:rPr>
        <w:t>, for a total of 22 facilities</w:t>
      </w:r>
      <w:r w:rsidR="00603346" w:rsidRPr="00603346">
        <w:rPr>
          <w:rFonts w:ascii="Times New Roman"/>
          <w:sz w:val="20"/>
          <w:szCs w:val="20"/>
        </w:rPr>
        <w:t>.  The 2 new fa</w:t>
      </w:r>
      <w:r w:rsidR="00F86E3D">
        <w:rPr>
          <w:rFonts w:ascii="Times New Roman"/>
          <w:sz w:val="20"/>
          <w:szCs w:val="20"/>
        </w:rPr>
        <w:t>cilities were reported in the USGS’</w:t>
      </w:r>
      <w:r w:rsidR="00603346" w:rsidRPr="00603346">
        <w:rPr>
          <w:rFonts w:ascii="Times New Roman"/>
          <w:sz w:val="20"/>
          <w:szCs w:val="20"/>
        </w:rPr>
        <w:t>s “M</w:t>
      </w:r>
      <w:r w:rsidR="00F86E3D">
        <w:rPr>
          <w:rFonts w:ascii="Times New Roman"/>
          <w:sz w:val="20"/>
          <w:szCs w:val="20"/>
        </w:rPr>
        <w:t>ineral Commodity Summaries 2012</w:t>
      </w:r>
      <w:r w:rsidR="00603346">
        <w:rPr>
          <w:rFonts w:ascii="Times New Roman"/>
          <w:sz w:val="20"/>
          <w:szCs w:val="20"/>
        </w:rPr>
        <w:t>,</w:t>
      </w:r>
      <w:r w:rsidR="00F86E3D">
        <w:rPr>
          <w:rFonts w:ascii="Times New Roman"/>
          <w:sz w:val="20"/>
          <w:szCs w:val="20"/>
        </w:rPr>
        <w:t xml:space="preserve">” </w:t>
      </w:r>
      <w:r w:rsidR="00603346">
        <w:rPr>
          <w:rFonts w:ascii="Times New Roman"/>
          <w:sz w:val="20"/>
          <w:szCs w:val="20"/>
        </w:rPr>
        <w:t>as noted by NIOSH in its comments on this ICR</w:t>
      </w:r>
      <w:r w:rsidR="00603346" w:rsidRPr="00F86E3D">
        <w:rPr>
          <w:rFonts w:ascii="Times New Roman"/>
          <w:sz w:val="20"/>
          <w:szCs w:val="20"/>
        </w:rPr>
        <w:t xml:space="preserve">.  </w:t>
      </w:r>
      <w:r w:rsidR="00F86E3D" w:rsidRPr="00F86E3D">
        <w:rPr>
          <w:rFonts w:ascii="Times New Roman"/>
          <w:sz w:val="20"/>
          <w:szCs w:val="20"/>
        </w:rPr>
        <w:t>(See:</w:t>
      </w:r>
      <w:r w:rsidR="00F86E3D">
        <w:rPr>
          <w:rFonts w:ascii="Times New Roman"/>
        </w:rPr>
        <w:t xml:space="preserve"> </w:t>
      </w:r>
      <w:hyperlink r:id="rId16" w:history="1">
        <w:r w:rsidR="00F86E3D" w:rsidRPr="00603346">
          <w:rPr>
            <w:rStyle w:val="Hyperlink"/>
            <w:rFonts w:ascii="Times New Roman"/>
            <w:sz w:val="20"/>
            <w:szCs w:val="20"/>
          </w:rPr>
          <w:t>http://minerals.usgs.gov/minerals/pubs/mcs/2012/mcs2012.pdf</w:t>
        </w:r>
      </w:hyperlink>
      <w:r w:rsidR="00F86E3D" w:rsidRPr="00603346">
        <w:rPr>
          <w:rFonts w:ascii="Times New Roman"/>
          <w:sz w:val="20"/>
          <w:szCs w:val="20"/>
        </w:rPr>
        <w:t>)</w:t>
      </w:r>
    </w:p>
    <w:p w:rsidR="00844929" w:rsidRPr="005C4E74" w:rsidRDefault="00844929" w:rsidP="005C4E74">
      <w:pPr>
        <w:widowControl/>
        <w:rPr>
          <w:rFonts w:ascii="Times New Roman"/>
          <w:sz w:val="22"/>
          <w:szCs w:val="22"/>
        </w:rPr>
      </w:pPr>
    </w:p>
    <w:p w:rsidR="00844929" w:rsidRPr="005C4E74"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lastRenderedPageBreak/>
        <w:t>[v]</w:t>
      </w:r>
      <w:r w:rsidRPr="005C4E74">
        <w:rPr>
          <w:rFonts w:ascii="Times New Roman" w:eastAsia="Times New Roman"/>
          <w:sz w:val="20"/>
          <w:szCs w:val="20"/>
        </w:rPr>
        <w:t xml:space="preserve"> Source: USGS, 2011. The USGS reports that there were approximately 76 manufacturing plants consuming lead in the U.S. and that the lead-acid battery industry accounted for approximately 87 percent of the reported domestic lead consumption in 2010.  The Agency assumed that 87 percent of these manufacturing facilities were in the lead-acid battery industry.</w:t>
      </w:r>
    </w:p>
    <w:p w:rsidR="00844929" w:rsidRPr="005C4E74"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w:t>
      </w:r>
      <w:proofErr w:type="gramStart"/>
      <w:r w:rsidRPr="005C4E74">
        <w:rPr>
          <w:rFonts w:ascii="Times New Roman" w:eastAsia="Times New Roman"/>
          <w:sz w:val="20"/>
          <w:szCs w:val="20"/>
          <w:vertAlign w:val="superscript"/>
        </w:rPr>
        <w:t>]</w:t>
      </w:r>
      <w:r w:rsidRPr="005C4E74">
        <w:rPr>
          <w:rFonts w:ascii="Times New Roman" w:eastAsia="Times New Roman"/>
          <w:sz w:val="20"/>
          <w:szCs w:val="20"/>
        </w:rPr>
        <w:t xml:space="preserve"> </w:t>
      </w:r>
      <w:r w:rsidR="002C49DA">
        <w:rPr>
          <w:rFonts w:ascii="Times New Roman" w:eastAsia="Times New Roman"/>
          <w:sz w:val="20"/>
          <w:szCs w:val="20"/>
        </w:rPr>
        <w:t xml:space="preserve"> </w:t>
      </w:r>
      <w:r w:rsidR="00987DA7">
        <w:rPr>
          <w:rFonts w:ascii="Times New Roman" w:eastAsia="Times New Roman"/>
          <w:sz w:val="20"/>
          <w:szCs w:val="20"/>
        </w:rPr>
        <w:t>According</w:t>
      </w:r>
      <w:proofErr w:type="gramEnd"/>
      <w:r w:rsidR="00987DA7">
        <w:rPr>
          <w:rFonts w:ascii="Times New Roman" w:eastAsia="Times New Roman"/>
          <w:sz w:val="20"/>
          <w:szCs w:val="20"/>
        </w:rPr>
        <w:t xml:space="preserve"> to the U.S. Census Bureau, t</w:t>
      </w:r>
      <w:r w:rsidRPr="005C4E74">
        <w:rPr>
          <w:rFonts w:ascii="Times New Roman" w:eastAsia="Times New Roman"/>
          <w:sz w:val="20"/>
          <w:szCs w:val="20"/>
        </w:rPr>
        <w:t xml:space="preserve">he total number of establishments in NAICS 331522 (Nonferrous (except Aluminum) Die-Casting Foundries) and NAICS 331528 (Other Nonferrous Foundries (except Die-Casting)) in 2009 was 267. This represents </w:t>
      </w:r>
      <w:proofErr w:type="gramStart"/>
      <w:r w:rsidRPr="005C4E74">
        <w:rPr>
          <w:rFonts w:ascii="Times New Roman" w:eastAsia="Times New Roman"/>
          <w:sz w:val="20"/>
          <w:szCs w:val="20"/>
        </w:rPr>
        <w:t>a</w:t>
      </w:r>
      <w:proofErr w:type="gramEnd"/>
      <w:r w:rsidRPr="005C4E74">
        <w:rPr>
          <w:rFonts w:ascii="Times New Roman" w:eastAsia="Times New Roman"/>
          <w:sz w:val="20"/>
          <w:szCs w:val="20"/>
        </w:rPr>
        <w:t xml:space="preserve"> 18.3% decrease in the number of establishments from 200</w:t>
      </w:r>
      <w:r w:rsidR="0098077C">
        <w:rPr>
          <w:rFonts w:ascii="Times New Roman" w:eastAsia="Times New Roman"/>
          <w:sz w:val="20"/>
          <w:szCs w:val="20"/>
        </w:rPr>
        <w:t>5</w:t>
      </w:r>
      <w:r w:rsidRPr="005C4E74">
        <w:rPr>
          <w:rFonts w:ascii="Times New Roman" w:eastAsia="Times New Roman"/>
          <w:sz w:val="20"/>
          <w:szCs w:val="20"/>
        </w:rPr>
        <w:t xml:space="preserve"> data.  </w:t>
      </w:r>
      <w:r w:rsidR="00011DEA">
        <w:rPr>
          <w:rFonts w:ascii="Times New Roman" w:eastAsia="Times New Roman"/>
          <w:sz w:val="20"/>
          <w:szCs w:val="20"/>
        </w:rPr>
        <w:t>The Agency applied this decrease to the 2009</w:t>
      </w:r>
      <w:r w:rsidR="000343A5">
        <w:rPr>
          <w:rFonts w:ascii="Times New Roman" w:eastAsia="Times New Roman"/>
          <w:sz w:val="20"/>
          <w:szCs w:val="20"/>
        </w:rPr>
        <w:t xml:space="preserve"> ICR</w:t>
      </w:r>
      <w:r w:rsidR="00011DEA">
        <w:rPr>
          <w:rFonts w:ascii="Times New Roman" w:eastAsia="Times New Roman"/>
          <w:sz w:val="20"/>
          <w:szCs w:val="20"/>
        </w:rPr>
        <w:t xml:space="preserve"> facilities estimate, which </w:t>
      </w:r>
      <w:r w:rsidR="00330966">
        <w:rPr>
          <w:rFonts w:ascii="Times New Roman" w:eastAsia="Times New Roman"/>
          <w:sz w:val="20"/>
          <w:szCs w:val="20"/>
        </w:rPr>
        <w:t xml:space="preserve">is </w:t>
      </w:r>
      <w:r w:rsidR="00011DEA">
        <w:rPr>
          <w:rFonts w:ascii="Times New Roman" w:eastAsia="Times New Roman"/>
          <w:sz w:val="20"/>
          <w:szCs w:val="20"/>
        </w:rPr>
        <w:t>based on 2005 data.</w:t>
      </w:r>
    </w:p>
    <w:p w:rsidR="00844929" w:rsidRPr="005C4E74" w:rsidRDefault="00844929" w:rsidP="005C4E74">
      <w:pPr>
        <w:widowControl/>
        <w:rPr>
          <w:rFonts w:ascii="Times New Roman" w:eastAsia="Times New Roman"/>
          <w:sz w:val="20"/>
          <w:szCs w:val="20"/>
        </w:rPr>
      </w:pPr>
      <w:r w:rsidRPr="005C4E74">
        <w:rPr>
          <w:rFonts w:ascii="Times New Roman" w:eastAsia="Times New Roman"/>
          <w:sz w:val="20"/>
          <w:szCs w:val="20"/>
          <w:vertAlign w:val="superscript"/>
        </w:rPr>
        <w:t>[vii]</w:t>
      </w:r>
      <w:r w:rsidRPr="005C4E74">
        <w:rPr>
          <w:rFonts w:ascii="Times New Roman" w:eastAsia="Times New Roman"/>
          <w:sz w:val="20"/>
          <w:szCs w:val="20"/>
        </w:rPr>
        <w:t xml:space="preserve"> Source: USGS, 2009 and U.S. Census Bureau, 2009: NAICS 325131 – Inorganic dye and pigment manufacturing. According to the U.S. Census Bureau, there were 87 total establishments in the Inorganic dye and pigment manufacturing industry in 2009. The Agency is unable to locate data regarding the number of firms manufacturing lead-containing pigment (or the extent to which this pigment is used today, if at all), however, assumes that manufacturing and use have declined significantly in recent years given government regulation and public health concerns. The USGS reported that in 2008 about 10 percent of lead was used in ammunition; casting material; sheets (including radiation shielding), pipes, traps and extruded products; cable covering, caulking lead, and building construction; solder; and oxides for glass, ceramics, pigments, and chemicals. Conservatively, if all ten percent of lead used in manufacturing plants consuming lead was used in lead oxide pigment manufacturing, the Agency estimates that this industry would be comprised of 8 firms (10 percent of 76).</w:t>
      </w:r>
    </w:p>
    <w:p w:rsidR="00844929" w:rsidRPr="005C4E74" w:rsidRDefault="005C4E74" w:rsidP="005C4E74">
      <w:pPr>
        <w:widowControl/>
        <w:rPr>
          <w:rFonts w:ascii="Times New Roman" w:eastAsia="Times New Roman"/>
          <w:sz w:val="20"/>
          <w:szCs w:val="20"/>
        </w:rPr>
      </w:pPr>
      <w:r>
        <w:rPr>
          <w:rFonts w:ascii="Times New Roman" w:eastAsia="Times New Roman"/>
          <w:sz w:val="20"/>
          <w:szCs w:val="20"/>
          <w:vertAlign w:val="superscript"/>
        </w:rPr>
        <w:t>[</w:t>
      </w:r>
      <w:r w:rsidR="00844929" w:rsidRPr="005C4E74">
        <w:rPr>
          <w:rFonts w:ascii="Times New Roman" w:eastAsia="Times New Roman"/>
          <w:sz w:val="20"/>
          <w:szCs w:val="20"/>
          <w:vertAlign w:val="superscript"/>
        </w:rPr>
        <w:t>viii]</w:t>
      </w:r>
      <w:r w:rsidR="00844929" w:rsidRPr="005C4E74">
        <w:rPr>
          <w:rFonts w:ascii="Times New Roman" w:eastAsia="Times New Roman"/>
          <w:sz w:val="20"/>
          <w:szCs w:val="20"/>
        </w:rPr>
        <w:t xml:space="preserve"> Based on available documentation, the Agency was unable to determine from which industries and/or occupations these estimates were derived</w:t>
      </w:r>
      <w:r w:rsidR="00987DA7">
        <w:rPr>
          <w:rFonts w:ascii="Times New Roman" w:eastAsia="Times New Roman"/>
          <w:sz w:val="20"/>
          <w:szCs w:val="20"/>
        </w:rPr>
        <w:t>.</w:t>
      </w:r>
      <w:r w:rsidR="00844929" w:rsidRPr="005C4E74">
        <w:rPr>
          <w:rFonts w:ascii="Times New Roman" w:eastAsia="Times New Roman"/>
          <w:sz w:val="20"/>
          <w:szCs w:val="20"/>
        </w:rPr>
        <w:t xml:space="preserve"> </w:t>
      </w:r>
      <w:r w:rsidR="00987DA7">
        <w:rPr>
          <w:rFonts w:ascii="Times New Roman" w:eastAsia="Times New Roman"/>
          <w:sz w:val="20"/>
          <w:szCs w:val="20"/>
        </w:rPr>
        <w:t xml:space="preserve"> According to the U.S. Census Bureau, </w:t>
      </w:r>
      <w:r w:rsidR="0098077C">
        <w:rPr>
          <w:rFonts w:ascii="Times New Roman" w:eastAsia="Times New Roman"/>
          <w:sz w:val="20"/>
          <w:szCs w:val="20"/>
        </w:rPr>
        <w:t>the total number of establishments in NAICS</w:t>
      </w:r>
      <w:r w:rsidR="00B03717">
        <w:rPr>
          <w:rFonts w:ascii="Times New Roman" w:eastAsia="Times New Roman"/>
          <w:sz w:val="20"/>
          <w:szCs w:val="20"/>
        </w:rPr>
        <w:t xml:space="preserve"> </w:t>
      </w:r>
      <w:r w:rsidR="0098077C">
        <w:rPr>
          <w:rFonts w:ascii="Times New Roman" w:eastAsia="Times New Roman"/>
          <w:sz w:val="20"/>
          <w:szCs w:val="20"/>
        </w:rPr>
        <w:t>31-33</w:t>
      </w:r>
      <w:r w:rsidR="00B03717">
        <w:rPr>
          <w:rFonts w:ascii="Times New Roman" w:eastAsia="Times New Roman"/>
          <w:sz w:val="20"/>
          <w:szCs w:val="20"/>
        </w:rPr>
        <w:t xml:space="preserve"> (</w:t>
      </w:r>
      <w:r w:rsidR="0098077C">
        <w:rPr>
          <w:rFonts w:ascii="Times New Roman" w:eastAsia="Times New Roman"/>
          <w:sz w:val="20"/>
          <w:szCs w:val="20"/>
        </w:rPr>
        <w:t>Manufacturing</w:t>
      </w:r>
      <w:r w:rsidR="00B03717">
        <w:rPr>
          <w:rFonts w:ascii="Times New Roman" w:eastAsia="Times New Roman"/>
          <w:sz w:val="20"/>
          <w:szCs w:val="20"/>
        </w:rPr>
        <w:t xml:space="preserve">) </w:t>
      </w:r>
      <w:r w:rsidR="000343A5">
        <w:rPr>
          <w:rFonts w:ascii="Times New Roman" w:eastAsia="Times New Roman"/>
          <w:sz w:val="20"/>
          <w:szCs w:val="20"/>
        </w:rPr>
        <w:t xml:space="preserve">in 2009 </w:t>
      </w:r>
      <w:r w:rsidR="0098077C" w:rsidRPr="0098077C">
        <w:rPr>
          <w:rFonts w:ascii="Times New Roman" w:eastAsia="Times New Roman"/>
          <w:sz w:val="20"/>
          <w:szCs w:val="20"/>
        </w:rPr>
        <w:t xml:space="preserve">was </w:t>
      </w:r>
      <w:r w:rsidR="004D586C" w:rsidRPr="002C49DA">
        <w:rPr>
          <w:rFonts w:ascii="Times New Roman" w:eastAsia="Times New Roman"/>
          <w:color w:val="000000"/>
          <w:sz w:val="20"/>
          <w:szCs w:val="20"/>
        </w:rPr>
        <w:t>570,745</w:t>
      </w:r>
      <w:r w:rsidR="0098077C" w:rsidRPr="0098077C">
        <w:rPr>
          <w:rFonts w:ascii="Times New Roman" w:eastAsia="Times New Roman"/>
          <w:sz w:val="20"/>
          <w:szCs w:val="20"/>
        </w:rPr>
        <w:t>.</w:t>
      </w:r>
      <w:r w:rsidR="0098077C">
        <w:rPr>
          <w:rFonts w:ascii="Times New Roman" w:eastAsia="Times New Roman"/>
          <w:sz w:val="20"/>
          <w:szCs w:val="20"/>
        </w:rPr>
        <w:t xml:space="preserve">  This represents </w:t>
      </w:r>
      <w:r w:rsidR="00844929" w:rsidRPr="005C4E74">
        <w:rPr>
          <w:rFonts w:ascii="Times New Roman" w:eastAsia="Times New Roman"/>
          <w:sz w:val="20"/>
          <w:szCs w:val="20"/>
        </w:rPr>
        <w:t xml:space="preserve">a </w:t>
      </w:r>
      <w:r w:rsidR="0098077C">
        <w:rPr>
          <w:rFonts w:ascii="Times New Roman" w:eastAsia="Times New Roman"/>
          <w:sz w:val="20"/>
          <w:szCs w:val="20"/>
        </w:rPr>
        <w:t>7.1</w:t>
      </w:r>
      <w:r w:rsidR="00844929" w:rsidRPr="005C4E74">
        <w:rPr>
          <w:rFonts w:ascii="Times New Roman" w:eastAsia="Times New Roman"/>
          <w:sz w:val="20"/>
          <w:szCs w:val="20"/>
        </w:rPr>
        <w:t>% decrease in the number of establishments</w:t>
      </w:r>
      <w:r w:rsidR="0098077C">
        <w:rPr>
          <w:rFonts w:ascii="Times New Roman" w:eastAsia="Times New Roman"/>
          <w:sz w:val="20"/>
          <w:szCs w:val="20"/>
        </w:rPr>
        <w:t xml:space="preserve"> </w:t>
      </w:r>
      <w:r w:rsidR="00987DA7">
        <w:rPr>
          <w:rFonts w:ascii="Times New Roman" w:eastAsia="Times New Roman"/>
          <w:sz w:val="20"/>
          <w:szCs w:val="20"/>
        </w:rPr>
        <w:t>from 2005 data</w:t>
      </w:r>
      <w:r w:rsidR="0098077C">
        <w:rPr>
          <w:rFonts w:ascii="Times New Roman" w:eastAsia="Times New Roman"/>
          <w:sz w:val="20"/>
          <w:szCs w:val="20"/>
        </w:rPr>
        <w:t>.</w:t>
      </w:r>
      <w:r w:rsidR="00011DEA">
        <w:rPr>
          <w:rFonts w:ascii="Times New Roman" w:eastAsia="Times New Roman"/>
          <w:sz w:val="20"/>
          <w:szCs w:val="20"/>
        </w:rPr>
        <w:t xml:space="preserve">  The Agency applied this decrease to the 2009 ICR facilities estimate.</w:t>
      </w:r>
    </w:p>
    <w:p w:rsidR="00606D2D" w:rsidRPr="005C4E74" w:rsidRDefault="00606D2D" w:rsidP="00606D2D">
      <w:pPr>
        <w:widowControl/>
        <w:ind w:left="270"/>
        <w:rPr>
          <w:rFonts w:ascii="Times New Roman"/>
          <w:sz w:val="20"/>
          <w:szCs w:val="20"/>
        </w:rPr>
      </w:pPr>
    </w:p>
    <w:sectPr w:rsidR="00606D2D" w:rsidRPr="005C4E74" w:rsidSect="00844929">
      <w:pgSz w:w="15840" w:h="12240" w:orient="landscape"/>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7F" w:rsidRDefault="00F25F7F">
      <w:r>
        <w:separator/>
      </w:r>
    </w:p>
  </w:endnote>
  <w:endnote w:type="continuationSeparator" w:id="0">
    <w:p w:rsidR="00F25F7F" w:rsidRDefault="00F25F7F">
      <w:r>
        <w:continuationSeparator/>
      </w:r>
    </w:p>
  </w:endnote>
  <w:endnote w:type="continuationNotice" w:id="1">
    <w:p w:rsidR="00F25F7F" w:rsidRDefault="00F25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Melior-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7F" w:rsidRDefault="00F25F7F" w:rsidP="00E012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F7F" w:rsidRDefault="00F25F7F" w:rsidP="00E012C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7F" w:rsidRDefault="00F25F7F">
    <w:pPr>
      <w:spacing w:line="240" w:lineRule="exact"/>
    </w:pPr>
  </w:p>
  <w:p w:rsidR="00F25F7F" w:rsidRDefault="00F25F7F" w:rsidP="00E012CD">
    <w:pPr>
      <w:framePr w:wrap="around" w:vAnchor="text" w:hAnchor="margin" w:xAlign="center" w:y="1"/>
      <w:jc w:val="center"/>
      <w:rPr>
        <w:rFonts w:ascii="Times New Roman"/>
        <w:sz w:val="20"/>
        <w:szCs w:val="20"/>
      </w:rPr>
    </w:pPr>
    <w:r>
      <w:rPr>
        <w:rFonts w:ascii="Times New Roman"/>
        <w:sz w:val="20"/>
        <w:szCs w:val="20"/>
      </w:rPr>
      <w:fldChar w:fldCharType="begin"/>
    </w:r>
    <w:r>
      <w:rPr>
        <w:rFonts w:ascii="Times New Roman"/>
        <w:sz w:val="20"/>
        <w:szCs w:val="20"/>
      </w:rPr>
      <w:instrText xml:space="preserve">PAGE </w:instrText>
    </w:r>
    <w:r>
      <w:rPr>
        <w:rFonts w:ascii="Times New Roman"/>
        <w:sz w:val="20"/>
        <w:szCs w:val="20"/>
      </w:rPr>
      <w:fldChar w:fldCharType="separate"/>
    </w:r>
    <w:r>
      <w:rPr>
        <w:rFonts w:ascii="Times New Roman"/>
        <w:noProof/>
        <w:sz w:val="20"/>
        <w:szCs w:val="20"/>
      </w:rPr>
      <w:t>3</w:t>
    </w:r>
    <w:r>
      <w:rPr>
        <w:rFonts w:ascii="Times New Roman"/>
        <w:sz w:val="20"/>
        <w:szCs w:val="20"/>
      </w:rPr>
      <w:fldChar w:fldCharType="end"/>
    </w:r>
  </w:p>
  <w:p w:rsidR="00F25F7F" w:rsidRDefault="00F25F7F" w:rsidP="00E012CD">
    <w:pP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7F" w:rsidRPr="00430073" w:rsidRDefault="00F25F7F" w:rsidP="00606D2D">
    <w:pPr>
      <w:framePr w:w="9361" w:wrap="notBeside" w:vAnchor="text" w:hAnchor="page" w:x="1462" w:y="198"/>
      <w:jc w:val="center"/>
      <w:rPr>
        <w:rFonts w:ascii="Times New Roman"/>
        <w:sz w:val="22"/>
        <w:szCs w:val="22"/>
      </w:rPr>
    </w:pPr>
    <w:r w:rsidRPr="00430073">
      <w:rPr>
        <w:rFonts w:ascii="Times New Roman"/>
        <w:sz w:val="22"/>
        <w:szCs w:val="22"/>
      </w:rPr>
      <w:fldChar w:fldCharType="begin"/>
    </w:r>
    <w:r w:rsidRPr="00430073">
      <w:rPr>
        <w:rFonts w:ascii="Times New Roman"/>
        <w:sz w:val="22"/>
        <w:szCs w:val="22"/>
      </w:rPr>
      <w:instrText xml:space="preserve">PAGE </w:instrText>
    </w:r>
    <w:r w:rsidRPr="00430073">
      <w:rPr>
        <w:rFonts w:ascii="Times New Roman"/>
        <w:sz w:val="22"/>
        <w:szCs w:val="22"/>
      </w:rPr>
      <w:fldChar w:fldCharType="separate"/>
    </w:r>
    <w:r w:rsidR="00BA11D4">
      <w:rPr>
        <w:rFonts w:ascii="Times New Roman"/>
        <w:noProof/>
        <w:sz w:val="22"/>
        <w:szCs w:val="22"/>
      </w:rPr>
      <w:t>2</w:t>
    </w:r>
    <w:r w:rsidRPr="00430073">
      <w:rPr>
        <w:rFonts w:ascii="Times New Roman"/>
        <w:sz w:val="22"/>
        <w:szCs w:val="22"/>
      </w:rPr>
      <w:fldChar w:fldCharType="end"/>
    </w:r>
  </w:p>
  <w:p w:rsidR="00F25F7F" w:rsidRDefault="00F25F7F">
    <w:pPr>
      <w:spacing w:line="240" w:lineRule="exact"/>
    </w:pPr>
  </w:p>
  <w:p w:rsidR="00F25F7F" w:rsidRDefault="00F25F7F">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7F" w:rsidRDefault="00F25F7F">
      <w:r>
        <w:separator/>
      </w:r>
    </w:p>
  </w:footnote>
  <w:footnote w:type="continuationSeparator" w:id="0">
    <w:p w:rsidR="00F25F7F" w:rsidRDefault="00F25F7F">
      <w:r>
        <w:continuationSeparator/>
      </w:r>
    </w:p>
  </w:footnote>
  <w:footnote w:type="continuationNotice" w:id="1">
    <w:p w:rsidR="00F25F7F" w:rsidRDefault="00F25F7F"/>
  </w:footnote>
  <w:footnote w:id="2">
    <w:p w:rsidR="00F25F7F" w:rsidRDefault="00F25F7F" w:rsidP="00606D2D">
      <w:pPr>
        <w:spacing w:after="240"/>
        <w:ind w:firstLine="720"/>
      </w:pPr>
      <w:r w:rsidRPr="005A470C">
        <w:rPr>
          <w:rStyle w:val="FootnoteReference"/>
          <w:rFonts w:ascii="Times New Roman"/>
          <w:vertAlign w:val="superscript"/>
        </w:rPr>
        <w:footnoteRef/>
      </w:r>
      <w:r w:rsidRPr="00FA1B4F">
        <w:rPr>
          <w:rFonts w:ascii="Times New Roman"/>
          <w:sz w:val="20"/>
          <w:szCs w:val="20"/>
        </w:rPr>
        <w:t>The purpose of this supporting statement is to analyze and describe the burden hours and costs associated with provisions of the Lead in General Industry Standard that contain paperwork requirements; this supporting statement does not provide information or guidance on how to comply with, or how to enforce, the Standard.</w:t>
      </w:r>
    </w:p>
  </w:footnote>
  <w:footnote w:id="3">
    <w:p w:rsidR="00F25F7F" w:rsidRDefault="00F25F7F" w:rsidP="00E012CD">
      <w:pPr>
        <w:spacing w:after="240"/>
        <w:ind w:firstLine="720"/>
      </w:pPr>
      <w:r>
        <w:rPr>
          <w:rStyle w:val="FootnoteReference"/>
          <w:sz w:val="20"/>
          <w:szCs w:val="20"/>
          <w:vertAlign w:val="superscript"/>
        </w:rPr>
        <w:footnoteRef/>
      </w:r>
      <w:r>
        <w:rPr>
          <w:rFonts w:ascii="Times New Roman"/>
          <w:sz w:val="20"/>
          <w:szCs w:val="20"/>
        </w:rPr>
        <w:t>Action level means worker exposure, without regard to the use of respirators, to an airborne concentration of lead of 30 micrograms per cubic meter of air (30ug/m</w:t>
      </w:r>
      <w:r>
        <w:rPr>
          <w:rFonts w:ascii="Times New Roman"/>
          <w:sz w:val="20"/>
          <w:szCs w:val="20"/>
          <w:vertAlign w:val="superscript"/>
        </w:rPr>
        <w:t>3</w:t>
      </w:r>
      <w:r>
        <w:rPr>
          <w:rFonts w:ascii="Times New Roman"/>
          <w:sz w:val="20"/>
          <w:szCs w:val="20"/>
        </w:rPr>
        <w:t>) averaged over an 8-hour period.</w:t>
      </w:r>
    </w:p>
  </w:footnote>
  <w:footnote w:id="4">
    <w:p w:rsidR="00F25F7F" w:rsidRDefault="00F25F7F" w:rsidP="00E012CD">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5">
    <w:p w:rsidR="00F25F7F" w:rsidRPr="00B91415" w:rsidRDefault="00F25F7F" w:rsidP="00606D2D">
      <w:pPr>
        <w:spacing w:after="40"/>
        <w:ind w:left="180" w:firstLine="540"/>
        <w:rPr>
          <w:rFonts w:ascii="Times New Roman"/>
          <w:sz w:val="20"/>
          <w:szCs w:val="20"/>
        </w:rPr>
      </w:pPr>
      <w:r w:rsidRPr="00B91415">
        <w:rPr>
          <w:rStyle w:val="FootnoteReference"/>
          <w:rFonts w:ascii="Times New Roman"/>
          <w:sz w:val="22"/>
          <w:szCs w:val="22"/>
          <w:vertAlign w:val="superscript"/>
        </w:rPr>
        <w:footnoteRef/>
      </w:r>
      <w:r w:rsidRPr="00B91415">
        <w:rPr>
          <w:rFonts w:ascii="Times New Roman"/>
          <w:sz w:val="20"/>
          <w:szCs w:val="20"/>
        </w:rPr>
        <w:t>The Agency estimated the number of inspections by determining the inspection rate (1.4%) for all facilities under the jurisdiction of the OSH Act (including both Federal OSHA and approved state-plan agencies), and then multiplied the total number of facilities covered by the Standard (</w:t>
      </w:r>
      <w:r>
        <w:rPr>
          <w:rFonts w:ascii="Times New Roman"/>
          <w:sz w:val="20"/>
          <w:szCs w:val="20"/>
        </w:rPr>
        <w:t>56,949</w:t>
      </w:r>
      <w:r w:rsidRPr="00B91415">
        <w:rPr>
          <w:rFonts w:ascii="Times New Roman"/>
          <w:sz w:val="20"/>
          <w:szCs w:val="20"/>
        </w:rPr>
        <w:t xml:space="preserve">) by this percentage (i.e., </w:t>
      </w:r>
      <w:r>
        <w:rPr>
          <w:rFonts w:ascii="Times New Roman"/>
          <w:sz w:val="20"/>
          <w:szCs w:val="20"/>
        </w:rPr>
        <w:t xml:space="preserve">56,949 </w:t>
      </w:r>
      <w:r w:rsidRPr="00B91415">
        <w:rPr>
          <w:rFonts w:ascii="Times New Roman"/>
          <w:sz w:val="20"/>
          <w:szCs w:val="20"/>
        </w:rPr>
        <w:t xml:space="preserve">facilities × 1.4% = </w:t>
      </w:r>
      <w:r>
        <w:rPr>
          <w:rFonts w:ascii="Times New Roman"/>
          <w:sz w:val="20"/>
          <w:szCs w:val="20"/>
        </w:rPr>
        <w:t>797</w:t>
      </w:r>
      <w:r w:rsidRPr="00B91415">
        <w:rPr>
          <w:rFonts w:ascii="Times New Roman"/>
          <w:sz w:val="20"/>
          <w:szCs w:val="20"/>
        </w:rPr>
        <w:t xml:space="preserve"> inspections).</w:t>
      </w:r>
    </w:p>
    <w:p w:rsidR="00F25F7F" w:rsidRDefault="00F25F7F" w:rsidP="00606D2D">
      <w:pPr>
        <w:spacing w:after="40"/>
        <w:rPr>
          <w:sz w:val="20"/>
          <w:szCs w:val="20"/>
        </w:rPr>
      </w:pPr>
    </w:p>
  </w:footnote>
  <w:footnote w:id="6">
    <w:p w:rsidR="00F25F7F" w:rsidRDefault="00F25F7F" w:rsidP="00606D2D">
      <w:pPr>
        <w:pStyle w:val="FootnoteText"/>
        <w:ind w:left="90" w:firstLine="630"/>
      </w:pPr>
      <w:r w:rsidRPr="0082283A">
        <w:rPr>
          <w:rStyle w:val="FootnoteReference"/>
          <w:sz w:val="22"/>
          <w:vertAlign w:val="superscript"/>
        </w:rPr>
        <w:footnoteRef/>
      </w:r>
      <w:r>
        <w:t xml:space="preserve"> The previous ICR update estimated that the cost of supplies and analysis for an exposure monitoring sample was $25.  The Consumer Price Index (CPI) indicated an 8.3% increase in price of professional medical services from 2007 to 2010; given the 8.3% increase, it was assumed that the cost of exposure monitoring sampling supplies and analysis increased by 8.3% as well. Although exposure monitoring is not a medical service, the Agency believes the medical services category is the most comparable CPI measure for estimating the change in these paperwork costs.</w:t>
      </w:r>
    </w:p>
    <w:p w:rsidR="00F25F7F" w:rsidRDefault="00F25F7F" w:rsidP="00606D2D">
      <w:pPr>
        <w:pStyle w:val="FootnoteText"/>
        <w:ind w:left="90" w:firstLine="630"/>
      </w:pPr>
    </w:p>
  </w:footnote>
  <w:footnote w:id="7">
    <w:p w:rsidR="00F25F7F" w:rsidRDefault="00F25F7F" w:rsidP="00606D2D">
      <w:pPr>
        <w:pStyle w:val="FootnoteText"/>
        <w:spacing w:after="40"/>
        <w:ind w:left="90" w:firstLine="630"/>
      </w:pPr>
      <w:r w:rsidRPr="004E402F">
        <w:rPr>
          <w:rStyle w:val="FootnoteReference"/>
          <w:sz w:val="24"/>
          <w:szCs w:val="24"/>
          <w:vertAlign w:val="superscript"/>
        </w:rPr>
        <w:footnoteRef/>
      </w:r>
      <w:r>
        <w:t>The previous ICR update estimated that the cost of a blood lead and ZPP was $65.40 per test. Given the 8.3% increase in the price of professional medical services as discussed previously, it was assumed that the cost of laboratory services increased by 8.3% as well.</w:t>
      </w:r>
    </w:p>
    <w:p w:rsidR="00F25F7F" w:rsidRDefault="00F25F7F" w:rsidP="00606D2D">
      <w:pPr>
        <w:pStyle w:val="FootnoteText"/>
        <w:spacing w:after="40"/>
        <w:ind w:left="90" w:firstLine="630"/>
      </w:pPr>
    </w:p>
  </w:footnote>
  <w:footnote w:id="8">
    <w:p w:rsidR="00F25F7F" w:rsidRDefault="00F25F7F" w:rsidP="00606D2D">
      <w:pPr>
        <w:pStyle w:val="FootnoteText"/>
        <w:ind w:left="90" w:firstLine="630"/>
      </w:pPr>
      <w:r w:rsidRPr="004E402F">
        <w:rPr>
          <w:rStyle w:val="FootnoteReference"/>
          <w:sz w:val="24"/>
          <w:szCs w:val="24"/>
          <w:vertAlign w:val="superscript"/>
        </w:rPr>
        <w:footnoteRef/>
      </w:r>
      <w:r>
        <w:t xml:space="preserve">The previous ICR estimated that the cost of a medical examination was $223; given the 8.3% increase in the price of professional medical services as discussed previously, it is assumed that the cost of a medical examination increased by 8.3% as well. </w:t>
      </w:r>
    </w:p>
    <w:p w:rsidR="00F25F7F" w:rsidRDefault="00F25F7F" w:rsidP="00606D2D">
      <w:pPr>
        <w:pStyle w:val="FootnoteText"/>
        <w:ind w:left="90" w:firstLine="630"/>
      </w:pPr>
    </w:p>
  </w:footnote>
  <w:footnote w:id="9">
    <w:p w:rsidR="00F25F7F" w:rsidRDefault="00F25F7F" w:rsidP="00515D3B">
      <w:pPr>
        <w:pStyle w:val="FootnoteText"/>
        <w:ind w:left="90" w:firstLine="630"/>
      </w:pPr>
      <w:r w:rsidRPr="002C017D">
        <w:rPr>
          <w:rStyle w:val="FootnoteReference"/>
          <w:sz w:val="22"/>
          <w:szCs w:val="22"/>
          <w:vertAlign w:val="superscript"/>
        </w:rPr>
        <w:footnoteRef/>
      </w:r>
      <w:r w:rsidRPr="002C017D">
        <w:t xml:space="preserve">Source: U.S. Office of Personnel Management, </w:t>
      </w:r>
      <w:r w:rsidRPr="002C017D">
        <w:rPr>
          <w:i/>
          <w:iCs/>
        </w:rPr>
        <w:t>General Schedule and Locality Tables, Salary Table 2011-RUS</w:t>
      </w:r>
      <w:r w:rsidRPr="002C017D">
        <w:t>, http://www.opm.gov/oca/11tables/html/RUS_h.asp.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9CD1EC6"/>
    <w:multiLevelType w:val="hybridMultilevel"/>
    <w:tmpl w:val="A5460A44"/>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Wingding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Wingdings"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Wingdings"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nsid w:val="0B6F43D4"/>
    <w:multiLevelType w:val="hybridMultilevel"/>
    <w:tmpl w:val="4030E538"/>
    <w:lvl w:ilvl="0" w:tplc="B7805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FF1EEA"/>
    <w:multiLevelType w:val="hybridMultilevel"/>
    <w:tmpl w:val="A420050E"/>
    <w:lvl w:ilvl="0" w:tplc="8914542C">
      <w:numFmt w:val="bullet"/>
      <w:lvlText w:val="-"/>
      <w:lvlJc w:val="left"/>
      <w:pPr>
        <w:tabs>
          <w:tab w:val="num" w:pos="1560"/>
        </w:tabs>
        <w:ind w:left="1560" w:hanging="600"/>
      </w:pPr>
      <w:rPr>
        <w:rFonts w:ascii="Times New Roman" w:eastAsia="@MS Mincho"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Wingdings"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Wingdings"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nsid w:val="211A1BE3"/>
    <w:multiLevelType w:val="hybridMultilevel"/>
    <w:tmpl w:val="389416C4"/>
    <w:lvl w:ilvl="0" w:tplc="6CD0E7D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215F8E"/>
    <w:multiLevelType w:val="hybridMultilevel"/>
    <w:tmpl w:val="9C981486"/>
    <w:lvl w:ilvl="0" w:tplc="A39AB9CE">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FD"/>
    <w:rsid w:val="00002A22"/>
    <w:rsid w:val="000035FD"/>
    <w:rsid w:val="00011DEA"/>
    <w:rsid w:val="000234C9"/>
    <w:rsid w:val="000343A5"/>
    <w:rsid w:val="0003721F"/>
    <w:rsid w:val="0006016F"/>
    <w:rsid w:val="00061C77"/>
    <w:rsid w:val="00094921"/>
    <w:rsid w:val="000C7A9B"/>
    <w:rsid w:val="000F6EA2"/>
    <w:rsid w:val="00126149"/>
    <w:rsid w:val="00135FE2"/>
    <w:rsid w:val="00144204"/>
    <w:rsid w:val="00152B7B"/>
    <w:rsid w:val="00157D78"/>
    <w:rsid w:val="001927D7"/>
    <w:rsid w:val="001B142B"/>
    <w:rsid w:val="001B2266"/>
    <w:rsid w:val="001E1DE3"/>
    <w:rsid w:val="0021064F"/>
    <w:rsid w:val="002155F7"/>
    <w:rsid w:val="00231B97"/>
    <w:rsid w:val="002376D0"/>
    <w:rsid w:val="00237DA9"/>
    <w:rsid w:val="00242A51"/>
    <w:rsid w:val="00253976"/>
    <w:rsid w:val="0026249C"/>
    <w:rsid w:val="00263ACF"/>
    <w:rsid w:val="00292F90"/>
    <w:rsid w:val="002C49DA"/>
    <w:rsid w:val="002C5C0E"/>
    <w:rsid w:val="002D75F2"/>
    <w:rsid w:val="002E3FC9"/>
    <w:rsid w:val="00317E68"/>
    <w:rsid w:val="00330966"/>
    <w:rsid w:val="00333C3B"/>
    <w:rsid w:val="00341E56"/>
    <w:rsid w:val="0036475A"/>
    <w:rsid w:val="00383841"/>
    <w:rsid w:val="00390CC1"/>
    <w:rsid w:val="003B7E87"/>
    <w:rsid w:val="003D093E"/>
    <w:rsid w:val="003D40A3"/>
    <w:rsid w:val="003E4EE3"/>
    <w:rsid w:val="00405CA5"/>
    <w:rsid w:val="004062F3"/>
    <w:rsid w:val="00425C56"/>
    <w:rsid w:val="00437958"/>
    <w:rsid w:val="004438A1"/>
    <w:rsid w:val="004524C1"/>
    <w:rsid w:val="00453AF6"/>
    <w:rsid w:val="0047241F"/>
    <w:rsid w:val="00473F5E"/>
    <w:rsid w:val="00482380"/>
    <w:rsid w:val="004975DE"/>
    <w:rsid w:val="004C1DEE"/>
    <w:rsid w:val="004C6910"/>
    <w:rsid w:val="004D586C"/>
    <w:rsid w:val="004E3A54"/>
    <w:rsid w:val="00503256"/>
    <w:rsid w:val="00515D3B"/>
    <w:rsid w:val="00530278"/>
    <w:rsid w:val="005317C7"/>
    <w:rsid w:val="0053742D"/>
    <w:rsid w:val="0054277E"/>
    <w:rsid w:val="00560CF0"/>
    <w:rsid w:val="005613D8"/>
    <w:rsid w:val="00590128"/>
    <w:rsid w:val="005928DC"/>
    <w:rsid w:val="00593411"/>
    <w:rsid w:val="00596A41"/>
    <w:rsid w:val="005A3675"/>
    <w:rsid w:val="005C4E74"/>
    <w:rsid w:val="005F51A1"/>
    <w:rsid w:val="005F6BD3"/>
    <w:rsid w:val="006013BA"/>
    <w:rsid w:val="00603346"/>
    <w:rsid w:val="00606D2D"/>
    <w:rsid w:val="00636066"/>
    <w:rsid w:val="006360B2"/>
    <w:rsid w:val="00646475"/>
    <w:rsid w:val="00651FC3"/>
    <w:rsid w:val="006602ED"/>
    <w:rsid w:val="0068186F"/>
    <w:rsid w:val="00686687"/>
    <w:rsid w:val="006878BE"/>
    <w:rsid w:val="00692B6A"/>
    <w:rsid w:val="006B2D2C"/>
    <w:rsid w:val="006C598F"/>
    <w:rsid w:val="006D1267"/>
    <w:rsid w:val="006D7046"/>
    <w:rsid w:val="006E1067"/>
    <w:rsid w:val="006E1288"/>
    <w:rsid w:val="006E6932"/>
    <w:rsid w:val="006F7A22"/>
    <w:rsid w:val="007034A9"/>
    <w:rsid w:val="0071495F"/>
    <w:rsid w:val="007162BE"/>
    <w:rsid w:val="007171F2"/>
    <w:rsid w:val="00743A58"/>
    <w:rsid w:val="0076649A"/>
    <w:rsid w:val="00772A4A"/>
    <w:rsid w:val="007A2404"/>
    <w:rsid w:val="007A5588"/>
    <w:rsid w:val="007A6ACA"/>
    <w:rsid w:val="007C2A55"/>
    <w:rsid w:val="007C4025"/>
    <w:rsid w:val="007D6890"/>
    <w:rsid w:val="007E1AEF"/>
    <w:rsid w:val="0080489C"/>
    <w:rsid w:val="00844929"/>
    <w:rsid w:val="00857660"/>
    <w:rsid w:val="0086393F"/>
    <w:rsid w:val="0087205E"/>
    <w:rsid w:val="00875785"/>
    <w:rsid w:val="0088487E"/>
    <w:rsid w:val="00894766"/>
    <w:rsid w:val="008964DD"/>
    <w:rsid w:val="008C4FA4"/>
    <w:rsid w:val="008C72E7"/>
    <w:rsid w:val="008F707C"/>
    <w:rsid w:val="009019AA"/>
    <w:rsid w:val="00907AF2"/>
    <w:rsid w:val="009224EB"/>
    <w:rsid w:val="009340E8"/>
    <w:rsid w:val="00951081"/>
    <w:rsid w:val="009510D7"/>
    <w:rsid w:val="009538AD"/>
    <w:rsid w:val="009558F9"/>
    <w:rsid w:val="0096302F"/>
    <w:rsid w:val="0098077C"/>
    <w:rsid w:val="009865BE"/>
    <w:rsid w:val="00987DA7"/>
    <w:rsid w:val="009A14E1"/>
    <w:rsid w:val="009C20A5"/>
    <w:rsid w:val="009E5B45"/>
    <w:rsid w:val="009F069A"/>
    <w:rsid w:val="009F592F"/>
    <w:rsid w:val="009F721D"/>
    <w:rsid w:val="00A05F5B"/>
    <w:rsid w:val="00A067D1"/>
    <w:rsid w:val="00A134B0"/>
    <w:rsid w:val="00A229F0"/>
    <w:rsid w:val="00A258C1"/>
    <w:rsid w:val="00A5044A"/>
    <w:rsid w:val="00A54080"/>
    <w:rsid w:val="00A6588D"/>
    <w:rsid w:val="00A71C27"/>
    <w:rsid w:val="00A97D84"/>
    <w:rsid w:val="00AC2546"/>
    <w:rsid w:val="00AC6E61"/>
    <w:rsid w:val="00B03717"/>
    <w:rsid w:val="00B1346D"/>
    <w:rsid w:val="00B24363"/>
    <w:rsid w:val="00B26CA9"/>
    <w:rsid w:val="00B332A5"/>
    <w:rsid w:val="00B557D1"/>
    <w:rsid w:val="00B807E0"/>
    <w:rsid w:val="00BA11D4"/>
    <w:rsid w:val="00BB0333"/>
    <w:rsid w:val="00BB4935"/>
    <w:rsid w:val="00BB51F6"/>
    <w:rsid w:val="00BB7543"/>
    <w:rsid w:val="00BC5176"/>
    <w:rsid w:val="00BD29A4"/>
    <w:rsid w:val="00C63688"/>
    <w:rsid w:val="00C71DBA"/>
    <w:rsid w:val="00C839A4"/>
    <w:rsid w:val="00C92156"/>
    <w:rsid w:val="00C92CB0"/>
    <w:rsid w:val="00CA7E22"/>
    <w:rsid w:val="00CB4FCA"/>
    <w:rsid w:val="00CD4427"/>
    <w:rsid w:val="00CD6752"/>
    <w:rsid w:val="00CD7062"/>
    <w:rsid w:val="00CF2853"/>
    <w:rsid w:val="00D03878"/>
    <w:rsid w:val="00D05119"/>
    <w:rsid w:val="00D058C4"/>
    <w:rsid w:val="00D15FE6"/>
    <w:rsid w:val="00D21FA1"/>
    <w:rsid w:val="00D3143C"/>
    <w:rsid w:val="00D3380E"/>
    <w:rsid w:val="00D51520"/>
    <w:rsid w:val="00D66510"/>
    <w:rsid w:val="00D7068F"/>
    <w:rsid w:val="00DB0F38"/>
    <w:rsid w:val="00DB0F76"/>
    <w:rsid w:val="00DB3ADF"/>
    <w:rsid w:val="00DC34DC"/>
    <w:rsid w:val="00DC4245"/>
    <w:rsid w:val="00DC4603"/>
    <w:rsid w:val="00DD7FA4"/>
    <w:rsid w:val="00E012CD"/>
    <w:rsid w:val="00E17698"/>
    <w:rsid w:val="00E27DD2"/>
    <w:rsid w:val="00E44D91"/>
    <w:rsid w:val="00E56067"/>
    <w:rsid w:val="00E6254A"/>
    <w:rsid w:val="00E90890"/>
    <w:rsid w:val="00E95E57"/>
    <w:rsid w:val="00EB18B9"/>
    <w:rsid w:val="00EB46F3"/>
    <w:rsid w:val="00EC0331"/>
    <w:rsid w:val="00F043A1"/>
    <w:rsid w:val="00F12454"/>
    <w:rsid w:val="00F21B0F"/>
    <w:rsid w:val="00F25885"/>
    <w:rsid w:val="00F25F7F"/>
    <w:rsid w:val="00F279AF"/>
    <w:rsid w:val="00F307E3"/>
    <w:rsid w:val="00F34F23"/>
    <w:rsid w:val="00F57251"/>
    <w:rsid w:val="00F61F28"/>
    <w:rsid w:val="00F73AA2"/>
    <w:rsid w:val="00F86AA8"/>
    <w:rsid w:val="00F86E3D"/>
    <w:rsid w:val="00F95E2D"/>
    <w:rsid w:val="00FD4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uiPriority w:val="99"/>
    <w:semiHidden/>
    <w:rsid w:val="008D0C29"/>
    <w:rPr>
      <w:rFonts w:cs="Times New Roman"/>
    </w:rPr>
  </w:style>
  <w:style w:type="paragraph" w:styleId="FootnoteText">
    <w:name w:val="footnote text"/>
    <w:basedOn w:val="Normal"/>
    <w:link w:val="FootnoteTextChar"/>
    <w:uiPriority w:val="99"/>
    <w:semiHidden/>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uiPriority w:val="99"/>
    <w:semiHidden/>
    <w:rsid w:val="008B110F"/>
    <w:rPr>
      <w:rFonts w:cs="Times New Roman"/>
      <w:sz w:val="16"/>
      <w:szCs w:val="16"/>
    </w:rPr>
  </w:style>
  <w:style w:type="paragraph" w:styleId="CommentText">
    <w:name w:val="annotation text"/>
    <w:basedOn w:val="Normal"/>
    <w:link w:val="CommentTextChar"/>
    <w:uiPriority w:val="99"/>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A258C1"/>
    <w:rPr>
      <w:color w:val="0000FF"/>
      <w:u w:val="single"/>
    </w:rPr>
  </w:style>
  <w:style w:type="paragraph" w:styleId="ListParagraph">
    <w:name w:val="List Paragraph"/>
    <w:basedOn w:val="Normal"/>
    <w:uiPriority w:val="34"/>
    <w:qFormat/>
    <w:rsid w:val="00687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qFormat/>
    <w:locked/>
    <w:rsid w:val="00DB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uiPriority w:val="99"/>
    <w:semiHidden/>
    <w:rsid w:val="008D0C29"/>
    <w:rPr>
      <w:rFonts w:cs="Times New Roman"/>
    </w:rPr>
  </w:style>
  <w:style w:type="paragraph" w:styleId="FootnoteText">
    <w:name w:val="footnote text"/>
    <w:basedOn w:val="Normal"/>
    <w:link w:val="FootnoteTextChar"/>
    <w:uiPriority w:val="99"/>
    <w:semiHidden/>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uiPriority w:val="99"/>
    <w:semiHidden/>
    <w:rsid w:val="008B110F"/>
    <w:rPr>
      <w:rFonts w:cs="Times New Roman"/>
      <w:sz w:val="16"/>
      <w:szCs w:val="16"/>
    </w:rPr>
  </w:style>
  <w:style w:type="paragraph" w:styleId="CommentText">
    <w:name w:val="annotation text"/>
    <w:basedOn w:val="Normal"/>
    <w:link w:val="CommentTextChar"/>
    <w:uiPriority w:val="99"/>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rsid w:val="005076FD"/>
    <w:pPr>
      <w:tabs>
        <w:tab w:val="center" w:pos="4320"/>
        <w:tab w:val="right" w:pos="8640"/>
      </w:tabs>
    </w:pPr>
  </w:style>
  <w:style w:type="character" w:styleId="PageNumber">
    <w:name w:val="page number"/>
    <w:basedOn w:val="DefaultParagraphFont"/>
    <w:rsid w:val="005076FD"/>
  </w:style>
  <w:style w:type="character" w:styleId="Strong">
    <w:name w:val="Strong"/>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qFormat/>
    <w:locked/>
    <w:rsid w:val="00880926"/>
    <w:pPr>
      <w:spacing w:after="60"/>
      <w:jc w:val="center"/>
      <w:outlineLvl w:val="1"/>
    </w:pPr>
    <w:rPr>
      <w:rFonts w:ascii="Cambria" w:eastAsia="Times New Roman" w:hAnsi="Cambria"/>
    </w:rPr>
  </w:style>
  <w:style w:type="character" w:customStyle="1" w:styleId="SubtitleChar">
    <w:name w:val="Subtitle Char"/>
    <w:link w:val="Subtitle"/>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B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A258C1"/>
    <w:rPr>
      <w:color w:val="0000FF"/>
      <w:u w:val="single"/>
    </w:rPr>
  </w:style>
  <w:style w:type="paragraph" w:styleId="ListParagraph">
    <w:name w:val="List Paragraph"/>
    <w:basedOn w:val="Normal"/>
    <w:uiPriority w:val="34"/>
    <w:qFormat/>
    <w:rsid w:val="00687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5502">
      <w:bodyDiv w:val="1"/>
      <w:marLeft w:val="0"/>
      <w:marRight w:val="0"/>
      <w:marTop w:val="0"/>
      <w:marBottom w:val="0"/>
      <w:divBdr>
        <w:top w:val="none" w:sz="0" w:space="0" w:color="auto"/>
        <w:left w:val="none" w:sz="0" w:space="0" w:color="auto"/>
        <w:bottom w:val="none" w:sz="0" w:space="0" w:color="auto"/>
        <w:right w:val="none" w:sz="0" w:space="0" w:color="auto"/>
      </w:divBdr>
    </w:div>
    <w:div w:id="313604982">
      <w:bodyDiv w:val="1"/>
      <w:marLeft w:val="0"/>
      <w:marRight w:val="0"/>
      <w:marTop w:val="0"/>
      <w:marBottom w:val="0"/>
      <w:divBdr>
        <w:top w:val="none" w:sz="0" w:space="0" w:color="auto"/>
        <w:left w:val="none" w:sz="0" w:space="0" w:color="auto"/>
        <w:bottom w:val="none" w:sz="0" w:space="0" w:color="auto"/>
        <w:right w:val="none" w:sz="0" w:space="0" w:color="auto"/>
      </w:divBdr>
    </w:div>
    <w:div w:id="353920850">
      <w:bodyDiv w:val="1"/>
      <w:marLeft w:val="0"/>
      <w:marRight w:val="0"/>
      <w:marTop w:val="0"/>
      <w:marBottom w:val="0"/>
      <w:divBdr>
        <w:top w:val="none" w:sz="0" w:space="0" w:color="auto"/>
        <w:left w:val="none" w:sz="0" w:space="0" w:color="auto"/>
        <w:bottom w:val="none" w:sz="0" w:space="0" w:color="auto"/>
        <w:right w:val="none" w:sz="0" w:space="0" w:color="auto"/>
      </w:divBdr>
    </w:div>
    <w:div w:id="428089672">
      <w:marLeft w:val="0"/>
      <w:marRight w:val="0"/>
      <w:marTop w:val="0"/>
      <w:marBottom w:val="0"/>
      <w:divBdr>
        <w:top w:val="none" w:sz="0" w:space="0" w:color="auto"/>
        <w:left w:val="none" w:sz="0" w:space="0" w:color="auto"/>
        <w:bottom w:val="none" w:sz="0" w:space="0" w:color="auto"/>
        <w:right w:val="none" w:sz="0" w:space="0" w:color="auto"/>
      </w:divBdr>
    </w:div>
    <w:div w:id="428089673">
      <w:marLeft w:val="0"/>
      <w:marRight w:val="0"/>
      <w:marTop w:val="0"/>
      <w:marBottom w:val="0"/>
      <w:divBdr>
        <w:top w:val="none" w:sz="0" w:space="0" w:color="auto"/>
        <w:left w:val="none" w:sz="0" w:space="0" w:color="auto"/>
        <w:bottom w:val="none" w:sz="0" w:space="0" w:color="auto"/>
        <w:right w:val="none" w:sz="0" w:space="0" w:color="auto"/>
      </w:divBdr>
    </w:div>
    <w:div w:id="428089674">
      <w:marLeft w:val="0"/>
      <w:marRight w:val="0"/>
      <w:marTop w:val="0"/>
      <w:marBottom w:val="0"/>
      <w:divBdr>
        <w:top w:val="none" w:sz="0" w:space="0" w:color="auto"/>
        <w:left w:val="none" w:sz="0" w:space="0" w:color="auto"/>
        <w:bottom w:val="none" w:sz="0" w:space="0" w:color="auto"/>
        <w:right w:val="none" w:sz="0" w:space="0" w:color="auto"/>
      </w:divBdr>
    </w:div>
    <w:div w:id="428089675">
      <w:marLeft w:val="0"/>
      <w:marRight w:val="0"/>
      <w:marTop w:val="0"/>
      <w:marBottom w:val="0"/>
      <w:divBdr>
        <w:top w:val="none" w:sz="0" w:space="0" w:color="auto"/>
        <w:left w:val="none" w:sz="0" w:space="0" w:color="auto"/>
        <w:bottom w:val="none" w:sz="0" w:space="0" w:color="auto"/>
        <w:right w:val="none" w:sz="0" w:space="0" w:color="auto"/>
      </w:divBdr>
    </w:div>
    <w:div w:id="428089676">
      <w:marLeft w:val="0"/>
      <w:marRight w:val="0"/>
      <w:marTop w:val="0"/>
      <w:marBottom w:val="0"/>
      <w:divBdr>
        <w:top w:val="none" w:sz="0" w:space="0" w:color="auto"/>
        <w:left w:val="none" w:sz="0" w:space="0" w:color="auto"/>
        <w:bottom w:val="none" w:sz="0" w:space="0" w:color="auto"/>
        <w:right w:val="none" w:sz="0" w:space="0" w:color="auto"/>
      </w:divBdr>
    </w:div>
    <w:div w:id="428089677">
      <w:marLeft w:val="0"/>
      <w:marRight w:val="0"/>
      <w:marTop w:val="0"/>
      <w:marBottom w:val="0"/>
      <w:divBdr>
        <w:top w:val="none" w:sz="0" w:space="0" w:color="auto"/>
        <w:left w:val="none" w:sz="0" w:space="0" w:color="auto"/>
        <w:bottom w:val="none" w:sz="0" w:space="0" w:color="auto"/>
        <w:right w:val="none" w:sz="0" w:space="0" w:color="auto"/>
      </w:divBdr>
    </w:div>
    <w:div w:id="566722040">
      <w:bodyDiv w:val="1"/>
      <w:marLeft w:val="0"/>
      <w:marRight w:val="0"/>
      <w:marTop w:val="0"/>
      <w:marBottom w:val="0"/>
      <w:divBdr>
        <w:top w:val="none" w:sz="0" w:space="0" w:color="auto"/>
        <w:left w:val="none" w:sz="0" w:space="0" w:color="auto"/>
        <w:bottom w:val="none" w:sz="0" w:space="0" w:color="auto"/>
        <w:right w:val="none" w:sz="0" w:space="0" w:color="auto"/>
      </w:divBdr>
    </w:div>
    <w:div w:id="650059952">
      <w:bodyDiv w:val="1"/>
      <w:marLeft w:val="0"/>
      <w:marRight w:val="0"/>
      <w:marTop w:val="0"/>
      <w:marBottom w:val="0"/>
      <w:divBdr>
        <w:top w:val="none" w:sz="0" w:space="0" w:color="auto"/>
        <w:left w:val="none" w:sz="0" w:space="0" w:color="auto"/>
        <w:bottom w:val="none" w:sz="0" w:space="0" w:color="auto"/>
        <w:right w:val="none" w:sz="0" w:space="0" w:color="auto"/>
      </w:divBdr>
    </w:div>
    <w:div w:id="1060977621">
      <w:bodyDiv w:val="1"/>
      <w:marLeft w:val="0"/>
      <w:marRight w:val="0"/>
      <w:marTop w:val="0"/>
      <w:marBottom w:val="0"/>
      <w:divBdr>
        <w:top w:val="none" w:sz="0" w:space="0" w:color="auto"/>
        <w:left w:val="none" w:sz="0" w:space="0" w:color="auto"/>
        <w:bottom w:val="none" w:sz="0" w:space="0" w:color="auto"/>
        <w:right w:val="none" w:sz="0" w:space="0" w:color="auto"/>
      </w:divBdr>
    </w:div>
    <w:div w:id="1657371541">
      <w:bodyDiv w:val="1"/>
      <w:marLeft w:val="0"/>
      <w:marRight w:val="0"/>
      <w:marTop w:val="0"/>
      <w:marBottom w:val="0"/>
      <w:divBdr>
        <w:top w:val="none" w:sz="0" w:space="0" w:color="auto"/>
        <w:left w:val="none" w:sz="0" w:space="0" w:color="auto"/>
        <w:bottom w:val="none" w:sz="0" w:space="0" w:color="auto"/>
        <w:right w:val="none" w:sz="0" w:space="0" w:color="auto"/>
      </w:divBdr>
    </w:div>
    <w:div w:id="1938128023">
      <w:bodyDiv w:val="1"/>
      <w:marLeft w:val="0"/>
      <w:marRight w:val="0"/>
      <w:marTop w:val="0"/>
      <w:marBottom w:val="0"/>
      <w:divBdr>
        <w:top w:val="none" w:sz="0" w:space="0" w:color="auto"/>
        <w:left w:val="none" w:sz="0" w:space="0" w:color="auto"/>
        <w:bottom w:val="none" w:sz="0" w:space="0" w:color="auto"/>
        <w:right w:val="none" w:sz="0" w:space="0" w:color="auto"/>
      </w:divBdr>
    </w:div>
    <w:div w:id="19853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nerals.usgs.gov/minerals/pubs/mcs/2012/mcs2012.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minerals.usgs.gov/minerals/pubs/mcs/2011/mcs201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inerals.usgs.gov/minerals/pubs/mcs/2012/mcs201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minerals.usgs.gov/minerals/pubs/mcs/2011/mcs2011.pdf"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C63A-8229-4EE3-A765-56BF22CC970D}">
  <ds:schemaRefs>
    <ds:schemaRef ds:uri="http://schemas.openxmlformats.org/officeDocument/2006/bibliography"/>
  </ds:schemaRefs>
</ds:datastoreItem>
</file>

<file path=customXml/itemProps2.xml><?xml version="1.0" encoding="utf-8"?>
<ds:datastoreItem xmlns:ds="http://schemas.openxmlformats.org/officeDocument/2006/customXml" ds:itemID="{F721E965-AFFF-4F32-A1DA-AD626A4E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11818</Words>
  <Characters>67369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79029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Showalter, Rachel - OSHA</cp:lastModifiedBy>
  <cp:revision>4</cp:revision>
  <cp:lastPrinted>2012-09-13T19:58:00Z</cp:lastPrinted>
  <dcterms:created xsi:type="dcterms:W3CDTF">2012-10-04T19:02:00Z</dcterms:created>
  <dcterms:modified xsi:type="dcterms:W3CDTF">2012-10-10T13:47:00Z</dcterms:modified>
</cp:coreProperties>
</file>