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Default="00386054" w:rsidP="00B578F4">
      <w:pPr>
        <w:pStyle w:val="Title"/>
      </w:pPr>
      <w:r w:rsidRPr="00B578F4">
        <w:t>FOR PAPERWORK REDUCTION ACT SUBMISSION</w:t>
      </w:r>
    </w:p>
    <w:p w:rsidR="00BF408A" w:rsidRPr="00BF408A" w:rsidRDefault="00BF408A" w:rsidP="00BF408A">
      <w:pPr>
        <w:jc w:val="center"/>
        <w:rPr>
          <w:b/>
          <w:sz w:val="32"/>
          <w:szCs w:val="32"/>
        </w:rPr>
      </w:pPr>
      <w:r w:rsidRPr="00BF408A">
        <w:rPr>
          <w:b/>
          <w:sz w:val="32"/>
          <w:szCs w:val="32"/>
        </w:rPr>
        <w:t>ESEA Flexibility Data Collection through ED</w:t>
      </w:r>
      <w:r w:rsidRPr="00BF408A">
        <w:rPr>
          <w:b/>
          <w:i/>
          <w:sz w:val="32"/>
          <w:szCs w:val="32"/>
        </w:rPr>
        <w:t>Facts</w:t>
      </w:r>
    </w:p>
    <w:p w:rsidR="00572E25" w:rsidRDefault="00016E14">
      <w:pPr>
        <w:jc w:val="center"/>
        <w:rPr>
          <w:rFonts w:ascii="Courier" w:hAnsi="Courier"/>
        </w:rPr>
      </w:pPr>
      <w:r w:rsidRPr="00016E14">
        <w:rPr>
          <w:rFonts w:ascii="Courier" w:hAnsi="Courier"/>
        </w:rPr>
        <w:t>EDICS Tracking and OMB Number: (XXXX) XXXX-XXXX</w:t>
      </w:r>
    </w:p>
    <w:p w:rsidR="00572E25" w:rsidRDefault="00016E14">
      <w:pPr>
        <w:jc w:val="center"/>
        <w:rPr>
          <w:rFonts w:ascii="Courier" w:hAnsi="Courier"/>
        </w:rPr>
      </w:pPr>
      <w:r w:rsidRPr="00016E14">
        <w:rPr>
          <w:rFonts w:ascii="Courier" w:hAnsi="Courier"/>
        </w:rPr>
        <w:t>Revised XX/XX/XXXX</w:t>
      </w:r>
    </w:p>
    <w:p w:rsidR="00572E25" w:rsidRDefault="00016E14">
      <w:pPr>
        <w:jc w:val="center"/>
        <w:rPr>
          <w:rFonts w:ascii="Courier" w:hAnsi="Courier"/>
        </w:rPr>
      </w:pPr>
      <w:r w:rsidRPr="00016E14">
        <w:rPr>
          <w:rFonts w:ascii="Courier" w:hAnsi="Courier"/>
        </w:rPr>
        <w:t>RIN Number: XXXX-XXXX (if applicable)</w:t>
      </w:r>
    </w:p>
    <w:p w:rsidR="00BF408A" w:rsidRDefault="00BF408A" w:rsidP="00BF408A">
      <w:pPr>
        <w:rPr>
          <w:rFonts w:ascii="Courier" w:hAnsi="Courier"/>
        </w:rPr>
      </w:pPr>
    </w:p>
    <w:p w:rsidR="0069137A" w:rsidRPr="0069137A" w:rsidRDefault="0069137A" w:rsidP="0069137A">
      <w:pPr>
        <w:pStyle w:val="Heading1"/>
        <w:rPr>
          <w:rFonts w:cs="Times New Roman"/>
          <w:sz w:val="24"/>
          <w:szCs w:val="24"/>
        </w:rPr>
      </w:pPr>
      <w:r w:rsidRPr="0069137A">
        <w:rPr>
          <w:rFonts w:cs="Times New Roman"/>
          <w:sz w:val="24"/>
          <w:szCs w:val="24"/>
        </w:rPr>
        <w:t xml:space="preserve">A. Justification </w:t>
      </w:r>
    </w:p>
    <w:p w:rsidR="0069137A" w:rsidRPr="0069137A" w:rsidRDefault="0069137A" w:rsidP="0069137A">
      <w:pPr>
        <w:pStyle w:val="ListParagraph"/>
        <w:numPr>
          <w:ilvl w:val="0"/>
          <w:numId w:val="20"/>
        </w:numPr>
        <w:jc w:val="both"/>
        <w:rPr>
          <w:b/>
        </w:rPr>
      </w:pPr>
      <w:r w:rsidRPr="0069137A">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BF408A" w:rsidRPr="00CA61F5" w:rsidRDefault="00BF408A" w:rsidP="0069137A">
      <w:pPr>
        <w:ind w:left="720"/>
        <w:jc w:val="both"/>
      </w:pPr>
      <w:r w:rsidRPr="00CA61F5">
        <w:t xml:space="preserve">On September 23, 2011, the U.S. Department of Education (ED) invited each State educational agency (SEA) to request flexibility on behalf of itself, its local educational agencies, and schools, in order to better focus on improving student learning and increasing the quality of instruction. This voluntary opportunity provided educators and State and local leaders with flexibility regarding specific requirements of the No Child Left Behind Act of 2001 (NCLB) in exchange for rigorous and comprehensive State-developed plans designed to improve educational outcomes for all students, close achievement gaps, increase equity, and improve the quality of instruction.  Since NCLB was enacted over a decade ago, </w:t>
      </w:r>
      <w:r w:rsidR="00444BDD">
        <w:t>SEAs</w:t>
      </w:r>
      <w:r w:rsidR="00444BDD" w:rsidRPr="00CA61F5">
        <w:t xml:space="preserve"> </w:t>
      </w:r>
      <w:r w:rsidRPr="00CA61F5">
        <w:t xml:space="preserve">and school districts have initiated education reforms and innovations to support improvements in instruction and student achievement, including the adoption of a common set of State-developed college- and career-ready standards in 44 States and the District of Columbia; the development of next-generation accountability and support systems in more than 40 States; and the planning and implementation of reforms in teacher and principal evaluation and support in many </w:t>
      </w:r>
      <w:r w:rsidR="00F1786A" w:rsidRPr="00CA61F5">
        <w:t>S</w:t>
      </w:r>
      <w:r w:rsidRPr="00CA61F5">
        <w:t xml:space="preserve">tates. Many of the NCLB requirements have unintentionally become barriers to State and local implementation of some of these reform efforts.  The offer for flexibility provides States with the opportunity to focus resources on State reform efforts in improving instruction and student achievement without some of the constraints of NCLB.   </w:t>
      </w:r>
    </w:p>
    <w:p w:rsidR="00741303" w:rsidRPr="00CA61F5" w:rsidRDefault="00BF408A" w:rsidP="00EA4429">
      <w:pPr>
        <w:ind w:left="720"/>
        <w:jc w:val="both"/>
      </w:pPr>
      <w:r w:rsidRPr="00CA61F5">
        <w:t xml:space="preserve">Since the opportunity for flexibility was announced, ED has approved 11 </w:t>
      </w:r>
      <w:r w:rsidR="004E6449">
        <w:t>SEA</w:t>
      </w:r>
      <w:r w:rsidRPr="00CA61F5">
        <w:t xml:space="preserve"> requests for flexibility, and is currently reviewing an additional 2</w:t>
      </w:r>
      <w:r w:rsidR="00F069F4" w:rsidRPr="00CA61F5">
        <w:t>7</w:t>
      </w:r>
      <w:r w:rsidRPr="00CA61F5">
        <w:t xml:space="preserve"> requests.  ED expects to receive requests from additional </w:t>
      </w:r>
      <w:r w:rsidR="004E6449">
        <w:t>SEAs</w:t>
      </w:r>
      <w:r w:rsidRPr="00CA61F5">
        <w:t xml:space="preserve"> by September</w:t>
      </w:r>
      <w:r w:rsidR="00EA4429" w:rsidRPr="00CA61F5">
        <w:t xml:space="preserve"> 6, </w:t>
      </w:r>
      <w:r w:rsidRPr="00CA61F5">
        <w:t xml:space="preserve">2012.  </w:t>
      </w:r>
      <w:r w:rsidR="004E6449">
        <w:t>SEA</w:t>
      </w:r>
      <w:r w:rsidRPr="00CA61F5">
        <w:t xml:space="preserve">s are </w:t>
      </w:r>
      <w:r w:rsidR="00F1786A" w:rsidRPr="00CA61F5">
        <w:t xml:space="preserve">invited </w:t>
      </w:r>
      <w:r w:rsidRPr="00CA61F5">
        <w:t xml:space="preserve">to request flexibility pursuant to the authority in section 9401 of the Elementary and Secondary Education Act of 1965 (ESEA), which allows the Secretary of Education  to waive, with certain exceptions, any statutory or regulatory requirement of the ESEA for </w:t>
      </w:r>
      <w:r w:rsidRPr="00CA61F5">
        <w:lastRenderedPageBreak/>
        <w:t xml:space="preserve">an SEA that receives funds under a program authorized by the ESEA and requests a waiver.  The waivers are effective through the 2013−2014 school year, after which time an SEA may request an extension of the flexibility.  </w:t>
      </w:r>
    </w:p>
    <w:p w:rsidR="00BF408A" w:rsidRPr="00CA61F5" w:rsidRDefault="00BF408A" w:rsidP="00BF408A">
      <w:pPr>
        <w:ind w:left="720"/>
        <w:jc w:val="both"/>
      </w:pPr>
      <w:r w:rsidRPr="00CA61F5">
        <w:t xml:space="preserve">In order to ensure that </w:t>
      </w:r>
      <w:r w:rsidR="004E6449">
        <w:t>SEA</w:t>
      </w:r>
      <w:r w:rsidRPr="00CA61F5">
        <w:t xml:space="preserve">s </w:t>
      </w:r>
      <w:r w:rsidR="00993DA0" w:rsidRPr="00CA61F5">
        <w:t xml:space="preserve">receiving </w:t>
      </w:r>
      <w:r w:rsidR="007E3CF5">
        <w:t xml:space="preserve">ESEA </w:t>
      </w:r>
      <w:r w:rsidR="00993DA0" w:rsidRPr="00CA61F5">
        <w:t xml:space="preserve">flexibility </w:t>
      </w:r>
      <w:r w:rsidRPr="00CA61F5">
        <w:t xml:space="preserve">are </w:t>
      </w:r>
      <w:r w:rsidR="00993DA0" w:rsidRPr="00CA61F5">
        <w:t xml:space="preserve">continuing to meet the </w:t>
      </w:r>
      <w:r w:rsidR="007E3CF5">
        <w:t xml:space="preserve">intent and purpose of Title I of ESEA, including meeting the educational needs of low-achieving students, closing achievement gaps, and holding schools, LEAs, and </w:t>
      </w:r>
      <w:r w:rsidR="00444BDD">
        <w:t xml:space="preserve">SEAs </w:t>
      </w:r>
      <w:r w:rsidR="007E3CF5">
        <w:t xml:space="preserve">accountable for improving the academic achievement of all students, </w:t>
      </w:r>
      <w:r w:rsidR="00993DA0" w:rsidRPr="00CA61F5">
        <w:t xml:space="preserve">ED will continue to collect all data related to student </w:t>
      </w:r>
      <w:r w:rsidR="007E3CF5">
        <w:t>proficiency rates as well as performance against the annual measurable objectives (AMOs).</w:t>
      </w:r>
      <w:r w:rsidR="00993DA0" w:rsidRPr="00CA61F5">
        <w:t xml:space="preserve">  In addition, in order to provide transparency around </w:t>
      </w:r>
      <w:r w:rsidR="00444BDD">
        <w:t xml:space="preserve">SEA </w:t>
      </w:r>
      <w:r w:rsidR="00993DA0" w:rsidRPr="00CA61F5">
        <w:t xml:space="preserve">implementation of new reforms and accountability measures, as well as </w:t>
      </w:r>
      <w:r w:rsidR="007E3CF5">
        <w:t xml:space="preserve">to increase our understanding of the impact </w:t>
      </w:r>
      <w:r w:rsidR="00993DA0" w:rsidRPr="00CA61F5">
        <w:t xml:space="preserve">of selected interventions employed by the </w:t>
      </w:r>
      <w:r w:rsidR="00444BDD">
        <w:t>SEAs</w:t>
      </w:r>
      <w:r w:rsidR="00993DA0" w:rsidRPr="00CA61F5">
        <w:t xml:space="preserve">, ED </w:t>
      </w:r>
      <w:r w:rsidR="00766FBC" w:rsidRPr="00CA61F5">
        <w:t>seeks approval</w:t>
      </w:r>
      <w:r w:rsidR="007E3CF5">
        <w:t xml:space="preserve"> from the Office of Management and Budget (OMB)</w:t>
      </w:r>
      <w:r w:rsidR="00766FBC" w:rsidRPr="00CA61F5">
        <w:t xml:space="preserve"> under the </w:t>
      </w:r>
      <w:r w:rsidR="00EA4429" w:rsidRPr="00CA61F5">
        <w:rPr>
          <w:i/>
        </w:rPr>
        <w:t>Paperwork Reduction Act</w:t>
      </w:r>
      <w:r w:rsidR="00EA4429" w:rsidRPr="00CA61F5">
        <w:t xml:space="preserve"> of 1995 (PRA)</w:t>
      </w:r>
      <w:r w:rsidR="00766FBC" w:rsidRPr="00CA61F5">
        <w:t xml:space="preserve"> to </w:t>
      </w:r>
      <w:r w:rsidR="00993DA0" w:rsidRPr="00CA61F5">
        <w:t>collect the data outlined</w:t>
      </w:r>
      <w:r w:rsidR="00766FBC" w:rsidRPr="00CA61F5">
        <w:t xml:space="preserve"> in Attachment B</w:t>
      </w:r>
      <w:r w:rsidR="003B4A98" w:rsidRPr="00CA61F5">
        <w:t xml:space="preserve"> for a period of three years</w:t>
      </w:r>
      <w:r w:rsidR="00766FBC" w:rsidRPr="00CA61F5">
        <w:t xml:space="preserve">.  This collection will be applicable to </w:t>
      </w:r>
      <w:r w:rsidR="004E6449">
        <w:t>SEAs</w:t>
      </w:r>
      <w:r w:rsidR="00766FBC" w:rsidRPr="00CA61F5">
        <w:t xml:space="preserve"> with approved flexibility </w:t>
      </w:r>
      <w:r w:rsidR="007E3CF5">
        <w:t>request</w:t>
      </w:r>
      <w:r w:rsidR="00766FBC" w:rsidRPr="00CA61F5">
        <w:t xml:space="preserve">s.  </w:t>
      </w:r>
    </w:p>
    <w:p w:rsidR="00766FBC" w:rsidRPr="00CA61F5" w:rsidRDefault="003B4A98" w:rsidP="00766FBC">
      <w:pPr>
        <w:ind w:left="720"/>
        <w:jc w:val="both"/>
      </w:pPr>
      <w:r w:rsidRPr="00CA61F5">
        <w:t xml:space="preserve">In order to reduce burden on </w:t>
      </w:r>
      <w:r w:rsidR="004E6449">
        <w:t>SEAs</w:t>
      </w:r>
      <w:r w:rsidRPr="00CA61F5">
        <w:t xml:space="preserve"> and maximize the availability and </w:t>
      </w:r>
      <w:r w:rsidR="00EA4429">
        <w:t>utility</w:t>
      </w:r>
      <w:r w:rsidR="00EA4429" w:rsidRPr="00CA61F5">
        <w:t xml:space="preserve"> </w:t>
      </w:r>
      <w:r w:rsidRPr="00CA61F5">
        <w:t>of the data, ED plans to collect these data through ED</w:t>
      </w:r>
      <w:r w:rsidRPr="00CA61F5">
        <w:rPr>
          <w:i/>
        </w:rPr>
        <w:t>Facts</w:t>
      </w:r>
      <w:r w:rsidRPr="00CA61F5">
        <w:t xml:space="preserve">.  </w:t>
      </w:r>
      <w:r w:rsidR="00766FBC" w:rsidRPr="00CA61F5">
        <w:t>ED</w:t>
      </w:r>
      <w:r w:rsidR="00766FBC" w:rsidRPr="00CA61F5">
        <w:rPr>
          <w:i/>
        </w:rPr>
        <w:t>Facts</w:t>
      </w:r>
      <w:r w:rsidR="00766FBC" w:rsidRPr="00CA61F5">
        <w:t xml:space="preserve"> is an ED initiative to put performance data at the center of </w:t>
      </w:r>
      <w:r w:rsidR="007E3CF5">
        <w:t>ED’s policy, management</w:t>
      </w:r>
      <w:r w:rsidR="0074419C">
        <w:t>,</w:t>
      </w:r>
      <w:r w:rsidR="00766FBC" w:rsidRPr="00CA61F5">
        <w:t xml:space="preserve"> and budget decision</w:t>
      </w:r>
      <w:r w:rsidR="0074419C">
        <w:t>-making processes</w:t>
      </w:r>
      <w:r w:rsidR="00766FBC" w:rsidRPr="00CA61F5">
        <w:t xml:space="preserve"> for all K-12 educational programs.  ED</w:t>
      </w:r>
      <w:r w:rsidR="00766FBC" w:rsidRPr="00CA61F5">
        <w:rPr>
          <w:i/>
        </w:rPr>
        <w:t xml:space="preserve">Facts </w:t>
      </w:r>
      <w:r w:rsidR="00766FBC" w:rsidRPr="00CA61F5">
        <w:t xml:space="preserve">provides an electronic submission system for </w:t>
      </w:r>
      <w:r w:rsidR="004E6449">
        <w:t>SEAs</w:t>
      </w:r>
      <w:r w:rsidR="00766FBC" w:rsidRPr="00CA61F5">
        <w:t xml:space="preserve">, and centralizes the availability of the performance data supplied by </w:t>
      </w:r>
      <w:r w:rsidR="004E6449">
        <w:t>SEAs</w:t>
      </w:r>
      <w:r w:rsidR="00766FBC" w:rsidRPr="00CA61F5">
        <w:t xml:space="preserve"> to enable better analysis and use in policy development, planning</w:t>
      </w:r>
      <w:r w:rsidR="00F069F4" w:rsidRPr="00CA61F5">
        <w:t>,</w:t>
      </w:r>
      <w:r w:rsidR="00766FBC" w:rsidRPr="00CA61F5">
        <w:t xml:space="preserve"> and management. </w:t>
      </w:r>
    </w:p>
    <w:p w:rsidR="007E3CF5" w:rsidRDefault="003B4A98" w:rsidP="00766FBC">
      <w:pPr>
        <w:ind w:left="720"/>
        <w:jc w:val="both"/>
      </w:pPr>
      <w:r w:rsidRPr="00CA61F5">
        <w:t>The requirement to submit through ED</w:t>
      </w:r>
      <w:r w:rsidRPr="00CA61F5">
        <w:rPr>
          <w:i/>
        </w:rPr>
        <w:t>Facts</w:t>
      </w:r>
      <w:r w:rsidRPr="00CA61F5">
        <w:t xml:space="preserve"> is in line with Final Regulations amending 34 C</w:t>
      </w:r>
      <w:r w:rsidR="007E3CF5">
        <w:t>.</w:t>
      </w:r>
      <w:r w:rsidRPr="00CA61F5">
        <w:t>F</w:t>
      </w:r>
      <w:r w:rsidR="007E3CF5">
        <w:t>.</w:t>
      </w:r>
      <w:r w:rsidRPr="00CA61F5">
        <w:t>R</w:t>
      </w:r>
      <w:r w:rsidR="007E3CF5">
        <w:t>. P</w:t>
      </w:r>
      <w:r w:rsidRPr="00CA61F5">
        <w:t xml:space="preserve">art 76 and published in the </w:t>
      </w:r>
      <w:r w:rsidRPr="00CA61F5">
        <w:rPr>
          <w:i/>
        </w:rPr>
        <w:t>Federal Register</w:t>
      </w:r>
      <w:r w:rsidRPr="00CA61F5">
        <w:t xml:space="preserve"> on January 25, 2007, in which the Secretary required that States submit their performance reports, financial reports, and any other required reports, in the manner prescribed by the Secretary, including through electronic submission, if the Secretary has obtained approval from </w:t>
      </w:r>
      <w:r w:rsidR="007E3CF5">
        <w:t xml:space="preserve">OMB under the PRA. </w:t>
      </w:r>
    </w:p>
    <w:p w:rsidR="007E3CF5" w:rsidRDefault="003B4A98" w:rsidP="00766FBC">
      <w:pPr>
        <w:ind w:left="720"/>
        <w:jc w:val="both"/>
      </w:pPr>
      <w:r w:rsidRPr="00CA61F5">
        <w:t xml:space="preserve">The data outlined in Attachment B are related to </w:t>
      </w:r>
      <w:r w:rsidR="007E3CF5">
        <w:t>(1)</w:t>
      </w:r>
      <w:r w:rsidR="0082014F">
        <w:t xml:space="preserve"> schools identified for interventions, support</w:t>
      </w:r>
      <w:r w:rsidR="0074419C">
        <w:t>,</w:t>
      </w:r>
      <w:r w:rsidR="0082014F">
        <w:t xml:space="preserve"> and incentives, including which schools are identified as priority, focus and reward schools; (2) how LEAs</w:t>
      </w:r>
      <w:r w:rsidR="007E3CF5">
        <w:t xml:space="preserve"> in </w:t>
      </w:r>
      <w:r w:rsidR="0074419C">
        <w:t xml:space="preserve">the </w:t>
      </w:r>
      <w:r w:rsidR="004E6449">
        <w:t>SEAs</w:t>
      </w:r>
      <w:r w:rsidR="007E3CF5">
        <w:t xml:space="preserve"> approved for </w:t>
      </w:r>
      <w:r w:rsidR="0074419C">
        <w:t xml:space="preserve">ESEA </w:t>
      </w:r>
      <w:r w:rsidR="007E3CF5">
        <w:t xml:space="preserve">flexibility use funds that are currently required to be spent on transportation for public school choice and supplemental education services; (3) the types of interventions employed in priority and focus schools; and (4) the identification of new subgroups of students for purposes of measuring academic achievement and targeting interventions, incentives, and supports. </w:t>
      </w:r>
    </w:p>
    <w:p w:rsidR="00700F87" w:rsidRDefault="0082014F" w:rsidP="00766FBC">
      <w:pPr>
        <w:ind w:left="720"/>
        <w:jc w:val="both"/>
      </w:pPr>
      <w:r>
        <w:t>Under ESEA flexibility, a</w:t>
      </w:r>
      <w:r w:rsidR="004E6449">
        <w:t>n</w:t>
      </w:r>
      <w:r>
        <w:t xml:space="preserve"> </w:t>
      </w:r>
      <w:r w:rsidR="004E6449">
        <w:t>SEA</w:t>
      </w:r>
      <w:r>
        <w:t xml:space="preserve"> is no longer required to identify or report on schools or districts according to designated school improvement statuses, and some </w:t>
      </w:r>
      <w:r w:rsidR="004E6449">
        <w:t>SEAs</w:t>
      </w:r>
      <w:r>
        <w:t xml:space="preserve"> have also received a waiver of the requirement to make and report adequate yearly progress (AYP)</w:t>
      </w:r>
      <w:r w:rsidR="0074419C">
        <w:t xml:space="preserve"> determinations</w:t>
      </w:r>
      <w:r>
        <w:t xml:space="preserve">.  However, as mentioned above, </w:t>
      </w:r>
      <w:r w:rsidR="004E6449">
        <w:t>SEAs</w:t>
      </w:r>
      <w:r>
        <w:t xml:space="preserve"> will be required to continue to report actual student proficiency rates by subgroups, as well as student performance against the </w:t>
      </w:r>
      <w:r w:rsidR="004E6449">
        <w:t>SEA’s</w:t>
      </w:r>
      <w:r>
        <w:t xml:space="preserve"> AMOs. </w:t>
      </w:r>
    </w:p>
    <w:p w:rsidR="00657B63" w:rsidRDefault="00657B63" w:rsidP="00766FBC">
      <w:pPr>
        <w:ind w:left="720"/>
        <w:jc w:val="both"/>
      </w:pPr>
      <w:r>
        <w:t>ED is requesting a new OMB control number for this new flexibility collection.  Once SEAs complete this first submission, this collection will be transferred to the ED</w:t>
      </w:r>
      <w:r w:rsidRPr="00657B63">
        <w:rPr>
          <w:i/>
        </w:rPr>
        <w:t>Facts</w:t>
      </w:r>
      <w:r>
        <w:t xml:space="preserve"> collection under 1875-0240.  These data need to be approved prior to submission of the ED</w:t>
      </w:r>
      <w:r w:rsidRPr="00657B63">
        <w:rPr>
          <w:i/>
        </w:rPr>
        <w:t>Facts</w:t>
      </w:r>
      <w:r>
        <w:t xml:space="preserve"> collection, 1875-0240, which will be submitted to OMB in the fall. </w:t>
      </w:r>
    </w:p>
    <w:p w:rsidR="00EA4429" w:rsidRPr="00CA61F5" w:rsidRDefault="00EA4429" w:rsidP="00766FBC">
      <w:pPr>
        <w:ind w:left="720"/>
        <w:jc w:val="both"/>
      </w:pPr>
    </w:p>
    <w:p w:rsidR="00B83FB3" w:rsidRDefault="00386054" w:rsidP="00B578F4">
      <w:pPr>
        <w:pStyle w:val="ListParagraph"/>
        <w:numPr>
          <w:ilvl w:val="0"/>
          <w:numId w:val="20"/>
        </w:numPr>
      </w:pPr>
      <w:r w:rsidRPr="00741303">
        <w:rPr>
          <w:b/>
        </w:rPr>
        <w:t>Indicate how, by whom, and for what purpose the information is to be used.  Except for a new collection, indicate the actual use the agency has made of the information received from the current collection</w:t>
      </w:r>
      <w:r w:rsidRPr="00431228">
        <w:t>.</w:t>
      </w:r>
    </w:p>
    <w:p w:rsidR="00741303" w:rsidRDefault="00741303" w:rsidP="00741303">
      <w:pPr>
        <w:ind w:left="720"/>
        <w:jc w:val="both"/>
      </w:pPr>
      <w:r>
        <w:t xml:space="preserve">The primary customers for these education data will be the program managers and policy analysts at ED.  These data will be used to evaluate in an integrated way the effectiveness and efficiency of </w:t>
      </w:r>
      <w:r w:rsidR="00DF42F8">
        <w:t>f</w:t>
      </w:r>
      <w:r>
        <w:t xml:space="preserve">ederal education programs, with the intent to improve program management and focus our budget on those </w:t>
      </w:r>
      <w:r w:rsidR="00DF42F8">
        <w:t>f</w:t>
      </w:r>
      <w:r>
        <w:t>ederal education programs that provide the best education</w:t>
      </w:r>
      <w:r w:rsidR="00F069F4">
        <w:t>al</w:t>
      </w:r>
      <w:r>
        <w:t xml:space="preserve"> outcomes for the nation’s students and their families. These data may also be used to respond to potential requests from </w:t>
      </w:r>
      <w:r w:rsidR="004E6449">
        <w:t>SEAs</w:t>
      </w:r>
      <w:r>
        <w:t xml:space="preserve"> for extensions of </w:t>
      </w:r>
      <w:r w:rsidR="00DF42F8">
        <w:t xml:space="preserve">the waivers granted through ESEA </w:t>
      </w:r>
      <w:r>
        <w:t xml:space="preserve">flexibility.  </w:t>
      </w:r>
      <w:r w:rsidR="004E6449">
        <w:t>SEAs</w:t>
      </w:r>
      <w:r>
        <w:t xml:space="preserve"> and </w:t>
      </w:r>
      <w:r w:rsidR="00F1786A">
        <w:t xml:space="preserve">LEAs </w:t>
      </w:r>
      <w:r w:rsidR="00EA4429">
        <w:t xml:space="preserve">need these data to implement their approved flexibility plans and </w:t>
      </w:r>
      <w:r>
        <w:t>will also be able to use this information in evaluating the</w:t>
      </w:r>
      <w:r w:rsidR="00DF42F8">
        <w:t xml:space="preserve"> academic performance and progress of their students. </w:t>
      </w:r>
    </w:p>
    <w:p w:rsidR="00741303" w:rsidRPr="00741303" w:rsidRDefault="00741303" w:rsidP="00741303">
      <w:pPr>
        <w:rPr>
          <w:b/>
        </w:rPr>
      </w:pPr>
    </w:p>
    <w:p w:rsidR="00B83FB3" w:rsidRDefault="00386054" w:rsidP="00B578F4">
      <w:pPr>
        <w:pStyle w:val="ListParagraph"/>
        <w:numPr>
          <w:ilvl w:val="0"/>
          <w:numId w:val="20"/>
        </w:numPr>
        <w:rPr>
          <w:b/>
        </w:rPr>
      </w:pPr>
      <w:r w:rsidRPr="00741303">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741303" w:rsidRDefault="004E6449" w:rsidP="00741303">
      <w:pPr>
        <w:ind w:left="720"/>
        <w:jc w:val="both"/>
      </w:pPr>
      <w:r>
        <w:t>SEAs</w:t>
      </w:r>
      <w:r w:rsidR="00A30133">
        <w:t xml:space="preserve"> will submit the data electronically through the ED</w:t>
      </w:r>
      <w:r w:rsidR="00A30133" w:rsidRPr="00A30133">
        <w:rPr>
          <w:i/>
        </w:rPr>
        <w:t>Facts</w:t>
      </w:r>
      <w:r w:rsidR="00A30133">
        <w:t xml:space="preserve"> System, which is an established submission system that </w:t>
      </w:r>
      <w:r>
        <w:t>SEAs</w:t>
      </w:r>
      <w:r w:rsidR="00A30133">
        <w:t xml:space="preserve"> have been using for several years. </w:t>
      </w:r>
      <w:r w:rsidR="00741303">
        <w:t>The ED</w:t>
      </w:r>
      <w:r w:rsidR="00741303" w:rsidRPr="00741303">
        <w:rPr>
          <w:i/>
          <w:iCs/>
        </w:rPr>
        <w:t xml:space="preserve">Facts </w:t>
      </w:r>
      <w:r w:rsidR="00741303">
        <w:t>System allows each SEA to provide the ED</w:t>
      </w:r>
      <w:r w:rsidR="00741303" w:rsidRPr="00741303">
        <w:rPr>
          <w:i/>
          <w:iCs/>
        </w:rPr>
        <w:t xml:space="preserve">Facts </w:t>
      </w:r>
      <w:r w:rsidR="00741303">
        <w:t xml:space="preserve">data in the most automated, electronic format that the technology of that specific </w:t>
      </w:r>
      <w:r w:rsidR="00DF42F8">
        <w:t>SEA</w:t>
      </w:r>
      <w:r w:rsidR="00741303">
        <w:t xml:space="preserve"> can currently support.  Provisions were made to receive data in multiple formats to ensure the least possible burden on each of the </w:t>
      </w:r>
      <w:r w:rsidR="00DF42F8">
        <w:t>respondent</w:t>
      </w:r>
      <w:r w:rsidR="00741303">
        <w:t xml:space="preserve">s.  </w:t>
      </w:r>
    </w:p>
    <w:p w:rsidR="00741303" w:rsidRPr="00741303" w:rsidRDefault="00741303" w:rsidP="00741303">
      <w:pPr>
        <w:ind w:left="720"/>
      </w:pPr>
    </w:p>
    <w:p w:rsidR="00B83FB3" w:rsidRPr="00741303" w:rsidRDefault="00386054" w:rsidP="00B578F4">
      <w:pPr>
        <w:pStyle w:val="ListParagraph"/>
        <w:numPr>
          <w:ilvl w:val="0"/>
          <w:numId w:val="20"/>
        </w:numPr>
        <w:rPr>
          <w:b/>
        </w:rPr>
      </w:pPr>
      <w:r w:rsidRPr="00741303">
        <w:rPr>
          <w:b/>
        </w:rPr>
        <w:t>Describe ef</w:t>
      </w:r>
      <w:r w:rsidR="00B578F4" w:rsidRPr="00741303">
        <w:rPr>
          <w:b/>
        </w:rPr>
        <w:t xml:space="preserve">forts to identify duplication. </w:t>
      </w:r>
      <w:r w:rsidRPr="00741303">
        <w:rPr>
          <w:b/>
        </w:rPr>
        <w:t>Show specifically why any similar information already available cannot be used or modified for use for the purposes described in Item 2</w:t>
      </w:r>
      <w:r w:rsidR="000A2965" w:rsidRPr="00741303">
        <w:rPr>
          <w:b/>
        </w:rPr>
        <w:t xml:space="preserve"> </w:t>
      </w:r>
      <w:r w:rsidRPr="00741303">
        <w:rPr>
          <w:b/>
        </w:rPr>
        <w:t>above.</w:t>
      </w:r>
    </w:p>
    <w:p w:rsidR="00741303" w:rsidRDefault="00741303" w:rsidP="0069137A">
      <w:pPr>
        <w:ind w:left="720"/>
        <w:jc w:val="both"/>
      </w:pPr>
      <w:r>
        <w:t>A thorough analysis of the current ED</w:t>
      </w:r>
      <w:r w:rsidRPr="00741303">
        <w:rPr>
          <w:i/>
        </w:rPr>
        <w:t>Facts</w:t>
      </w:r>
      <w:r>
        <w:t xml:space="preserve"> collection, which previously consolidated potentially duplicative collection of data from various ED programs, indicates that these data are not currently collected nor can they be derived from any data currently collected.  </w:t>
      </w:r>
    </w:p>
    <w:p w:rsidR="0069137A" w:rsidRDefault="0069137A" w:rsidP="0069137A">
      <w:pPr>
        <w:jc w:val="both"/>
      </w:pPr>
    </w:p>
    <w:p w:rsidR="00B83FB3" w:rsidRDefault="00386054" w:rsidP="00B578F4">
      <w:pPr>
        <w:pStyle w:val="ListParagraph"/>
        <w:numPr>
          <w:ilvl w:val="0"/>
          <w:numId w:val="20"/>
        </w:numPr>
        <w:rPr>
          <w:b/>
        </w:rPr>
      </w:pPr>
      <w:r w:rsidRPr="0069137A">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69137A" w:rsidRDefault="0069137A" w:rsidP="0069137A">
      <w:pPr>
        <w:pStyle w:val="ListParagraph"/>
      </w:pPr>
      <w:r>
        <w:lastRenderedPageBreak/>
        <w:t>This collection will not impact small business</w:t>
      </w:r>
      <w:r w:rsidR="00F069F4">
        <w:t>es</w:t>
      </w:r>
      <w:r>
        <w:t xml:space="preserve"> or other small entities as defined above.</w:t>
      </w:r>
    </w:p>
    <w:p w:rsidR="0069137A" w:rsidRDefault="0069137A" w:rsidP="0069137A">
      <w:pPr>
        <w:pStyle w:val="ListParagraph"/>
      </w:pPr>
    </w:p>
    <w:p w:rsidR="00B83FB3" w:rsidRPr="0069137A" w:rsidRDefault="00386054" w:rsidP="00B578F4">
      <w:pPr>
        <w:pStyle w:val="ListParagraph"/>
        <w:numPr>
          <w:ilvl w:val="0"/>
          <w:numId w:val="20"/>
        </w:numPr>
        <w:rPr>
          <w:b/>
        </w:rPr>
      </w:pPr>
      <w:r w:rsidRPr="0069137A">
        <w:rPr>
          <w:b/>
        </w:rPr>
        <w:t>Describe the consequences to Federal program or policy activities if the collection is not conducted or is conducted less frequently, as well as any technical or legal obstacles to reducing burden.</w:t>
      </w:r>
    </w:p>
    <w:p w:rsidR="0069137A" w:rsidRDefault="0069137A" w:rsidP="00657B63">
      <w:pPr>
        <w:ind w:left="720"/>
        <w:jc w:val="both"/>
      </w:pPr>
      <w:r>
        <w:t xml:space="preserve">Education in this nation is on an annual cycle where success and failure are measured and reported annually.  If ED collected this information less frequently than annually, it would greatly diminish the ability of program managers and analysts to use the information to measure education progress in support of </w:t>
      </w:r>
      <w:r w:rsidR="00DF42F8">
        <w:t>f</w:t>
      </w:r>
      <w:r>
        <w:t xml:space="preserve">ederal legislation.  </w:t>
      </w:r>
    </w:p>
    <w:p w:rsidR="0069137A" w:rsidRDefault="0069137A" w:rsidP="0069137A">
      <w:pPr>
        <w:pStyle w:val="ListParagraph"/>
      </w:pPr>
    </w:p>
    <w:p w:rsidR="00386054" w:rsidRPr="0069137A" w:rsidRDefault="00386054" w:rsidP="00B578F4">
      <w:pPr>
        <w:pStyle w:val="ListParagraph"/>
        <w:numPr>
          <w:ilvl w:val="0"/>
          <w:numId w:val="20"/>
        </w:numPr>
        <w:rPr>
          <w:b/>
        </w:rPr>
      </w:pPr>
      <w:r w:rsidRPr="0069137A">
        <w:rPr>
          <w:b/>
        </w:rPr>
        <w:t>Explain any special circumstances that would cause an information collection to be conducted in a manner:</w:t>
      </w:r>
    </w:p>
    <w:p w:rsidR="00386054" w:rsidRPr="0069137A" w:rsidRDefault="00386054" w:rsidP="00B83FB3">
      <w:pPr>
        <w:pStyle w:val="ListParagraph"/>
        <w:numPr>
          <w:ilvl w:val="0"/>
          <w:numId w:val="21"/>
        </w:numPr>
        <w:rPr>
          <w:b/>
        </w:rPr>
      </w:pPr>
      <w:r w:rsidRPr="0069137A">
        <w:rPr>
          <w:b/>
        </w:rPr>
        <w:t>requiring respondents to report information to the agency more often than quarterly;</w:t>
      </w:r>
    </w:p>
    <w:p w:rsidR="00386054" w:rsidRPr="0069137A" w:rsidRDefault="00386054" w:rsidP="00B83FB3">
      <w:pPr>
        <w:pStyle w:val="ListParagraph"/>
        <w:numPr>
          <w:ilvl w:val="0"/>
          <w:numId w:val="21"/>
        </w:numPr>
        <w:rPr>
          <w:b/>
        </w:rPr>
      </w:pPr>
      <w:r w:rsidRPr="0069137A">
        <w:rPr>
          <w:b/>
        </w:rPr>
        <w:t>requiring respondents to prepare a written response to a collection of information in fewer than 30 days after receipt of it;</w:t>
      </w:r>
    </w:p>
    <w:p w:rsidR="00386054" w:rsidRPr="0069137A" w:rsidRDefault="00386054" w:rsidP="00B83FB3">
      <w:pPr>
        <w:pStyle w:val="ListParagraph"/>
        <w:numPr>
          <w:ilvl w:val="0"/>
          <w:numId w:val="21"/>
        </w:numPr>
        <w:rPr>
          <w:b/>
        </w:rPr>
      </w:pPr>
      <w:r w:rsidRPr="0069137A">
        <w:rPr>
          <w:b/>
        </w:rPr>
        <w:t>requiring respondents to submit more than an original and two copies of any document;</w:t>
      </w:r>
    </w:p>
    <w:p w:rsidR="00386054" w:rsidRPr="0069137A" w:rsidRDefault="00386054" w:rsidP="00B83FB3">
      <w:pPr>
        <w:pStyle w:val="ListParagraph"/>
        <w:numPr>
          <w:ilvl w:val="0"/>
          <w:numId w:val="21"/>
        </w:numPr>
        <w:rPr>
          <w:b/>
        </w:rPr>
      </w:pPr>
      <w:r w:rsidRPr="0069137A">
        <w:rPr>
          <w:b/>
        </w:rPr>
        <w:t>requiring respondents to retain records, other than health, medical, government contract, grant-in-aid, or tax records for more than three years;</w:t>
      </w:r>
    </w:p>
    <w:p w:rsidR="00386054" w:rsidRPr="0069137A" w:rsidRDefault="00386054" w:rsidP="00B83FB3">
      <w:pPr>
        <w:pStyle w:val="ListParagraph"/>
        <w:numPr>
          <w:ilvl w:val="0"/>
          <w:numId w:val="21"/>
        </w:numPr>
        <w:rPr>
          <w:b/>
        </w:rPr>
      </w:pPr>
      <w:r w:rsidRPr="0069137A">
        <w:rPr>
          <w:b/>
        </w:rPr>
        <w:t>in connection with a statistical survey, that is not designed to produce valid and reliable results than can be generalized to the universe of study;</w:t>
      </w:r>
    </w:p>
    <w:p w:rsidR="00386054" w:rsidRPr="0069137A" w:rsidRDefault="00386054" w:rsidP="00B83FB3">
      <w:pPr>
        <w:pStyle w:val="ListParagraph"/>
        <w:numPr>
          <w:ilvl w:val="0"/>
          <w:numId w:val="21"/>
        </w:numPr>
        <w:rPr>
          <w:b/>
        </w:rPr>
      </w:pPr>
      <w:r w:rsidRPr="0069137A">
        <w:rPr>
          <w:b/>
        </w:rPr>
        <w:t>requiring the use of a statistical data classification that has not been reviewed and approved by OMB;</w:t>
      </w:r>
    </w:p>
    <w:p w:rsidR="00386054" w:rsidRPr="0069137A" w:rsidRDefault="00386054" w:rsidP="00B83FB3">
      <w:pPr>
        <w:pStyle w:val="ListParagraph"/>
        <w:numPr>
          <w:ilvl w:val="0"/>
          <w:numId w:val="21"/>
        </w:numPr>
        <w:rPr>
          <w:b/>
        </w:rPr>
      </w:pPr>
      <w:r w:rsidRPr="0069137A">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69137A" w:rsidRDefault="00386054" w:rsidP="00B83FB3">
      <w:pPr>
        <w:pStyle w:val="ListParagraph"/>
        <w:numPr>
          <w:ilvl w:val="0"/>
          <w:numId w:val="21"/>
        </w:numPr>
        <w:rPr>
          <w:b/>
        </w:rPr>
      </w:pPr>
      <w:r w:rsidRPr="0069137A">
        <w:rPr>
          <w:b/>
        </w:rPr>
        <w:t>requiring respondents to submit proprietary trade secrets, or other confidential information unless the agency can demonstrate that it has instituted procedures to protect the information’s confidentiality to the extent permitted by law.</w:t>
      </w:r>
    </w:p>
    <w:p w:rsidR="0069137A" w:rsidRDefault="0069137A" w:rsidP="00657B63">
      <w:pPr>
        <w:tabs>
          <w:tab w:val="left" w:pos="-360"/>
          <w:tab w:val="left" w:pos="0"/>
          <w:tab w:val="left" w:pos="270"/>
          <w:tab w:val="left" w:pos="1440"/>
        </w:tabs>
        <w:ind w:left="720"/>
        <w:jc w:val="both"/>
      </w:pPr>
      <w:r>
        <w:t>This information collection activity does not have special circumstances that would include any of the requirements listed above.</w:t>
      </w:r>
    </w:p>
    <w:p w:rsidR="00EA4429" w:rsidRDefault="00EA4429" w:rsidP="0069137A">
      <w:pPr>
        <w:tabs>
          <w:tab w:val="left" w:pos="-360"/>
          <w:tab w:val="left" w:pos="0"/>
          <w:tab w:val="left" w:pos="270"/>
          <w:tab w:val="left" w:pos="1440"/>
        </w:tabs>
        <w:ind w:left="720"/>
      </w:pPr>
    </w:p>
    <w:p w:rsidR="00386054" w:rsidRPr="0069137A" w:rsidRDefault="001743A5" w:rsidP="00B83FB3">
      <w:pPr>
        <w:pStyle w:val="ListParagraph"/>
        <w:numPr>
          <w:ilvl w:val="0"/>
          <w:numId w:val="20"/>
        </w:numPr>
        <w:rPr>
          <w:b/>
        </w:rPr>
      </w:pPr>
      <w:r w:rsidRPr="0069137A">
        <w:rPr>
          <w:b/>
        </w:rPr>
        <w:t xml:space="preserve">As </w:t>
      </w:r>
      <w:r w:rsidR="00386054" w:rsidRPr="0069137A">
        <w:rPr>
          <w:b/>
        </w:rPr>
        <w:t xml:space="preserve">applicable, </w:t>
      </w:r>
      <w:r w:rsidRPr="0069137A">
        <w:rPr>
          <w:b/>
        </w:rPr>
        <w:t xml:space="preserve">state that the Department has published the 60 and 30 Federal Register notices as </w:t>
      </w:r>
      <w:r w:rsidR="00386054" w:rsidRPr="0069137A">
        <w:rPr>
          <w:b/>
        </w:rPr>
        <w:t xml:space="preserve">required by 5 CFR 1320.8(d), soliciting comments on the information collection prior to submission to OMB.  Summarize public comments received in response to that notice and describe actions taken by the agency in </w:t>
      </w:r>
      <w:r w:rsidR="00386054" w:rsidRPr="0069137A">
        <w:rPr>
          <w:b/>
        </w:rPr>
        <w:lastRenderedPageBreak/>
        <w:t>response to these comments.  Specifically address comments received on cost and hour burden.</w:t>
      </w:r>
    </w:p>
    <w:p w:rsidR="00386054" w:rsidRPr="0069137A" w:rsidRDefault="00386054" w:rsidP="00B578F4">
      <w:pPr>
        <w:pStyle w:val="ListParagraph"/>
        <w:rPr>
          <w:rStyle w:val="a"/>
          <w:b/>
        </w:rPr>
      </w:pPr>
      <w:r w:rsidRPr="0069137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69137A" w:rsidRDefault="00386054" w:rsidP="00B578F4">
      <w:pPr>
        <w:pStyle w:val="ListParagraph"/>
        <w:rPr>
          <w:b/>
        </w:rPr>
      </w:pPr>
      <w:r w:rsidRPr="0069137A">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152CB" w:rsidRDefault="00657B63" w:rsidP="00D152CB">
      <w:pPr>
        <w:ind w:left="720"/>
        <w:jc w:val="both"/>
      </w:pPr>
      <w:r>
        <w:t xml:space="preserve">A 60-day and 30-day comment period will be provided for this collection. </w:t>
      </w:r>
      <w:r w:rsidR="00D152CB">
        <w:t xml:space="preserve">The data included in Attachment B are based on the </w:t>
      </w:r>
      <w:r w:rsidR="00DF42F8">
        <w:t xml:space="preserve">ESEA </w:t>
      </w:r>
      <w:r w:rsidR="00D152CB">
        <w:t xml:space="preserve">flexibility requests received from </w:t>
      </w:r>
      <w:r w:rsidR="004E6449">
        <w:t>SEAs</w:t>
      </w:r>
      <w:r w:rsidR="00D152CB">
        <w:t xml:space="preserve">, in which they outlined their plans for holding schools and </w:t>
      </w:r>
      <w:r w:rsidR="00F1786A">
        <w:t xml:space="preserve">LEAs </w:t>
      </w:r>
      <w:r w:rsidR="00D152CB">
        <w:t xml:space="preserve">accountable for </w:t>
      </w:r>
      <w:r w:rsidR="00DF42F8">
        <w:t xml:space="preserve">the academic achievement of all students in a way that would be aligned to their new </w:t>
      </w:r>
      <w:r w:rsidR="00F1786A">
        <w:t>S</w:t>
      </w:r>
      <w:r w:rsidR="00D152CB">
        <w:t xml:space="preserve">tate accountability systems.  Decisions on which data to collect were based specifically on the information the </w:t>
      </w:r>
      <w:r w:rsidR="004E6449">
        <w:t>SEAs</w:t>
      </w:r>
      <w:r w:rsidR="00D152CB">
        <w:t xml:space="preserve"> provided in their </w:t>
      </w:r>
      <w:r w:rsidR="00DF42F8">
        <w:t xml:space="preserve">ESEA </w:t>
      </w:r>
      <w:r w:rsidR="00D152CB">
        <w:t xml:space="preserve">flexibility requests.  </w:t>
      </w:r>
      <w:r>
        <w:t xml:space="preserve">Each </w:t>
      </w:r>
      <w:r w:rsidR="00444BDD">
        <w:t>S</w:t>
      </w:r>
      <w:r>
        <w:t>EA</w:t>
      </w:r>
      <w:r w:rsidR="00D152CB">
        <w:t xml:space="preserve"> will</w:t>
      </w:r>
      <w:r>
        <w:t xml:space="preserve"> only </w:t>
      </w:r>
      <w:r w:rsidR="00D152CB">
        <w:t xml:space="preserve">be required to report the data that apply to </w:t>
      </w:r>
      <w:r>
        <w:t>its</w:t>
      </w:r>
      <w:r w:rsidR="00D152CB">
        <w:t xml:space="preserve"> specific flexibility request. </w:t>
      </w:r>
    </w:p>
    <w:p w:rsidR="00D152CB" w:rsidRDefault="00D152CB" w:rsidP="00D152CB">
      <w:pPr>
        <w:ind w:left="720"/>
        <w:rPr>
          <w:rStyle w:val="a"/>
          <w:b/>
        </w:rPr>
      </w:pPr>
    </w:p>
    <w:p w:rsidR="00386054" w:rsidRPr="00D152CB" w:rsidRDefault="00386054" w:rsidP="00D152CB">
      <w:pPr>
        <w:pStyle w:val="ListParagraph"/>
        <w:numPr>
          <w:ilvl w:val="0"/>
          <w:numId w:val="20"/>
        </w:numPr>
        <w:jc w:val="both"/>
        <w:rPr>
          <w:rStyle w:val="a"/>
          <w:b/>
        </w:rPr>
      </w:pPr>
      <w:r w:rsidRPr="00D152CB">
        <w:rPr>
          <w:rStyle w:val="a"/>
          <w:b/>
        </w:rPr>
        <w:t>Explain any decision to provide any payment or gift to respondents, other than remuneration of contractors or grantees</w:t>
      </w:r>
      <w:r w:rsidR="003E285A" w:rsidRPr="00D152CB">
        <w:rPr>
          <w:rStyle w:val="a"/>
          <w:b/>
        </w:rPr>
        <w:t xml:space="preserve"> with meaningful justification</w:t>
      </w:r>
      <w:r w:rsidRPr="00D152CB">
        <w:rPr>
          <w:rStyle w:val="a"/>
          <w:b/>
        </w:rPr>
        <w:t>.</w:t>
      </w:r>
    </w:p>
    <w:p w:rsidR="00D152CB" w:rsidRPr="00D152CB" w:rsidRDefault="00D152CB" w:rsidP="00D152CB">
      <w:pPr>
        <w:ind w:left="720"/>
        <w:jc w:val="both"/>
      </w:pPr>
      <w:r w:rsidRPr="00D152CB">
        <w:t>These data are collected from grantee States.  No remuneration, outside of grant funds allocated to the States</w:t>
      </w:r>
      <w:r w:rsidR="00DF42F8">
        <w:t xml:space="preserve"> by formula</w:t>
      </w:r>
      <w:r w:rsidRPr="00D152CB">
        <w:t>, is made.</w:t>
      </w:r>
    </w:p>
    <w:p w:rsidR="0069137A" w:rsidRDefault="0069137A" w:rsidP="0069137A">
      <w:pPr>
        <w:pStyle w:val="ListParagraph"/>
      </w:pPr>
    </w:p>
    <w:p w:rsidR="00B83FB3" w:rsidRPr="00D152CB" w:rsidRDefault="00386054" w:rsidP="00D152CB">
      <w:pPr>
        <w:pStyle w:val="ListParagraph"/>
        <w:numPr>
          <w:ilvl w:val="0"/>
          <w:numId w:val="20"/>
        </w:numPr>
        <w:jc w:val="both"/>
        <w:rPr>
          <w:b/>
        </w:rPr>
      </w:pPr>
      <w:r w:rsidRPr="00D152CB">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D152CB">
        <w:rPr>
          <w:b/>
        </w:rPr>
        <w:t xml:space="preserve"> as indicated on the IC Data Form</w:t>
      </w:r>
      <w:r w:rsidRPr="00D152CB">
        <w:rPr>
          <w:b/>
        </w:rPr>
        <w:t xml:space="preserve">. A confidentiality statement with a legal citation that authorizes the </w:t>
      </w:r>
      <w:r w:rsidR="001743A5" w:rsidRPr="00D152CB">
        <w:rPr>
          <w:b/>
        </w:rPr>
        <w:t xml:space="preserve">pledge </w:t>
      </w:r>
      <w:r w:rsidRPr="00D152CB">
        <w:rPr>
          <w:b/>
        </w:rPr>
        <w:t xml:space="preserve">of </w:t>
      </w:r>
      <w:r w:rsidR="001743A5" w:rsidRPr="00D152CB">
        <w:rPr>
          <w:b/>
        </w:rPr>
        <w:t xml:space="preserve">confidentiality </w:t>
      </w:r>
      <w:r w:rsidRPr="00D152CB">
        <w:rPr>
          <w:b/>
        </w:rPr>
        <w:t>should be provided.</w:t>
      </w:r>
      <w:r w:rsidR="00CF7053" w:rsidRPr="00D152CB">
        <w:rPr>
          <w:b/>
        </w:rPr>
        <w:t xml:space="preserve"> </w:t>
      </w:r>
      <w:r w:rsidR="00016E14" w:rsidRPr="00D152CB">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D152CB">
        <w:rPr>
          <w:b/>
        </w:rPr>
        <w:t xml:space="preserve">. </w:t>
      </w:r>
      <w:r w:rsidR="001743A5" w:rsidRPr="00D152CB">
        <w:rPr>
          <w:b/>
        </w:rPr>
        <w:t>If the collection is subject to the Privacy Act, the Privacy Act statement is deemed sufficient with respect to confidentiality. If there is no expectation of confidentiality, simply state that the Department make</w:t>
      </w:r>
      <w:r w:rsidR="006A3B5C" w:rsidRPr="00D152CB">
        <w:rPr>
          <w:b/>
        </w:rPr>
        <w:t>s</w:t>
      </w:r>
      <w:r w:rsidR="001743A5" w:rsidRPr="00D152CB">
        <w:rPr>
          <w:b/>
        </w:rPr>
        <w:t xml:space="preserve"> no pledge about the confidentially of the data.</w:t>
      </w:r>
    </w:p>
    <w:p w:rsidR="00D152CB" w:rsidRDefault="00D152CB" w:rsidP="00D152CB">
      <w:pPr>
        <w:tabs>
          <w:tab w:val="left" w:pos="-360"/>
          <w:tab w:val="left" w:pos="0"/>
          <w:tab w:val="left" w:pos="270"/>
          <w:tab w:val="left" w:pos="1440"/>
        </w:tabs>
        <w:ind w:left="720"/>
        <w:jc w:val="both"/>
      </w:pPr>
      <w:r>
        <w:lastRenderedPageBreak/>
        <w:t xml:space="preserve">There has been no assurance of confidentiality provided to the respondents beyond the agreement to protect </w:t>
      </w:r>
      <w:r w:rsidR="002E1FC9">
        <w:t xml:space="preserve">personally identifiable </w:t>
      </w:r>
      <w:r>
        <w:t>information</w:t>
      </w:r>
      <w:r w:rsidR="002E1FC9">
        <w:t xml:space="preserve"> in students’ education records</w:t>
      </w:r>
      <w:r>
        <w:t xml:space="preserve"> under the </w:t>
      </w:r>
      <w:r w:rsidRPr="00CA61F5">
        <w:rPr>
          <w:i/>
        </w:rPr>
        <w:t>Federal Educational Rights and Privacy Act</w:t>
      </w:r>
      <w:r w:rsidR="002E1FC9">
        <w:t xml:space="preserve"> (FERPA)</w:t>
      </w:r>
      <w:r>
        <w:t>.    ED is committed to protect</w:t>
      </w:r>
      <w:r w:rsidR="002E1FC9">
        <w:t>ing</w:t>
      </w:r>
      <w:r>
        <w:t xml:space="preserve"> individual</w:t>
      </w:r>
      <w:r w:rsidR="002E1FC9">
        <w:t xml:space="preserve"> student</w:t>
      </w:r>
      <w:r>
        <w:t xml:space="preserve"> privacy</w:t>
      </w:r>
      <w:r w:rsidR="002E1FC9">
        <w:t xml:space="preserve"> and will apply disclosure avoidance techniques prior to publishing any data, in accordance with FERPA</w:t>
      </w:r>
      <w:r>
        <w:t xml:space="preserve">.  </w:t>
      </w:r>
    </w:p>
    <w:p w:rsidR="00D152CB" w:rsidRDefault="00D152CB" w:rsidP="00D152CB">
      <w:pPr>
        <w:pStyle w:val="ListParagraph"/>
      </w:pPr>
    </w:p>
    <w:p w:rsidR="00B83FB3" w:rsidRPr="00D152CB" w:rsidRDefault="00386054" w:rsidP="00D152CB">
      <w:pPr>
        <w:pStyle w:val="ListParagraph"/>
        <w:numPr>
          <w:ilvl w:val="0"/>
          <w:numId w:val="20"/>
        </w:numPr>
        <w:jc w:val="both"/>
        <w:rPr>
          <w:b/>
        </w:rPr>
      </w:pPr>
      <w:r w:rsidRPr="00D152CB">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52CB" w:rsidRDefault="00D152CB" w:rsidP="00D152CB">
      <w:pPr>
        <w:pStyle w:val="ListParagraph"/>
        <w:tabs>
          <w:tab w:val="left" w:pos="-360"/>
          <w:tab w:val="left" w:pos="0"/>
          <w:tab w:val="left" w:pos="270"/>
          <w:tab w:val="left" w:pos="1440"/>
        </w:tabs>
        <w:jc w:val="both"/>
      </w:pPr>
      <w:r>
        <w:t xml:space="preserve">There are no questions of </w:t>
      </w:r>
      <w:r w:rsidR="00DF42F8">
        <w:t xml:space="preserve">a </w:t>
      </w:r>
      <w:r>
        <w:t xml:space="preserve">sensitive nature, such as sexual behavior and attitudes, religious beliefs, and other matters that are commonly considered private.  </w:t>
      </w:r>
      <w:r w:rsidR="00CC27D8">
        <w:t xml:space="preserve"> </w:t>
      </w:r>
    </w:p>
    <w:p w:rsidR="00D152CB" w:rsidRDefault="00D152CB" w:rsidP="00D152CB">
      <w:pPr>
        <w:pStyle w:val="ListParagraph"/>
        <w:tabs>
          <w:tab w:val="left" w:pos="-360"/>
          <w:tab w:val="left" w:pos="0"/>
          <w:tab w:val="left" w:pos="270"/>
          <w:tab w:val="left" w:pos="1440"/>
        </w:tabs>
        <w:jc w:val="both"/>
      </w:pPr>
      <w:r>
        <w:t xml:space="preserve">  </w:t>
      </w:r>
    </w:p>
    <w:p w:rsidR="00386054" w:rsidRPr="00D152CB" w:rsidRDefault="00386054" w:rsidP="00B578F4">
      <w:pPr>
        <w:pStyle w:val="ListParagraph"/>
        <w:numPr>
          <w:ilvl w:val="0"/>
          <w:numId w:val="20"/>
        </w:numPr>
        <w:rPr>
          <w:rStyle w:val="a"/>
          <w:b/>
        </w:rPr>
      </w:pPr>
      <w:r w:rsidRPr="00D152CB">
        <w:rPr>
          <w:rStyle w:val="a"/>
          <w:b/>
        </w:rPr>
        <w:t>Provide estimates of the hour burden of the collection of information.  The statement should:</w:t>
      </w:r>
    </w:p>
    <w:p w:rsidR="00386054" w:rsidRPr="0084627B" w:rsidRDefault="00386054" w:rsidP="00B83FB3">
      <w:pPr>
        <w:pStyle w:val="ListParagraph"/>
        <w:numPr>
          <w:ilvl w:val="0"/>
          <w:numId w:val="22"/>
        </w:numPr>
        <w:rPr>
          <w:rStyle w:val="a"/>
          <w:b/>
        </w:rPr>
      </w:pPr>
      <w:r w:rsidRPr="0084627B">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84627B" w:rsidRDefault="00386054" w:rsidP="00B83FB3">
      <w:pPr>
        <w:pStyle w:val="ListParagraph"/>
        <w:numPr>
          <w:ilvl w:val="0"/>
          <w:numId w:val="22"/>
        </w:numPr>
        <w:rPr>
          <w:rStyle w:val="a"/>
          <w:b/>
        </w:rPr>
      </w:pPr>
      <w:r w:rsidRPr="0084627B">
        <w:rPr>
          <w:rStyle w:val="a"/>
          <w:b/>
        </w:rPr>
        <w:t xml:space="preserve">If this request for approval covers more than one form, provide separate hour burden estimates for each form and aggregate the hour burdens in the </w:t>
      </w:r>
      <w:r w:rsidR="003C7F70" w:rsidRPr="0084627B">
        <w:rPr>
          <w:rStyle w:val="a"/>
          <w:b/>
        </w:rPr>
        <w:t xml:space="preserve">ROCIS </w:t>
      </w:r>
      <w:r w:rsidRPr="0084627B">
        <w:rPr>
          <w:rStyle w:val="a"/>
          <w:b/>
        </w:rPr>
        <w:t>IC Burden Analysis Table.</w:t>
      </w:r>
      <w:r w:rsidR="00CE72AF" w:rsidRPr="0084627B">
        <w:rPr>
          <w:rStyle w:val="a"/>
          <w:b/>
        </w:rPr>
        <w:t xml:space="preserve">  (The table should at </w:t>
      </w:r>
      <w:r w:rsidR="003C7F70" w:rsidRPr="0084627B">
        <w:rPr>
          <w:rStyle w:val="a"/>
          <w:b/>
        </w:rPr>
        <w:t>minimum</w:t>
      </w:r>
      <w:r w:rsidR="00CE72AF" w:rsidRPr="0084627B">
        <w:rPr>
          <w:rStyle w:val="a"/>
          <w:b/>
        </w:rPr>
        <w:t xml:space="preserve"> include Respondent types, IC activity, Respondent and Responses, Hours/Response, and Total Hours)</w:t>
      </w:r>
    </w:p>
    <w:p w:rsidR="00386054" w:rsidRPr="0084627B" w:rsidRDefault="00386054" w:rsidP="00B83FB3">
      <w:pPr>
        <w:pStyle w:val="ListParagraph"/>
        <w:numPr>
          <w:ilvl w:val="0"/>
          <w:numId w:val="22"/>
        </w:numPr>
        <w:rPr>
          <w:b/>
        </w:rPr>
      </w:pPr>
      <w:r w:rsidRPr="0084627B">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4627B" w:rsidRDefault="00444BDD" w:rsidP="00CA61F5">
      <w:pPr>
        <w:tabs>
          <w:tab w:val="left" w:pos="-360"/>
          <w:tab w:val="left" w:pos="0"/>
          <w:tab w:val="left" w:pos="270"/>
          <w:tab w:val="left" w:pos="1440"/>
        </w:tabs>
        <w:ind w:left="720"/>
        <w:jc w:val="both"/>
      </w:pPr>
      <w:r>
        <w:t>SEAs</w:t>
      </w:r>
      <w:r w:rsidR="0084627B">
        <w:t xml:space="preserve"> with approved </w:t>
      </w:r>
      <w:r w:rsidR="00DF42F8">
        <w:t xml:space="preserve">ESEA </w:t>
      </w:r>
      <w:r w:rsidR="0084627B">
        <w:t xml:space="preserve">flexibility plans will supply these data annually.  All </w:t>
      </w:r>
      <w:r w:rsidR="003603C0">
        <w:t>SEAs, including those of the</w:t>
      </w:r>
      <w:r w:rsidR="0084627B">
        <w:t xml:space="preserve"> District of Columbia and Puerto Rico, were invited to submit </w:t>
      </w:r>
      <w:r w:rsidR="003603C0">
        <w:lastRenderedPageBreak/>
        <w:t xml:space="preserve">ESEA </w:t>
      </w:r>
      <w:r w:rsidR="0084627B">
        <w:t>flexibility requests.  The last deadline for submitting a</w:t>
      </w:r>
      <w:r w:rsidR="00DF42F8">
        <w:t>n ESEA</w:t>
      </w:r>
      <w:r w:rsidR="0084627B">
        <w:t xml:space="preserve"> flexibility request is September </w:t>
      </w:r>
      <w:r w:rsidR="00F069F4">
        <w:t>6,</w:t>
      </w:r>
      <w:r w:rsidR="0084627B">
        <w:t xml:space="preserve"> 2012.  This proposed collection adds 22 new data groups to an existing collection of </w:t>
      </w:r>
      <w:r w:rsidR="00CA61F5">
        <w:t xml:space="preserve">160 </w:t>
      </w:r>
      <w:r w:rsidR="0084627B">
        <w:t xml:space="preserve">data groups.  However, not all </w:t>
      </w:r>
      <w:r>
        <w:t>SEAs</w:t>
      </w:r>
      <w:r w:rsidR="0084627B">
        <w:t xml:space="preserve"> with </w:t>
      </w:r>
      <w:r w:rsidR="00DF42F8">
        <w:t xml:space="preserve">ESEA </w:t>
      </w:r>
      <w:r w:rsidR="0084627B">
        <w:t xml:space="preserve">flexibility will be reporting data for all of the new data groups, and some of the </w:t>
      </w:r>
      <w:r w:rsidR="003603C0">
        <w:t>SEAs</w:t>
      </w:r>
      <w:r w:rsidR="0084627B">
        <w:t xml:space="preserve"> may no longer be required </w:t>
      </w:r>
      <w:r w:rsidR="008F7283">
        <w:t xml:space="preserve">to report some of the existing data groups. As </w:t>
      </w:r>
      <w:r w:rsidR="0084627B">
        <w:t xml:space="preserve">these new data were identified based on </w:t>
      </w:r>
      <w:r>
        <w:t>SEA</w:t>
      </w:r>
      <w:r w:rsidR="0084627B">
        <w:t xml:space="preserve"> requests for </w:t>
      </w:r>
      <w:r w:rsidR="008F7283">
        <w:t xml:space="preserve">ESEA </w:t>
      </w:r>
      <w:r w:rsidR="0084627B">
        <w:t xml:space="preserve">flexibility, most </w:t>
      </w:r>
      <w:r w:rsidR="008F7283">
        <w:t xml:space="preserve">of </w:t>
      </w:r>
      <w:r w:rsidR="0084627B">
        <w:t xml:space="preserve">the data outlined in Attachment B should be readily available from </w:t>
      </w:r>
      <w:r>
        <w:t>SEAs</w:t>
      </w:r>
      <w:r w:rsidR="0084627B">
        <w:t xml:space="preserve"> required to report the data, although </w:t>
      </w:r>
      <w:r>
        <w:t>SEAs</w:t>
      </w:r>
      <w:r w:rsidR="0084627B">
        <w:t xml:space="preserve"> will need to implement new processes to </w:t>
      </w:r>
      <w:r w:rsidR="00EB6D6E">
        <w:t>extract</w:t>
      </w:r>
      <w:r w:rsidR="0084627B">
        <w:t xml:space="preserve"> the data from their systems to produce the ED</w:t>
      </w:r>
      <w:r w:rsidR="0084627B" w:rsidRPr="0084627B">
        <w:rPr>
          <w:i/>
        </w:rPr>
        <w:t>Facts</w:t>
      </w:r>
      <w:r w:rsidR="0084627B">
        <w:t xml:space="preserve"> file</w:t>
      </w:r>
      <w:r w:rsidR="00EB6D6E">
        <w:t>s for electronic submission</w:t>
      </w:r>
      <w:r w:rsidR="0084627B">
        <w:t xml:space="preserve">.  Thus, the </w:t>
      </w:r>
      <w:r w:rsidR="00E613AA">
        <w:t xml:space="preserve">estimated burden on </w:t>
      </w:r>
      <w:r>
        <w:t>SEAs</w:t>
      </w:r>
      <w:r w:rsidR="00E613AA">
        <w:t xml:space="preserve"> for the first year of reporting would be an average of </w:t>
      </w:r>
      <w:r w:rsidR="008F7283">
        <w:t>4</w:t>
      </w:r>
      <w:r w:rsidR="00E613AA">
        <w:t>0 hours per respondent to develop routines for preparing the necessary files and data groups that would apply to their States</w:t>
      </w:r>
      <w:r w:rsidR="003603C0">
        <w:t>, as well as submitting the files. F</w:t>
      </w:r>
      <w:r w:rsidR="00E613AA">
        <w:t>or subsequent years of reporting</w:t>
      </w:r>
      <w:r w:rsidR="008F7283">
        <w:t>,</w:t>
      </w:r>
      <w:r w:rsidR="00E613AA">
        <w:t xml:space="preserve"> </w:t>
      </w:r>
      <w:r>
        <w:t>ED expects the average to</w:t>
      </w:r>
      <w:r w:rsidR="00EB6D6E">
        <w:t xml:space="preserve"> be reduced</w:t>
      </w:r>
      <w:r w:rsidR="00E613AA">
        <w:t xml:space="preserve"> to 1</w:t>
      </w:r>
      <w:r w:rsidR="00657B63">
        <w:t>6</w:t>
      </w:r>
      <w:r w:rsidR="00E613AA">
        <w:t xml:space="preserve"> hours per</w:t>
      </w:r>
      <w:r w:rsidR="00EB6D6E">
        <w:t xml:space="preserve"> </w:t>
      </w:r>
      <w:r w:rsidR="00E613AA">
        <w:t xml:space="preserve">respondent.  </w:t>
      </w:r>
      <w:r w:rsidR="00657B63">
        <w:t>The annualized response time over three years is 24 hours.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1959"/>
        <w:gridCol w:w="2248"/>
        <w:gridCol w:w="1736"/>
      </w:tblGrid>
      <w:tr w:rsidR="0084627B" w:rsidTr="00E613AA">
        <w:tc>
          <w:tcPr>
            <w:tcW w:w="2564" w:type="dxa"/>
          </w:tcPr>
          <w:p w:rsidR="0084627B" w:rsidRPr="0084627B" w:rsidRDefault="0084627B" w:rsidP="00CA61F5">
            <w:pPr>
              <w:tabs>
                <w:tab w:val="left" w:pos="-360"/>
                <w:tab w:val="left" w:pos="0"/>
                <w:tab w:val="left" w:pos="270"/>
                <w:tab w:val="left" w:pos="1440"/>
              </w:tabs>
              <w:ind w:left="720"/>
              <w:jc w:val="both"/>
              <w:rPr>
                <w:sz w:val="20"/>
              </w:rPr>
            </w:pPr>
          </w:p>
        </w:tc>
        <w:tc>
          <w:tcPr>
            <w:tcW w:w="1959" w:type="dxa"/>
          </w:tcPr>
          <w:p w:rsidR="0084627B" w:rsidRPr="0084627B" w:rsidRDefault="0084627B" w:rsidP="00CA61F5">
            <w:pPr>
              <w:tabs>
                <w:tab w:val="left" w:pos="-360"/>
                <w:tab w:val="left" w:pos="0"/>
                <w:tab w:val="left" w:pos="270"/>
                <w:tab w:val="left" w:pos="1440"/>
              </w:tabs>
              <w:ind w:left="720"/>
              <w:jc w:val="both"/>
              <w:rPr>
                <w:sz w:val="20"/>
              </w:rPr>
            </w:pPr>
            <w:r w:rsidRPr="0084627B">
              <w:rPr>
                <w:sz w:val="20"/>
              </w:rPr>
              <w:t>Respondents</w:t>
            </w:r>
          </w:p>
        </w:tc>
        <w:tc>
          <w:tcPr>
            <w:tcW w:w="2248" w:type="dxa"/>
          </w:tcPr>
          <w:p w:rsidR="0084627B" w:rsidRPr="0084627B" w:rsidRDefault="0084627B" w:rsidP="00CA61F5">
            <w:pPr>
              <w:tabs>
                <w:tab w:val="left" w:pos="-360"/>
                <w:tab w:val="left" w:pos="0"/>
                <w:tab w:val="left" w:pos="270"/>
                <w:tab w:val="left" w:pos="1440"/>
              </w:tabs>
              <w:ind w:left="720"/>
              <w:jc w:val="both"/>
              <w:rPr>
                <w:sz w:val="20"/>
              </w:rPr>
            </w:pPr>
            <w:r w:rsidRPr="0084627B">
              <w:rPr>
                <w:sz w:val="20"/>
              </w:rPr>
              <w:t>Hours/Response</w:t>
            </w:r>
          </w:p>
        </w:tc>
        <w:tc>
          <w:tcPr>
            <w:tcW w:w="1736" w:type="dxa"/>
          </w:tcPr>
          <w:p w:rsidR="0084627B" w:rsidRPr="0084627B" w:rsidRDefault="0084627B" w:rsidP="00CA61F5">
            <w:pPr>
              <w:tabs>
                <w:tab w:val="left" w:pos="-360"/>
                <w:tab w:val="left" w:pos="0"/>
                <w:tab w:val="left" w:pos="270"/>
                <w:tab w:val="left" w:pos="1440"/>
              </w:tabs>
              <w:ind w:left="720"/>
              <w:jc w:val="both"/>
              <w:rPr>
                <w:sz w:val="20"/>
              </w:rPr>
            </w:pPr>
            <w:r w:rsidRPr="0084627B">
              <w:rPr>
                <w:sz w:val="20"/>
              </w:rPr>
              <w:t>Total Hours</w:t>
            </w:r>
          </w:p>
        </w:tc>
      </w:tr>
      <w:tr w:rsidR="0084627B" w:rsidTr="00E613AA">
        <w:tc>
          <w:tcPr>
            <w:tcW w:w="2564" w:type="dxa"/>
          </w:tcPr>
          <w:p w:rsidR="0084627B" w:rsidRPr="0084627B" w:rsidRDefault="008F7283" w:rsidP="008F7283">
            <w:pPr>
              <w:tabs>
                <w:tab w:val="left" w:pos="-360"/>
                <w:tab w:val="left" w:pos="0"/>
                <w:tab w:val="left" w:pos="270"/>
                <w:tab w:val="left" w:pos="1440"/>
              </w:tabs>
              <w:ind w:left="720"/>
              <w:rPr>
                <w:sz w:val="20"/>
              </w:rPr>
            </w:pPr>
            <w:r>
              <w:rPr>
                <w:sz w:val="20"/>
              </w:rPr>
              <w:t xml:space="preserve">States  </w:t>
            </w:r>
            <w:r w:rsidR="00E613AA">
              <w:rPr>
                <w:sz w:val="20"/>
              </w:rPr>
              <w:t xml:space="preserve">with </w:t>
            </w:r>
            <w:r w:rsidR="00444BDD">
              <w:rPr>
                <w:sz w:val="20"/>
              </w:rPr>
              <w:t xml:space="preserve">ESEA </w:t>
            </w:r>
            <w:r>
              <w:rPr>
                <w:sz w:val="20"/>
              </w:rPr>
              <w:t>f</w:t>
            </w:r>
            <w:r w:rsidR="00E613AA">
              <w:rPr>
                <w:sz w:val="20"/>
              </w:rPr>
              <w:t>lexibility</w:t>
            </w:r>
          </w:p>
        </w:tc>
        <w:tc>
          <w:tcPr>
            <w:tcW w:w="1959" w:type="dxa"/>
          </w:tcPr>
          <w:p w:rsidR="0084627B" w:rsidRPr="0084627B" w:rsidRDefault="00E613AA" w:rsidP="00CA61F5">
            <w:pPr>
              <w:tabs>
                <w:tab w:val="left" w:pos="-360"/>
                <w:tab w:val="left" w:pos="0"/>
                <w:tab w:val="left" w:pos="270"/>
                <w:tab w:val="left" w:pos="1440"/>
              </w:tabs>
              <w:ind w:left="720"/>
              <w:jc w:val="both"/>
              <w:rPr>
                <w:sz w:val="20"/>
              </w:rPr>
            </w:pPr>
            <w:r>
              <w:rPr>
                <w:sz w:val="20"/>
              </w:rPr>
              <w:t>Up to 52</w:t>
            </w:r>
          </w:p>
        </w:tc>
        <w:tc>
          <w:tcPr>
            <w:tcW w:w="2248" w:type="dxa"/>
          </w:tcPr>
          <w:p w:rsidR="0084627B" w:rsidRPr="0084627B" w:rsidRDefault="00657B63" w:rsidP="00CA61F5">
            <w:pPr>
              <w:tabs>
                <w:tab w:val="left" w:pos="-360"/>
                <w:tab w:val="left" w:pos="0"/>
                <w:tab w:val="left" w:pos="270"/>
                <w:tab w:val="left" w:pos="1440"/>
              </w:tabs>
              <w:ind w:left="720"/>
              <w:jc w:val="both"/>
              <w:rPr>
                <w:sz w:val="20"/>
              </w:rPr>
            </w:pPr>
            <w:r>
              <w:rPr>
                <w:sz w:val="20"/>
              </w:rPr>
              <w:t>24</w:t>
            </w:r>
          </w:p>
        </w:tc>
        <w:tc>
          <w:tcPr>
            <w:tcW w:w="1736" w:type="dxa"/>
          </w:tcPr>
          <w:p w:rsidR="0084627B" w:rsidRPr="0084627B" w:rsidRDefault="00657B63" w:rsidP="00CA61F5">
            <w:pPr>
              <w:tabs>
                <w:tab w:val="left" w:pos="-360"/>
                <w:tab w:val="left" w:pos="0"/>
                <w:tab w:val="left" w:pos="270"/>
                <w:tab w:val="left" w:pos="1440"/>
              </w:tabs>
              <w:ind w:left="720"/>
              <w:jc w:val="both"/>
              <w:rPr>
                <w:sz w:val="20"/>
              </w:rPr>
            </w:pPr>
            <w:r>
              <w:rPr>
                <w:sz w:val="20"/>
              </w:rPr>
              <w:t>1248</w:t>
            </w:r>
          </w:p>
        </w:tc>
      </w:tr>
    </w:tbl>
    <w:p w:rsidR="0084627B" w:rsidRDefault="0084627B" w:rsidP="00CA61F5">
      <w:pPr>
        <w:tabs>
          <w:tab w:val="left" w:pos="-360"/>
          <w:tab w:val="left" w:pos="0"/>
          <w:tab w:val="left" w:pos="270"/>
          <w:tab w:val="left" w:pos="1440"/>
        </w:tabs>
        <w:ind w:left="720"/>
        <w:jc w:val="both"/>
      </w:pPr>
    </w:p>
    <w:p w:rsidR="0084627B" w:rsidRDefault="0084627B" w:rsidP="00CA61F5">
      <w:pPr>
        <w:tabs>
          <w:tab w:val="left" w:pos="-360"/>
          <w:tab w:val="left" w:pos="0"/>
          <w:tab w:val="left" w:pos="270"/>
          <w:tab w:val="left" w:pos="1440"/>
        </w:tabs>
        <w:ind w:left="720"/>
        <w:jc w:val="both"/>
      </w:pPr>
      <w:r>
        <w:t>The annua</w:t>
      </w:r>
      <w:r w:rsidR="00E613AA">
        <w:t xml:space="preserve">lized cost is estimated to </w:t>
      </w:r>
      <w:r w:rsidR="008F7283">
        <w:t xml:space="preserve">be </w:t>
      </w:r>
      <w:r w:rsidR="00E613AA">
        <w:t>$</w:t>
      </w:r>
      <w:r w:rsidR="00657B63">
        <w:t>62,400</w:t>
      </w:r>
      <w:r>
        <w:t xml:space="preserve"> (</w:t>
      </w:r>
      <w:r w:rsidR="00657B63">
        <w:t>1248</w:t>
      </w:r>
      <w:r>
        <w:t xml:space="preserve"> hours mult</w:t>
      </w:r>
      <w:r w:rsidR="00E613AA">
        <w:t>iplied by an average wage of $50</w:t>
      </w:r>
      <w:r>
        <w:t xml:space="preserve"> per hour).  There is a wide range of hourly salaries associated with the prof</w:t>
      </w:r>
      <w:r w:rsidR="00CC27D8">
        <w:t>essionals that will provide the</w:t>
      </w:r>
      <w:r>
        <w:t xml:space="preserve"> data</w:t>
      </w:r>
      <w:r w:rsidR="00EB6D6E">
        <w:t>, making this estimation approximate</w:t>
      </w:r>
      <w:r>
        <w:t>.</w:t>
      </w:r>
      <w:r w:rsidR="00EB6D6E">
        <w:t xml:space="preserve">  Additionally, this estimation </w:t>
      </w:r>
      <w:r w:rsidR="00E63831">
        <w:t>presents a high estimate for the</w:t>
      </w:r>
      <w:r w:rsidR="00EB6D6E">
        <w:t xml:space="preserve"> total cost, </w:t>
      </w:r>
      <w:r w:rsidR="00E63831">
        <w:t xml:space="preserve">because it assumes that </w:t>
      </w:r>
      <w:r w:rsidR="00EB6D6E">
        <w:t xml:space="preserve">all 52 SEAs </w:t>
      </w:r>
      <w:r w:rsidR="00E63831">
        <w:t xml:space="preserve">will </w:t>
      </w:r>
      <w:r w:rsidR="00EB6D6E">
        <w:t>participat</w:t>
      </w:r>
      <w:r w:rsidR="00E63831">
        <w:t>e</w:t>
      </w:r>
      <w:r w:rsidR="00EB6D6E">
        <w:t xml:space="preserve"> in ESEA flexibility, even though it is </w:t>
      </w:r>
      <w:r w:rsidR="008F7283">
        <w:t xml:space="preserve">not likely that </w:t>
      </w:r>
      <w:r w:rsidR="00EB6D6E">
        <w:t xml:space="preserve">all 52 SEAs will </w:t>
      </w:r>
      <w:r w:rsidR="008F7283">
        <w:t xml:space="preserve">request and receive the flexibility. </w:t>
      </w:r>
    </w:p>
    <w:p w:rsidR="0084627B" w:rsidRDefault="0084627B" w:rsidP="0084627B">
      <w:pPr>
        <w:ind w:left="270"/>
        <w:rPr>
          <w:rStyle w:val="a"/>
        </w:rPr>
      </w:pPr>
    </w:p>
    <w:p w:rsidR="00386054" w:rsidRPr="00E613AA" w:rsidRDefault="00386054" w:rsidP="00B578F4">
      <w:pPr>
        <w:pStyle w:val="ListParagraph"/>
        <w:numPr>
          <w:ilvl w:val="0"/>
          <w:numId w:val="20"/>
        </w:numPr>
        <w:rPr>
          <w:b/>
        </w:rPr>
      </w:pPr>
      <w:r w:rsidRPr="00E613AA">
        <w:rPr>
          <w:rStyle w:val="a"/>
          <w:b/>
        </w:rPr>
        <w:t>Provide an estimate of the total annual cost burden to respondents or record keepers resulting from the collection of information.  (Do not include the cost of any hour burden shown in Items 12 and 14.)</w:t>
      </w:r>
    </w:p>
    <w:p w:rsidR="00386054" w:rsidRPr="00E613AA" w:rsidRDefault="00386054" w:rsidP="00B83FB3">
      <w:pPr>
        <w:pStyle w:val="ListParagraph"/>
        <w:numPr>
          <w:ilvl w:val="0"/>
          <w:numId w:val="23"/>
        </w:numPr>
        <w:ind w:left="1080"/>
        <w:rPr>
          <w:b/>
        </w:rPr>
      </w:pPr>
      <w:r w:rsidRPr="00E613AA">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613AA" w:rsidRDefault="00386054" w:rsidP="00B83FB3">
      <w:pPr>
        <w:pStyle w:val="ListParagraph"/>
        <w:numPr>
          <w:ilvl w:val="0"/>
          <w:numId w:val="23"/>
        </w:numPr>
        <w:ind w:left="1080"/>
        <w:rPr>
          <w:b/>
        </w:rPr>
      </w:pPr>
      <w:r w:rsidRPr="00E613AA">
        <w:rPr>
          <w:b/>
        </w:rPr>
        <w:t xml:space="preserve">If cost estimates are expected to vary widely, agencies should present ranges of cost burdens and explain the reasons for the variance.  The cost of contracting out information collection services should be a part of this cost burden estimate.  </w:t>
      </w:r>
      <w:r w:rsidRPr="00E613AA">
        <w:rPr>
          <w:b/>
        </w:rPr>
        <w:lastRenderedPageBreak/>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613AA" w:rsidRDefault="00386054" w:rsidP="00B83FB3">
      <w:pPr>
        <w:pStyle w:val="ListParagraph"/>
        <w:numPr>
          <w:ilvl w:val="0"/>
          <w:numId w:val="23"/>
        </w:numPr>
        <w:ind w:left="1080"/>
        <w:rPr>
          <w:b/>
        </w:rPr>
      </w:pPr>
      <w:r w:rsidRPr="00E613AA">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613AA">
        <w:rPr>
          <w:b/>
        </w:rPr>
        <w:t>government</w:t>
      </w:r>
      <w:r w:rsidRPr="00E613AA">
        <w:rPr>
          <w:b/>
        </w:rPr>
        <w:t xml:space="preserve"> or (4) as part of customary and usual business or private practices.</w:t>
      </w:r>
      <w:r w:rsidR="001743A5" w:rsidRPr="00E613AA">
        <w:rPr>
          <w:b/>
        </w:rPr>
        <w:t xml:space="preserve"> Also, these estimates should not include the hourly costs (i.e., the monetization of the hours) captured above in Item 12</w:t>
      </w:r>
    </w:p>
    <w:p w:rsidR="00E613AA" w:rsidRDefault="00E613AA" w:rsidP="000168C6">
      <w:pPr>
        <w:tabs>
          <w:tab w:val="left" w:pos="-360"/>
          <w:tab w:val="left" w:pos="0"/>
          <w:tab w:val="left" w:pos="270"/>
          <w:tab w:val="left" w:pos="1440"/>
        </w:tabs>
        <w:ind w:left="720"/>
        <w:jc w:val="both"/>
      </w:pPr>
      <w:r>
        <w:t>The collection of ED</w:t>
      </w:r>
      <w:r>
        <w:rPr>
          <w:i/>
          <w:iCs/>
        </w:rPr>
        <w:t xml:space="preserve">Facts </w:t>
      </w:r>
      <w:r>
        <w:t xml:space="preserve">data for the foreseeable future will require no additional systems development efforts by </w:t>
      </w:r>
      <w:r w:rsidR="00444BDD">
        <w:t>SEAs</w:t>
      </w:r>
      <w:r>
        <w:t xml:space="preserve">.  </w:t>
      </w:r>
      <w:r w:rsidR="00444BDD">
        <w:t xml:space="preserve">SEAs </w:t>
      </w:r>
      <w:r>
        <w:t xml:space="preserve">are currently seriously involved in the development of </w:t>
      </w:r>
      <w:r w:rsidR="0016619C">
        <w:t>S</w:t>
      </w:r>
      <w:r>
        <w:t>tate education information systems for their own use and for reports in response to education legislation.</w:t>
      </w:r>
      <w:r w:rsidR="008F7283">
        <w:t xml:space="preserve">  The guidance, standards, and best practices</w:t>
      </w:r>
      <w:r>
        <w:t xml:space="preserve"> developed by ED</w:t>
      </w:r>
      <w:r>
        <w:rPr>
          <w:i/>
          <w:iCs/>
        </w:rPr>
        <w:t xml:space="preserve">Facts </w:t>
      </w:r>
      <w:r>
        <w:t>ha</w:t>
      </w:r>
      <w:r w:rsidR="008F7283">
        <w:t>ve</w:t>
      </w:r>
      <w:r>
        <w:t xml:space="preserve"> been noted by the </w:t>
      </w:r>
      <w:r w:rsidR="00444BDD">
        <w:t xml:space="preserve">SEAs </w:t>
      </w:r>
      <w:r>
        <w:t xml:space="preserve">as helping them reduce the total costs associated with those systems development activities by providing cost effective common education information management solutions to </w:t>
      </w:r>
      <w:r w:rsidR="00444BDD">
        <w:t xml:space="preserve">SEAs </w:t>
      </w:r>
      <w:r>
        <w:t xml:space="preserve">and </w:t>
      </w:r>
      <w:r w:rsidR="00F1786A">
        <w:t>LEAs</w:t>
      </w:r>
      <w:r>
        <w:t xml:space="preserve">.  Some of this work is being done under the Institute of Education Sciences (IES) discretionary grants made available to help </w:t>
      </w:r>
      <w:r w:rsidR="00444BDD">
        <w:t>SEAs</w:t>
      </w:r>
      <w:r>
        <w:t xml:space="preserve"> devel</w:t>
      </w:r>
      <w:r w:rsidR="008F7283">
        <w:t xml:space="preserve">op longitudinal </w:t>
      </w:r>
      <w:r w:rsidR="0074419C">
        <w:t>s</w:t>
      </w:r>
      <w:r>
        <w:t>tate</w:t>
      </w:r>
      <w:r w:rsidR="00E63831">
        <w:t>wide</w:t>
      </w:r>
      <w:r>
        <w:t xml:space="preserve"> education data systems.</w:t>
      </w:r>
    </w:p>
    <w:p w:rsidR="00E613AA" w:rsidRPr="00EF7FF5" w:rsidRDefault="00E613AA" w:rsidP="00E613AA">
      <w:pPr>
        <w:tabs>
          <w:tab w:val="left" w:pos="-720"/>
        </w:tabs>
        <w:suppressAutoHyphens/>
        <w:ind w:left="720"/>
      </w:pPr>
    </w:p>
    <w:p w:rsidR="00B83FB3" w:rsidRPr="000168C6" w:rsidRDefault="00386054" w:rsidP="00B578F4">
      <w:pPr>
        <w:pStyle w:val="ListParagraph"/>
        <w:numPr>
          <w:ilvl w:val="0"/>
          <w:numId w:val="20"/>
        </w:numPr>
        <w:rPr>
          <w:rStyle w:val="a"/>
          <w:b/>
        </w:rPr>
      </w:pPr>
      <w:r w:rsidRPr="000168C6">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168C6" w:rsidRPr="000168C6" w:rsidRDefault="000168C6" w:rsidP="00CA61F5">
      <w:pPr>
        <w:tabs>
          <w:tab w:val="left" w:pos="-360"/>
          <w:tab w:val="left" w:pos="0"/>
          <w:tab w:val="left" w:pos="270"/>
          <w:tab w:val="left" w:pos="1440"/>
        </w:tabs>
        <w:ind w:left="720"/>
        <w:jc w:val="both"/>
        <w:rPr>
          <w:szCs w:val="20"/>
        </w:rPr>
      </w:pPr>
      <w:r>
        <w:rPr>
          <w:szCs w:val="20"/>
        </w:rPr>
        <w:t>These new data groups will be folded into the current ED</w:t>
      </w:r>
      <w:r w:rsidRPr="000168C6">
        <w:rPr>
          <w:i/>
          <w:szCs w:val="20"/>
        </w:rPr>
        <w:t>Facts</w:t>
      </w:r>
      <w:r>
        <w:rPr>
          <w:szCs w:val="20"/>
        </w:rPr>
        <w:t xml:space="preserve"> collection system.  Contractor hours required to program the system initially for collection, storage, and reporting is estimated at 50 hours per new data group (50 x 22 = 1100), at an average cost of $150 per hour = $165,000 the first year; and $50,000 in subsequent years.</w:t>
      </w:r>
      <w:r w:rsidR="00EA4AEB">
        <w:rPr>
          <w:szCs w:val="20"/>
        </w:rPr>
        <w:t xml:space="preserve">  The estimated annualized cost is $88,333. </w:t>
      </w:r>
      <w:bookmarkStart w:id="0" w:name="_GoBack"/>
      <w:bookmarkEnd w:id="0"/>
    </w:p>
    <w:p w:rsidR="000168C6" w:rsidRDefault="000168C6" w:rsidP="000168C6">
      <w:pPr>
        <w:pStyle w:val="ListParagraph"/>
        <w:rPr>
          <w:rStyle w:val="a"/>
        </w:rPr>
      </w:pPr>
    </w:p>
    <w:p w:rsidR="00B83FB3" w:rsidRPr="000168C6" w:rsidRDefault="00386054" w:rsidP="00B578F4">
      <w:pPr>
        <w:pStyle w:val="ListParagraph"/>
        <w:numPr>
          <w:ilvl w:val="0"/>
          <w:numId w:val="20"/>
        </w:numPr>
        <w:rPr>
          <w:b/>
        </w:rPr>
      </w:pPr>
      <w:r w:rsidRPr="000168C6">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0168C6">
        <w:rPr>
          <w:b/>
        </w:rPr>
        <w:lastRenderedPageBreak/>
        <w:t xml:space="preserve">revision, extension, reinstatement with change, reinstatement without change) and include </w:t>
      </w:r>
      <w:r w:rsidR="002473CE" w:rsidRPr="000168C6">
        <w:rPr>
          <w:b/>
        </w:rPr>
        <w:t xml:space="preserve">totals for </w:t>
      </w:r>
      <w:r w:rsidRPr="000168C6">
        <w:rPr>
          <w:b/>
        </w:rPr>
        <w:t>changes in burden hours</w:t>
      </w:r>
      <w:r w:rsidR="002473CE" w:rsidRPr="000168C6">
        <w:rPr>
          <w:b/>
        </w:rPr>
        <w:t>, responses</w:t>
      </w:r>
      <w:r w:rsidRPr="000168C6">
        <w:rPr>
          <w:b/>
        </w:rPr>
        <w:t xml:space="preserve"> and cost</w:t>
      </w:r>
      <w:r w:rsidR="002473CE" w:rsidRPr="000168C6">
        <w:rPr>
          <w:b/>
        </w:rPr>
        <w:t>s</w:t>
      </w:r>
      <w:r w:rsidRPr="000168C6">
        <w:rPr>
          <w:b/>
        </w:rPr>
        <w:t xml:space="preserve"> </w:t>
      </w:r>
      <w:r w:rsidR="002473CE" w:rsidRPr="000168C6">
        <w:rPr>
          <w:b/>
        </w:rPr>
        <w:t>(if applicable)</w:t>
      </w:r>
      <w:r w:rsidRPr="000168C6">
        <w:rPr>
          <w:b/>
        </w:rPr>
        <w:t>.</w:t>
      </w:r>
    </w:p>
    <w:p w:rsidR="000168C6" w:rsidRDefault="000168C6" w:rsidP="00CA61F5">
      <w:pPr>
        <w:pStyle w:val="ListParagraph"/>
        <w:jc w:val="both"/>
      </w:pPr>
      <w:r>
        <w:t xml:space="preserve">This is a new collection request necessitated by </w:t>
      </w:r>
      <w:r w:rsidR="008F7283">
        <w:t>the recent approval of 11 requests for ESEA flexibility, as well as the potential approval of additional requests currently under review and some as yet to be submitted.</w:t>
      </w:r>
      <w:r>
        <w:t xml:space="preserve">  In future years, these data will be included in the </w:t>
      </w:r>
      <w:r w:rsidR="00657B63">
        <w:t xml:space="preserve">1875-0240 </w:t>
      </w:r>
      <w:r>
        <w:t>ED</w:t>
      </w:r>
      <w:r w:rsidRPr="000168C6">
        <w:rPr>
          <w:i/>
        </w:rPr>
        <w:t xml:space="preserve">Facts </w:t>
      </w:r>
      <w:r>
        <w:t xml:space="preserve">collection requests. </w:t>
      </w:r>
    </w:p>
    <w:p w:rsidR="00EA4429" w:rsidRDefault="00EA4429" w:rsidP="00CA61F5">
      <w:pPr>
        <w:pStyle w:val="ListParagraph"/>
        <w:jc w:val="both"/>
      </w:pPr>
    </w:p>
    <w:p w:rsidR="00B83FB3" w:rsidRPr="000168C6" w:rsidRDefault="00386054" w:rsidP="00B578F4">
      <w:pPr>
        <w:pStyle w:val="ListParagraph"/>
        <w:numPr>
          <w:ilvl w:val="0"/>
          <w:numId w:val="20"/>
        </w:numPr>
        <w:rPr>
          <w:rStyle w:val="a"/>
          <w:b/>
        </w:rPr>
      </w:pPr>
      <w:r w:rsidRPr="000168C6">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168C6" w:rsidRDefault="00E63831" w:rsidP="00CA61F5">
      <w:pPr>
        <w:tabs>
          <w:tab w:val="left" w:pos="-360"/>
          <w:tab w:val="left" w:pos="0"/>
          <w:tab w:val="left" w:pos="270"/>
          <w:tab w:val="left" w:pos="1440"/>
        </w:tabs>
        <w:ind w:left="720"/>
        <w:jc w:val="both"/>
      </w:pPr>
      <w:r>
        <w:t>ED values transparency and intends to make data resulting from ESEA flexibility available to the public; however, a</w:t>
      </w:r>
      <w:r w:rsidR="000168C6">
        <w:t>t this time there is no definitive plan or schedule for the publication of these data.</w:t>
      </w:r>
      <w:r w:rsidR="003603C0">
        <w:t xml:space="preserve"> </w:t>
      </w:r>
      <w:r>
        <w:t>Prior to publishing any data, ED will apply disclosure avoidance techniques in accordance with FERPA.</w:t>
      </w:r>
    </w:p>
    <w:p w:rsidR="000168C6" w:rsidRDefault="000168C6" w:rsidP="000168C6">
      <w:pPr>
        <w:rPr>
          <w:rStyle w:val="a"/>
        </w:rPr>
      </w:pPr>
    </w:p>
    <w:p w:rsidR="00B83FB3" w:rsidRPr="000168C6" w:rsidRDefault="00386054" w:rsidP="00B578F4">
      <w:pPr>
        <w:pStyle w:val="ListParagraph"/>
        <w:numPr>
          <w:ilvl w:val="0"/>
          <w:numId w:val="20"/>
        </w:numPr>
        <w:rPr>
          <w:rStyle w:val="a"/>
          <w:b/>
        </w:rPr>
      </w:pPr>
      <w:r w:rsidRPr="000168C6">
        <w:rPr>
          <w:rStyle w:val="a"/>
          <w:b/>
        </w:rPr>
        <w:t>If seeking approval to not display the expiration date for OMB approval of the information collection, explain the reasons that display would be inappropriate.</w:t>
      </w:r>
    </w:p>
    <w:p w:rsidR="000168C6" w:rsidRDefault="000168C6" w:rsidP="00CA61F5">
      <w:pPr>
        <w:tabs>
          <w:tab w:val="left" w:pos="-360"/>
          <w:tab w:val="left" w:pos="0"/>
          <w:tab w:val="left" w:pos="270"/>
          <w:tab w:val="left" w:pos="1440"/>
        </w:tabs>
        <w:ind w:left="720"/>
        <w:jc w:val="both"/>
      </w:pPr>
      <w:r>
        <w:t>There will be no paper ED</w:t>
      </w:r>
      <w:r w:rsidRPr="000168C6">
        <w:rPr>
          <w:i/>
          <w:iCs/>
        </w:rPr>
        <w:t xml:space="preserve">Facts </w:t>
      </w:r>
      <w:r w:rsidR="00657B63">
        <w:t>form</w:t>
      </w:r>
      <w:r>
        <w:t xml:space="preserve"> for the general collection upon which to display the OMB number.  The OMB number will be properly displayed on any Web form used by ED</w:t>
      </w:r>
      <w:r w:rsidRPr="000168C6">
        <w:rPr>
          <w:i/>
          <w:iCs/>
        </w:rPr>
        <w:t>Facts</w:t>
      </w:r>
      <w:r>
        <w:t>.</w:t>
      </w:r>
    </w:p>
    <w:p w:rsidR="000168C6" w:rsidRDefault="000168C6" w:rsidP="000168C6">
      <w:pPr>
        <w:pStyle w:val="ListParagraph"/>
        <w:rPr>
          <w:rStyle w:val="a"/>
        </w:rPr>
      </w:pPr>
    </w:p>
    <w:p w:rsidR="00386054" w:rsidRDefault="00386054" w:rsidP="00B578F4">
      <w:pPr>
        <w:pStyle w:val="ListParagraph"/>
        <w:numPr>
          <w:ilvl w:val="0"/>
          <w:numId w:val="20"/>
        </w:numPr>
        <w:rPr>
          <w:rStyle w:val="a"/>
          <w:b/>
        </w:rPr>
      </w:pPr>
      <w:r w:rsidRPr="000168C6">
        <w:rPr>
          <w:rStyle w:val="a"/>
          <w:b/>
        </w:rPr>
        <w:t>Explain each exception to the certification statement identified in the Certification of Paperwork Reduction Act.</w:t>
      </w:r>
    </w:p>
    <w:p w:rsidR="000168C6" w:rsidRDefault="000168C6" w:rsidP="00CA61F5">
      <w:pPr>
        <w:tabs>
          <w:tab w:val="left" w:pos="-360"/>
          <w:tab w:val="left" w:pos="0"/>
          <w:tab w:val="left" w:pos="270"/>
          <w:tab w:val="left" w:pos="1440"/>
        </w:tabs>
        <w:ind w:left="720"/>
        <w:jc w:val="both"/>
      </w:pPr>
      <w:r>
        <w:t>ED is requesting no exemptions from the Certification.</w:t>
      </w:r>
    </w:p>
    <w:p w:rsidR="000168C6" w:rsidRPr="000168C6" w:rsidRDefault="000168C6" w:rsidP="000168C6">
      <w:pPr>
        <w:ind w:left="720"/>
        <w:rPr>
          <w:b/>
        </w:rPr>
      </w:pPr>
    </w:p>
    <w:sectPr w:rsidR="000168C6" w:rsidRPr="000168C6"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9C" w:rsidRDefault="0074419C">
      <w:pPr>
        <w:spacing w:line="20" w:lineRule="exact"/>
      </w:pPr>
    </w:p>
  </w:endnote>
  <w:endnote w:type="continuationSeparator" w:id="0">
    <w:p w:rsidR="0074419C" w:rsidRDefault="0074419C">
      <w:r>
        <w:t xml:space="preserve"> </w:t>
      </w:r>
    </w:p>
  </w:endnote>
  <w:endnote w:type="continuationNotice" w:id="1">
    <w:p w:rsidR="0074419C" w:rsidRDefault="007441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9C" w:rsidRDefault="0074419C">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4419C" w:rsidRDefault="0074419C" w:rsidP="00431228">
                          <w:pPr>
                            <w:tabs>
                              <w:tab w:val="center" w:pos="4650"/>
                            </w:tabs>
                            <w:suppressAutoHyphens/>
                            <w:jc w:val="center"/>
                          </w:pPr>
                          <w:r>
                            <w:fldChar w:fldCharType="begin"/>
                          </w:r>
                          <w:r>
                            <w:instrText>page \* arabic</w:instrText>
                          </w:r>
                          <w:r>
                            <w:fldChar w:fldCharType="separate"/>
                          </w:r>
                          <w:r w:rsidR="00EA4AEB">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74419C" w:rsidRDefault="0074419C" w:rsidP="00431228">
                    <w:pPr>
                      <w:tabs>
                        <w:tab w:val="center" w:pos="4650"/>
                      </w:tabs>
                      <w:suppressAutoHyphens/>
                      <w:jc w:val="center"/>
                    </w:pPr>
                    <w:r>
                      <w:fldChar w:fldCharType="begin"/>
                    </w:r>
                    <w:r>
                      <w:instrText>page \* arabic</w:instrText>
                    </w:r>
                    <w:r>
                      <w:fldChar w:fldCharType="separate"/>
                    </w:r>
                    <w:r w:rsidR="00EA4AEB">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9C" w:rsidRDefault="0074419C">
      <w:r>
        <w:separator/>
      </w:r>
    </w:p>
  </w:footnote>
  <w:footnote w:type="continuationSeparator" w:id="0">
    <w:p w:rsidR="0074419C" w:rsidRDefault="00744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9C" w:rsidRDefault="0074419C" w:rsidP="003E539A">
    <w:pPr>
      <w:spacing w:after="0"/>
    </w:pPr>
    <w:r w:rsidRPr="00016E14">
      <w:t>EDICS Tracking and OMB Number: (XXXX) XXXX-XXXX</w:t>
    </w:r>
  </w:p>
  <w:p w:rsidR="0074419C" w:rsidRDefault="0074419C" w:rsidP="003E539A">
    <w:pPr>
      <w:spacing w:after="0"/>
      <w:jc w:val="right"/>
    </w:pPr>
    <w:r w:rsidRPr="00016E14">
      <w:t>Revised: XX/XX/XXXX</w:t>
    </w:r>
  </w:p>
  <w:p w:rsidR="0074419C" w:rsidRDefault="0074419C" w:rsidP="003E539A">
    <w:pPr>
      <w:spacing w:after="0"/>
    </w:pPr>
    <w:r w:rsidRPr="00016E14">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33944E7"/>
    <w:multiLevelType w:val="multilevel"/>
    <w:tmpl w:val="27D6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D9741FB"/>
    <w:multiLevelType w:val="hybridMultilevel"/>
    <w:tmpl w:val="E5A8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31D8C"/>
    <w:multiLevelType w:val="hybridMultilevel"/>
    <w:tmpl w:val="C4A0B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3">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2"/>
  </w:num>
  <w:num w:numId="3">
    <w:abstractNumId w:val="8"/>
  </w:num>
  <w:num w:numId="4">
    <w:abstractNumId w:val="20"/>
  </w:num>
  <w:num w:numId="5">
    <w:abstractNumId w:val="1"/>
  </w:num>
  <w:num w:numId="6">
    <w:abstractNumId w:val="3"/>
  </w:num>
  <w:num w:numId="7">
    <w:abstractNumId w:val="17"/>
  </w:num>
  <w:num w:numId="8">
    <w:abstractNumId w:val="16"/>
  </w:num>
  <w:num w:numId="9">
    <w:abstractNumId w:val="18"/>
  </w:num>
  <w:num w:numId="10">
    <w:abstractNumId w:val="21"/>
  </w:num>
  <w:num w:numId="11">
    <w:abstractNumId w:val="11"/>
  </w:num>
  <w:num w:numId="12">
    <w:abstractNumId w:val="5"/>
  </w:num>
  <w:num w:numId="13">
    <w:abstractNumId w:val="14"/>
  </w:num>
  <w:num w:numId="14">
    <w:abstractNumId w:val="13"/>
  </w:num>
  <w:num w:numId="15">
    <w:abstractNumId w:val="4"/>
  </w:num>
  <w:num w:numId="16">
    <w:abstractNumId w:val="24"/>
  </w:num>
  <w:num w:numId="17">
    <w:abstractNumId w:val="15"/>
  </w:num>
  <w:num w:numId="18">
    <w:abstractNumId w:val="7"/>
  </w:num>
  <w:num w:numId="19">
    <w:abstractNumId w:val="19"/>
  </w:num>
  <w:num w:numId="20">
    <w:abstractNumId w:val="23"/>
  </w:num>
  <w:num w:numId="21">
    <w:abstractNumId w:val="6"/>
  </w:num>
  <w:num w:numId="22">
    <w:abstractNumId w:val="10"/>
  </w:num>
  <w:num w:numId="23">
    <w:abstractNumId w:val="2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8C6"/>
    <w:rsid w:val="00016E14"/>
    <w:rsid w:val="00050CBE"/>
    <w:rsid w:val="00061FD6"/>
    <w:rsid w:val="000909E0"/>
    <w:rsid w:val="000A2965"/>
    <w:rsid w:val="000B14D8"/>
    <w:rsid w:val="000E592D"/>
    <w:rsid w:val="000F175B"/>
    <w:rsid w:val="0014500F"/>
    <w:rsid w:val="00153F20"/>
    <w:rsid w:val="0016619C"/>
    <w:rsid w:val="001743A5"/>
    <w:rsid w:val="0018279C"/>
    <w:rsid w:val="001C5DE0"/>
    <w:rsid w:val="002473CE"/>
    <w:rsid w:val="002B0412"/>
    <w:rsid w:val="002B0A95"/>
    <w:rsid w:val="002E1FC9"/>
    <w:rsid w:val="00322E02"/>
    <w:rsid w:val="003603C0"/>
    <w:rsid w:val="00386054"/>
    <w:rsid w:val="003B4A98"/>
    <w:rsid w:val="003C29C2"/>
    <w:rsid w:val="003C7F70"/>
    <w:rsid w:val="003D23F3"/>
    <w:rsid w:val="003E285A"/>
    <w:rsid w:val="003E539A"/>
    <w:rsid w:val="00431228"/>
    <w:rsid w:val="00444BDD"/>
    <w:rsid w:val="004A2DBB"/>
    <w:rsid w:val="004D6005"/>
    <w:rsid w:val="004E23D9"/>
    <w:rsid w:val="004E6449"/>
    <w:rsid w:val="004F692A"/>
    <w:rsid w:val="00512598"/>
    <w:rsid w:val="0053551D"/>
    <w:rsid w:val="00563CCF"/>
    <w:rsid w:val="00572E25"/>
    <w:rsid w:val="005A1566"/>
    <w:rsid w:val="005A1DFC"/>
    <w:rsid w:val="005A4185"/>
    <w:rsid w:val="005D2E7B"/>
    <w:rsid w:val="00617A98"/>
    <w:rsid w:val="0063484C"/>
    <w:rsid w:val="00654305"/>
    <w:rsid w:val="00657B63"/>
    <w:rsid w:val="006737C0"/>
    <w:rsid w:val="00677BC2"/>
    <w:rsid w:val="0069137A"/>
    <w:rsid w:val="006A3B5C"/>
    <w:rsid w:val="006C01D0"/>
    <w:rsid w:val="00700F87"/>
    <w:rsid w:val="00741303"/>
    <w:rsid w:val="0074419C"/>
    <w:rsid w:val="007661D9"/>
    <w:rsid w:val="00766FBC"/>
    <w:rsid w:val="00787B58"/>
    <w:rsid w:val="007B14E8"/>
    <w:rsid w:val="007C12B5"/>
    <w:rsid w:val="007E3CF5"/>
    <w:rsid w:val="007E77FA"/>
    <w:rsid w:val="008011B6"/>
    <w:rsid w:val="0082014F"/>
    <w:rsid w:val="0084627B"/>
    <w:rsid w:val="008F3062"/>
    <w:rsid w:val="008F7283"/>
    <w:rsid w:val="00921CB1"/>
    <w:rsid w:val="009544A3"/>
    <w:rsid w:val="00993DA0"/>
    <w:rsid w:val="009949A8"/>
    <w:rsid w:val="00A01331"/>
    <w:rsid w:val="00A30133"/>
    <w:rsid w:val="00A40964"/>
    <w:rsid w:val="00A41F2C"/>
    <w:rsid w:val="00A52188"/>
    <w:rsid w:val="00A87940"/>
    <w:rsid w:val="00A94CCB"/>
    <w:rsid w:val="00AB0D7D"/>
    <w:rsid w:val="00B23EC0"/>
    <w:rsid w:val="00B578F4"/>
    <w:rsid w:val="00B72F46"/>
    <w:rsid w:val="00B83FB3"/>
    <w:rsid w:val="00BA13A2"/>
    <w:rsid w:val="00BA43E4"/>
    <w:rsid w:val="00BC244F"/>
    <w:rsid w:val="00BD1325"/>
    <w:rsid w:val="00BF408A"/>
    <w:rsid w:val="00C641E9"/>
    <w:rsid w:val="00C71525"/>
    <w:rsid w:val="00C723C2"/>
    <w:rsid w:val="00C9556E"/>
    <w:rsid w:val="00CA61F5"/>
    <w:rsid w:val="00CC27D8"/>
    <w:rsid w:val="00CE72AF"/>
    <w:rsid w:val="00CF7053"/>
    <w:rsid w:val="00D004BE"/>
    <w:rsid w:val="00D115BF"/>
    <w:rsid w:val="00D152CB"/>
    <w:rsid w:val="00D269C3"/>
    <w:rsid w:val="00DF42F8"/>
    <w:rsid w:val="00E023B7"/>
    <w:rsid w:val="00E07290"/>
    <w:rsid w:val="00E52F91"/>
    <w:rsid w:val="00E613AA"/>
    <w:rsid w:val="00E63831"/>
    <w:rsid w:val="00EA3C1F"/>
    <w:rsid w:val="00EA4429"/>
    <w:rsid w:val="00EA4AEB"/>
    <w:rsid w:val="00EB6D6E"/>
    <w:rsid w:val="00EC2CC4"/>
    <w:rsid w:val="00EF7FF5"/>
    <w:rsid w:val="00F069F4"/>
    <w:rsid w:val="00F1786A"/>
    <w:rsid w:val="00F313DF"/>
    <w:rsid w:val="00F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NormalWeb">
    <w:name w:val="Normal (Web)"/>
    <w:basedOn w:val="Normal"/>
    <w:uiPriority w:val="99"/>
    <w:semiHidden/>
    <w:unhideWhenUsed/>
    <w:rsid w:val="00766FBC"/>
    <w:pPr>
      <w:spacing w:before="100" w:beforeAutospacing="1" w:after="100" w:afterAutospacing="1"/>
    </w:pPr>
    <w:rPr>
      <w:rFonts w:ascii="Verdana" w:hAnsi="Verdana"/>
      <w:color w:val="000000"/>
      <w:sz w:val="18"/>
      <w:szCs w:val="18"/>
    </w:rPr>
  </w:style>
  <w:style w:type="character" w:styleId="Emphasis">
    <w:name w:val="Emphasis"/>
    <w:basedOn w:val="DefaultParagraphFont"/>
    <w:uiPriority w:val="20"/>
    <w:qFormat/>
    <w:locked/>
    <w:rsid w:val="00766F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NormalWeb">
    <w:name w:val="Normal (Web)"/>
    <w:basedOn w:val="Normal"/>
    <w:uiPriority w:val="99"/>
    <w:semiHidden/>
    <w:unhideWhenUsed/>
    <w:rsid w:val="00766FBC"/>
    <w:pPr>
      <w:spacing w:before="100" w:beforeAutospacing="1" w:after="100" w:afterAutospacing="1"/>
    </w:pPr>
    <w:rPr>
      <w:rFonts w:ascii="Verdana" w:hAnsi="Verdana"/>
      <w:color w:val="000000"/>
      <w:sz w:val="18"/>
      <w:szCs w:val="18"/>
    </w:rPr>
  </w:style>
  <w:style w:type="character" w:styleId="Emphasis">
    <w:name w:val="Emphasis"/>
    <w:basedOn w:val="DefaultParagraphFont"/>
    <w:uiPriority w:val="20"/>
    <w:qFormat/>
    <w:locked/>
    <w:rsid w:val="00766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4321">
      <w:bodyDiv w:val="1"/>
      <w:marLeft w:val="0"/>
      <w:marRight w:val="0"/>
      <w:marTop w:val="0"/>
      <w:marBottom w:val="0"/>
      <w:divBdr>
        <w:top w:val="none" w:sz="0" w:space="0" w:color="auto"/>
        <w:left w:val="none" w:sz="0" w:space="0" w:color="auto"/>
        <w:bottom w:val="none" w:sz="0" w:space="0" w:color="auto"/>
        <w:right w:val="none" w:sz="0" w:space="0" w:color="auto"/>
      </w:divBdr>
      <w:divsChild>
        <w:div w:id="1593512368">
          <w:marLeft w:val="0"/>
          <w:marRight w:val="0"/>
          <w:marTop w:val="100"/>
          <w:marBottom w:val="100"/>
          <w:divBdr>
            <w:top w:val="none" w:sz="0" w:space="0" w:color="auto"/>
            <w:left w:val="none" w:sz="0" w:space="0" w:color="auto"/>
            <w:bottom w:val="none" w:sz="0" w:space="0" w:color="auto"/>
            <w:right w:val="none" w:sz="0" w:space="0" w:color="auto"/>
          </w:divBdr>
          <w:divsChild>
            <w:div w:id="1485507580">
              <w:marLeft w:val="0"/>
              <w:marRight w:val="0"/>
              <w:marTop w:val="0"/>
              <w:marBottom w:val="0"/>
              <w:divBdr>
                <w:top w:val="none" w:sz="0" w:space="0" w:color="auto"/>
                <w:left w:val="none" w:sz="0" w:space="0" w:color="auto"/>
                <w:bottom w:val="none" w:sz="0" w:space="0" w:color="auto"/>
                <w:right w:val="none" w:sz="0" w:space="0" w:color="auto"/>
              </w:divBdr>
              <w:divsChild>
                <w:div w:id="1312950839">
                  <w:marLeft w:val="0"/>
                  <w:marRight w:val="0"/>
                  <w:marTop w:val="0"/>
                  <w:marBottom w:val="0"/>
                  <w:divBdr>
                    <w:top w:val="none" w:sz="0" w:space="0" w:color="auto"/>
                    <w:left w:val="none" w:sz="0" w:space="0" w:color="auto"/>
                    <w:bottom w:val="none" w:sz="0" w:space="0" w:color="auto"/>
                    <w:right w:val="none" w:sz="0" w:space="0" w:color="auto"/>
                  </w:divBdr>
                  <w:divsChild>
                    <w:div w:id="205070006">
                      <w:marLeft w:val="0"/>
                      <w:marRight w:val="0"/>
                      <w:marTop w:val="100"/>
                      <w:marBottom w:val="225"/>
                      <w:divBdr>
                        <w:top w:val="none" w:sz="0" w:space="0" w:color="auto"/>
                        <w:left w:val="none" w:sz="0" w:space="0" w:color="auto"/>
                        <w:bottom w:val="none" w:sz="0" w:space="0" w:color="auto"/>
                        <w:right w:val="none" w:sz="0" w:space="0" w:color="auto"/>
                      </w:divBdr>
                      <w:divsChild>
                        <w:div w:id="11375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6DCD-9A92-406D-9B80-CCD14C02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Department of Education</cp:lastModifiedBy>
  <cp:revision>7</cp:revision>
  <cp:lastPrinted>2012-05-11T16:31:00Z</cp:lastPrinted>
  <dcterms:created xsi:type="dcterms:W3CDTF">2012-05-16T21:11:00Z</dcterms:created>
  <dcterms:modified xsi:type="dcterms:W3CDTF">2012-05-18T17:48:00Z</dcterms:modified>
</cp:coreProperties>
</file>