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1A2" w:rsidRDefault="005A61A2">
      <w:pPr>
        <w:pStyle w:val="Heading1"/>
        <w:spacing w:before="0"/>
        <w:rPr>
          <w:rFonts w:ascii="Arial" w:hAnsi="Arial"/>
        </w:rPr>
      </w:pPr>
      <w:r>
        <w:rPr>
          <w:rFonts w:ascii="Arial" w:hAnsi="Arial"/>
        </w:rPr>
        <w:t>Appendix VIII-3</w:t>
      </w:r>
      <w:r>
        <w:rPr>
          <w:rFonts w:ascii="Arial" w:hAnsi="Arial"/>
        </w:rPr>
        <w:br/>
        <w:t>Assignment Agreement</w:t>
      </w:r>
    </w:p>
    <w:p w:rsidR="005A61A2" w:rsidRDefault="005A61A2">
      <w:pPr>
        <w:pStyle w:val="Hanging"/>
        <w:jc w:val="both"/>
        <w:rPr>
          <w:b/>
        </w:rPr>
      </w:pPr>
      <w:r>
        <w:rPr>
          <w:b/>
        </w:rPr>
        <w:t>Applicability:</w:t>
      </w:r>
      <w:r>
        <w:rPr>
          <w:b/>
        </w:rPr>
        <w:tab/>
      </w:r>
      <w:r>
        <w:t>Ginnie Mae I MBS Program and Ginnie Mae II MBS Program.</w:t>
      </w:r>
    </w:p>
    <w:p w:rsidR="005A61A2" w:rsidRDefault="005A61A2">
      <w:pPr>
        <w:pStyle w:val="Hanging"/>
        <w:jc w:val="both"/>
      </w:pPr>
      <w:r>
        <w:rPr>
          <w:b/>
        </w:rPr>
        <w:t>Purpose:</w:t>
      </w:r>
      <w:r>
        <w:rPr>
          <w:b/>
        </w:rPr>
        <w:tab/>
      </w:r>
      <w:r>
        <w:t xml:space="preserve">To provide a form of agreement that may be used by a transferring </w:t>
      </w:r>
      <w:r w:rsidR="003613D5">
        <w:t>Issuer</w:t>
      </w:r>
      <w:r>
        <w:t xml:space="preserve"> to transfer </w:t>
      </w:r>
      <w:r w:rsidR="003613D5">
        <w:t>Issuer</w:t>
      </w:r>
      <w:r>
        <w:t xml:space="preserve"> responsibility for one or more pools of mortgages</w:t>
      </w:r>
      <w:r w:rsidR="00837B43">
        <w:t>,</w:t>
      </w:r>
      <w:r w:rsidR="003613D5">
        <w:t xml:space="preserve"> or Participations related to</w:t>
      </w:r>
      <w:r w:rsidR="00EB6656">
        <w:t xml:space="preserve"> the mortgages</w:t>
      </w:r>
      <w:r w:rsidR="003613D5">
        <w:t>, as the case may be,</w:t>
      </w:r>
      <w:r>
        <w:t xml:space="preserve"> to another </w:t>
      </w:r>
      <w:r w:rsidR="003613D5">
        <w:t>Issuer</w:t>
      </w:r>
      <w:r>
        <w:t>.</w:t>
      </w:r>
    </w:p>
    <w:p w:rsidR="005A61A2" w:rsidRDefault="005A61A2">
      <w:pPr>
        <w:pStyle w:val="Hanging"/>
        <w:jc w:val="both"/>
      </w:pPr>
      <w:proofErr w:type="gramStart"/>
      <w:r>
        <w:rPr>
          <w:b/>
        </w:rPr>
        <w:t>Prepared by:</w:t>
      </w:r>
      <w:r>
        <w:rPr>
          <w:b/>
        </w:rPr>
        <w:tab/>
      </w:r>
      <w:r>
        <w:t xml:space="preserve">The transferring </w:t>
      </w:r>
      <w:r w:rsidR="003613D5">
        <w:t>Issuer</w:t>
      </w:r>
      <w:r>
        <w:t>.</w:t>
      </w:r>
      <w:proofErr w:type="gramEnd"/>
    </w:p>
    <w:p w:rsidR="005A61A2" w:rsidRDefault="005A61A2">
      <w:pPr>
        <w:pStyle w:val="Hanging"/>
        <w:jc w:val="both"/>
      </w:pPr>
      <w:proofErr w:type="gramStart"/>
      <w:r>
        <w:rPr>
          <w:b/>
        </w:rPr>
        <w:t>Prepared in:</w:t>
      </w:r>
      <w:r>
        <w:t xml:space="preserve"> </w:t>
      </w:r>
      <w:r>
        <w:tab/>
        <w:t>Three originals.</w:t>
      </w:r>
      <w:proofErr w:type="gramEnd"/>
    </w:p>
    <w:p w:rsidR="005A61A2" w:rsidRDefault="005A61A2">
      <w:pPr>
        <w:pStyle w:val="Hanging"/>
        <w:jc w:val="both"/>
      </w:pPr>
      <w:r>
        <w:rPr>
          <w:b/>
        </w:rPr>
        <w:t>Distribution:</w:t>
      </w:r>
      <w:r>
        <w:tab/>
        <w:t xml:space="preserve">The transferring </w:t>
      </w:r>
      <w:r w:rsidR="003613D5">
        <w:t>Issuer</w:t>
      </w:r>
      <w:r>
        <w:t xml:space="preserve"> must execute the three originals and forward them to the acquiring </w:t>
      </w:r>
      <w:r w:rsidR="003613D5">
        <w:t>Issuer</w:t>
      </w:r>
      <w:r>
        <w:t xml:space="preserve"> for execution.  The </w:t>
      </w:r>
      <w:r w:rsidR="003613D5">
        <w:t>Issuer</w:t>
      </w:r>
      <w:r>
        <w:t xml:space="preserve"> must then submit the three originals to the PPA for Ginnie Mae’s signature of approval.  If the agreement is approved by Ginnie Mae, the PPA will return one executed original each to the transferring </w:t>
      </w:r>
      <w:r w:rsidR="003613D5">
        <w:t>Issuer</w:t>
      </w:r>
      <w:r>
        <w:t xml:space="preserve"> and the acquiring </w:t>
      </w:r>
      <w:r w:rsidR="003613D5">
        <w:t>Issuer</w:t>
      </w:r>
      <w:r>
        <w:t>.</w:t>
      </w:r>
    </w:p>
    <w:p w:rsidR="005A61A2" w:rsidRDefault="005A61A2">
      <w:pPr>
        <w:pStyle w:val="Hanging"/>
        <w:jc w:val="both"/>
      </w:pPr>
      <w:r>
        <w:rPr>
          <w:b/>
        </w:rPr>
        <w:t>Instructions:</w:t>
      </w:r>
      <w:r>
        <w:tab/>
        <w:t xml:space="preserve">The agreement must be executed on each </w:t>
      </w:r>
      <w:r w:rsidR="003613D5">
        <w:t>Issuer</w:t>
      </w:r>
      <w:r>
        <w:t xml:space="preserve">’s behalf by an officer of that </w:t>
      </w:r>
      <w:r w:rsidR="003613D5">
        <w:t>Issuer</w:t>
      </w:r>
      <w:r>
        <w:t xml:space="preserve"> named on the respective </w:t>
      </w:r>
      <w:r w:rsidR="003613D5">
        <w:t>Issuer</w:t>
      </w:r>
      <w:r>
        <w:t>’s Resolution of Board of Directors and Certificate of Authorized Signatures, form HUD 11702.</w:t>
      </w:r>
    </w:p>
    <w:p w:rsidR="005A61A2" w:rsidRDefault="005A61A2">
      <w:pPr>
        <w:ind w:left="2160"/>
        <w:jc w:val="both"/>
      </w:pPr>
      <w:r>
        <w:t xml:space="preserve">Each </w:t>
      </w:r>
      <w:r w:rsidR="003613D5">
        <w:t>Issuer</w:t>
      </w:r>
      <w:r>
        <w:t xml:space="preserve"> must affix its seal unless none is required under applicable state law.  If none is required, the </w:t>
      </w:r>
      <w:r w:rsidR="003613D5">
        <w:t>Issuer</w:t>
      </w:r>
      <w:r>
        <w:t xml:space="preserve"> should type “corporate seal not required by state” on the agreement where the seal would normally be affixed.</w:t>
      </w:r>
    </w:p>
    <w:p w:rsidR="005A61A2" w:rsidRDefault="005A61A2">
      <w:pPr>
        <w:ind w:left="2160" w:hanging="2160"/>
        <w:jc w:val="both"/>
      </w:pPr>
    </w:p>
    <w:p w:rsidR="005A61A2" w:rsidRDefault="005A61A2">
      <w:pPr>
        <w:ind w:left="720" w:firstLine="720"/>
      </w:pPr>
      <w:r>
        <w:tab/>
        <w:t xml:space="preserve">Each </w:t>
      </w:r>
      <w:r w:rsidR="003613D5">
        <w:t>Issuer</w:t>
      </w:r>
      <w:r>
        <w:t xml:space="preserve">’s signature must be notarized. </w:t>
      </w:r>
    </w:p>
    <w:p w:rsidR="005A61A2" w:rsidRDefault="005A61A2">
      <w:pPr>
        <w:pStyle w:val="Heading1"/>
        <w:sectPr w:rsidR="005A61A2">
          <w:headerReference w:type="default" r:id="rId6"/>
          <w:footerReference w:type="default" r:id="rId7"/>
          <w:footnotePr>
            <w:numRestart w:val="eachPage"/>
          </w:footnotePr>
          <w:endnotePr>
            <w:numFmt w:val="decimal"/>
          </w:endnotePr>
          <w:type w:val="continuous"/>
          <w:pgSz w:w="12240" w:h="15840"/>
          <w:pgMar w:top="1440" w:right="1440" w:bottom="1440" w:left="1440" w:header="720" w:footer="720" w:gutter="0"/>
          <w:pgNumType w:start="1"/>
          <w:cols w:space="720"/>
          <w:noEndnote/>
        </w:sectPr>
      </w:pPr>
    </w:p>
    <w:p w:rsidR="005A61A2" w:rsidRDefault="005A61A2">
      <w:pPr>
        <w:pStyle w:val="Heading1"/>
        <w:spacing w:before="0"/>
      </w:pPr>
      <w:r>
        <w:lastRenderedPageBreak/>
        <w:t>Assignment Agreement</w:t>
      </w:r>
    </w:p>
    <w:p w:rsidR="005A61A2" w:rsidRDefault="005A61A2">
      <w:pPr>
        <w:tabs>
          <w:tab w:val="left" w:pos="5490"/>
          <w:tab w:val="right" w:leader="underscore" w:pos="9360"/>
        </w:tabs>
        <w:spacing w:after="240"/>
        <w:ind w:firstLine="5500"/>
        <w:rPr>
          <w:sz w:val="16"/>
        </w:rPr>
      </w:pPr>
      <w:r>
        <w:rPr>
          <w:sz w:val="16"/>
        </w:rPr>
        <w:t xml:space="preserve">            OMB Approval No. 2503-0033 (Exp. </w:t>
      </w:r>
      <w:r w:rsidR="003A4209">
        <w:rPr>
          <w:sz w:val="16"/>
        </w:rPr>
        <w:t>12/31/2013</w:t>
      </w:r>
      <w:r>
        <w:rPr>
          <w:sz w:val="16"/>
        </w:rPr>
        <w:t>)</w:t>
      </w:r>
    </w:p>
    <w:p w:rsidR="005A61A2" w:rsidRDefault="005A61A2">
      <w:pPr>
        <w:pStyle w:val="BodyText"/>
        <w:rPr>
          <w:sz w:val="16"/>
        </w:rPr>
      </w:pPr>
      <w:r>
        <w:rPr>
          <w:sz w:val="16"/>
        </w:rPr>
        <w:t xml:space="preserve">Public reporting for this information collection is estimated to average 8 minutes per response, including the time for reviewing instructions, searching existing data sources, gathering and maintaining the data needed, and completing and reviewing the collection of information. </w:t>
      </w:r>
      <w:r w:rsidR="00611F75">
        <w:rPr>
          <w:sz w:val="16"/>
        </w:rPr>
        <w:t>Ginnie Mae</w:t>
      </w:r>
      <w:r>
        <w:rPr>
          <w:sz w:val="16"/>
        </w:rPr>
        <w:t xml:space="preserve"> may not collect this information, and you are not required to submit this form, unless it displays a valid OMB control number.  </w:t>
      </w:r>
    </w:p>
    <w:p w:rsidR="005A61A2" w:rsidRDefault="005A61A2">
      <w:pPr>
        <w:pStyle w:val="BodyText"/>
        <w:rPr>
          <w:sz w:val="16"/>
        </w:rPr>
      </w:pPr>
      <w:r>
        <w:rPr>
          <w:sz w:val="16"/>
        </w:rPr>
        <w:t xml:space="preserve">The information is required by Section 306(g) of the national Housing Act or by the Ginnie Mae Handbook, 5500.3, Rev. 1.  The purpose is to provide a form of agreement that may be used by an </w:t>
      </w:r>
      <w:r w:rsidR="003613D5">
        <w:rPr>
          <w:sz w:val="16"/>
        </w:rPr>
        <w:t>Issuer</w:t>
      </w:r>
      <w:r>
        <w:rPr>
          <w:sz w:val="16"/>
        </w:rPr>
        <w:t xml:space="preserve"> to transfer responsibility for one or more pools of mortgages</w:t>
      </w:r>
      <w:r w:rsidR="00EB6656">
        <w:rPr>
          <w:sz w:val="16"/>
        </w:rPr>
        <w:t xml:space="preserve"> or p</w:t>
      </w:r>
      <w:r w:rsidR="003613D5">
        <w:rPr>
          <w:sz w:val="16"/>
        </w:rPr>
        <w:t>articipation interests related to</w:t>
      </w:r>
      <w:r w:rsidR="00EB6656">
        <w:rPr>
          <w:sz w:val="16"/>
        </w:rPr>
        <w:t xml:space="preserve"> the mortgages</w:t>
      </w:r>
      <w:r w:rsidR="003613D5">
        <w:rPr>
          <w:sz w:val="16"/>
        </w:rPr>
        <w:t>, as the case may be,</w:t>
      </w:r>
      <w:r>
        <w:rPr>
          <w:sz w:val="16"/>
        </w:rPr>
        <w:t xml:space="preserve"> to another </w:t>
      </w:r>
      <w:r w:rsidR="003613D5">
        <w:rPr>
          <w:sz w:val="16"/>
        </w:rPr>
        <w:t>Issuer</w:t>
      </w:r>
      <w:r>
        <w:rPr>
          <w:sz w:val="16"/>
        </w:rPr>
        <w:t xml:space="preserve">. The information </w:t>
      </w:r>
      <w:r w:rsidR="00AE6D31">
        <w:rPr>
          <w:sz w:val="16"/>
        </w:rPr>
        <w:t xml:space="preserve">collected </w:t>
      </w:r>
      <w:r>
        <w:rPr>
          <w:sz w:val="16"/>
        </w:rPr>
        <w:t xml:space="preserve">will not be disclosed outside the Department except as required by law. </w:t>
      </w:r>
    </w:p>
    <w:p w:rsidR="005A61A2" w:rsidRDefault="005A61A2">
      <w:pPr>
        <w:tabs>
          <w:tab w:val="center" w:pos="3240"/>
        </w:tabs>
      </w:pPr>
      <w:r>
        <w:t>____________________________________________________________________________________</w:t>
      </w:r>
    </w:p>
    <w:p w:rsidR="005A61A2" w:rsidRDefault="005A61A2">
      <w:pPr>
        <w:tabs>
          <w:tab w:val="center" w:pos="3240"/>
        </w:tabs>
      </w:pPr>
    </w:p>
    <w:p w:rsidR="005A61A2" w:rsidRDefault="005A61A2">
      <w:pPr>
        <w:tabs>
          <w:tab w:val="center" w:pos="3240"/>
        </w:tabs>
      </w:pPr>
    </w:p>
    <w:p w:rsidR="005A61A2" w:rsidRDefault="005A61A2">
      <w:pPr>
        <w:tabs>
          <w:tab w:val="center" w:pos="3240"/>
        </w:tabs>
        <w:rPr>
          <w:i/>
          <w:sz w:val="18"/>
        </w:rPr>
      </w:pPr>
      <w:r>
        <w:t xml:space="preserve">_______________________________________________________________ (hereinafter called Seller) </w:t>
      </w:r>
      <w:r>
        <w:tab/>
      </w:r>
      <w:r>
        <w:rPr>
          <w:i/>
        </w:rPr>
        <w:t>(Name of Seller)</w:t>
      </w:r>
    </w:p>
    <w:p w:rsidR="005A61A2" w:rsidRDefault="005A61A2">
      <w:pPr>
        <w:tabs>
          <w:tab w:val="center" w:pos="3240"/>
        </w:tabs>
      </w:pPr>
      <w:r>
        <w:t xml:space="preserve">______________________________________________________________ (hereinafter called Buyer), </w:t>
      </w:r>
      <w:r>
        <w:rPr>
          <w:i/>
        </w:rPr>
        <w:tab/>
        <w:t>(Name of Buyer)</w:t>
      </w:r>
    </w:p>
    <w:p w:rsidR="005A61A2" w:rsidRDefault="005A61A2">
      <w:proofErr w:type="gramStart"/>
      <w:r>
        <w:t>as</w:t>
      </w:r>
      <w:proofErr w:type="gramEnd"/>
      <w:r>
        <w:t xml:space="preserve"> of the _________ day of ________________, 19_____, undertake and mutually agree as follows:</w:t>
      </w:r>
    </w:p>
    <w:p w:rsidR="005A61A2" w:rsidRDefault="005A61A2"/>
    <w:p w:rsidR="005A61A2" w:rsidRDefault="005A61A2">
      <w:pPr>
        <w:pStyle w:val="Heading3"/>
      </w:pPr>
      <w:r>
        <w:t>Warranties</w:t>
      </w:r>
    </w:p>
    <w:p w:rsidR="005A61A2" w:rsidRDefault="005A61A2">
      <w:pPr>
        <w:spacing w:after="220"/>
      </w:pPr>
      <w:proofErr w:type="gramStart"/>
      <w:r>
        <w:rPr>
          <w:b/>
        </w:rPr>
        <w:t>Section 1.01.</w:t>
      </w:r>
      <w:proofErr w:type="gramEnd"/>
      <w:r>
        <w:t xml:space="preserve"> Seller and Buyer each </w:t>
      </w:r>
      <w:proofErr w:type="gramStart"/>
      <w:r>
        <w:t>represents,</w:t>
      </w:r>
      <w:proofErr w:type="gramEnd"/>
      <w:r>
        <w:t xml:space="preserve"> warrants and agrees that as of the date of this Agreement:</w:t>
      </w:r>
    </w:p>
    <w:p w:rsidR="005A61A2" w:rsidRDefault="005A61A2">
      <w:pPr>
        <w:pStyle w:val="Style1"/>
      </w:pPr>
      <w:r>
        <w:t>(a)</w:t>
      </w:r>
      <w:r>
        <w:tab/>
        <w:t>It is duly organized, validly existing, and in good standing under the laws of its jurisdiction of organization, and has the requisite power and authority to enter into this Agreement and the agreements to which it is a party contemplated by this Agreement.</w:t>
      </w:r>
    </w:p>
    <w:p w:rsidR="005A61A2" w:rsidRDefault="005A61A2">
      <w:pPr>
        <w:pStyle w:val="Style1"/>
      </w:pPr>
      <w:r>
        <w:t>(b)</w:t>
      </w:r>
      <w:r>
        <w:tab/>
        <w:t>This Agreement has been duly authorized, executed and delivered by it to the other party and constitutes a valid and legally binding agreement of it enforceable in accordance with its terms, upon being signed by the Government National Mortgage Association (“Ginnie Mae”).</w:t>
      </w:r>
    </w:p>
    <w:p w:rsidR="005A61A2" w:rsidRDefault="005A61A2">
      <w:pPr>
        <w:pStyle w:val="Style1"/>
      </w:pPr>
      <w:r>
        <w:t>(c)</w:t>
      </w:r>
      <w:r>
        <w:tab/>
        <w:t>There is no action, proceeding, or investigation pending or threatened, nor any basis therefor</w:t>
      </w:r>
      <w:r w:rsidR="005E51B4">
        <w:t>e</w:t>
      </w:r>
      <w:r>
        <w:t xml:space="preserve"> known to it, which questions the validity or prospective validity of this Agreement insofar as the Agreement relates to it, or any essential element upon which this Agreement depends, or any action to be taken by it pursuant to this Agreement.</w:t>
      </w:r>
    </w:p>
    <w:p w:rsidR="005A61A2" w:rsidRDefault="005A61A2">
      <w:pPr>
        <w:pStyle w:val="Style1"/>
      </w:pPr>
      <w:r>
        <w:t>(d)</w:t>
      </w:r>
      <w:r>
        <w:tab/>
        <w:t>Insofar as its capacity to carry out any obligation under this Agreement is concerned, it is not in violation of any provision of any charter, certificate of incorporation, by</w:t>
      </w:r>
      <w:r>
        <w:noBreakHyphen/>
        <w:t xml:space="preserve">law, mortgage, indenture, indebtedness, agreement, instrument, judgment, decree, order, statute, rule, or regulation, and there is no such provision which adversely affects its capacity to carry out any such obligation. </w:t>
      </w:r>
      <w:proofErr w:type="gramStart"/>
      <w:r>
        <w:t>Its execution of, and performance pursuant to, this Agreement will not result in such violation.</w:t>
      </w:r>
      <w:proofErr w:type="gramEnd"/>
      <w:r>
        <w:t xml:space="preserve"> </w:t>
      </w:r>
    </w:p>
    <w:p w:rsidR="005A61A2" w:rsidRDefault="005A61A2">
      <w:pPr>
        <w:spacing w:after="220"/>
      </w:pPr>
      <w:proofErr w:type="gramStart"/>
      <w:r>
        <w:rPr>
          <w:b/>
        </w:rPr>
        <w:t>Section 1.02.</w:t>
      </w:r>
      <w:proofErr w:type="gramEnd"/>
      <w:r>
        <w:t xml:space="preserve"> Seller represents and warrants to Buyer that, as of the date of execution of this Agreement, Seller is an </w:t>
      </w:r>
      <w:r w:rsidR="003613D5">
        <w:t>Issuer</w:t>
      </w:r>
      <w:r>
        <w:t xml:space="preserve"> of mortgage-backed securities guaranteed by Ginnie Mae under the terms and provisions of the Ginnie Mae Mortgage-Backed Securities Program (the “Ginnie Mae MBS Program”) with respect to mortgage pool(s)</w:t>
      </w:r>
      <w:r w:rsidR="003613D5">
        <w:t xml:space="preserve">, </w:t>
      </w:r>
      <w:r>
        <w:t>loan package(s)</w:t>
      </w:r>
      <w:r w:rsidR="003613D5">
        <w:t xml:space="preserve"> or pools of </w:t>
      </w:r>
      <w:r w:rsidR="00EB6656">
        <w:t>p</w:t>
      </w:r>
      <w:r w:rsidR="003613D5">
        <w:t>articipation interests (“Participations”</w:t>
      </w:r>
      <w:r w:rsidR="00F4321F">
        <w:t>)</w:t>
      </w:r>
      <w:r w:rsidR="003613D5">
        <w:t xml:space="preserve"> in home equity conversion mortgage loans (HECMs)</w:t>
      </w:r>
      <w:r>
        <w:t xml:space="preserve"> identified on Ginnie Mae’s and Seller’s records as the same mortgage pool(s)</w:t>
      </w:r>
      <w:r w:rsidR="003613D5">
        <w:t xml:space="preserve">, </w:t>
      </w:r>
      <w:r>
        <w:t>loan package(s)</w:t>
      </w:r>
      <w:r w:rsidR="003613D5">
        <w:t xml:space="preserve"> or Participations</w:t>
      </w:r>
      <w:r>
        <w:t xml:space="preserve"> identified at the end of this Agreement, or in an attached Exhibit A if too numerous to set out herein (the “Pool(s)”). Seller further represents and warrants to Buyer that, as of the date of execution of this Agreement, Seller is not in default under the applicable Ginnie Mae Mortgage-Backed Securities Guide(s) respecting the Pool(s). </w:t>
      </w:r>
    </w:p>
    <w:p w:rsidR="005A61A2" w:rsidRDefault="005A61A2">
      <w:pPr>
        <w:spacing w:after="220"/>
      </w:pPr>
      <w:proofErr w:type="gramStart"/>
      <w:r>
        <w:rPr>
          <w:b/>
        </w:rPr>
        <w:t>Section 1.03.</w:t>
      </w:r>
      <w:proofErr w:type="gramEnd"/>
      <w:r>
        <w:t xml:space="preserve"> Buyer represents and warrants to Seller that as of the date of execution of this Agreement Buyer is an eligible </w:t>
      </w:r>
      <w:r w:rsidR="003613D5">
        <w:t>Issuer</w:t>
      </w:r>
      <w:r>
        <w:t xml:space="preserve"> of </w:t>
      </w:r>
      <w:proofErr w:type="spellStart"/>
      <w:r>
        <w:t>Mortgage</w:t>
      </w:r>
      <w:r>
        <w:noBreakHyphen/>
        <w:t>Backed</w:t>
      </w:r>
      <w:proofErr w:type="spellEnd"/>
      <w:r>
        <w:t xml:space="preserve"> Securities under the Ginnie Mae MBS program.  Buyer further represents and warrants that upon the transfer of the Pool(s) designated on Exhibit A it will be in compliance with the current eligibility requirements of 24 CFR § 320.3 and the provisions of the applicable Ginnie Mae Mortgage Backed Securities Guide(s) that are in effect as of the date of this Agreement.</w:t>
      </w:r>
    </w:p>
    <w:p w:rsidR="005A61A2" w:rsidRDefault="005A61A2">
      <w:pPr>
        <w:spacing w:after="220"/>
      </w:pPr>
      <w:proofErr w:type="gramStart"/>
      <w:r>
        <w:rPr>
          <w:b/>
        </w:rPr>
        <w:t>Section 1.04.</w:t>
      </w:r>
      <w:proofErr w:type="gramEnd"/>
      <w:r>
        <w:t xml:space="preserve"> If this Agreement is signed upon contemplation of a transfer of servicing rights and </w:t>
      </w:r>
      <w:r w:rsidR="003613D5">
        <w:t>Issuer</w:t>
      </w:r>
      <w:r>
        <w:t xml:space="preserve"> responsibility immediately upon the issuance of a security, the Seller hereby warrants to Ginnie Mae that, if the Pool(s) does (do) not transfer to the Buyer for any reason, the Seller retains all </w:t>
      </w:r>
      <w:r w:rsidR="003613D5">
        <w:t>Issuer</w:t>
      </w:r>
      <w:r>
        <w:t xml:space="preserve"> responsibility as detailed in the Ginnie Mae Guide. For all other transactions, including both immediate and subsequent transfers, the Buyer hereby warrants that it assumes all </w:t>
      </w:r>
      <w:r w:rsidR="003613D5">
        <w:t>Issuer</w:t>
      </w:r>
      <w:r>
        <w:t xml:space="preserve"> responsibilities for the Pool(s) upon execution by Ginnie Mae of this Agreement.</w:t>
      </w:r>
    </w:p>
    <w:p w:rsidR="005A61A2" w:rsidRDefault="005A61A2">
      <w:pPr>
        <w:pStyle w:val="Heading3"/>
      </w:pPr>
      <w:r>
        <w:t>Assignment</w:t>
      </w:r>
    </w:p>
    <w:p w:rsidR="005A61A2" w:rsidRDefault="005A61A2">
      <w:pPr>
        <w:spacing w:after="220"/>
      </w:pPr>
      <w:proofErr w:type="gramStart"/>
      <w:r>
        <w:rPr>
          <w:b/>
        </w:rPr>
        <w:t>Section 2.01.</w:t>
      </w:r>
      <w:proofErr w:type="gramEnd"/>
      <w:r>
        <w:t xml:space="preserve"> Seller, under contractual agreement(s) with Ginnie Mae under the Ginnie Mae I and/or Ginnie Mae II programs, assigned to Ginnie Mae all but nominal title to the mortgages</w:t>
      </w:r>
      <w:r w:rsidR="003613D5">
        <w:t xml:space="preserve"> and the related Participations, in the case of HECM loans,</w:t>
      </w:r>
      <w:r>
        <w:t xml:space="preserve"> which are identified and described in the Schedule(s) of Mortgages </w:t>
      </w:r>
      <w:r w:rsidR="003613D5">
        <w:t>or the Schedule(s) of</w:t>
      </w:r>
      <w:r w:rsidR="00F4321F">
        <w:t xml:space="preserve"> Pooled Participations and</w:t>
      </w:r>
      <w:r w:rsidR="003613D5">
        <w:t xml:space="preserve"> Mortgages, as applicable, </w:t>
      </w:r>
      <w:r>
        <w:t>respecting the Pool(s) numbered as shown on the attached Exhibit A (the “Mortgages”).</w:t>
      </w:r>
      <w:r w:rsidR="003613D5">
        <w:t xml:space="preserve">  In the case of HECM loans, “Mortgages” shall also include the Other Interests (as defined in the Guaranty Agreements) related to the Participations, which includes, but is not limited to, accrued interest on such mortgages, related servicing fees and monthly insurance premiums paid to FHA to maintain mortgage insurance on such mortgages that are not included in Pools.  </w:t>
      </w:r>
      <w:r>
        <w:t>Seller transfers and assigns to Buyer all of Seller’s right, title and interest in and to the Mortgages, and Buyer agrees to such transfer and assignment. Further, by executing this agreement, Buyer acknowledges and affirms that under Seller’s previous assignments to Ginnie Mae, all but nominal title in and to the Mortgages is vested in Ginnie Mae, and thus this right, title and interest acquired by Buyer is limited to nominal title.</w:t>
      </w:r>
    </w:p>
    <w:p w:rsidR="005A61A2" w:rsidRDefault="005A61A2">
      <w:pPr>
        <w:spacing w:after="220"/>
      </w:pPr>
      <w:proofErr w:type="gramStart"/>
      <w:r>
        <w:rPr>
          <w:b/>
        </w:rPr>
        <w:t>Section 2.02.</w:t>
      </w:r>
      <w:proofErr w:type="gramEnd"/>
      <w:r>
        <w:t xml:space="preserve"> Seller assigns to Buyer all of its rights, title, and interest in, to and under the Guaranty Agreement(s) and/or Contractual Agreement(s) evidenced by the appropriate HUD forms respecting the Pool(s) designated on Exhibit A. Buyer accepts such assignment and signifies its assumption on this date of all duties and obligations (from the effective date of such Guaranty Agreement(s) and/or Contractual Agreement(s)) of the Seller as “</w:t>
      </w:r>
      <w:r w:rsidR="003613D5">
        <w:t>Issuer</w:t>
      </w:r>
      <w:r>
        <w:t>” under such Agreement(s).</w:t>
      </w:r>
    </w:p>
    <w:p w:rsidR="005A61A2" w:rsidRDefault="005A61A2">
      <w:pPr>
        <w:pStyle w:val="Heading3"/>
      </w:pPr>
      <w:r>
        <w:t>Final Certification Warrant</w:t>
      </w:r>
    </w:p>
    <w:p w:rsidR="005A61A2" w:rsidRDefault="005A61A2">
      <w:proofErr w:type="gramStart"/>
      <w:r>
        <w:rPr>
          <w:b/>
        </w:rPr>
        <w:t>Section 3.01.</w:t>
      </w:r>
      <w:proofErr w:type="gramEnd"/>
      <w:r>
        <w:t xml:space="preserve"> The Buyer warrants and agrees with Ginnie Mae to complete final certification of the Pool(s), as required by the Guide(s). BUYER ACKNOWLEDGES THAT </w:t>
      </w:r>
      <w:r w:rsidR="003613D5">
        <w:t>ISSUER</w:t>
      </w:r>
      <w:r>
        <w:t xml:space="preserve"> OF RECORD IS RESPONSIBLE FOR ENSURING THAT FINAL CERTIFICATION IS COMPLETED TIMELY IN ACCORDANCE WITH THE TIMETABLE IN THE GUIDE(S) REGARDLESS OF THE DATE ON WHICH THE </w:t>
      </w:r>
      <w:r w:rsidR="003613D5">
        <w:t>ISSUER</w:t>
      </w:r>
      <w:r>
        <w:t xml:space="preserve"> PURCHASED THE POOL. Buyer acknowledges and agrees that failure to complete final certification and/or recertification of any Pool(s) under this Agreement may be considered an event of default under its Guaranty Agreement(s) and/or Guaranty/Contractual Agreement(s). </w:t>
      </w:r>
    </w:p>
    <w:p w:rsidR="005A61A2" w:rsidRDefault="005A61A2"/>
    <w:p w:rsidR="005A61A2" w:rsidRDefault="005A61A2">
      <w:pPr>
        <w:tabs>
          <w:tab w:val="right" w:leader="underscore" w:pos="9360"/>
        </w:tabs>
      </w:pPr>
      <w:r>
        <w:t xml:space="preserve">Pool(s): </w:t>
      </w:r>
      <w:r>
        <w:tab/>
      </w:r>
    </w:p>
    <w:p w:rsidR="005A61A2" w:rsidRDefault="005A61A2">
      <w:pPr>
        <w:tabs>
          <w:tab w:val="center" w:pos="5040"/>
        </w:tabs>
      </w:pPr>
      <w:r>
        <w:tab/>
        <w:t xml:space="preserve">(If no pools are identified above, see Exhibit A, attached hereto.) </w:t>
      </w:r>
    </w:p>
    <w:p w:rsidR="005A61A2" w:rsidRDefault="005A61A2">
      <w:pPr>
        <w:tabs>
          <w:tab w:val="right" w:leader="underscore" w:pos="9360"/>
        </w:tabs>
      </w:pPr>
      <w:r>
        <w:t xml:space="preserve">Buyer’s Subcontract Servicer (if applicable): </w:t>
      </w:r>
      <w:r>
        <w:tab/>
      </w:r>
    </w:p>
    <w:p w:rsidR="005A61A2" w:rsidRDefault="005A61A2">
      <w:pPr>
        <w:tabs>
          <w:tab w:val="left" w:pos="3780"/>
          <w:tab w:val="right" w:leader="underscore" w:pos="5400"/>
          <w:tab w:val="left" w:pos="5580"/>
          <w:tab w:val="right" w:leader="underscore" w:pos="9360"/>
        </w:tabs>
      </w:pPr>
      <w:r>
        <w:t xml:space="preserve">Subcontract Servicer’s Ginnie Mae </w:t>
      </w:r>
      <w:r w:rsidR="003613D5">
        <w:t>Issuer</w:t>
      </w:r>
      <w:r>
        <w:t xml:space="preserve"> No. </w:t>
      </w:r>
      <w:r>
        <w:tab/>
      </w:r>
      <w:r>
        <w:tab/>
        <w:t xml:space="preserve">Address: </w:t>
      </w:r>
      <w:r>
        <w:tab/>
      </w:r>
    </w:p>
    <w:p w:rsidR="005A61A2" w:rsidRDefault="005A61A2">
      <w:pPr>
        <w:tabs>
          <w:tab w:val="left" w:pos="6480"/>
          <w:tab w:val="right" w:leader="underscore" w:pos="9360"/>
        </w:tabs>
      </w:pPr>
      <w:r>
        <w:tab/>
      </w:r>
      <w:r>
        <w:tab/>
      </w:r>
    </w:p>
    <w:p w:rsidR="005A61A2" w:rsidRDefault="005A61A2"/>
    <w:p w:rsidR="005A61A2" w:rsidRDefault="005A61A2">
      <w:pPr>
        <w:keepNext/>
        <w:keepLines/>
      </w:pPr>
      <w:r>
        <w:rPr>
          <w:b/>
        </w:rPr>
        <w:t>IN WITNESS WHEREOF</w:t>
      </w:r>
      <w:r>
        <w:t xml:space="preserve">, Seller and Buyer, on the day and year first hereinabove written, have caused their seals to be affixed on this instrument to be signed on their behalf by their duly authorized officers. </w:t>
      </w:r>
    </w:p>
    <w:p w:rsidR="005A61A2" w:rsidRDefault="005A61A2">
      <w:pPr>
        <w:keepNext/>
        <w:keepLines/>
      </w:pPr>
    </w:p>
    <w:p w:rsidR="005A61A2" w:rsidRDefault="005A61A2">
      <w:pPr>
        <w:keepNext/>
        <w:keepLines/>
      </w:pPr>
      <w:r>
        <w:rPr>
          <w:b/>
        </w:rPr>
        <w:t>ATTEST</w:t>
      </w:r>
      <w:r>
        <w:t xml:space="preserve">: </w:t>
      </w:r>
    </w:p>
    <w:p w:rsidR="005A61A2" w:rsidRDefault="005A61A2">
      <w:pPr>
        <w:keepNext/>
        <w:keepLines/>
      </w:pPr>
    </w:p>
    <w:p w:rsidR="005A61A2" w:rsidRDefault="005A61A2">
      <w:pPr>
        <w:keepNext/>
        <w:keepLines/>
        <w:tabs>
          <w:tab w:val="left" w:pos="4500"/>
        </w:tabs>
      </w:pPr>
      <w:r>
        <w:t>_________________________________</w:t>
      </w:r>
      <w:r w:rsidR="00AC1894">
        <w:t xml:space="preserve">         </w:t>
      </w:r>
      <w:r w:rsidR="00AC1894">
        <w:tab/>
      </w:r>
      <w:r w:rsidR="00AC1894">
        <w:rPr>
          <w:b/>
        </w:rPr>
        <w:t>Signature</w:t>
      </w:r>
      <w:proofErr w:type="gramStart"/>
      <w:r w:rsidR="00AC1894">
        <w:rPr>
          <w:b/>
        </w:rPr>
        <w:t>:</w:t>
      </w:r>
      <w:r>
        <w:t>_</w:t>
      </w:r>
      <w:proofErr w:type="gramEnd"/>
      <w:r>
        <w:t>__________________</w:t>
      </w:r>
      <w:r w:rsidR="00AC1894">
        <w:rPr>
          <w:u w:val="single"/>
        </w:rPr>
        <w:t xml:space="preserve">           </w:t>
      </w:r>
      <w:r>
        <w:t>__________</w:t>
      </w:r>
    </w:p>
    <w:p w:rsidR="00AC1894" w:rsidRDefault="00AC1894">
      <w:pPr>
        <w:keepNext/>
        <w:keepLines/>
        <w:tabs>
          <w:tab w:val="left" w:pos="4500"/>
        </w:tabs>
      </w:pPr>
    </w:p>
    <w:p w:rsidR="00AC1894" w:rsidRPr="00AC1894" w:rsidRDefault="00AC1894">
      <w:pPr>
        <w:keepNext/>
        <w:keepLines/>
        <w:tabs>
          <w:tab w:val="left" w:pos="4500"/>
        </w:tabs>
        <w:rPr>
          <w:u w:val="single"/>
        </w:rPr>
      </w:pPr>
      <w:r>
        <w:t xml:space="preserve">                                                                                  Print Name: </w:t>
      </w:r>
      <w:r>
        <w:rPr>
          <w:u w:val="single"/>
        </w:rPr>
        <w:t xml:space="preserve">                                                                    </w:t>
      </w:r>
    </w:p>
    <w:p w:rsidR="005A61A2" w:rsidRDefault="005A61A2">
      <w:pPr>
        <w:keepNext/>
        <w:keepLines/>
        <w:tabs>
          <w:tab w:val="left" w:pos="4860"/>
          <w:tab w:val="right" w:leader="underscore" w:pos="9360"/>
        </w:tabs>
      </w:pPr>
      <w:r>
        <w:tab/>
        <w:t xml:space="preserve">Seller: </w:t>
      </w:r>
      <w:r>
        <w:tab/>
      </w:r>
    </w:p>
    <w:p w:rsidR="005A61A2" w:rsidRDefault="005A61A2">
      <w:pPr>
        <w:keepNext/>
        <w:keepLines/>
        <w:tabs>
          <w:tab w:val="left" w:pos="4860"/>
          <w:tab w:val="right" w:leader="underscore" w:pos="9360"/>
        </w:tabs>
      </w:pPr>
      <w:r>
        <w:tab/>
      </w:r>
      <w:proofErr w:type="gramStart"/>
      <w:r w:rsidR="003613D5">
        <w:t>Issuer</w:t>
      </w:r>
      <w:r>
        <w:t xml:space="preserve"> No.</w:t>
      </w:r>
      <w:proofErr w:type="gramEnd"/>
      <w:r>
        <w:t xml:space="preserve"> </w:t>
      </w:r>
      <w:r>
        <w:tab/>
      </w:r>
    </w:p>
    <w:p w:rsidR="005A61A2" w:rsidRDefault="005A61A2">
      <w:pPr>
        <w:keepNext/>
        <w:keepLines/>
        <w:tabs>
          <w:tab w:val="left" w:pos="4500"/>
        </w:tabs>
      </w:pPr>
    </w:p>
    <w:p w:rsidR="005A61A2" w:rsidRDefault="005A61A2">
      <w:pPr>
        <w:keepNext/>
        <w:keepLines/>
        <w:tabs>
          <w:tab w:val="left" w:pos="4500"/>
        </w:tabs>
      </w:pPr>
      <w:r>
        <w:rPr>
          <w:b/>
        </w:rPr>
        <w:t>ATTEST</w:t>
      </w:r>
      <w:r>
        <w:t>:</w:t>
      </w:r>
    </w:p>
    <w:p w:rsidR="005A61A2" w:rsidRDefault="005A61A2">
      <w:pPr>
        <w:keepNext/>
        <w:keepLines/>
        <w:tabs>
          <w:tab w:val="left" w:pos="4500"/>
        </w:tabs>
      </w:pPr>
    </w:p>
    <w:p w:rsidR="005A61A2" w:rsidRDefault="005A61A2">
      <w:pPr>
        <w:keepNext/>
        <w:keepLines/>
        <w:tabs>
          <w:tab w:val="left" w:pos="4500"/>
        </w:tabs>
      </w:pPr>
      <w:r>
        <w:t>_________________________________</w:t>
      </w:r>
      <w:r>
        <w:tab/>
      </w:r>
      <w:r w:rsidR="00AC1894">
        <w:rPr>
          <w:b/>
        </w:rPr>
        <w:t>Signature</w:t>
      </w:r>
      <w:r>
        <w:t>: ___________</w:t>
      </w:r>
      <w:r w:rsidR="00AC1894">
        <w:rPr>
          <w:u w:val="single"/>
        </w:rPr>
        <w:t xml:space="preserve">      </w:t>
      </w:r>
      <w:r>
        <w:t>____________________</w:t>
      </w:r>
    </w:p>
    <w:p w:rsidR="00AC1894" w:rsidRDefault="00AC1894">
      <w:pPr>
        <w:keepNext/>
        <w:keepLines/>
        <w:tabs>
          <w:tab w:val="left" w:pos="4500"/>
        </w:tabs>
      </w:pPr>
    </w:p>
    <w:p w:rsidR="00AC1894" w:rsidRDefault="00AC1894">
      <w:pPr>
        <w:keepNext/>
        <w:keepLines/>
        <w:tabs>
          <w:tab w:val="left" w:pos="4500"/>
        </w:tabs>
      </w:pPr>
      <w:r>
        <w:tab/>
        <w:t>Print Name:</w:t>
      </w:r>
      <w:r>
        <w:rPr>
          <w:u w:val="single"/>
        </w:rPr>
        <w:t xml:space="preserve">                                                                    </w:t>
      </w:r>
      <w:r>
        <w:t xml:space="preserve">     </w:t>
      </w:r>
    </w:p>
    <w:p w:rsidR="005A61A2" w:rsidRDefault="005A61A2">
      <w:pPr>
        <w:keepNext/>
        <w:keepLines/>
        <w:tabs>
          <w:tab w:val="left" w:pos="4860"/>
          <w:tab w:val="right" w:leader="underscore" w:pos="9360"/>
        </w:tabs>
      </w:pPr>
      <w:r>
        <w:tab/>
        <w:t xml:space="preserve">Buyer: </w:t>
      </w:r>
      <w:r>
        <w:tab/>
      </w:r>
    </w:p>
    <w:p w:rsidR="005A61A2" w:rsidRDefault="005A61A2">
      <w:pPr>
        <w:keepNext/>
        <w:keepLines/>
        <w:tabs>
          <w:tab w:val="left" w:pos="4860"/>
          <w:tab w:val="right" w:leader="underscore" w:pos="9360"/>
        </w:tabs>
      </w:pPr>
      <w:r>
        <w:tab/>
      </w:r>
      <w:proofErr w:type="gramStart"/>
      <w:r w:rsidR="003613D5">
        <w:t>Issuer</w:t>
      </w:r>
      <w:r>
        <w:t xml:space="preserve"> No.</w:t>
      </w:r>
      <w:proofErr w:type="gramEnd"/>
      <w:r>
        <w:t xml:space="preserve"> </w:t>
      </w:r>
      <w:r>
        <w:tab/>
      </w:r>
    </w:p>
    <w:p w:rsidR="005A61A2" w:rsidRDefault="005A61A2">
      <w:pPr>
        <w:keepNext/>
        <w:keepLines/>
        <w:tabs>
          <w:tab w:val="left" w:pos="4500"/>
        </w:tabs>
      </w:pPr>
    </w:p>
    <w:p w:rsidR="005A61A2" w:rsidRDefault="005A61A2">
      <w:r>
        <w:t>(Attach/affix notarized acknowledgments of Seller and Buyer appropriate to the form(s) of organization of the parties and the jurisdiction(s) where the Agreement is executed.)</w:t>
      </w:r>
    </w:p>
    <w:p w:rsidR="005A61A2" w:rsidRDefault="005A61A2"/>
    <w:p w:rsidR="005A61A2" w:rsidRDefault="005A61A2">
      <w:r>
        <w:t xml:space="preserve">In accordance with the Guaranty Agreement(s) and/or Contractual Agreement(s) between Seller and Ginnie Mae and the provisions of the Guides, Ginnie Mae approves and consents to the </w:t>
      </w:r>
      <w:proofErr w:type="spellStart"/>
      <w:r>
        <w:t>above</w:t>
      </w:r>
      <w:r>
        <w:noBreakHyphen/>
        <w:t>described</w:t>
      </w:r>
      <w:proofErr w:type="spellEnd"/>
      <w:r>
        <w:t xml:space="preserve"> assignment to Buyer of Seller’s rights, title, and interest in, to and under the described mortgages,</w:t>
      </w:r>
      <w:r w:rsidR="003613D5">
        <w:t xml:space="preserve"> and Participations, as applicable, including the Other Interests related to such Participations,</w:t>
      </w:r>
      <w:r>
        <w:t xml:space="preserve"> Guaranty Agreement(s) and/or Contractual Agreement(s), and the </w:t>
      </w:r>
      <w:proofErr w:type="spellStart"/>
      <w:r>
        <w:t>above</w:t>
      </w:r>
      <w:r>
        <w:noBreakHyphen/>
        <w:t>described</w:t>
      </w:r>
      <w:proofErr w:type="spellEnd"/>
      <w:r>
        <w:t xml:space="preserve"> assumption by Buyer of Seller’s duties and obligations under the Guaranty Agreement(s) and/or Contractual Agreement(s). From this date forward Buyer shall be the “</w:t>
      </w:r>
      <w:r w:rsidR="003613D5">
        <w:t>Issuer</w:t>
      </w:r>
      <w:r>
        <w:t>” under the Pool(s) identified on Exhibit A.</w:t>
      </w:r>
    </w:p>
    <w:p w:rsidR="005A61A2" w:rsidRDefault="005A61A2"/>
    <w:p w:rsidR="005A61A2" w:rsidRDefault="005A61A2"/>
    <w:p w:rsidR="005A61A2" w:rsidRDefault="005A61A2">
      <w:pPr>
        <w:tabs>
          <w:tab w:val="right" w:pos="9360"/>
        </w:tabs>
      </w:pPr>
      <w:r>
        <w:tab/>
      </w:r>
      <w:proofErr w:type="gramStart"/>
      <w:r>
        <w:t>Approved this __________ day of _______________, 19____.</w:t>
      </w:r>
      <w:proofErr w:type="gramEnd"/>
    </w:p>
    <w:p w:rsidR="005A61A2" w:rsidRDefault="005A61A2">
      <w:pPr>
        <w:tabs>
          <w:tab w:val="right" w:pos="9360"/>
        </w:tabs>
      </w:pPr>
    </w:p>
    <w:p w:rsidR="005A61A2" w:rsidRDefault="005A61A2">
      <w:pPr>
        <w:tabs>
          <w:tab w:val="right" w:pos="9360"/>
        </w:tabs>
      </w:pPr>
    </w:p>
    <w:p w:rsidR="005A61A2" w:rsidRDefault="005A61A2">
      <w:pPr>
        <w:tabs>
          <w:tab w:val="right" w:pos="9360"/>
        </w:tabs>
      </w:pPr>
      <w:r>
        <w:tab/>
        <w:t>GOVERNMENT NATIONAL MORTGAGE ASSOCIATION</w:t>
      </w:r>
    </w:p>
    <w:p w:rsidR="005A61A2" w:rsidRDefault="005A61A2">
      <w:pPr>
        <w:tabs>
          <w:tab w:val="left" w:pos="3240"/>
          <w:tab w:val="right" w:pos="9360"/>
        </w:tabs>
      </w:pPr>
    </w:p>
    <w:p w:rsidR="005A61A2" w:rsidRDefault="005A61A2">
      <w:pPr>
        <w:tabs>
          <w:tab w:val="left" w:pos="3240"/>
          <w:tab w:val="right" w:pos="9360"/>
        </w:tabs>
      </w:pPr>
    </w:p>
    <w:p w:rsidR="005A61A2" w:rsidRDefault="005A61A2">
      <w:pPr>
        <w:tabs>
          <w:tab w:val="left" w:pos="3240"/>
          <w:tab w:val="right" w:pos="9360"/>
        </w:tabs>
      </w:pPr>
    </w:p>
    <w:p w:rsidR="005A61A2" w:rsidRDefault="005A61A2">
      <w:pPr>
        <w:tabs>
          <w:tab w:val="left" w:pos="3240"/>
          <w:tab w:val="right" w:pos="9360"/>
        </w:tabs>
      </w:pPr>
      <w:r>
        <w:tab/>
        <w:t xml:space="preserve">By: </w:t>
      </w:r>
      <w:r>
        <w:rPr>
          <w:u w:val="single"/>
        </w:rPr>
        <w:tab/>
      </w:r>
    </w:p>
    <w:p w:rsidR="005A61A2" w:rsidRDefault="005A61A2"/>
    <w:p w:rsidR="005A61A2" w:rsidRDefault="002E40C7">
      <w:r>
        <w:rPr>
          <w:noProof/>
        </w:rPr>
        <w:pict>
          <v:rect id="_x0000_s1027" style="position:absolute;margin-left:1in;margin-top:756pt;width:468pt;height:21.6pt;z-index:251658240" o:allowincell="f" filled="f" stroked="f" strokeweight="0">
            <v:textbox inset="0,0,0,0">
              <w:txbxContent>
                <w:p w:rsidR="005A61A2" w:rsidRDefault="005A61A2">
                  <w:pPr>
                    <w:rPr>
                      <w:sz w:val="18"/>
                    </w:rPr>
                  </w:pPr>
                  <w:r>
                    <w:rPr>
                      <w:sz w:val="18"/>
                    </w:rPr>
                    <w:t xml:space="preserve">48464.000240 </w:t>
                  </w:r>
                  <w:smartTag w:uri="urn:schemas-microsoft-com:office:smarttags" w:element="place">
                    <w:smartTag w:uri="urn:schemas-microsoft-com:office:smarttags" w:element="City">
                      <w:r>
                        <w:rPr>
                          <w:sz w:val="18"/>
                        </w:rPr>
                        <w:t>RICHMOND</w:t>
                      </w:r>
                    </w:smartTag>
                  </w:smartTag>
                  <w:r>
                    <w:rPr>
                      <w:sz w:val="18"/>
                    </w:rPr>
                    <w:t xml:space="preserve"> 890624v1</w:t>
                  </w:r>
                </w:p>
              </w:txbxContent>
            </v:textbox>
          </v:rect>
        </w:pict>
      </w:r>
      <w:r>
        <w:rPr>
          <w:noProof/>
        </w:rPr>
        <w:pict>
          <v:rect id="_x0000_s1026" style="position:absolute;margin-left:1in;margin-top:756pt;width:468pt;height:21.6pt;z-index:251657216" o:allowincell="f" filled="f" stroked="f" strokeweight="0">
            <v:textbox inset="0,0,0,0">
              <w:txbxContent>
                <w:p w:rsidR="005A61A2" w:rsidRDefault="005A61A2">
                  <w:pPr>
                    <w:rPr>
                      <w:sz w:val="18"/>
                    </w:rPr>
                  </w:pPr>
                  <w:r>
                    <w:rPr>
                      <w:sz w:val="18"/>
                    </w:rPr>
                    <w:t xml:space="preserve">48464.000159 </w:t>
                  </w:r>
                  <w:smartTag w:uri="urn:schemas-microsoft-com:office:smarttags" w:element="place">
                    <w:smartTag w:uri="urn:schemas-microsoft-com:office:smarttags" w:element="City">
                      <w:r>
                        <w:rPr>
                          <w:sz w:val="18"/>
                        </w:rPr>
                        <w:t>RICHMOND</w:t>
                      </w:r>
                    </w:smartTag>
                  </w:smartTag>
                  <w:r>
                    <w:rPr>
                      <w:sz w:val="18"/>
                    </w:rPr>
                    <w:t xml:space="preserve"> 890624v1</w:t>
                  </w:r>
                </w:p>
              </w:txbxContent>
            </v:textbox>
          </v:rect>
        </w:pict>
      </w:r>
    </w:p>
    <w:sectPr w:rsidR="005A61A2" w:rsidSect="00323A94">
      <w:footnotePr>
        <w:numRestart w:val="eachPage"/>
      </w:footnotePr>
      <w:endnotePr>
        <w:numFmt w:val="decimal"/>
      </w:endnotePr>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7E2" w:rsidRDefault="006357E2">
      <w:pPr>
        <w:spacing w:line="20" w:lineRule="exact"/>
        <w:rPr>
          <w:sz w:val="24"/>
        </w:rPr>
      </w:pPr>
    </w:p>
  </w:endnote>
  <w:endnote w:type="continuationSeparator" w:id="0">
    <w:p w:rsidR="006357E2" w:rsidRDefault="006357E2">
      <w:r>
        <w:rPr>
          <w:sz w:val="24"/>
        </w:rPr>
        <w:t xml:space="preserve"> </w:t>
      </w:r>
    </w:p>
  </w:endnote>
  <w:endnote w:type="continuationNotice" w:id="1">
    <w:p w:rsidR="006357E2" w:rsidRDefault="006357E2">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A2" w:rsidRDefault="005A61A2">
    <w:pPr>
      <w:pBdr>
        <w:bottom w:val="double" w:sz="6" w:space="1" w:color="auto"/>
      </w:pBdr>
      <w:tabs>
        <w:tab w:val="right" w:pos="9360"/>
      </w:tabs>
      <w:suppressAutoHyphens/>
      <w:rPr>
        <w:kern w:val="1"/>
      </w:rPr>
    </w:pPr>
  </w:p>
  <w:p w:rsidR="005A61A2" w:rsidRDefault="005A61A2">
    <w:pPr>
      <w:tabs>
        <w:tab w:val="right" w:pos="9866"/>
      </w:tabs>
      <w:suppressAutoHyphens/>
      <w:rPr>
        <w:kern w:val="1"/>
      </w:rPr>
    </w:pPr>
  </w:p>
  <w:p w:rsidR="005A61A2" w:rsidRDefault="005A61A2">
    <w:pPr>
      <w:tabs>
        <w:tab w:val="center" w:pos="4500"/>
        <w:tab w:val="right" w:pos="9360"/>
      </w:tabs>
      <w:suppressAutoHyphens/>
      <w:rPr>
        <w:kern w:val="1"/>
      </w:rPr>
    </w:pPr>
    <w:r>
      <w:rPr>
        <w:kern w:val="1"/>
      </w:rPr>
      <w:t xml:space="preserve">Date:  </w:t>
    </w:r>
    <w:smartTag w:uri="urn:schemas-microsoft-com:office:smarttags" w:element="date">
      <w:smartTagPr>
        <w:attr w:name="Month" w:val="10"/>
        <w:attr w:name="Day" w:val="1"/>
        <w:attr w:name="Year" w:val="2007"/>
      </w:smartTagPr>
      <w:r w:rsidR="003613D5">
        <w:rPr>
          <w:kern w:val="1"/>
        </w:rPr>
        <w:t>10/01/07</w:t>
      </w:r>
    </w:smartTag>
    <w:r>
      <w:rPr>
        <w:kern w:val="1"/>
      </w:rPr>
      <w:tab/>
    </w:r>
    <w:r w:rsidR="002E40C7">
      <w:rPr>
        <w:rStyle w:val="PageNumber"/>
      </w:rPr>
      <w:fldChar w:fldCharType="begin"/>
    </w:r>
    <w:r>
      <w:rPr>
        <w:rStyle w:val="PageNumber"/>
      </w:rPr>
      <w:instrText xml:space="preserve"> PAGE </w:instrText>
    </w:r>
    <w:r w:rsidR="002E40C7">
      <w:rPr>
        <w:rStyle w:val="PageNumber"/>
      </w:rPr>
      <w:fldChar w:fldCharType="separate"/>
    </w:r>
    <w:r w:rsidR="00AC1894">
      <w:rPr>
        <w:rStyle w:val="PageNumber"/>
        <w:noProof/>
      </w:rPr>
      <w:t>4</w:t>
    </w:r>
    <w:r w:rsidR="002E40C7">
      <w:rPr>
        <w:rStyle w:val="PageNumber"/>
      </w:rPr>
      <w:fldChar w:fldCharType="end"/>
    </w:r>
    <w:r>
      <w:rPr>
        <w:rStyle w:val="PageNumber"/>
      </w:rPr>
      <w:tab/>
    </w:r>
    <w:r>
      <w:rPr>
        <w:kern w:val="1"/>
      </w:rPr>
      <w:t>Appendix VIII-3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7E2" w:rsidRDefault="006357E2">
      <w:r>
        <w:rPr>
          <w:sz w:val="24"/>
        </w:rPr>
        <w:separator/>
      </w:r>
    </w:p>
  </w:footnote>
  <w:footnote w:type="continuationSeparator" w:id="0">
    <w:p w:rsidR="006357E2" w:rsidRDefault="00635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A2" w:rsidRDefault="005A61A2">
    <w:pPr>
      <w:pStyle w:val="Heading"/>
      <w:tabs>
        <w:tab w:val="clear" w:pos="9270"/>
      </w:tabs>
    </w:pPr>
    <w:r>
      <w:t>Ginnie Mae 5500.3, Rev. 1</w:t>
    </w:r>
  </w:p>
  <w:p w:rsidR="005A61A2" w:rsidRDefault="005A61A2">
    <w:pPr>
      <w:pBdr>
        <w:bottom w:val="double" w:sz="6" w:space="1" w:color="auto"/>
      </w:pBdr>
      <w:suppressAutoHyphens/>
      <w:rPr>
        <w:kern w:val="1"/>
      </w:rPr>
    </w:pPr>
  </w:p>
  <w:p w:rsidR="005A61A2" w:rsidRDefault="005A61A2">
    <w:pPr>
      <w:pStyle w:val="Header"/>
      <w:tabs>
        <w:tab w:val="clear" w:pos="4320"/>
        <w:tab w:val="clear" w:pos="8640"/>
      </w:tabs>
      <w:rPr>
        <w:kern w:val="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numRestart w:val="eachPage"/>
    <w:footnote w:id="-1"/>
    <w:footnote w:id="0"/>
  </w:footnotePr>
  <w:endnotePr>
    <w:numFmt w:val="decimal"/>
    <w:endnote w:id="-1"/>
    <w:endnote w:id="0"/>
    <w:endnote w:id="1"/>
  </w:endnotePr>
  <w:compat>
    <w:spaceForUL/>
    <w:balanceSingleByteDoubleByteWidth/>
    <w:doNotLeaveBackslashAlone/>
    <w:ulTrailSpace/>
    <w:doNotExpandShiftReturn/>
  </w:compat>
  <w:docVars>
    <w:docVar w:name="DocNumber" w:val="318672"/>
    <w:docVar w:name="DOCX97_66" w:val="GoodQuotes"/>
    <w:docVar w:name="SWDocIDLocation" w:val="0"/>
  </w:docVars>
  <w:rsids>
    <w:rsidRoot w:val="003613D5"/>
    <w:rsid w:val="00186A64"/>
    <w:rsid w:val="001A7F23"/>
    <w:rsid w:val="002E40C7"/>
    <w:rsid w:val="00323A94"/>
    <w:rsid w:val="003613D5"/>
    <w:rsid w:val="003A4209"/>
    <w:rsid w:val="00434304"/>
    <w:rsid w:val="005451B8"/>
    <w:rsid w:val="005A61A2"/>
    <w:rsid w:val="005E51B4"/>
    <w:rsid w:val="00611F75"/>
    <w:rsid w:val="006357E2"/>
    <w:rsid w:val="00646A78"/>
    <w:rsid w:val="007775EA"/>
    <w:rsid w:val="00837B43"/>
    <w:rsid w:val="0089023D"/>
    <w:rsid w:val="00A04FC7"/>
    <w:rsid w:val="00AC1894"/>
    <w:rsid w:val="00AE6D31"/>
    <w:rsid w:val="00BD2FA7"/>
    <w:rsid w:val="00CC380C"/>
    <w:rsid w:val="00E223C2"/>
    <w:rsid w:val="00EB6656"/>
    <w:rsid w:val="00EE5880"/>
    <w:rsid w:val="00F200BB"/>
    <w:rsid w:val="00F4321F"/>
    <w:rsid w:val="00FA3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A94"/>
    <w:pPr>
      <w:overflowPunct w:val="0"/>
      <w:autoSpaceDE w:val="0"/>
      <w:autoSpaceDN w:val="0"/>
      <w:adjustRightInd w:val="0"/>
      <w:textAlignment w:val="baseline"/>
    </w:pPr>
    <w:rPr>
      <w:sz w:val="22"/>
    </w:rPr>
  </w:style>
  <w:style w:type="paragraph" w:styleId="Heading1">
    <w:name w:val="heading 1"/>
    <w:basedOn w:val="Normal"/>
    <w:next w:val="Normal"/>
    <w:qFormat/>
    <w:rsid w:val="00323A94"/>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rsid w:val="00323A94"/>
    <w:pPr>
      <w:keepNext/>
      <w:spacing w:after="160"/>
      <w:outlineLvl w:val="1"/>
    </w:pPr>
    <w:rPr>
      <w:b/>
      <w:i/>
      <w:sz w:val="28"/>
    </w:rPr>
  </w:style>
  <w:style w:type="paragraph" w:styleId="Heading3">
    <w:name w:val="heading 3"/>
    <w:basedOn w:val="Normal"/>
    <w:next w:val="Normal"/>
    <w:qFormat/>
    <w:rsid w:val="00323A94"/>
    <w:pPr>
      <w:keepNext/>
      <w:spacing w:after="160"/>
      <w:outlineLvl w:val="2"/>
    </w:pPr>
    <w:rPr>
      <w:rFonts w:ascii="Times New Roman Bold" w:hAnsi="Times New Roman Bold"/>
      <w:b/>
    </w:rPr>
  </w:style>
  <w:style w:type="paragraph" w:styleId="Heading8">
    <w:name w:val="heading 8"/>
    <w:basedOn w:val="Normal"/>
    <w:next w:val="Normal"/>
    <w:qFormat/>
    <w:rsid w:val="00323A94"/>
    <w:pPr>
      <w:keepNext/>
      <w:spacing w:before="120" w:after="240"/>
      <w:jc w:val="center"/>
      <w:outlineLvl w:val="7"/>
    </w:pPr>
    <w:rPr>
      <w:b/>
      <w:i/>
    </w:rPr>
  </w:style>
  <w:style w:type="paragraph" w:styleId="Heading9">
    <w:name w:val="heading 9"/>
    <w:basedOn w:val="Normal"/>
    <w:next w:val="Normal"/>
    <w:qFormat/>
    <w:rsid w:val="00323A94"/>
    <w:pPr>
      <w:keepNext/>
      <w:spacing w:before="120" w:after="240"/>
      <w:jc w:val="center"/>
      <w:outlineLvl w:val="8"/>
    </w:pPr>
    <w:rPr>
      <w:b/>
      <w: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3A94"/>
    <w:pPr>
      <w:tabs>
        <w:tab w:val="center" w:pos="4320"/>
        <w:tab w:val="right" w:pos="8640"/>
      </w:tabs>
    </w:pPr>
  </w:style>
  <w:style w:type="paragraph" w:styleId="TOC1">
    <w:name w:val="toc 1"/>
    <w:basedOn w:val="Normal"/>
    <w:next w:val="Normal"/>
    <w:semiHidden/>
    <w:rsid w:val="00323A94"/>
    <w:pPr>
      <w:tabs>
        <w:tab w:val="left" w:leader="dot" w:pos="9000"/>
        <w:tab w:val="right" w:pos="9360"/>
      </w:tabs>
      <w:suppressAutoHyphens/>
      <w:spacing w:before="480"/>
      <w:ind w:left="720" w:right="720" w:hanging="720"/>
    </w:pPr>
  </w:style>
  <w:style w:type="paragraph" w:styleId="TOC2">
    <w:name w:val="toc 2"/>
    <w:basedOn w:val="Normal"/>
    <w:next w:val="Normal"/>
    <w:semiHidden/>
    <w:rsid w:val="00323A94"/>
    <w:pPr>
      <w:tabs>
        <w:tab w:val="left" w:leader="dot" w:pos="9000"/>
        <w:tab w:val="right" w:pos="9360"/>
      </w:tabs>
      <w:suppressAutoHyphens/>
      <w:ind w:left="1440" w:right="720" w:hanging="720"/>
    </w:pPr>
  </w:style>
  <w:style w:type="paragraph" w:styleId="TOC3">
    <w:name w:val="toc 3"/>
    <w:basedOn w:val="Normal"/>
    <w:next w:val="Normal"/>
    <w:semiHidden/>
    <w:rsid w:val="00323A94"/>
    <w:pPr>
      <w:tabs>
        <w:tab w:val="left" w:leader="dot" w:pos="9000"/>
        <w:tab w:val="right" w:pos="9360"/>
      </w:tabs>
      <w:suppressAutoHyphens/>
      <w:ind w:left="2160" w:right="720" w:hanging="720"/>
    </w:pPr>
  </w:style>
  <w:style w:type="paragraph" w:styleId="Header">
    <w:name w:val="header"/>
    <w:basedOn w:val="Normal"/>
    <w:rsid w:val="00323A94"/>
    <w:pPr>
      <w:tabs>
        <w:tab w:val="center" w:pos="4320"/>
        <w:tab w:val="right" w:pos="8640"/>
      </w:tabs>
    </w:pPr>
  </w:style>
  <w:style w:type="paragraph" w:customStyle="1" w:styleId="Style1">
    <w:name w:val="Style1"/>
    <w:basedOn w:val="Normal"/>
    <w:rsid w:val="00323A94"/>
    <w:pPr>
      <w:suppressAutoHyphens/>
      <w:spacing w:after="220"/>
      <w:ind w:left="1440" w:hanging="720"/>
    </w:pPr>
    <w:rPr>
      <w:kern w:val="1"/>
    </w:rPr>
  </w:style>
  <w:style w:type="paragraph" w:customStyle="1" w:styleId="Style2">
    <w:name w:val="Style2"/>
    <w:basedOn w:val="Style1"/>
    <w:rsid w:val="00323A94"/>
    <w:pPr>
      <w:ind w:left="1620" w:hanging="1620"/>
    </w:pPr>
  </w:style>
  <w:style w:type="paragraph" w:customStyle="1" w:styleId="TableText">
    <w:name w:val="Table Text"/>
    <w:rsid w:val="00323A94"/>
    <w:pPr>
      <w:overflowPunct w:val="0"/>
      <w:autoSpaceDE w:val="0"/>
      <w:autoSpaceDN w:val="0"/>
      <w:adjustRightInd w:val="0"/>
      <w:textAlignment w:val="baseline"/>
    </w:pPr>
    <w:rPr>
      <w:color w:val="000000"/>
      <w:sz w:val="22"/>
    </w:rPr>
  </w:style>
  <w:style w:type="paragraph" w:customStyle="1" w:styleId="Style3">
    <w:name w:val="Style3"/>
    <w:basedOn w:val="Style2"/>
    <w:rsid w:val="00323A94"/>
    <w:pPr>
      <w:tabs>
        <w:tab w:val="left" w:pos="1620"/>
        <w:tab w:val="left" w:pos="2160"/>
      </w:tabs>
      <w:ind w:left="2160" w:hanging="2160"/>
    </w:pPr>
  </w:style>
  <w:style w:type="paragraph" w:customStyle="1" w:styleId="Style4">
    <w:name w:val="Style4"/>
    <w:basedOn w:val="Style3"/>
    <w:rsid w:val="00323A94"/>
    <w:pPr>
      <w:tabs>
        <w:tab w:val="left" w:pos="2520"/>
      </w:tabs>
      <w:ind w:left="2520" w:hanging="2520"/>
    </w:pPr>
  </w:style>
  <w:style w:type="paragraph" w:customStyle="1" w:styleId="Style5">
    <w:name w:val="Style5"/>
    <w:basedOn w:val="Normal"/>
    <w:rsid w:val="00323A94"/>
    <w:pPr>
      <w:keepNext/>
      <w:spacing w:after="240"/>
    </w:pPr>
    <w:rPr>
      <w:b/>
    </w:rPr>
  </w:style>
  <w:style w:type="paragraph" w:customStyle="1" w:styleId="TableTitle">
    <w:name w:val="Table Title"/>
    <w:basedOn w:val="Normal"/>
    <w:rsid w:val="00323A94"/>
    <w:pPr>
      <w:jc w:val="center"/>
    </w:pPr>
    <w:rPr>
      <w:rFonts w:ascii="Arial" w:hAnsi="Arial"/>
      <w:b/>
    </w:rPr>
  </w:style>
  <w:style w:type="paragraph" w:customStyle="1" w:styleId="Style6">
    <w:name w:val="Style6"/>
    <w:basedOn w:val="Normal"/>
    <w:rsid w:val="00323A94"/>
    <w:pPr>
      <w:tabs>
        <w:tab w:val="left" w:pos="2160"/>
      </w:tabs>
      <w:ind w:left="2160" w:hanging="2160"/>
    </w:pPr>
  </w:style>
  <w:style w:type="paragraph" w:customStyle="1" w:styleId="Style7">
    <w:name w:val="Style7"/>
    <w:basedOn w:val="Style6"/>
    <w:rsid w:val="00323A94"/>
    <w:pPr>
      <w:tabs>
        <w:tab w:val="left" w:pos="3780"/>
      </w:tabs>
      <w:ind w:left="3780" w:hanging="3780"/>
    </w:pPr>
  </w:style>
  <w:style w:type="paragraph" w:styleId="FootnoteText">
    <w:name w:val="footnote text"/>
    <w:basedOn w:val="Normal"/>
    <w:semiHidden/>
    <w:rsid w:val="00323A94"/>
    <w:rPr>
      <w:sz w:val="18"/>
    </w:rPr>
  </w:style>
  <w:style w:type="character" w:styleId="PageNumber">
    <w:name w:val="page number"/>
    <w:basedOn w:val="DefaultParagraphFont"/>
    <w:rsid w:val="00323A94"/>
  </w:style>
  <w:style w:type="paragraph" w:styleId="Caption">
    <w:name w:val="caption"/>
    <w:basedOn w:val="Normal"/>
    <w:next w:val="Normal"/>
    <w:qFormat/>
    <w:rsid w:val="00323A94"/>
    <w:pPr>
      <w:suppressAutoHyphens/>
    </w:pPr>
  </w:style>
  <w:style w:type="paragraph" w:customStyle="1" w:styleId="Style1a">
    <w:name w:val="Style1a"/>
    <w:basedOn w:val="Style1"/>
    <w:rsid w:val="00323A94"/>
    <w:pPr>
      <w:tabs>
        <w:tab w:val="left" w:pos="1620"/>
      </w:tabs>
      <w:ind w:left="1620" w:hanging="1620"/>
    </w:pPr>
  </w:style>
  <w:style w:type="paragraph" w:customStyle="1" w:styleId="Heading">
    <w:name w:val="Heading"/>
    <w:basedOn w:val="Normal"/>
    <w:rsid w:val="00323A94"/>
    <w:pPr>
      <w:tabs>
        <w:tab w:val="right" w:pos="9270"/>
      </w:tabs>
      <w:suppressAutoHyphens/>
      <w:jc w:val="right"/>
    </w:pPr>
    <w:rPr>
      <w:smallCaps/>
      <w:kern w:val="1"/>
    </w:rPr>
  </w:style>
  <w:style w:type="paragraph" w:customStyle="1" w:styleId="Hanging">
    <w:name w:val="Hanging"/>
    <w:basedOn w:val="Normal"/>
    <w:rsid w:val="00323A94"/>
    <w:pPr>
      <w:spacing w:after="240"/>
      <w:ind w:left="2160" w:hanging="2160"/>
    </w:pPr>
  </w:style>
  <w:style w:type="paragraph" w:customStyle="1" w:styleId="NumHang">
    <w:name w:val="NumHang"/>
    <w:basedOn w:val="Hanging"/>
    <w:rsid w:val="00323A94"/>
    <w:pPr>
      <w:ind w:left="1440" w:hanging="720"/>
    </w:pPr>
  </w:style>
  <w:style w:type="paragraph" w:styleId="BodyText">
    <w:name w:val="Body Text"/>
    <w:basedOn w:val="Normal"/>
    <w:rsid w:val="00323A94"/>
    <w:pPr>
      <w:spacing w:after="240"/>
      <w:jc w:val="both"/>
    </w:pPr>
  </w:style>
  <w:style w:type="paragraph" w:styleId="DocumentMap">
    <w:name w:val="Document Map"/>
    <w:basedOn w:val="Normal"/>
    <w:rsid w:val="00323A94"/>
    <w:pPr>
      <w:shd w:val="clear" w:color="auto" w:fill="000080"/>
    </w:pPr>
    <w:rPr>
      <w:rFonts w:ascii="Tahoma" w:hAnsi="Tahoma"/>
    </w:rPr>
  </w:style>
  <w:style w:type="paragraph" w:styleId="BalloonText">
    <w:name w:val="Balloon Text"/>
    <w:basedOn w:val="Normal"/>
    <w:semiHidden/>
    <w:rsid w:val="003613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1503</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Appendix VIII-3 Combined Guide Test</vt:lpstr>
    </vt:vector>
  </TitlesOfParts>
  <Company>Hunton &amp; Williams</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VIII-3 Combined Guide Test</dc:title>
  <dc:subject/>
  <dc:creator>95 Workstation</dc:creator>
  <cp:keywords/>
  <dc:description/>
  <cp:lastModifiedBy>Debra Lee Murphy</cp:lastModifiedBy>
  <cp:revision>5</cp:revision>
  <cp:lastPrinted>2003-06-10T16:13:00Z</cp:lastPrinted>
  <dcterms:created xsi:type="dcterms:W3CDTF">2010-05-20T20:02:00Z</dcterms:created>
  <dcterms:modified xsi:type="dcterms:W3CDTF">2012-08-10T15:09:00Z</dcterms:modified>
</cp:coreProperties>
</file>