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B18" w:rsidRDefault="00506B18">
      <w:pPr>
        <w:autoSpaceDE w:val="0"/>
        <w:autoSpaceDN w:val="0"/>
        <w:adjustRightInd w:val="0"/>
        <w:rPr>
          <w:rFonts w:ascii="Arial" w:hAnsi="Arial"/>
          <w:b/>
          <w:sz w:val="28"/>
        </w:rPr>
      </w:pPr>
      <w:r>
        <w:rPr>
          <w:rFonts w:ascii="Arial" w:eastAsia="Arial Unicode MS" w:hAnsi="Arial"/>
          <w:b/>
          <w:sz w:val="28"/>
        </w:rPr>
        <w:t>Commitment to</w:t>
      </w:r>
      <w:r>
        <w:rPr>
          <w:rFonts w:ascii="Arial Narrow" w:hAnsi="Arial Narrow"/>
          <w:b/>
          <w:sz w:val="28"/>
        </w:rPr>
        <w:t xml:space="preserve"> </w:t>
      </w:r>
      <w:r>
        <w:rPr>
          <w:rFonts w:ascii="Arial" w:eastAsia="Arial Unicode MS" w:hAnsi="Arial"/>
          <w:b/>
          <w:sz w:val="28"/>
        </w:rPr>
        <w:t>Guarantee</w:t>
      </w:r>
      <w:r>
        <w:rPr>
          <w:rFonts w:ascii="Arial" w:hAnsi="Arial"/>
          <w:b/>
          <w:sz w:val="28"/>
        </w:rPr>
        <w:t xml:space="preserve"> </w:t>
      </w:r>
    </w:p>
    <w:p w:rsidR="00506B18" w:rsidRDefault="00506B18">
      <w:pPr>
        <w:autoSpaceDE w:val="0"/>
        <w:autoSpaceDN w:val="0"/>
        <w:adjustRightInd w:val="0"/>
        <w:rPr>
          <w:rFonts w:ascii="Arial" w:eastAsia="Arial Unicode MS" w:hAnsi="Arial"/>
          <w:sz w:val="16"/>
        </w:rPr>
      </w:pPr>
      <w:r>
        <w:rPr>
          <w:rFonts w:ascii="Arial" w:eastAsia="Arial Unicode MS" w:hAnsi="Arial"/>
          <w:sz w:val="28"/>
        </w:rPr>
        <w:t>Mortgage-Backed Securities</w:t>
      </w:r>
    </w:p>
    <w:p w:rsidR="00506B18" w:rsidRDefault="00506B18">
      <w:pPr>
        <w:autoSpaceDE w:val="0"/>
        <w:autoSpaceDN w:val="0"/>
        <w:adjustRightInd w:val="0"/>
        <w:rPr>
          <w:rFonts w:ascii="Arial" w:hAnsi="Arial"/>
          <w:b/>
          <w:sz w:val="18"/>
        </w:rPr>
      </w:pPr>
      <w:r>
        <w:rPr>
          <w:rFonts w:ascii="Arial" w:hAnsi="Arial"/>
          <w:b/>
          <w:sz w:val="20"/>
        </w:rPr>
        <w:br w:type="column"/>
      </w:r>
      <w:smartTag w:uri="urn:schemas-microsoft-com:office:smarttags" w:element="country-region">
        <w:smartTag w:uri="urn:schemas-microsoft-com:office:smarttags" w:element="place">
          <w:r>
            <w:rPr>
              <w:rFonts w:ascii="Arial" w:hAnsi="Arial"/>
              <w:b/>
              <w:sz w:val="18"/>
            </w:rPr>
            <w:lastRenderedPageBreak/>
            <w:t>U.S.</w:t>
          </w:r>
        </w:smartTag>
      </w:smartTag>
      <w:r>
        <w:rPr>
          <w:rFonts w:ascii="Arial" w:hAnsi="Arial"/>
          <w:b/>
          <w:sz w:val="18"/>
        </w:rPr>
        <w:t xml:space="preserve"> Department of Housing         </w:t>
      </w:r>
    </w:p>
    <w:p w:rsidR="00506B18" w:rsidRDefault="00506B18">
      <w:pPr>
        <w:autoSpaceDE w:val="0"/>
        <w:autoSpaceDN w:val="0"/>
        <w:adjustRightInd w:val="0"/>
        <w:rPr>
          <w:rFonts w:ascii="Arial" w:hAnsi="Arial"/>
          <w:b/>
          <w:sz w:val="20"/>
        </w:rPr>
      </w:pPr>
      <w:proofErr w:type="gramStart"/>
      <w:r>
        <w:rPr>
          <w:rFonts w:ascii="Arial" w:hAnsi="Arial"/>
          <w:b/>
          <w:sz w:val="18"/>
        </w:rPr>
        <w:t>and</w:t>
      </w:r>
      <w:proofErr w:type="gramEnd"/>
      <w:r>
        <w:rPr>
          <w:rFonts w:ascii="Arial" w:hAnsi="Arial"/>
          <w:b/>
          <w:sz w:val="18"/>
        </w:rPr>
        <w:t xml:space="preserve"> Urban Development</w:t>
      </w:r>
    </w:p>
    <w:p w:rsidR="00506B18" w:rsidRDefault="00506B18">
      <w:pPr>
        <w:autoSpaceDE w:val="0"/>
        <w:autoSpaceDN w:val="0"/>
        <w:adjustRightInd w:val="0"/>
        <w:rPr>
          <w:rFonts w:ascii="Arial" w:hAnsi="Arial"/>
          <w:sz w:val="16"/>
        </w:rPr>
      </w:pPr>
      <w:r>
        <w:rPr>
          <w:rFonts w:ascii="Arial" w:hAnsi="Arial"/>
          <w:sz w:val="16"/>
        </w:rPr>
        <w:t xml:space="preserve">Government National Mortgage Association </w:t>
      </w:r>
    </w:p>
    <w:p w:rsidR="00506B18" w:rsidRDefault="00506B18">
      <w:pPr>
        <w:autoSpaceDE w:val="0"/>
        <w:autoSpaceDN w:val="0"/>
        <w:adjustRightInd w:val="0"/>
        <w:rPr>
          <w:rFonts w:ascii="Arial" w:hAnsi="Arial"/>
          <w:sz w:val="16"/>
        </w:rPr>
        <w:sectPr w:rsidR="00506B18">
          <w:headerReference w:type="even" r:id="rId7"/>
          <w:headerReference w:type="default" r:id="rId8"/>
          <w:footerReference w:type="even" r:id="rId9"/>
          <w:footerReference w:type="default" r:id="rId10"/>
          <w:footnotePr>
            <w:numRestart w:val="eachPage"/>
          </w:footnotePr>
          <w:endnotePr>
            <w:numFmt w:val="decimal"/>
          </w:endnotePr>
          <w:type w:val="continuous"/>
          <w:pgSz w:w="12240" w:h="15840"/>
          <w:pgMar w:top="864" w:right="360" w:bottom="864" w:left="720" w:header="720" w:footer="720" w:gutter="0"/>
          <w:cols w:num="3" w:space="619" w:equalWidth="0">
            <w:col w:w="3556" w:space="619"/>
            <w:col w:w="3189" w:space="196"/>
            <w:col w:w="3600"/>
          </w:cols>
          <w:noEndnote/>
        </w:sectPr>
      </w:pPr>
      <w:r>
        <w:rPr>
          <w:rFonts w:ascii="Arial" w:hAnsi="Arial"/>
          <w:sz w:val="16"/>
        </w:rPr>
        <w:br w:type="column"/>
      </w:r>
      <w:r>
        <w:rPr>
          <w:rFonts w:ascii="Arial" w:hAnsi="Arial"/>
          <w:sz w:val="16"/>
        </w:rPr>
        <w:lastRenderedPageBreak/>
        <w:t xml:space="preserve">OMB Approval No. 2503-0033 (Exp. </w:t>
      </w:r>
      <w:r w:rsidR="00D96602">
        <w:rPr>
          <w:rFonts w:ascii="Arial" w:hAnsi="Arial"/>
          <w:sz w:val="16"/>
        </w:rPr>
        <w:t>12/31/2013</w:t>
      </w:r>
      <w:r>
        <w:rPr>
          <w:rFonts w:ascii="Arial" w:hAnsi="Arial"/>
          <w:sz w:val="16"/>
        </w:rPr>
        <w:t>)</w:t>
      </w:r>
    </w:p>
    <w:p w:rsidR="00506B18" w:rsidRDefault="00506B18">
      <w:pPr>
        <w:autoSpaceDE w:val="0"/>
        <w:autoSpaceDN w:val="0"/>
        <w:adjustRightInd w:val="0"/>
        <w:rPr>
          <w:rFonts w:ascii="Arial" w:hAnsi="Arial"/>
          <w:sz w:val="8"/>
        </w:rPr>
        <w:sectPr w:rsidR="00506B18">
          <w:footnotePr>
            <w:numRestart w:val="eachPage"/>
          </w:footnotePr>
          <w:endnotePr>
            <w:numFmt w:val="decimal"/>
          </w:endnotePr>
          <w:type w:val="continuous"/>
          <w:pgSz w:w="12240" w:h="15840"/>
          <w:pgMar w:top="864" w:right="360" w:bottom="864" w:left="720" w:header="720" w:footer="720" w:gutter="0"/>
          <w:cols w:num="3" w:space="619" w:equalWidth="0">
            <w:col w:w="3556" w:space="619"/>
            <w:col w:w="3189" w:space="576"/>
            <w:col w:w="3220"/>
          </w:cols>
          <w:noEndnote/>
        </w:sectPr>
      </w:pPr>
    </w:p>
    <w:p w:rsidR="00506B18" w:rsidRDefault="00506B18">
      <w:pPr>
        <w:autoSpaceDE w:val="0"/>
        <w:autoSpaceDN w:val="0"/>
        <w:adjustRightInd w:val="0"/>
        <w:rPr>
          <w:rFonts w:ascii="Arial" w:eastAsia="Arial Unicode MS" w:hAnsi="Arial"/>
          <w:sz w:val="8"/>
        </w:rPr>
        <w:sectPr w:rsidR="00506B18">
          <w:footnotePr>
            <w:numRestart w:val="eachPage"/>
          </w:footnotePr>
          <w:endnotePr>
            <w:numFmt w:val="decimal"/>
          </w:endnotePr>
          <w:type w:val="continuous"/>
          <w:pgSz w:w="12240" w:h="15840"/>
          <w:pgMar w:top="864" w:right="720" w:bottom="864" w:left="720" w:header="720" w:footer="720" w:gutter="0"/>
          <w:cols w:num="3" w:space="619" w:equalWidth="0">
            <w:col w:w="3556" w:space="619"/>
            <w:col w:w="3189" w:space="576"/>
            <w:col w:w="2860"/>
          </w:cols>
          <w:noEndnote/>
        </w:sectPr>
      </w:pPr>
    </w:p>
    <w:p w:rsidR="00506B18" w:rsidRDefault="00506B18">
      <w:pPr>
        <w:autoSpaceDE w:val="0"/>
        <w:autoSpaceDN w:val="0"/>
        <w:adjustRightInd w:val="0"/>
        <w:jc w:val="both"/>
        <w:rPr>
          <w:rFonts w:ascii="Arial" w:hAnsi="Arial"/>
          <w:sz w:val="16"/>
        </w:rPr>
      </w:pPr>
      <w:r>
        <w:rPr>
          <w:rFonts w:ascii="Arial" w:hAnsi="Arial"/>
          <w:sz w:val="16"/>
        </w:rPr>
        <w:lastRenderedPageBreak/>
        <w:t xml:space="preserve">Public reporting burden for this collection of information is estimated to average </w:t>
      </w:r>
      <w:r w:rsidR="00AD38FC">
        <w:rPr>
          <w:rFonts w:ascii="Arial" w:hAnsi="Arial"/>
          <w:sz w:val="16"/>
        </w:rPr>
        <w:t xml:space="preserve">2 </w:t>
      </w:r>
      <w:r>
        <w:rPr>
          <w:rFonts w:ascii="Arial" w:hAnsi="Arial"/>
          <w:sz w:val="16"/>
        </w:rPr>
        <w:t>minute</w:t>
      </w:r>
      <w:r w:rsidR="00AD38FC">
        <w:rPr>
          <w:rFonts w:ascii="Arial" w:hAnsi="Arial"/>
          <w:sz w:val="16"/>
        </w:rPr>
        <w:t>s</w:t>
      </w:r>
      <w:bookmarkStart w:id="0" w:name="_GoBack"/>
      <w:bookmarkEnd w:id="0"/>
      <w:r>
        <w:rPr>
          <w:rFonts w:ascii="Arial" w:hAnsi="Arial"/>
          <w:sz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506B18" w:rsidRDefault="00506B18">
      <w:pPr>
        <w:autoSpaceDE w:val="0"/>
        <w:autoSpaceDN w:val="0"/>
        <w:adjustRightInd w:val="0"/>
        <w:rPr>
          <w:rFonts w:ascii="Arial" w:hAnsi="Arial"/>
          <w:sz w:val="12"/>
        </w:rPr>
      </w:pPr>
    </w:p>
    <w:p w:rsidR="00506B18" w:rsidRDefault="00506B18">
      <w:pPr>
        <w:autoSpaceDE w:val="0"/>
        <w:autoSpaceDN w:val="0"/>
        <w:adjustRightInd w:val="0"/>
        <w:rPr>
          <w:rFonts w:ascii="Arial" w:hAnsi="Arial"/>
          <w:sz w:val="16"/>
        </w:rPr>
      </w:pPr>
      <w:r>
        <w:rPr>
          <w:rFonts w:ascii="Arial" w:hAnsi="Arial"/>
          <w:sz w:val="16"/>
        </w:rPr>
        <w:t xml:space="preserve">The information is required by Sec. </w:t>
      </w:r>
      <w:proofErr w:type="gramStart"/>
      <w:r>
        <w:rPr>
          <w:rFonts w:ascii="Arial" w:hAnsi="Arial"/>
          <w:sz w:val="16"/>
        </w:rPr>
        <w:t>306(g</w:t>
      </w:r>
      <w:proofErr w:type="gramEnd"/>
      <w:r>
        <w:rPr>
          <w:rFonts w:ascii="Arial" w:hAnsi="Arial"/>
          <w:sz w:val="16"/>
        </w:rPr>
        <w:t xml:space="preserve">) of the National Housing Act or by Ginnie Mae Handbook 5500.3, Rev. 1, and is collected to assist Ginnie Mae in the determination of an appropriate commitment amount.  The information </w:t>
      </w:r>
      <w:r w:rsidR="00925A2A">
        <w:rPr>
          <w:rFonts w:ascii="Arial" w:hAnsi="Arial"/>
          <w:sz w:val="16"/>
        </w:rPr>
        <w:t xml:space="preserve">collected </w:t>
      </w:r>
      <w:r>
        <w:rPr>
          <w:rFonts w:ascii="Arial" w:hAnsi="Arial"/>
          <w:sz w:val="16"/>
        </w:rPr>
        <w:t>will not be disclosed outside the Department</w:t>
      </w:r>
      <w:r w:rsidR="001874D0">
        <w:rPr>
          <w:rFonts w:ascii="Arial" w:hAnsi="Arial"/>
          <w:sz w:val="16"/>
        </w:rPr>
        <w:t xml:space="preserve"> </w:t>
      </w:r>
      <w:r>
        <w:rPr>
          <w:rFonts w:ascii="Arial" w:hAnsi="Arial"/>
          <w:sz w:val="16"/>
        </w:rPr>
        <w:t>except as required by law.</w:t>
      </w:r>
    </w:p>
    <w:p w:rsidR="00506B18" w:rsidRDefault="00AD38FC">
      <w:pPr>
        <w:autoSpaceDE w:val="0"/>
        <w:autoSpaceDN w:val="0"/>
        <w:adjustRightInd w:val="0"/>
        <w:rPr>
          <w:rFonts w:ascii="Arial" w:hAnsi="Arial"/>
          <w:sz w:val="8"/>
        </w:rPr>
      </w:pPr>
      <w:r>
        <w:rPr>
          <w:rFonts w:ascii="Arial" w:hAnsi="Arial"/>
          <w:noProof/>
          <w:sz w:val="8"/>
        </w:rPr>
        <w:pict>
          <v:line id="_x0000_s1037" style="position:absolute;z-index:251658240" from="0,-.5pt" to="540pt,-.5pt" o:allowincell="f" strokeweight=".5pt"/>
        </w:pict>
      </w:r>
    </w:p>
    <w:p w:rsidR="00506B18" w:rsidRDefault="00506B18">
      <w:pPr>
        <w:rPr>
          <w:rFonts w:ascii="Arial" w:hAnsi="Arial"/>
          <w:sz w:val="16"/>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rFonts w:ascii="Arial" w:hAnsi="Arial"/>
          <w:sz w:val="16"/>
        </w:rPr>
        <w:t>Issuer ID Number</w:t>
      </w:r>
    </w:p>
    <w:p w:rsidR="00506B18" w:rsidRDefault="00AD38FC">
      <w:pPr>
        <w:rPr>
          <w:sz w:val="16"/>
        </w:rPr>
      </w:pPr>
      <w:r>
        <w:rPr>
          <w:rFonts w:ascii="Arial" w:eastAsia="Arial Unicode MS" w:hAnsi="Arial"/>
          <w:noProof/>
          <w:sz w:val="16"/>
        </w:rPr>
        <w:pict>
          <v:shapetype id="_x0000_t202" coordsize="21600,21600" o:spt="202" path="m,l,21600r21600,l21600,xe">
            <v:stroke joinstyle="miter"/>
            <v:path gradientshapeok="t" o:connecttype="rect"/>
          </v:shapetype>
          <v:shape id="_x0000_s1032" type="#_x0000_t202" style="position:absolute;margin-left:396pt;margin-top:1.85pt;width:2in;height:27pt;z-index:251653120" o:allowincell="f" strokeweight=".5pt">
            <v:textbox>
              <w:txbxContent>
                <w:p w:rsidR="00506B18" w:rsidRDefault="00506B18"/>
              </w:txbxContent>
            </v:textbox>
          </v:shape>
        </w:pict>
      </w: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r>
        <w:rPr>
          <w:rFonts w:ascii="Arial" w:hAnsi="Arial"/>
          <w:sz w:val="16"/>
        </w:rPr>
        <w:t>Issuer’s Name and Address, including Zip Code</w:t>
      </w: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r>
        <w:rPr>
          <w:rFonts w:ascii="Arial" w:hAnsi="Arial"/>
          <w:sz w:val="16"/>
        </w:rPr>
        <w:tab/>
      </w: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6"/>
        </w:rPr>
      </w:pPr>
      <w:r>
        <w:rPr>
          <w:rFonts w:ascii="Arial" w:hAnsi="Arial"/>
          <w:sz w:val="16"/>
        </w:rPr>
        <w:tab/>
      </w: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4"/>
        </w:rPr>
      </w:pP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sz w:val="14"/>
        </w:rPr>
      </w:pPr>
    </w:p>
    <w:p w:rsidR="00506B18" w:rsidRDefault="00506B18">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b/>
          <w:sz w:val="12"/>
        </w:rPr>
      </w:pPr>
      <w:proofErr w:type="gramStart"/>
      <w:r>
        <w:rPr>
          <w:rFonts w:ascii="Arial" w:hAnsi="Arial"/>
          <w:b/>
          <w:sz w:val="12"/>
        </w:rPr>
        <w:t>fold</w:t>
      </w:r>
      <w:proofErr w:type="gramEnd"/>
      <w:r>
        <w:rPr>
          <w:rFonts w:ascii="Arial" w:hAnsi="Arial"/>
          <w:b/>
          <w:sz w:val="12"/>
        </w:rPr>
        <w:t xml:space="preserve"> line</w:t>
      </w:r>
    </w:p>
    <w:p w:rsidR="00506B18" w:rsidRDefault="00506B18">
      <w:pPr>
        <w:autoSpaceDE w:val="0"/>
        <w:autoSpaceDN w:val="0"/>
        <w:adjustRightInd w:val="0"/>
        <w:rPr>
          <w:rFonts w:ascii="Arial" w:eastAsia="Arial Unicode MS" w:hAnsi="Arial"/>
          <w:sz w:val="16"/>
        </w:rPr>
      </w:pPr>
    </w:p>
    <w:p w:rsidR="00506B18" w:rsidRDefault="00506B18">
      <w:pPr>
        <w:autoSpaceDE w:val="0"/>
        <w:autoSpaceDN w:val="0"/>
        <w:adjustRightInd w:val="0"/>
        <w:rPr>
          <w:rFonts w:ascii="Arial" w:eastAsia="Arial Unicode MS" w:hAnsi="Arial"/>
          <w:sz w:val="16"/>
        </w:rPr>
      </w:pPr>
    </w:p>
    <w:p w:rsidR="00506B18" w:rsidRDefault="00506B18">
      <w:pPr>
        <w:framePr w:w="181" w:h="366" w:hRule="exact" w:hSpace="180" w:wrap="around" w:vAnchor="text" w:hAnchor="page" w:x="1261" w:y="118"/>
        <w:pBdr>
          <w:top w:val="single" w:sz="6" w:space="4" w:color="000000"/>
          <w:left w:val="single" w:sz="6" w:space="7" w:color="000000"/>
        </w:pBdr>
        <w:shd w:val="solid" w:color="FFFFFF" w:fill="FFFFFF"/>
        <w:rPr>
          <w:sz w:val="16"/>
        </w:rPr>
      </w:pPr>
    </w:p>
    <w:p w:rsidR="00506B18" w:rsidRDefault="00506B18">
      <w:pPr>
        <w:framePr w:w="181" w:h="366" w:hRule="exact" w:hSpace="180" w:wrap="around" w:vAnchor="text" w:hAnchor="page" w:x="7561" w:y="118"/>
        <w:pBdr>
          <w:top w:val="single" w:sz="6" w:space="1" w:color="000000"/>
          <w:right w:val="single" w:sz="6" w:space="4" w:color="000000"/>
        </w:pBdr>
        <w:shd w:val="solid" w:color="FFFFFF" w:fill="FFFFFF"/>
        <w:rPr>
          <w:sz w:val="16"/>
        </w:rPr>
      </w:pPr>
    </w:p>
    <w:p w:rsidR="00506B18" w:rsidRDefault="00AD38FC">
      <w:pPr>
        <w:autoSpaceDE w:val="0"/>
        <w:autoSpaceDN w:val="0"/>
        <w:adjustRightInd w:val="0"/>
        <w:jc w:val="both"/>
        <w:rPr>
          <w:rFonts w:ascii="Arial" w:eastAsia="Arial Unicode MS" w:hAnsi="Arial"/>
          <w:sz w:val="16"/>
        </w:rPr>
      </w:pPr>
      <w:r>
        <w:rPr>
          <w:rFonts w:ascii="Arial" w:eastAsia="Arial Unicode MS" w:hAnsi="Arial"/>
          <w:noProof/>
          <w:sz w:val="16"/>
        </w:rPr>
        <w:pict>
          <v:shape id="_x0000_s1042" type="#_x0000_t202" style="position:absolute;left:0;text-align:left;margin-left:31.65pt;margin-top:22pt;width:26.25pt;height:25.5pt;z-index:251661312" o:allowincell="f" filled="f" stroked="f">
            <v:textbox>
              <w:txbxContent>
                <w:p w:rsidR="00506B18" w:rsidRDefault="00506B18"/>
              </w:txbxContent>
            </v:textbox>
            <w10:wrap side="largest"/>
          </v:shape>
        </w:pict>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r w:rsidR="00506B18">
        <w:rPr>
          <w:rFonts w:ascii="Arial" w:eastAsia="Arial Unicode MS" w:hAnsi="Arial"/>
          <w:sz w:val="16"/>
        </w:rPr>
        <w:tab/>
      </w:r>
    </w:p>
    <w:p w:rsidR="00506B18" w:rsidRDefault="00506B18">
      <w:pPr>
        <w:autoSpaceDE w:val="0"/>
        <w:autoSpaceDN w:val="0"/>
        <w:adjustRightInd w:val="0"/>
        <w:jc w:val="both"/>
        <w:rPr>
          <w:rFonts w:ascii="Arial" w:eastAsia="Arial Unicode MS" w:hAnsi="Arial"/>
          <w:sz w:val="16"/>
        </w:rPr>
      </w:pPr>
    </w:p>
    <w:p w:rsidR="00506B18" w:rsidRDefault="00506B18">
      <w:pPr>
        <w:autoSpaceDE w:val="0"/>
        <w:autoSpaceDN w:val="0"/>
        <w:adjustRightInd w:val="0"/>
        <w:jc w:val="both"/>
        <w:rPr>
          <w:rFonts w:ascii="Arial" w:eastAsia="Arial Unicode MS" w:hAnsi="Arial"/>
          <w:sz w:val="16"/>
        </w:rPr>
      </w:pPr>
    </w:p>
    <w:p w:rsidR="00506B18" w:rsidRDefault="00506B18">
      <w:pPr>
        <w:autoSpaceDE w:val="0"/>
        <w:autoSpaceDN w:val="0"/>
        <w:adjustRightInd w:val="0"/>
        <w:jc w:val="both"/>
        <w:rPr>
          <w:rFonts w:ascii="Arial" w:eastAsia="Arial Unicode MS" w:hAnsi="Arial"/>
          <w:sz w:val="16"/>
        </w:rPr>
      </w:pPr>
    </w:p>
    <w:p w:rsidR="00506B18" w:rsidRDefault="00506B18">
      <w:pPr>
        <w:autoSpaceDE w:val="0"/>
        <w:autoSpaceDN w:val="0"/>
        <w:adjustRightInd w:val="0"/>
        <w:jc w:val="both"/>
        <w:rPr>
          <w:rFonts w:ascii="Arial" w:eastAsia="Arial Unicode MS" w:hAnsi="Arial"/>
          <w:sz w:val="16"/>
        </w:rPr>
      </w:pPr>
    </w:p>
    <w:p w:rsidR="00506B18" w:rsidRDefault="00506B18">
      <w:pPr>
        <w:framePr w:w="181" w:h="366" w:hRule="exact" w:hSpace="180" w:wrap="around" w:vAnchor="text" w:hAnchor="page" w:x="1201" w:y="86"/>
        <w:pBdr>
          <w:left w:val="single" w:sz="6" w:space="4" w:color="000000"/>
          <w:bottom w:val="single" w:sz="6" w:space="1" w:color="000000"/>
        </w:pBdr>
        <w:shd w:val="solid" w:color="FFFFFF" w:fill="FFFFFF"/>
        <w:rPr>
          <w:sz w:val="16"/>
        </w:rPr>
      </w:pPr>
    </w:p>
    <w:p w:rsidR="00506B18" w:rsidRDefault="00506B18">
      <w:pPr>
        <w:framePr w:w="181" w:h="366" w:hRule="exact" w:hSpace="180" w:wrap="around" w:vAnchor="text" w:hAnchor="page" w:x="7561" w:y="90"/>
        <w:pBdr>
          <w:bottom w:val="single" w:sz="6" w:space="1" w:color="000000"/>
          <w:right w:val="single" w:sz="6" w:space="4" w:color="000000"/>
        </w:pBdr>
        <w:shd w:val="solid" w:color="FFFFFF" w:fill="FFFFFF"/>
        <w:rPr>
          <w:sz w:val="16"/>
        </w:rPr>
      </w:pPr>
    </w:p>
    <w:p w:rsidR="00506B18" w:rsidRDefault="00506B18">
      <w:pPr>
        <w:autoSpaceDE w:val="0"/>
        <w:autoSpaceDN w:val="0"/>
        <w:adjustRightInd w:val="0"/>
        <w:jc w:val="both"/>
        <w:rPr>
          <w:rFonts w:ascii="Arial" w:eastAsia="Arial Unicode MS" w:hAnsi="Arial"/>
          <w:sz w:val="16"/>
        </w:rPr>
      </w:pPr>
    </w:p>
    <w:p w:rsidR="00506B18" w:rsidRDefault="00506B18">
      <w:pPr>
        <w:autoSpaceDE w:val="0"/>
        <w:autoSpaceDN w:val="0"/>
        <w:adjustRightInd w:val="0"/>
        <w:jc w:val="both"/>
        <w:rPr>
          <w:rFonts w:ascii="Arial" w:eastAsia="Arial Unicode MS" w:hAnsi="Arial"/>
          <w:sz w:val="16"/>
        </w:rPr>
      </w:pPr>
    </w:p>
    <w:p w:rsidR="00506B18" w:rsidRDefault="00506B18">
      <w:pPr>
        <w:autoSpaceDE w:val="0"/>
        <w:autoSpaceDN w:val="0"/>
        <w:adjustRightInd w:val="0"/>
        <w:jc w:val="both"/>
        <w:rPr>
          <w:rFonts w:ascii="Arial" w:eastAsia="Arial Unicode MS" w:hAnsi="Arial"/>
          <w:sz w:val="16"/>
        </w:rPr>
      </w:pPr>
    </w:p>
    <w:p w:rsidR="00506B18" w:rsidRDefault="00506B18">
      <w:pPr>
        <w:autoSpaceDE w:val="0"/>
        <w:autoSpaceDN w:val="0"/>
        <w:adjustRightInd w:val="0"/>
        <w:jc w:val="both"/>
        <w:rPr>
          <w:rFonts w:ascii="Arial" w:eastAsia="Arial Unicode MS" w:hAnsi="Arial"/>
          <w:sz w:val="16"/>
        </w:rPr>
      </w:pPr>
    </w:p>
    <w:p w:rsidR="00506B18" w:rsidRDefault="00506B18">
      <w:pPr>
        <w:autoSpaceDE w:val="0"/>
        <w:autoSpaceDN w:val="0"/>
        <w:adjustRightInd w:val="0"/>
        <w:jc w:val="both"/>
        <w:rPr>
          <w:rFonts w:ascii="Arial" w:hAnsi="Arial"/>
          <w:sz w:val="17"/>
        </w:rPr>
      </w:pPr>
      <w:r>
        <w:rPr>
          <w:rFonts w:ascii="Arial" w:hAnsi="Arial"/>
          <w:sz w:val="17"/>
        </w:rPr>
        <w:t>The Government National Mortgage Association (Ginnie Mae) has considered your application and approves guaranty commitment authority to your account in the total amount designated below, pursuant to the provisions of Section 306(g) of the National Housing Act and Ginnie Mae's regulations. Ginnie Mae will endorse, as guaranteed, securities which are backed by Ginnie Mae mortgage pools created subject to the following conditions</w:t>
      </w:r>
      <w:r>
        <w:rPr>
          <w:rFonts w:ascii="Arial" w:hAnsi="Arial"/>
          <w:sz w:val="16"/>
        </w:rPr>
        <w:t>:</w:t>
      </w:r>
    </w:p>
    <w:p w:rsidR="00506B18" w:rsidRDefault="00506B18">
      <w:pPr>
        <w:autoSpaceDE w:val="0"/>
        <w:autoSpaceDN w:val="0"/>
        <w:adjustRightInd w:val="0"/>
        <w:rPr>
          <w:rFonts w:ascii="Arial" w:hAnsi="Arial"/>
          <w:b/>
          <w:sz w:val="12"/>
        </w:rPr>
      </w:pPr>
    </w:p>
    <w:p w:rsidR="00506B18" w:rsidRDefault="00506B18">
      <w:pPr>
        <w:autoSpaceDE w:val="0"/>
        <w:autoSpaceDN w:val="0"/>
        <w:adjustRightInd w:val="0"/>
        <w:ind w:left="202" w:hanging="202"/>
        <w:jc w:val="both"/>
        <w:rPr>
          <w:rFonts w:ascii="Arial" w:hAnsi="Arial"/>
          <w:sz w:val="17"/>
        </w:rPr>
      </w:pPr>
      <w:r>
        <w:rPr>
          <w:rFonts w:ascii="Arial" w:hAnsi="Arial"/>
          <w:sz w:val="17"/>
        </w:rPr>
        <w:t>1. The securities to be issued shall be modified pass-through securities. The monthly scheduled installments of principal and interest shall be paid to holders whether or not the issuer collects funds under the pooled mortgages equal to the scheduled installments.</w:t>
      </w:r>
    </w:p>
    <w:p w:rsidR="00506B18" w:rsidRDefault="00506B18">
      <w:pPr>
        <w:autoSpaceDE w:val="0"/>
        <w:autoSpaceDN w:val="0"/>
        <w:adjustRightInd w:val="0"/>
        <w:jc w:val="both"/>
        <w:rPr>
          <w:rFonts w:ascii="Arial" w:hAnsi="Arial"/>
          <w:sz w:val="8"/>
        </w:rPr>
      </w:pPr>
    </w:p>
    <w:p w:rsidR="00506B18" w:rsidRDefault="00AD38FC">
      <w:pPr>
        <w:autoSpaceDE w:val="0"/>
        <w:autoSpaceDN w:val="0"/>
        <w:adjustRightInd w:val="0"/>
        <w:jc w:val="both"/>
        <w:rPr>
          <w:rFonts w:ascii="Arial" w:hAnsi="Arial"/>
          <w:sz w:val="16"/>
        </w:rPr>
      </w:pPr>
      <w:r>
        <w:rPr>
          <w:rFonts w:ascii="Arial" w:hAnsi="Arial"/>
          <w:noProof/>
          <w:sz w:val="16"/>
        </w:rPr>
        <w:pict>
          <v:shape id="_x0000_s1033" type="#_x0000_t202" style="position:absolute;left:0;text-align:left;margin-left:225.5pt;margin-top:0;width:121pt;height:18pt;z-index:251654144" strokeweight=".25pt">
            <v:textbox style="mso-next-textbox:#_x0000_s1033">
              <w:txbxContent>
                <w:p w:rsidR="00506B18" w:rsidRDefault="00506B18">
                  <w:pPr>
                    <w:rPr>
                      <w:rFonts w:ascii="Arial" w:hAnsi="Arial"/>
                      <w:sz w:val="18"/>
                    </w:rPr>
                  </w:pPr>
                  <w:r>
                    <w:rPr>
                      <w:rFonts w:ascii="Arial" w:hAnsi="Arial"/>
                      <w:sz w:val="18"/>
                    </w:rPr>
                    <w:t>$</w:t>
                  </w:r>
                </w:p>
              </w:txbxContent>
            </v:textbox>
          </v:shape>
        </w:pict>
      </w:r>
    </w:p>
    <w:p w:rsidR="00506B18" w:rsidRDefault="00506B18">
      <w:pPr>
        <w:autoSpaceDE w:val="0"/>
        <w:autoSpaceDN w:val="0"/>
        <w:adjustRightInd w:val="0"/>
        <w:ind w:left="202" w:hanging="202"/>
        <w:jc w:val="both"/>
        <w:rPr>
          <w:rFonts w:ascii="Arial" w:hAnsi="Arial"/>
          <w:sz w:val="17"/>
        </w:rPr>
      </w:pPr>
      <w:r>
        <w:rPr>
          <w:rFonts w:ascii="Arial" w:hAnsi="Arial"/>
          <w:sz w:val="17"/>
        </w:rPr>
        <w:t>2. The total amount of commitment authority approved is                                                       . Any request for additional commitment authority will be approved subject to Ginnie Mae's budget authority approved by Congress for the current fiscal year.</w:t>
      </w:r>
    </w:p>
    <w:p w:rsidR="00506B18" w:rsidRDefault="00506B18">
      <w:pPr>
        <w:autoSpaceDE w:val="0"/>
        <w:autoSpaceDN w:val="0"/>
        <w:adjustRightInd w:val="0"/>
        <w:rPr>
          <w:rFonts w:ascii="Arial" w:hAnsi="Arial"/>
          <w:sz w:val="12"/>
        </w:rPr>
      </w:pPr>
    </w:p>
    <w:p w:rsidR="00506B18" w:rsidRDefault="00506B18">
      <w:pPr>
        <w:autoSpaceDE w:val="0"/>
        <w:autoSpaceDN w:val="0"/>
        <w:adjustRightInd w:val="0"/>
        <w:rPr>
          <w:rFonts w:ascii="Arial" w:hAnsi="Arial"/>
          <w:sz w:val="17"/>
        </w:rPr>
      </w:pPr>
      <w:r>
        <w:rPr>
          <w:rFonts w:ascii="Arial" w:hAnsi="Arial"/>
          <w:sz w:val="17"/>
        </w:rPr>
        <w:t>3. The guaranty fee rate for the issue of securities shall be the rate in effect at the date of issuance of the securities.</w:t>
      </w:r>
    </w:p>
    <w:p w:rsidR="00506B18" w:rsidRDefault="00506B18">
      <w:pPr>
        <w:autoSpaceDE w:val="0"/>
        <w:autoSpaceDN w:val="0"/>
        <w:adjustRightInd w:val="0"/>
        <w:rPr>
          <w:rFonts w:ascii="Arial" w:hAnsi="Arial"/>
          <w:sz w:val="12"/>
        </w:rPr>
      </w:pPr>
    </w:p>
    <w:p w:rsidR="00506B18" w:rsidRDefault="00506B18">
      <w:pPr>
        <w:autoSpaceDE w:val="0"/>
        <w:autoSpaceDN w:val="0"/>
        <w:adjustRightInd w:val="0"/>
        <w:rPr>
          <w:rFonts w:ascii="Arial" w:hAnsi="Arial"/>
          <w:sz w:val="17"/>
        </w:rPr>
      </w:pPr>
      <w:r>
        <w:rPr>
          <w:rFonts w:ascii="Arial" w:hAnsi="Arial"/>
          <w:sz w:val="17"/>
        </w:rPr>
        <w:t>4. This commitment authority is requested for the following types of Ginnie Mae pools:</w:t>
      </w:r>
    </w:p>
    <w:p w:rsidR="00506B18" w:rsidRDefault="00506B18">
      <w:pPr>
        <w:autoSpaceDE w:val="0"/>
        <w:autoSpaceDN w:val="0"/>
        <w:adjustRightInd w:val="0"/>
        <w:rPr>
          <w:rFonts w:ascii="Arial" w:hAnsi="Arial"/>
          <w:sz w:val="17"/>
        </w:rPr>
      </w:pPr>
      <w:r>
        <w:rPr>
          <w:rFonts w:ascii="Arial" w:hAnsi="Arial"/>
          <w:sz w:val="17"/>
        </w:rPr>
        <w:t xml:space="preserve">     (Check One Only)</w:t>
      </w:r>
    </w:p>
    <w:p w:rsidR="00506B18" w:rsidRDefault="00506B18">
      <w:pPr>
        <w:autoSpaceDE w:val="0"/>
        <w:autoSpaceDN w:val="0"/>
        <w:adjustRightInd w:val="0"/>
        <w:rPr>
          <w:rFonts w:ascii="Arial" w:hAnsi="Arial"/>
          <w:sz w:val="17"/>
        </w:rPr>
      </w:pPr>
    </w:p>
    <w:p w:rsidR="00506B18" w:rsidRDefault="00AD38FC">
      <w:pPr>
        <w:autoSpaceDE w:val="0"/>
        <w:autoSpaceDN w:val="0"/>
        <w:adjustRightInd w:val="0"/>
        <w:ind w:firstLine="720"/>
        <w:rPr>
          <w:rFonts w:ascii="Arial" w:hAnsi="Arial"/>
          <w:sz w:val="17"/>
        </w:rPr>
      </w:pPr>
      <w:r>
        <w:rPr>
          <w:rFonts w:ascii="Arial" w:hAnsi="Arial"/>
          <w:noProof/>
          <w:sz w:val="17"/>
        </w:rPr>
        <w:pict>
          <v:shape id="_x0000_s1034" type="#_x0000_t202" style="position:absolute;left:0;text-align:left;margin-left:18pt;margin-top:1.85pt;width:9pt;height:10.1pt;z-index:251655168" o:allowincell="f" strokeweight=".25pt">
            <v:textbox>
              <w:txbxContent>
                <w:p w:rsidR="00506B18" w:rsidRDefault="00506B18">
                  <w:pPr>
                    <w:rPr>
                      <w:rFonts w:ascii="Arial" w:hAnsi="Arial"/>
                      <w:sz w:val="18"/>
                    </w:rPr>
                  </w:pPr>
                </w:p>
              </w:txbxContent>
            </v:textbox>
          </v:shape>
        </w:pict>
      </w:r>
      <w:r w:rsidR="00506B18">
        <w:rPr>
          <w:rFonts w:ascii="Arial" w:hAnsi="Arial"/>
          <w:sz w:val="17"/>
        </w:rPr>
        <w:t xml:space="preserve">Single-Line (SF, </w:t>
      </w:r>
      <w:r w:rsidR="0009565B">
        <w:rPr>
          <w:rFonts w:ascii="Arial" w:hAnsi="Arial"/>
          <w:sz w:val="17"/>
        </w:rPr>
        <w:t xml:space="preserve">FS, </w:t>
      </w:r>
      <w:r w:rsidR="00506B18">
        <w:rPr>
          <w:rFonts w:ascii="Arial" w:hAnsi="Arial"/>
          <w:sz w:val="17"/>
        </w:rPr>
        <w:t>BD, AR, AQ, AT, AF, AS, AX, GP, GT, GA, GD, SN, MH</w:t>
      </w:r>
      <w:r w:rsidR="00F26942">
        <w:rPr>
          <w:rFonts w:ascii="Arial" w:hAnsi="Arial"/>
          <w:sz w:val="17"/>
        </w:rPr>
        <w:t>, RA, RM, AL, ML, RF</w:t>
      </w:r>
      <w:r w:rsidR="00506B18">
        <w:rPr>
          <w:rFonts w:ascii="Arial" w:hAnsi="Arial"/>
          <w:sz w:val="17"/>
        </w:rPr>
        <w:t>)</w:t>
      </w:r>
    </w:p>
    <w:p w:rsidR="00506B18" w:rsidRDefault="00506B18">
      <w:pPr>
        <w:autoSpaceDE w:val="0"/>
        <w:autoSpaceDN w:val="0"/>
        <w:adjustRightInd w:val="0"/>
        <w:ind w:firstLine="720"/>
        <w:rPr>
          <w:rFonts w:ascii="Arial" w:hAnsi="Arial"/>
          <w:sz w:val="17"/>
        </w:rPr>
      </w:pPr>
    </w:p>
    <w:p w:rsidR="00506B18" w:rsidRDefault="00AD38FC">
      <w:pPr>
        <w:autoSpaceDE w:val="0"/>
        <w:autoSpaceDN w:val="0"/>
        <w:adjustRightInd w:val="0"/>
        <w:ind w:firstLine="720"/>
        <w:rPr>
          <w:rFonts w:ascii="Arial" w:hAnsi="Arial"/>
          <w:sz w:val="17"/>
        </w:rPr>
      </w:pPr>
      <w:r>
        <w:rPr>
          <w:rFonts w:ascii="Arial" w:hAnsi="Arial"/>
          <w:noProof/>
          <w:sz w:val="17"/>
        </w:rPr>
        <w:pict>
          <v:shape id="_x0000_s1035" type="#_x0000_t202" style="position:absolute;left:0;text-align:left;margin-left:18pt;margin-top:.3pt;width:9pt;height:10.1pt;z-index:251656192" o:allowincell="f" strokeweight=".25pt">
            <v:textbox>
              <w:txbxContent>
                <w:p w:rsidR="00506B18" w:rsidRDefault="00506B18">
                  <w:pPr>
                    <w:rPr>
                      <w:rFonts w:ascii="Arial" w:hAnsi="Arial"/>
                      <w:sz w:val="18"/>
                    </w:rPr>
                  </w:pPr>
                </w:p>
              </w:txbxContent>
            </v:textbox>
          </v:shape>
        </w:pict>
      </w:r>
      <w:r w:rsidR="00506B18">
        <w:rPr>
          <w:rFonts w:ascii="Arial" w:hAnsi="Arial"/>
          <w:sz w:val="17"/>
        </w:rPr>
        <w:t>Multi-Line (PN, PL, LM, RX, LS, CL, CS)</w:t>
      </w:r>
    </w:p>
    <w:p w:rsidR="00506B18" w:rsidRDefault="00506B18">
      <w:pPr>
        <w:autoSpaceDE w:val="0"/>
        <w:autoSpaceDN w:val="0"/>
        <w:adjustRightInd w:val="0"/>
        <w:rPr>
          <w:rFonts w:ascii="Arial" w:hAnsi="Arial"/>
          <w:sz w:val="12"/>
        </w:rPr>
      </w:pPr>
    </w:p>
    <w:p w:rsidR="00506B18" w:rsidRDefault="00506B18">
      <w:pPr>
        <w:autoSpaceDE w:val="0"/>
        <w:autoSpaceDN w:val="0"/>
        <w:adjustRightInd w:val="0"/>
        <w:ind w:left="202" w:hanging="202"/>
        <w:rPr>
          <w:rFonts w:ascii="Arial" w:hAnsi="Arial"/>
          <w:sz w:val="17"/>
        </w:rPr>
      </w:pPr>
      <w:r>
        <w:rPr>
          <w:rFonts w:ascii="Arial" w:hAnsi="Arial"/>
          <w:sz w:val="17"/>
        </w:rPr>
        <w:t>5. This commitment authority shall expire one year from the date of Ginnie Mae approval (2 years for project loan and construction loan pools).</w:t>
      </w:r>
    </w:p>
    <w:p w:rsidR="00506B18" w:rsidRDefault="00506B18">
      <w:pPr>
        <w:autoSpaceDE w:val="0"/>
        <w:autoSpaceDN w:val="0"/>
        <w:adjustRightInd w:val="0"/>
        <w:ind w:left="202" w:hanging="202"/>
        <w:rPr>
          <w:rFonts w:ascii="Arial" w:hAnsi="Arial"/>
          <w:sz w:val="12"/>
        </w:rPr>
      </w:pPr>
    </w:p>
    <w:p w:rsidR="00506B18" w:rsidRDefault="00506B18">
      <w:pPr>
        <w:autoSpaceDE w:val="0"/>
        <w:autoSpaceDN w:val="0"/>
        <w:adjustRightInd w:val="0"/>
        <w:ind w:left="202" w:hanging="202"/>
        <w:jc w:val="both"/>
        <w:rPr>
          <w:rFonts w:ascii="Arial" w:hAnsi="Arial"/>
          <w:sz w:val="17"/>
        </w:rPr>
      </w:pPr>
      <w:r>
        <w:rPr>
          <w:rFonts w:ascii="Arial" w:hAnsi="Arial"/>
          <w:sz w:val="17"/>
        </w:rPr>
        <w:t>6. The mortgages pooled under this and all other commitment authority shall meet all of the eligibility requirements set forth in the applicable Mortgage-Backed Securities Guide.</w:t>
      </w:r>
    </w:p>
    <w:p w:rsidR="00506B18" w:rsidRDefault="00506B18">
      <w:pPr>
        <w:autoSpaceDE w:val="0"/>
        <w:autoSpaceDN w:val="0"/>
        <w:adjustRightInd w:val="0"/>
        <w:ind w:left="202" w:hanging="202"/>
        <w:rPr>
          <w:rFonts w:ascii="Arial" w:hAnsi="Arial"/>
          <w:sz w:val="12"/>
        </w:rPr>
      </w:pPr>
    </w:p>
    <w:p w:rsidR="00506B18" w:rsidRDefault="00506B18">
      <w:pPr>
        <w:autoSpaceDE w:val="0"/>
        <w:autoSpaceDN w:val="0"/>
        <w:adjustRightInd w:val="0"/>
        <w:ind w:left="202" w:hanging="202"/>
        <w:jc w:val="both"/>
        <w:rPr>
          <w:rFonts w:ascii="Arial" w:hAnsi="Arial"/>
          <w:sz w:val="17"/>
        </w:rPr>
      </w:pPr>
      <w:r>
        <w:rPr>
          <w:rFonts w:ascii="Arial" w:hAnsi="Arial"/>
          <w:sz w:val="17"/>
        </w:rPr>
        <w:t>7. The issuer shall submit to Ginnie Mae the documents required by, and prepared and delivered in accordance with, the provisions of the Ginnie Mae Mortgage-Backed Securities Guide.</w:t>
      </w:r>
    </w:p>
    <w:p w:rsidR="00506B18" w:rsidRDefault="00506B18">
      <w:pPr>
        <w:autoSpaceDE w:val="0"/>
        <w:autoSpaceDN w:val="0"/>
        <w:adjustRightInd w:val="0"/>
        <w:ind w:left="202" w:hanging="202"/>
        <w:rPr>
          <w:rFonts w:ascii="Arial" w:hAnsi="Arial"/>
          <w:sz w:val="12"/>
        </w:rPr>
      </w:pPr>
    </w:p>
    <w:p w:rsidR="00506B18" w:rsidRDefault="00506B18">
      <w:pPr>
        <w:autoSpaceDE w:val="0"/>
        <w:autoSpaceDN w:val="0"/>
        <w:adjustRightInd w:val="0"/>
        <w:ind w:left="202" w:hanging="202"/>
        <w:jc w:val="both"/>
        <w:rPr>
          <w:rFonts w:ascii="Arial" w:hAnsi="Arial"/>
          <w:sz w:val="17"/>
        </w:rPr>
      </w:pPr>
      <w:r>
        <w:rPr>
          <w:rFonts w:ascii="Arial" w:hAnsi="Arial"/>
          <w:sz w:val="17"/>
        </w:rPr>
        <w:t>8. The formation of a Ginnie Mae mortgage pool or loan package, the issuance of mortgage-backed securities and the administration of a Ginnie Mae mortgage pool or loan package until the last outstanding mortgage in the pool or loan package is repaid or otherwise liquidated and securities are cancelled, shall be performed by the issuer in compliance with the provisions of Section 306(g) of the National Housing Act, applicable regulations, the Ginnie Mae Mortgage-Backed Securities Guide, and all applicable forms and agreements.</w:t>
      </w:r>
    </w:p>
    <w:p w:rsidR="00506B18" w:rsidRDefault="00506B18">
      <w:pPr>
        <w:autoSpaceDE w:val="0"/>
        <w:autoSpaceDN w:val="0"/>
        <w:adjustRightInd w:val="0"/>
        <w:ind w:left="202" w:hanging="202"/>
        <w:rPr>
          <w:rFonts w:ascii="Arial" w:hAnsi="Arial"/>
          <w:sz w:val="12"/>
        </w:rPr>
      </w:pPr>
    </w:p>
    <w:p w:rsidR="00506B18" w:rsidRDefault="00506B18">
      <w:pPr>
        <w:autoSpaceDE w:val="0"/>
        <w:autoSpaceDN w:val="0"/>
        <w:adjustRightInd w:val="0"/>
        <w:ind w:left="202" w:hanging="202"/>
        <w:jc w:val="both"/>
        <w:rPr>
          <w:rFonts w:ascii="Arial" w:hAnsi="Arial"/>
          <w:sz w:val="17"/>
        </w:rPr>
      </w:pPr>
      <w:r>
        <w:rPr>
          <w:rFonts w:ascii="Arial" w:hAnsi="Arial"/>
          <w:sz w:val="17"/>
        </w:rPr>
        <w:t>9. The issuer must meet all of Ginnie Mae's eligibility requirements, including net worth requirements, in effect at the time Ginnie Mae or its agent makes the securities ready for delivery.</w:t>
      </w:r>
    </w:p>
    <w:p w:rsidR="00506B18" w:rsidRDefault="00506B18">
      <w:pPr>
        <w:autoSpaceDE w:val="0"/>
        <w:autoSpaceDN w:val="0"/>
        <w:adjustRightInd w:val="0"/>
        <w:rPr>
          <w:rFonts w:ascii="Arial" w:hAnsi="Arial"/>
          <w:sz w:val="12"/>
        </w:rPr>
      </w:pPr>
    </w:p>
    <w:p w:rsidR="00506B18" w:rsidRDefault="00506B18">
      <w:pPr>
        <w:autoSpaceDE w:val="0"/>
        <w:autoSpaceDN w:val="0"/>
        <w:adjustRightInd w:val="0"/>
        <w:rPr>
          <w:rFonts w:ascii="Arial" w:hAnsi="Arial"/>
          <w:sz w:val="17"/>
        </w:rPr>
      </w:pPr>
      <w:r>
        <w:rPr>
          <w:rFonts w:ascii="Arial" w:hAnsi="Arial"/>
          <w:sz w:val="17"/>
        </w:rPr>
        <w:t>10. The following additional conditions:</w:t>
      </w:r>
    </w:p>
    <w:p w:rsidR="00506B18" w:rsidRDefault="00AD38FC">
      <w:pPr>
        <w:autoSpaceDE w:val="0"/>
        <w:autoSpaceDN w:val="0"/>
        <w:adjustRightInd w:val="0"/>
        <w:rPr>
          <w:rFonts w:ascii="Arial" w:hAnsi="Arial"/>
          <w:sz w:val="16"/>
        </w:rPr>
      </w:pPr>
      <w:r>
        <w:rPr>
          <w:rFonts w:ascii="Arial" w:eastAsia="Arial Unicode MS" w:hAnsi="Arial"/>
          <w:noProof/>
          <w:sz w:val="16"/>
        </w:rPr>
        <w:pict>
          <v:shape id="_x0000_s1045" type="#_x0000_t202" style="position:absolute;margin-left:165.75pt;margin-top:7.95pt;width:29.25pt;height:22.5pt;z-index:251662336" o:allowincell="f" filled="f" stroked="f">
            <v:textbox>
              <w:txbxContent>
                <w:p w:rsidR="00506B18" w:rsidRDefault="00506B18"/>
              </w:txbxContent>
            </v:textbox>
            <w10:wrap side="largest"/>
          </v:shape>
        </w:pict>
      </w:r>
      <w:r>
        <w:rPr>
          <w:rFonts w:ascii="Arial" w:hAnsi="Arial"/>
          <w:noProof/>
          <w:sz w:val="16"/>
        </w:rPr>
        <w:pict>
          <v:line id="_x0000_s1038" style="position:absolute;z-index:251659264" from="0,4.8pt" to="540pt,4.8pt" o:allowincell="f"/>
        </w:pict>
      </w:r>
      <w:r>
        <w:rPr>
          <w:rFonts w:ascii="Arial" w:hAnsi="Arial"/>
          <w:noProof/>
          <w:sz w:val="16"/>
        </w:rPr>
        <w:pict>
          <v:line id="_x0000_s1036" style="position:absolute;z-index:251657216" from="352.8pt,4.8pt" to="352.8pt,33.6pt" o:allowincell="f"/>
        </w:pict>
      </w:r>
    </w:p>
    <w:p w:rsidR="00506B18" w:rsidRDefault="00506B18">
      <w:pPr>
        <w:autoSpaceDE w:val="0"/>
        <w:autoSpaceDN w:val="0"/>
        <w:adjustRightInd w:val="0"/>
        <w:rPr>
          <w:rFonts w:ascii="Arial" w:hAnsi="Arial"/>
          <w:sz w:val="14"/>
        </w:rPr>
      </w:pPr>
      <w:r>
        <w:rPr>
          <w:rFonts w:ascii="Arial" w:hAnsi="Arial"/>
          <w:sz w:val="14"/>
        </w:rPr>
        <w:t>Authorized Ginnie Mae Signature</w:t>
      </w:r>
      <w:r>
        <w:rPr>
          <w:rFonts w:ascii="Arial" w:hAnsi="Arial"/>
          <w:sz w:val="14"/>
        </w:rPr>
        <w:tab/>
      </w:r>
      <w:r w:rsidR="00534341">
        <w:rPr>
          <w:rFonts w:ascii="Arial" w:hAnsi="Arial"/>
          <w:sz w:val="14"/>
        </w:rPr>
        <w:tab/>
      </w:r>
      <w:r w:rsidR="00534341">
        <w:rPr>
          <w:rFonts w:ascii="Arial" w:hAnsi="Arial"/>
          <w:sz w:val="14"/>
        </w:rPr>
        <w:tab/>
      </w:r>
      <w:r w:rsidR="00534341">
        <w:rPr>
          <w:rFonts w:ascii="Arial" w:hAnsi="Arial"/>
          <w:sz w:val="14"/>
        </w:rPr>
        <w:tab/>
      </w:r>
      <w:r w:rsidR="00534341">
        <w:rPr>
          <w:rFonts w:ascii="Arial" w:hAnsi="Arial"/>
          <w:sz w:val="14"/>
        </w:rPr>
        <w:tab/>
        <w:t>Print Name</w:t>
      </w:r>
      <w:r>
        <w:rPr>
          <w:rFonts w:ascii="Arial" w:hAnsi="Arial"/>
          <w:sz w:val="14"/>
        </w:rPr>
        <w:tab/>
      </w:r>
      <w:r>
        <w:rPr>
          <w:rFonts w:ascii="Arial" w:hAnsi="Arial"/>
          <w:sz w:val="14"/>
        </w:rPr>
        <w:tab/>
      </w:r>
      <w:r>
        <w:rPr>
          <w:rFonts w:ascii="Arial" w:hAnsi="Arial"/>
          <w:sz w:val="14"/>
        </w:rPr>
        <w:tab/>
        <w:t>Date</w:t>
      </w:r>
    </w:p>
    <w:p w:rsidR="00506B18" w:rsidRDefault="00506B18">
      <w:pPr>
        <w:autoSpaceDE w:val="0"/>
        <w:autoSpaceDN w:val="0"/>
        <w:adjustRightInd w:val="0"/>
        <w:rPr>
          <w:rFonts w:ascii="Arial" w:hAnsi="Arial"/>
          <w:sz w:val="16"/>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506B18" w:rsidRDefault="00AD38FC">
      <w:pPr>
        <w:autoSpaceDE w:val="0"/>
        <w:autoSpaceDN w:val="0"/>
        <w:adjustRightInd w:val="0"/>
        <w:rPr>
          <w:rFonts w:ascii="Arial" w:hAnsi="Arial"/>
          <w:b/>
          <w:color w:val="000000"/>
          <w:sz w:val="16"/>
        </w:rPr>
      </w:pPr>
      <w:r>
        <w:rPr>
          <w:rFonts w:ascii="Arial" w:hAnsi="Arial"/>
          <w:b/>
          <w:noProof/>
          <w:sz w:val="16"/>
        </w:rPr>
        <w:pict>
          <v:line id="_x0000_s1039" style="position:absolute;z-index:251660288" from="0,7.15pt" to="540pt,7.15pt" o:allowincell="f"/>
        </w:pict>
      </w:r>
      <w:r w:rsidR="00506B18">
        <w:rPr>
          <w:rFonts w:ascii="Arial" w:hAnsi="Arial"/>
          <w:b/>
          <w:sz w:val="16"/>
        </w:rPr>
        <w:tab/>
      </w:r>
      <w:r w:rsidR="00506B18">
        <w:rPr>
          <w:rFonts w:ascii="Arial" w:hAnsi="Arial"/>
          <w:b/>
          <w:sz w:val="16"/>
        </w:rPr>
        <w:tab/>
      </w:r>
      <w:r w:rsidR="00506B18">
        <w:rPr>
          <w:rFonts w:ascii="Arial" w:hAnsi="Arial"/>
          <w:b/>
          <w:sz w:val="16"/>
        </w:rPr>
        <w:tab/>
      </w:r>
      <w:r w:rsidR="00506B18">
        <w:rPr>
          <w:rFonts w:ascii="Arial" w:hAnsi="Arial"/>
          <w:b/>
          <w:sz w:val="16"/>
        </w:rPr>
        <w:tab/>
      </w:r>
      <w:r w:rsidR="00506B18">
        <w:rPr>
          <w:rFonts w:ascii="Arial" w:hAnsi="Arial"/>
          <w:b/>
          <w:sz w:val="16"/>
        </w:rPr>
        <w:tab/>
      </w:r>
      <w:r w:rsidR="00506B18">
        <w:rPr>
          <w:rFonts w:ascii="Arial" w:hAnsi="Arial"/>
          <w:b/>
          <w:sz w:val="16"/>
        </w:rPr>
        <w:tab/>
      </w:r>
      <w:r w:rsidR="00506B18">
        <w:rPr>
          <w:rFonts w:ascii="Arial" w:hAnsi="Arial"/>
          <w:b/>
          <w:sz w:val="16"/>
        </w:rPr>
        <w:tab/>
      </w:r>
      <w:r w:rsidR="00506B18">
        <w:rPr>
          <w:rFonts w:ascii="Arial" w:hAnsi="Arial"/>
          <w:b/>
          <w:sz w:val="16"/>
        </w:rPr>
        <w:tab/>
      </w:r>
      <w:r w:rsidR="00506B18">
        <w:rPr>
          <w:rFonts w:ascii="Arial" w:hAnsi="Arial"/>
          <w:b/>
          <w:sz w:val="16"/>
        </w:rPr>
        <w:tab/>
      </w:r>
      <w:r w:rsidR="00506B18">
        <w:rPr>
          <w:rFonts w:ascii="Arial" w:hAnsi="Arial"/>
          <w:b/>
          <w:sz w:val="16"/>
        </w:rPr>
        <w:tab/>
      </w:r>
    </w:p>
    <w:p w:rsidR="00506B18" w:rsidRDefault="00506B18">
      <w:pPr>
        <w:autoSpaceDE w:val="0"/>
        <w:autoSpaceDN w:val="0"/>
        <w:adjustRightInd w:val="0"/>
        <w:jc w:val="right"/>
        <w:rPr>
          <w:rFonts w:ascii="Arial" w:eastAsia="Arial Unicode MS" w:hAnsi="Arial"/>
          <w:sz w:val="16"/>
        </w:rPr>
      </w:pPr>
      <w:r>
        <w:rPr>
          <w:rFonts w:ascii="Arial" w:eastAsia="Arial Unicode MS" w:hAnsi="Arial"/>
          <w:sz w:val="16"/>
        </w:rPr>
        <w:t xml:space="preserve">    </w:t>
      </w: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HUD-11704 </w:t>
      </w:r>
      <w:r>
        <w:rPr>
          <w:rFonts w:ascii="Arial" w:hAnsi="Arial"/>
          <w:sz w:val="16"/>
        </w:rPr>
        <w:t>(</w:t>
      </w:r>
      <w:r w:rsidR="00346554">
        <w:rPr>
          <w:rFonts w:ascii="Arial" w:hAnsi="Arial"/>
          <w:sz w:val="16"/>
        </w:rPr>
        <w:t>1</w:t>
      </w:r>
      <w:r w:rsidR="00CF54CF">
        <w:rPr>
          <w:rFonts w:ascii="Arial" w:hAnsi="Arial"/>
          <w:sz w:val="16"/>
        </w:rPr>
        <w:t>2/</w:t>
      </w:r>
      <w:r w:rsidR="00346554">
        <w:rPr>
          <w:rFonts w:ascii="Arial" w:hAnsi="Arial"/>
          <w:sz w:val="16"/>
        </w:rPr>
        <w:t>2007</w:t>
      </w:r>
      <w:r>
        <w:rPr>
          <w:rFonts w:ascii="Arial" w:hAnsi="Arial"/>
          <w:sz w:val="16"/>
        </w:rPr>
        <w:t>)</w:t>
      </w:r>
    </w:p>
    <w:p w:rsidR="00506B18" w:rsidRDefault="00506B18">
      <w:pPr>
        <w:autoSpaceDE w:val="0"/>
        <w:autoSpaceDN w:val="0"/>
        <w:adjustRightInd w:val="0"/>
      </w:pPr>
      <w:r>
        <w:rPr>
          <w:rFonts w:ascii="Arial" w:eastAsia="Arial Unicode MS" w:hAnsi="Arial"/>
          <w:sz w:val="16"/>
        </w:rPr>
        <w:t>Submit an original and two copies. Previous editions are obsolete.</w:t>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t xml:space="preserve">              </w:t>
      </w:r>
      <w:proofErr w:type="gramStart"/>
      <w:r>
        <w:rPr>
          <w:rFonts w:ascii="Arial" w:hAnsi="Arial"/>
          <w:sz w:val="16"/>
        </w:rPr>
        <w:t>ref</w:t>
      </w:r>
      <w:proofErr w:type="gramEnd"/>
      <w:r>
        <w:rPr>
          <w:rFonts w:ascii="Arial" w:hAnsi="Arial"/>
          <w:sz w:val="16"/>
        </w:rPr>
        <w:t>. Ginnie Mae Handbook 5500.3, Rev.1</w:t>
      </w:r>
    </w:p>
    <w:sectPr w:rsidR="00506B18" w:rsidSect="00D4529A">
      <w:footnotePr>
        <w:numRestart w:val="eachPage"/>
      </w:footnotePr>
      <w:endnotePr>
        <w:numFmt w:val="decimal"/>
      </w:endnotePr>
      <w:type w:val="continuous"/>
      <w:pgSz w:w="12240" w:h="15840"/>
      <w:pgMar w:top="864" w:right="720" w:bottom="864" w:left="720" w:header="720" w:footer="720" w:gutter="0"/>
      <w:cols w:space="21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E42" w:rsidRDefault="001C4E42">
      <w:pPr>
        <w:spacing w:line="20" w:lineRule="exact"/>
        <w:rPr>
          <w:sz w:val="24"/>
        </w:rPr>
      </w:pPr>
    </w:p>
  </w:endnote>
  <w:endnote w:type="continuationSeparator" w:id="0">
    <w:p w:rsidR="001C4E42" w:rsidRDefault="001C4E42">
      <w:r>
        <w:rPr>
          <w:sz w:val="24"/>
        </w:rPr>
        <w:t xml:space="preserve"> </w:t>
      </w:r>
    </w:p>
  </w:endnote>
  <w:endnote w:type="continuationNotice" w:id="1">
    <w:p w:rsidR="001C4E42" w:rsidRDefault="001C4E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18" w:rsidRDefault="00506B18">
    <w:pPr>
      <w:pBdr>
        <w:bottom w:val="double" w:sz="6" w:space="1" w:color="auto"/>
      </w:pBdr>
      <w:tabs>
        <w:tab w:val="right" w:pos="9360"/>
      </w:tabs>
      <w:suppressAutoHyphens/>
      <w:rPr>
        <w:kern w:val="1"/>
      </w:rPr>
    </w:pPr>
  </w:p>
  <w:p w:rsidR="00506B18" w:rsidRDefault="00506B18">
    <w:pPr>
      <w:tabs>
        <w:tab w:val="right" w:pos="9866"/>
      </w:tabs>
      <w:suppressAutoHyphens/>
      <w:rPr>
        <w:kern w:val="1"/>
      </w:rPr>
    </w:pPr>
  </w:p>
  <w:p w:rsidR="00506B18" w:rsidRDefault="00506B18">
    <w:pPr>
      <w:tabs>
        <w:tab w:val="center" w:pos="4590"/>
        <w:tab w:val="right" w:pos="9360"/>
      </w:tabs>
      <w:suppressAutoHyphens/>
      <w:rPr>
        <w:kern w:val="1"/>
      </w:rPr>
    </w:pPr>
    <w:r>
      <w:rPr>
        <w:kern w:val="1"/>
      </w:rPr>
      <w:t>Appendix II-2</w:t>
    </w:r>
    <w:r>
      <w:rPr>
        <w:kern w:val="1"/>
      </w:rPr>
      <w:tab/>
    </w:r>
    <w:r w:rsidR="000152E1">
      <w:rPr>
        <w:rStyle w:val="PageNumber"/>
      </w:rPr>
      <w:fldChar w:fldCharType="begin"/>
    </w:r>
    <w:r>
      <w:rPr>
        <w:rStyle w:val="PageNumber"/>
      </w:rPr>
      <w:instrText xml:space="preserve"> PAGE </w:instrText>
    </w:r>
    <w:r w:rsidR="000152E1">
      <w:rPr>
        <w:rStyle w:val="PageNumber"/>
      </w:rPr>
      <w:fldChar w:fldCharType="separate"/>
    </w:r>
    <w:r>
      <w:rPr>
        <w:rStyle w:val="PageNumber"/>
        <w:noProof/>
      </w:rPr>
      <w:t>2</w:t>
    </w:r>
    <w:r w:rsidR="000152E1">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18" w:rsidRDefault="00506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E42" w:rsidRDefault="001C4E42">
      <w:r>
        <w:rPr>
          <w:sz w:val="24"/>
        </w:rPr>
        <w:separator/>
      </w:r>
    </w:p>
  </w:footnote>
  <w:footnote w:type="continuationSeparator" w:id="0">
    <w:p w:rsidR="001C4E42" w:rsidRDefault="001C4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18" w:rsidRDefault="00506B18">
    <w:pPr>
      <w:pStyle w:val="Heading"/>
      <w:tabs>
        <w:tab w:val="clear" w:pos="9270"/>
      </w:tabs>
      <w:jc w:val="left"/>
    </w:pPr>
    <w:r>
      <w:t>Ginnie Mae 5500.3</w:t>
    </w:r>
  </w:p>
  <w:p w:rsidR="00506B18" w:rsidRDefault="00506B18">
    <w:pPr>
      <w:pBdr>
        <w:bottom w:val="double" w:sz="6" w:space="1" w:color="auto"/>
      </w:pBdr>
      <w:suppressAutoHyphens/>
      <w:rPr>
        <w:kern w:val="1"/>
      </w:rPr>
    </w:pPr>
  </w:p>
  <w:p w:rsidR="00506B18" w:rsidRDefault="00506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18" w:rsidRDefault="00506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2"/>
  </w:compat>
  <w:docVars>
    <w:docVar w:name="DocNumber" w:val="313256"/>
    <w:docVar w:name="DOCX97_66" w:val="GoodQuotes"/>
    <w:docVar w:name="SWDocIDLocation" w:val="0"/>
  </w:docVars>
  <w:rsids>
    <w:rsidRoot w:val="005027AA"/>
    <w:rsid w:val="000152E1"/>
    <w:rsid w:val="0009565B"/>
    <w:rsid w:val="000C5A8C"/>
    <w:rsid w:val="001874D0"/>
    <w:rsid w:val="001C4E42"/>
    <w:rsid w:val="00346554"/>
    <w:rsid w:val="0038092C"/>
    <w:rsid w:val="00416ADE"/>
    <w:rsid w:val="00494D44"/>
    <w:rsid w:val="005027AA"/>
    <w:rsid w:val="00506B18"/>
    <w:rsid w:val="005218B4"/>
    <w:rsid w:val="005244B3"/>
    <w:rsid w:val="00526186"/>
    <w:rsid w:val="005322BC"/>
    <w:rsid w:val="00534341"/>
    <w:rsid w:val="006D16BB"/>
    <w:rsid w:val="006E1367"/>
    <w:rsid w:val="00790794"/>
    <w:rsid w:val="009177D8"/>
    <w:rsid w:val="00925A2A"/>
    <w:rsid w:val="0099441A"/>
    <w:rsid w:val="00A56420"/>
    <w:rsid w:val="00AD38FC"/>
    <w:rsid w:val="00BC6D45"/>
    <w:rsid w:val="00BF7BE3"/>
    <w:rsid w:val="00CF54CF"/>
    <w:rsid w:val="00D138A0"/>
    <w:rsid w:val="00D4529A"/>
    <w:rsid w:val="00D96602"/>
    <w:rsid w:val="00E65BD5"/>
    <w:rsid w:val="00F26942"/>
    <w:rsid w:val="00F5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9A"/>
    <w:rPr>
      <w:sz w:val="22"/>
    </w:rPr>
  </w:style>
  <w:style w:type="paragraph" w:styleId="Heading1">
    <w:name w:val="heading 1"/>
    <w:basedOn w:val="Normal"/>
    <w:next w:val="Normal"/>
    <w:qFormat/>
    <w:rsid w:val="00D4529A"/>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D4529A"/>
    <w:pPr>
      <w:keepNext/>
      <w:spacing w:after="160"/>
      <w:outlineLvl w:val="1"/>
    </w:pPr>
    <w:rPr>
      <w:b/>
      <w:i/>
      <w:sz w:val="28"/>
    </w:rPr>
  </w:style>
  <w:style w:type="paragraph" w:styleId="Heading3">
    <w:name w:val="heading 3"/>
    <w:basedOn w:val="Normal"/>
    <w:next w:val="Normal"/>
    <w:qFormat/>
    <w:rsid w:val="00D4529A"/>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4529A"/>
    <w:pPr>
      <w:tabs>
        <w:tab w:val="center" w:pos="4320"/>
        <w:tab w:val="right" w:pos="8640"/>
      </w:tabs>
    </w:pPr>
  </w:style>
  <w:style w:type="paragraph" w:styleId="TOC1">
    <w:name w:val="toc 1"/>
    <w:basedOn w:val="Normal"/>
    <w:next w:val="Normal"/>
    <w:semiHidden/>
    <w:rsid w:val="00D4529A"/>
    <w:pPr>
      <w:tabs>
        <w:tab w:val="left" w:leader="dot" w:pos="9000"/>
        <w:tab w:val="right" w:pos="9360"/>
      </w:tabs>
      <w:suppressAutoHyphens/>
      <w:spacing w:before="480"/>
      <w:ind w:left="720" w:right="720" w:hanging="720"/>
    </w:pPr>
  </w:style>
  <w:style w:type="paragraph" w:styleId="TOC2">
    <w:name w:val="toc 2"/>
    <w:basedOn w:val="Normal"/>
    <w:next w:val="Normal"/>
    <w:semiHidden/>
    <w:rsid w:val="00D4529A"/>
    <w:pPr>
      <w:tabs>
        <w:tab w:val="left" w:leader="dot" w:pos="9000"/>
        <w:tab w:val="right" w:pos="9360"/>
      </w:tabs>
      <w:suppressAutoHyphens/>
      <w:ind w:left="1440" w:right="720" w:hanging="720"/>
    </w:pPr>
  </w:style>
  <w:style w:type="paragraph" w:styleId="TOC3">
    <w:name w:val="toc 3"/>
    <w:basedOn w:val="Normal"/>
    <w:next w:val="Normal"/>
    <w:semiHidden/>
    <w:rsid w:val="00D4529A"/>
    <w:pPr>
      <w:tabs>
        <w:tab w:val="left" w:leader="dot" w:pos="9000"/>
        <w:tab w:val="right" w:pos="9360"/>
      </w:tabs>
      <w:suppressAutoHyphens/>
      <w:ind w:left="2160" w:right="720" w:hanging="720"/>
    </w:pPr>
  </w:style>
  <w:style w:type="paragraph" w:styleId="Header">
    <w:name w:val="header"/>
    <w:basedOn w:val="Normal"/>
    <w:rsid w:val="00D4529A"/>
    <w:pPr>
      <w:tabs>
        <w:tab w:val="center" w:pos="4320"/>
        <w:tab w:val="right" w:pos="8640"/>
      </w:tabs>
    </w:pPr>
  </w:style>
  <w:style w:type="paragraph" w:customStyle="1" w:styleId="Style1">
    <w:name w:val="Style1"/>
    <w:basedOn w:val="Normal"/>
    <w:rsid w:val="00D4529A"/>
    <w:pPr>
      <w:tabs>
        <w:tab w:val="left" w:pos="596"/>
        <w:tab w:val="left" w:pos="1080"/>
        <w:tab w:val="left" w:pos="1589"/>
      </w:tabs>
      <w:suppressAutoHyphens/>
      <w:ind w:left="1080" w:hanging="1080"/>
    </w:pPr>
    <w:rPr>
      <w:kern w:val="1"/>
    </w:rPr>
  </w:style>
  <w:style w:type="paragraph" w:customStyle="1" w:styleId="Style2">
    <w:name w:val="Style2"/>
    <w:basedOn w:val="Style1"/>
    <w:rsid w:val="00D4529A"/>
    <w:pPr>
      <w:ind w:left="1620" w:hanging="1620"/>
    </w:pPr>
  </w:style>
  <w:style w:type="paragraph" w:customStyle="1" w:styleId="TableText">
    <w:name w:val="Table Text"/>
    <w:rsid w:val="00D4529A"/>
    <w:rPr>
      <w:rFonts w:ascii="CG Times" w:hAnsi="CG Times"/>
      <w:color w:val="000000"/>
      <w:sz w:val="22"/>
    </w:rPr>
  </w:style>
  <w:style w:type="paragraph" w:customStyle="1" w:styleId="Style3">
    <w:name w:val="Style3"/>
    <w:basedOn w:val="Style2"/>
    <w:rsid w:val="00D4529A"/>
    <w:pPr>
      <w:tabs>
        <w:tab w:val="clear" w:pos="1589"/>
        <w:tab w:val="left" w:pos="1620"/>
        <w:tab w:val="left" w:pos="2160"/>
      </w:tabs>
      <w:ind w:left="2160" w:hanging="2160"/>
    </w:pPr>
  </w:style>
  <w:style w:type="paragraph" w:customStyle="1" w:styleId="Style4">
    <w:name w:val="Style4"/>
    <w:basedOn w:val="Style3"/>
    <w:rsid w:val="00D4529A"/>
    <w:pPr>
      <w:tabs>
        <w:tab w:val="left" w:pos="2520"/>
      </w:tabs>
      <w:ind w:left="2520" w:hanging="2520"/>
    </w:pPr>
  </w:style>
  <w:style w:type="paragraph" w:customStyle="1" w:styleId="Style5">
    <w:name w:val="Style5"/>
    <w:basedOn w:val="Normal"/>
    <w:rsid w:val="00D4529A"/>
    <w:pPr>
      <w:keepNext/>
      <w:spacing w:after="240"/>
    </w:pPr>
    <w:rPr>
      <w:b/>
    </w:rPr>
  </w:style>
  <w:style w:type="paragraph" w:customStyle="1" w:styleId="TableTitle">
    <w:name w:val="Table Title"/>
    <w:basedOn w:val="Normal"/>
    <w:rsid w:val="00D4529A"/>
    <w:pPr>
      <w:jc w:val="center"/>
    </w:pPr>
    <w:rPr>
      <w:rFonts w:ascii="Arial Bold" w:hAnsi="Arial Bold"/>
      <w:b/>
    </w:rPr>
  </w:style>
  <w:style w:type="paragraph" w:customStyle="1" w:styleId="Style6">
    <w:name w:val="Style6"/>
    <w:basedOn w:val="Normal"/>
    <w:rsid w:val="00D4529A"/>
    <w:pPr>
      <w:tabs>
        <w:tab w:val="left" w:pos="2160"/>
      </w:tabs>
      <w:ind w:left="2160" w:hanging="2160"/>
    </w:pPr>
  </w:style>
  <w:style w:type="paragraph" w:customStyle="1" w:styleId="Style7">
    <w:name w:val="Style7"/>
    <w:basedOn w:val="Style6"/>
    <w:rsid w:val="00D4529A"/>
    <w:pPr>
      <w:tabs>
        <w:tab w:val="left" w:pos="3780"/>
      </w:tabs>
      <w:ind w:left="3780" w:hanging="3780"/>
    </w:pPr>
  </w:style>
  <w:style w:type="paragraph" w:styleId="FootnoteText">
    <w:name w:val="footnote text"/>
    <w:basedOn w:val="Normal"/>
    <w:semiHidden/>
    <w:rsid w:val="00D4529A"/>
    <w:rPr>
      <w:sz w:val="18"/>
    </w:rPr>
  </w:style>
  <w:style w:type="character" w:styleId="PageNumber">
    <w:name w:val="page number"/>
    <w:basedOn w:val="DefaultParagraphFont"/>
    <w:rsid w:val="00D4529A"/>
  </w:style>
  <w:style w:type="paragraph" w:customStyle="1" w:styleId="Heading">
    <w:name w:val="Heading"/>
    <w:basedOn w:val="Normal"/>
    <w:rsid w:val="00D4529A"/>
    <w:pPr>
      <w:tabs>
        <w:tab w:val="right" w:pos="9270"/>
      </w:tabs>
      <w:suppressAutoHyphens/>
      <w:jc w:val="right"/>
    </w:pPr>
    <w:rPr>
      <w:smallCaps/>
      <w:kern w:val="1"/>
    </w:rPr>
  </w:style>
  <w:style w:type="paragraph" w:customStyle="1" w:styleId="Hanging">
    <w:name w:val="Hanging"/>
    <w:basedOn w:val="Normal"/>
    <w:rsid w:val="00D4529A"/>
    <w:pPr>
      <w:spacing w:after="240"/>
      <w:ind w:left="2160" w:hanging="2160"/>
    </w:pPr>
  </w:style>
  <w:style w:type="paragraph" w:customStyle="1" w:styleId="NumHang">
    <w:name w:val="NumHang"/>
    <w:basedOn w:val="Hanging"/>
    <w:rsid w:val="00D4529A"/>
    <w:pPr>
      <w:ind w:left="1440" w:hanging="720"/>
    </w:pPr>
  </w:style>
  <w:style w:type="paragraph" w:styleId="BodyText">
    <w:name w:val="Body Text"/>
    <w:basedOn w:val="Normal"/>
    <w:rsid w:val="00D4529A"/>
    <w:pPr>
      <w:spacing w:after="120"/>
    </w:pPr>
  </w:style>
  <w:style w:type="character" w:styleId="FollowedHyperlink">
    <w:name w:val="FollowedHyperlink"/>
    <w:basedOn w:val="DefaultParagraphFont"/>
    <w:rsid w:val="00D4529A"/>
    <w:rPr>
      <w:color w:val="800080"/>
      <w:u w:val="single"/>
    </w:rPr>
  </w:style>
  <w:style w:type="paragraph" w:styleId="BalloonText">
    <w:name w:val="Balloon Text"/>
    <w:basedOn w:val="Normal"/>
    <w:semiHidden/>
    <w:rsid w:val="00CF54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Appendix II-2 Combined Guide Test</vt:lpstr>
    </vt:vector>
  </TitlesOfParts>
  <Company>Hunton &amp; Williams</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II-2 Combined Guide Test</dc:title>
  <dc:subject/>
  <dc:creator>95 Workstation</dc:creator>
  <cp:keywords/>
  <dc:description/>
  <cp:lastModifiedBy>Debra Lee Murphy</cp:lastModifiedBy>
  <cp:revision>6</cp:revision>
  <cp:lastPrinted>2008-09-19T11:50:00Z</cp:lastPrinted>
  <dcterms:created xsi:type="dcterms:W3CDTF">2010-04-21T18:43:00Z</dcterms:created>
  <dcterms:modified xsi:type="dcterms:W3CDTF">2013-04-25T11:03:00Z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1348899575</vt:i4>
  </property>
  <property fmtid="{D5CDD505-2E9C-101B-9397-08002B2CF9AE}" pid="4" name="_NewReviewCycle">
    <vt:lpwstr/>
  </property>
  <property fmtid="{D5CDD505-2E9C-101B-9397-08002B2CF9AE}" pid="5" name="_EmailSubject">
    <vt:lpwstr>FHASecure Guide Changes</vt:lpwstr>
  </property>
  <property fmtid="{D5CDD505-2E9C-101B-9397-08002B2CF9AE}" pid="6" name="_AuthorEmail">
    <vt:lpwstr>Carol.M.Vilsack@hud.gov</vt:lpwstr>
  </property>
  <property fmtid="{D5CDD505-2E9C-101B-9397-08002B2CF9AE}" pid="7" name="_AuthorEmailDisplayName">
    <vt:lpwstr>Vilsack, Carol M</vt:lpwstr>
  </property>
  <property fmtid="{D5CDD505-2E9C-101B-9397-08002B2CF9AE}" pid="8" name="_ReviewingToolsShownOnce">
    <vt:lpwstr/>
  </property>
</Properties>
</file>