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81C" w:rsidRDefault="0097581C"/>
    <w:p w:rsidR="0097581C" w:rsidRDefault="0097581C"/>
    <w:p w:rsidR="0097581C" w:rsidRDefault="0097581C"/>
    <w:p w:rsidR="0097581C" w:rsidRDefault="0097581C"/>
    <w:p w:rsidR="0097581C" w:rsidRDefault="0097581C"/>
    <w:p w:rsidR="0097581C" w:rsidRPr="0097581C" w:rsidRDefault="0097581C" w:rsidP="0097581C">
      <w:pPr>
        <w:spacing w:after="0" w:line="240" w:lineRule="auto"/>
        <w:jc w:val="center"/>
        <w:rPr>
          <w:rFonts w:ascii="Lucida Sans" w:eastAsia="Times New Roman" w:hAnsi="Lucida Sans" w:cs="Times New Roman"/>
          <w:b/>
          <w:bCs/>
          <w:caps/>
          <w:sz w:val="24"/>
          <w:szCs w:val="24"/>
        </w:rPr>
      </w:pPr>
      <w:r>
        <w:rPr>
          <w:rFonts w:ascii="Lucida Sans" w:eastAsia="Times New Roman" w:hAnsi="Lucida Sans" w:cs="Times New Roman"/>
          <w:b/>
          <w:bCs/>
          <w:caps/>
          <w:sz w:val="24"/>
          <w:szCs w:val="24"/>
        </w:rPr>
        <w:t>Appendix R</w:t>
      </w:r>
    </w:p>
    <w:p w:rsidR="0097581C" w:rsidRPr="0097581C" w:rsidRDefault="0097581C" w:rsidP="0097581C">
      <w:pPr>
        <w:spacing w:after="0" w:line="240" w:lineRule="auto"/>
        <w:jc w:val="center"/>
        <w:rPr>
          <w:rFonts w:ascii="Lucida Sans" w:eastAsia="Times New Roman" w:hAnsi="Lucida Sans" w:cs="Times New Roman"/>
          <w:b/>
          <w:bCs/>
          <w:caps/>
          <w:sz w:val="24"/>
          <w:szCs w:val="24"/>
        </w:rPr>
      </w:pPr>
    </w:p>
    <w:p w:rsidR="0097581C" w:rsidRDefault="0097581C" w:rsidP="0097581C">
      <w:pPr>
        <w:jc w:val="center"/>
      </w:pPr>
      <w:r>
        <w:rPr>
          <w:rFonts w:ascii="Lucida Sans" w:eastAsia="Times New Roman" w:hAnsi="Lucida Sans" w:cs="Times New Roman"/>
          <w:b/>
          <w:bCs/>
          <w:caps/>
          <w:sz w:val="24"/>
          <w:szCs w:val="24"/>
        </w:rPr>
        <w:t>NASS REview</w:t>
      </w:r>
    </w:p>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97581C" w:rsidRDefault="0097581C"/>
    <w:p w:rsidR="00300C02" w:rsidRDefault="00300C02">
      <w:r>
        <w:t xml:space="preserve">Food and Nutrition Service  </w:t>
      </w:r>
    </w:p>
    <w:p w:rsidR="00300C02" w:rsidRDefault="00300C02"/>
    <w:p w:rsidR="007C5178" w:rsidRDefault="00300C02">
      <w:r w:rsidRPr="00300C02">
        <w:t>AG-3198-D-10-0079: Revised OMB Package (Task 8) - Evaluation of Medicare Extra Help</w:t>
      </w:r>
    </w:p>
    <w:p w:rsidR="00300C02" w:rsidRDefault="00300C02"/>
    <w:p w:rsidR="00300C02" w:rsidRDefault="00300C02" w:rsidP="00300C02">
      <w:pPr>
        <w:rPr>
          <w:color w:val="000000"/>
        </w:rPr>
      </w:pPr>
      <w:r>
        <w:rPr>
          <w:color w:val="000000"/>
        </w:rPr>
        <w:t>Generally, the survey data will be analyzed by comparing survey data between the pilot and comparison sites.  The statistical model will use the two-tailed t-test, and the sample design targets an overall 80% response rate.  Table B2.1 shows the comparison groups with the expected number of completed interviews and the minimum detectable differences from the two-tailed t-tests.  As described in Part A, the survey data will also be analyzed targeting specific subgroups on certain types of survey questions.  Caution should be taken in sample subgroups that show low response rates, for the degree of accuracy with the descriptive and inferential statistics may be affected.  Possible subgroups include counties or regions with low response, or certain groups of the elderly who have special needs and cannot participate in over-the-phone interviews.</w:t>
      </w:r>
    </w:p>
    <w:p w:rsidR="00300C02" w:rsidRDefault="00300C02" w:rsidP="00300C02">
      <w:pPr>
        <w:autoSpaceDE w:val="0"/>
        <w:autoSpaceDN w:val="0"/>
        <w:spacing w:line="240" w:lineRule="atLeast"/>
        <w:rPr>
          <w:color w:val="000000"/>
        </w:rPr>
      </w:pPr>
    </w:p>
    <w:p w:rsidR="00300C02" w:rsidRDefault="00300C02" w:rsidP="00300C02">
      <w:pPr>
        <w:autoSpaceDE w:val="0"/>
        <w:autoSpaceDN w:val="0"/>
        <w:spacing w:line="240" w:lineRule="atLeast"/>
        <w:rPr>
          <w:color w:val="000000"/>
        </w:rPr>
      </w:pPr>
      <w:r>
        <w:rPr>
          <w:color w:val="000000"/>
        </w:rPr>
        <w:t>Thanks,</w:t>
      </w:r>
    </w:p>
    <w:p w:rsidR="00300C02" w:rsidRDefault="00300C02" w:rsidP="00300C02">
      <w:pPr>
        <w:rPr>
          <w:color w:val="000000"/>
        </w:rPr>
      </w:pPr>
    </w:p>
    <w:p w:rsidR="00300C02" w:rsidRDefault="00300C02" w:rsidP="00300C02">
      <w:pPr>
        <w:rPr>
          <w:rFonts w:ascii="Arial" w:hAnsi="Arial" w:cs="Arial"/>
          <w:color w:val="000000"/>
          <w:sz w:val="20"/>
          <w:szCs w:val="20"/>
        </w:rPr>
      </w:pPr>
      <w:r>
        <w:rPr>
          <w:rFonts w:ascii="Arial" w:hAnsi="Arial" w:cs="Arial"/>
          <w:color w:val="000000"/>
          <w:sz w:val="20"/>
          <w:szCs w:val="20"/>
        </w:rPr>
        <w:t>Tom Pordugal</w:t>
      </w:r>
    </w:p>
    <w:p w:rsidR="00300C02" w:rsidRDefault="00300C02" w:rsidP="00300C02">
      <w:pPr>
        <w:rPr>
          <w:rFonts w:ascii="Arial" w:hAnsi="Arial" w:cs="Arial"/>
          <w:color w:val="000000"/>
          <w:sz w:val="20"/>
          <w:szCs w:val="20"/>
        </w:rPr>
      </w:pPr>
      <w:r>
        <w:rPr>
          <w:rFonts w:ascii="Arial" w:hAnsi="Arial" w:cs="Arial"/>
          <w:color w:val="000000"/>
          <w:sz w:val="20"/>
          <w:szCs w:val="20"/>
        </w:rPr>
        <w:t>Statistical Methods Branch</w:t>
      </w:r>
    </w:p>
    <w:p w:rsidR="00300C02" w:rsidRDefault="00300C02" w:rsidP="00300C02">
      <w:pPr>
        <w:rPr>
          <w:rFonts w:ascii="Arial" w:hAnsi="Arial" w:cs="Arial"/>
          <w:color w:val="000000"/>
          <w:sz w:val="20"/>
          <w:szCs w:val="20"/>
        </w:rPr>
      </w:pPr>
      <w:r>
        <w:rPr>
          <w:rFonts w:ascii="Arial" w:hAnsi="Arial" w:cs="Arial"/>
          <w:color w:val="000000"/>
          <w:sz w:val="20"/>
          <w:szCs w:val="20"/>
        </w:rPr>
        <w:t>Commodity Section</w:t>
      </w:r>
    </w:p>
    <w:p w:rsidR="00300C02" w:rsidRDefault="00300C02" w:rsidP="00300C02">
      <w:pPr>
        <w:rPr>
          <w:rFonts w:ascii="Arial" w:hAnsi="Arial" w:cs="Arial"/>
          <w:color w:val="000000"/>
          <w:sz w:val="20"/>
          <w:szCs w:val="20"/>
        </w:rPr>
      </w:pPr>
      <w:r>
        <w:rPr>
          <w:rFonts w:ascii="Arial" w:hAnsi="Arial" w:cs="Arial"/>
          <w:color w:val="000000"/>
          <w:sz w:val="20"/>
          <w:szCs w:val="20"/>
        </w:rPr>
        <w:t>USDA / NASS / SD / SMB</w:t>
      </w:r>
    </w:p>
    <w:p w:rsidR="00300C02" w:rsidRDefault="00300C02" w:rsidP="00300C02">
      <w:pPr>
        <w:rPr>
          <w:rFonts w:ascii="Arial" w:hAnsi="Arial" w:cs="Arial"/>
          <w:color w:val="000000"/>
          <w:sz w:val="20"/>
          <w:szCs w:val="20"/>
        </w:rPr>
      </w:pPr>
      <w:r>
        <w:rPr>
          <w:rFonts w:ascii="Arial" w:hAnsi="Arial" w:cs="Arial"/>
          <w:color w:val="000000"/>
          <w:sz w:val="20"/>
          <w:szCs w:val="20"/>
        </w:rPr>
        <w:t>Phone: (202) 690-3623</w:t>
      </w:r>
    </w:p>
    <w:p w:rsidR="00300C02" w:rsidRDefault="00300C02"/>
    <w:sectPr w:rsidR="00300C02" w:rsidSect="007C51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panose1 w:val="020B0602040502020204"/>
    <w:charset w:val="00"/>
    <w:family w:val="swiss"/>
    <w:pitch w:val="variable"/>
    <w:sig w:usb0="01002A87" w:usb1="00000000" w:usb2="00000000" w:usb3="00000000" w:csb0="0001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0C02"/>
    <w:rsid w:val="000202CE"/>
    <w:rsid w:val="001D1276"/>
    <w:rsid w:val="00214643"/>
    <w:rsid w:val="00300C02"/>
    <w:rsid w:val="00603502"/>
    <w:rsid w:val="007C5178"/>
    <w:rsid w:val="008E3930"/>
    <w:rsid w:val="009217C3"/>
    <w:rsid w:val="00964B5E"/>
    <w:rsid w:val="0097581C"/>
    <w:rsid w:val="00B15EB8"/>
    <w:rsid w:val="00B615A1"/>
    <w:rsid w:val="00B90382"/>
    <w:rsid w:val="00C64792"/>
    <w:rsid w:val="00C950F9"/>
    <w:rsid w:val="00D917E3"/>
    <w:rsid w:val="00EE1C44"/>
    <w:rsid w:val="00F41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518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963</Characters>
  <Application>Microsoft Office Word</Application>
  <DocSecurity>0</DocSecurity>
  <Lines>8</Lines>
  <Paragraphs>2</Paragraphs>
  <ScaleCrop>false</ScaleCrop>
  <Company>USDA - NASS</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bob</cp:lastModifiedBy>
  <cp:revision>2</cp:revision>
  <dcterms:created xsi:type="dcterms:W3CDTF">2012-10-12T13:33:00Z</dcterms:created>
  <dcterms:modified xsi:type="dcterms:W3CDTF">2012-10-12T13:33:00Z</dcterms:modified>
</cp:coreProperties>
</file>