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E3B" w:rsidRDefault="00174E3B" w:rsidP="00174E3B">
      <w:pPr>
        <w:spacing w:after="60" w:line="360" w:lineRule="exact"/>
        <w:ind w:left="5112" w:firstLine="0"/>
        <w:jc w:val="left"/>
        <w:rPr>
          <w:rFonts w:ascii="Lucida Sans" w:hAnsi="Lucida Sans"/>
          <w:b/>
          <w:sz w:val="22"/>
          <w:szCs w:val="22"/>
        </w:rPr>
      </w:pPr>
      <w:bookmarkStart w:id="0" w:name="_Toc297293697"/>
      <w:bookmarkStart w:id="1" w:name="_Toc297293718"/>
      <w:bookmarkStart w:id="2" w:name="_Toc309717586"/>
    </w:p>
    <w:p w:rsidR="00174E3B" w:rsidRPr="007C49C0" w:rsidRDefault="00174E3B" w:rsidP="00174E3B">
      <w:pPr>
        <w:spacing w:after="144" w:line="312" w:lineRule="auto"/>
        <w:ind w:left="5112" w:right="360" w:firstLine="0"/>
        <w:jc w:val="left"/>
        <w:rPr>
          <w:rFonts w:ascii="Lucida Sans" w:hAnsi="Lucida Sans"/>
          <w:b/>
          <w:sz w:val="22"/>
          <w:szCs w:val="22"/>
        </w:rPr>
      </w:pPr>
      <w:bookmarkStart w:id="3" w:name="RepTitle"/>
      <w:bookmarkStart w:id="4" w:name="OLE_LINK1"/>
      <w:bookmarkStart w:id="5" w:name="OLE_LINK2"/>
      <w:bookmarkEnd w:id="3"/>
      <w:r>
        <w:rPr>
          <w:rFonts w:ascii="Lucida Sans" w:hAnsi="Lucida Sans"/>
          <w:b/>
          <w:sz w:val="22"/>
          <w:szCs w:val="22"/>
        </w:rPr>
        <w:t>Supporting Statement</w:t>
      </w:r>
      <w:r w:rsidR="00DF58D9">
        <w:rPr>
          <w:rFonts w:ascii="Lucida Sans" w:hAnsi="Lucida Sans"/>
          <w:b/>
          <w:sz w:val="22"/>
          <w:szCs w:val="22"/>
        </w:rPr>
        <w:t xml:space="preserve"> Part B</w:t>
      </w:r>
      <w:r>
        <w:rPr>
          <w:rFonts w:ascii="Lucida Sans" w:hAnsi="Lucida Sans"/>
          <w:b/>
          <w:sz w:val="22"/>
          <w:szCs w:val="22"/>
        </w:rPr>
        <w:t xml:space="preserve"> for the Study of the Effectiveness of Efforts to I</w:t>
      </w:r>
      <w:r w:rsidR="00EE4562">
        <w:rPr>
          <w:rFonts w:ascii="Lucida Sans" w:hAnsi="Lucida Sans"/>
          <w:b/>
          <w:sz w:val="22"/>
          <w:szCs w:val="22"/>
        </w:rPr>
        <w:t>mprove</w:t>
      </w:r>
      <w:r>
        <w:rPr>
          <w:rFonts w:ascii="Lucida Sans" w:hAnsi="Lucida Sans"/>
          <w:b/>
          <w:sz w:val="22"/>
          <w:szCs w:val="22"/>
        </w:rPr>
        <w:t xml:space="preserve"> Supplemental Nutrition Assistance Program </w:t>
      </w:r>
      <w:r w:rsidR="00EE4562">
        <w:rPr>
          <w:rFonts w:ascii="Lucida Sans" w:hAnsi="Lucida Sans"/>
          <w:b/>
          <w:sz w:val="22"/>
          <w:szCs w:val="22"/>
        </w:rPr>
        <w:t>Access</w:t>
      </w:r>
      <w:r>
        <w:rPr>
          <w:rFonts w:ascii="Lucida Sans" w:hAnsi="Lucida Sans"/>
          <w:b/>
          <w:sz w:val="22"/>
          <w:szCs w:val="22"/>
        </w:rPr>
        <w:t xml:space="preserve"> Among Medicare’s Extra Help Population Pilot Projects</w:t>
      </w:r>
      <w:bookmarkEnd w:id="4"/>
      <w:bookmarkEnd w:id="5"/>
    </w:p>
    <w:p w:rsidR="00174E3B" w:rsidRPr="00D678C4" w:rsidRDefault="006C6EEE" w:rsidP="00174E3B">
      <w:pPr>
        <w:spacing w:before="144" w:after="288" w:line="360" w:lineRule="exact"/>
        <w:ind w:left="5112" w:right="360" w:firstLine="0"/>
        <w:rPr>
          <w:rFonts w:ascii="Lucida Sans" w:hAnsi="Lucida Sans"/>
          <w:sz w:val="22"/>
          <w:szCs w:val="22"/>
        </w:rPr>
      </w:pPr>
      <w:bookmarkStart w:id="6" w:name="RepType"/>
      <w:bookmarkStart w:id="7" w:name="DateMark"/>
      <w:bookmarkEnd w:id="6"/>
      <w:bookmarkEnd w:id="7"/>
      <w:r>
        <w:rPr>
          <w:rFonts w:ascii="Lucida Sans" w:hAnsi="Lucida Sans"/>
          <w:sz w:val="22"/>
          <w:szCs w:val="22"/>
        </w:rPr>
        <w:t>September 17</w:t>
      </w:r>
      <w:r w:rsidR="00931AAF">
        <w:rPr>
          <w:rFonts w:ascii="Lucida Sans" w:hAnsi="Lucida Sans"/>
          <w:sz w:val="22"/>
          <w:szCs w:val="22"/>
        </w:rPr>
        <w:t>,</w:t>
      </w:r>
      <w:r w:rsidR="00174E3B" w:rsidRPr="00D678C4">
        <w:rPr>
          <w:rFonts w:ascii="Lucida Sans" w:hAnsi="Lucida Sans"/>
          <w:sz w:val="22"/>
          <w:szCs w:val="22"/>
        </w:rPr>
        <w:t xml:space="preserve"> 2012</w:t>
      </w:r>
    </w:p>
    <w:p w:rsidR="003528C2" w:rsidRPr="004D0D75" w:rsidRDefault="003528C2" w:rsidP="003528C2">
      <w:pPr>
        <w:spacing w:after="180" w:line="240" w:lineRule="exact"/>
        <w:ind w:firstLine="0"/>
        <w:jc w:val="left"/>
        <w:rPr>
          <w:rFonts w:ascii="Lucida Sans" w:hAnsi="Lucida Sans"/>
          <w:sz w:val="22"/>
          <w:szCs w:val="16"/>
        </w:rPr>
      </w:pPr>
      <w:bookmarkStart w:id="8" w:name="StartingPoint"/>
      <w:bookmarkEnd w:id="8"/>
      <w:r>
        <w:rPr>
          <w:rFonts w:ascii="Lucida Sans" w:hAnsi="Lucida Sans"/>
          <w:sz w:val="17"/>
          <w:szCs w:val="16"/>
        </w:rPr>
        <w:t xml:space="preserve">       </w:t>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sidRPr="004D0D75">
        <w:rPr>
          <w:rFonts w:ascii="Lucida Sans" w:hAnsi="Lucida Sans"/>
          <w:sz w:val="22"/>
          <w:szCs w:val="16"/>
        </w:rPr>
        <w:t>FNS Project Officer: Bob Dalrymple</w:t>
      </w:r>
    </w:p>
    <w:p w:rsidR="00174E3B" w:rsidRDefault="00174E3B" w:rsidP="00174E3B">
      <w:pPr>
        <w:spacing w:line="280" w:lineRule="exact"/>
        <w:ind w:left="5225" w:firstLine="0"/>
        <w:rPr>
          <w:rFonts w:ascii="Lucida Sans" w:hAnsi="Lucida Sans"/>
          <w:sz w:val="20"/>
          <w:szCs w:val="20"/>
        </w:rPr>
      </w:pPr>
      <w:r>
        <w:rPr>
          <w:rFonts w:ascii="Lucida Sans" w:hAnsi="Lucida Sans"/>
          <w:sz w:val="20"/>
          <w:szCs w:val="20"/>
        </w:rPr>
        <w:t xml:space="preserve"> </w:t>
      </w:r>
    </w:p>
    <w:p w:rsidR="00174E3B" w:rsidRDefault="00174E3B" w:rsidP="00174E3B">
      <w:pPr>
        <w:spacing w:line="264" w:lineRule="auto"/>
        <w:ind w:left="5040" w:firstLine="0"/>
        <w:rPr>
          <w:rFonts w:ascii="Lucida Sans" w:hAnsi="Lucida Sans"/>
          <w:sz w:val="20"/>
          <w:szCs w:val="20"/>
        </w:rPr>
        <w:sectPr w:rsidR="00174E3B" w:rsidSect="00FB2961">
          <w:footerReference w:type="default" r:id="rId8"/>
          <w:endnotePr>
            <w:numFmt w:val="decimal"/>
          </w:endnotePr>
          <w:pgSz w:w="12240" w:h="15840" w:code="1"/>
          <w:pgMar w:top="2592" w:right="1440" w:bottom="576" w:left="1440" w:header="720" w:footer="576" w:gutter="0"/>
          <w:cols w:space="720"/>
          <w:docGrid w:linePitch="150"/>
        </w:sectPr>
      </w:pPr>
    </w:p>
    <w:tbl>
      <w:tblPr>
        <w:tblpPr w:leftFromText="187" w:rightFromText="187" w:vertAnchor="page" w:tblpY="2881"/>
        <w:tblOverlap w:val="never"/>
        <w:tblW w:w="0" w:type="auto"/>
        <w:tblInd w:w="1440" w:type="dxa"/>
        <w:tblLayout w:type="fixed"/>
        <w:tblCellMar>
          <w:left w:w="115" w:type="dxa"/>
          <w:right w:w="115" w:type="dxa"/>
        </w:tblCellMar>
        <w:tblLook w:val="04A0"/>
      </w:tblPr>
      <w:tblGrid>
        <w:gridCol w:w="3618"/>
        <w:gridCol w:w="4057"/>
      </w:tblGrid>
      <w:tr w:rsidR="00174E3B" w:rsidTr="00FB2961">
        <w:tc>
          <w:tcPr>
            <w:tcW w:w="3618" w:type="dxa"/>
          </w:tcPr>
          <w:p w:rsidR="00174E3B" w:rsidRPr="00993339" w:rsidRDefault="00174E3B" w:rsidP="00FB2961">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174E3B" w:rsidRPr="00993339" w:rsidRDefault="00174E3B" w:rsidP="00FB2961">
            <w:pPr>
              <w:spacing w:after="180" w:line="240" w:lineRule="exact"/>
              <w:ind w:firstLine="0"/>
              <w:jc w:val="left"/>
              <w:rPr>
                <w:rFonts w:ascii="Lucida Sans" w:hAnsi="Lucida Sans"/>
                <w:sz w:val="17"/>
                <w:szCs w:val="16"/>
              </w:rPr>
            </w:pPr>
            <w:bookmarkStart w:id="9" w:name="Contract"/>
            <w:bookmarkEnd w:id="9"/>
            <w:r>
              <w:rPr>
                <w:rFonts w:ascii="Lucida Sans" w:hAnsi="Lucida Sans"/>
                <w:sz w:val="17"/>
                <w:szCs w:val="16"/>
              </w:rPr>
              <w:t>AG-3198-D-10-0079/GS-10F-005 L</w:t>
            </w:r>
          </w:p>
          <w:p w:rsidR="00174E3B" w:rsidRPr="00993339" w:rsidRDefault="00174E3B" w:rsidP="00FB2961">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174E3B" w:rsidRPr="00993339" w:rsidRDefault="00174E3B" w:rsidP="00FB2961">
            <w:pPr>
              <w:spacing w:after="180" w:line="240" w:lineRule="exact"/>
              <w:ind w:firstLine="0"/>
              <w:jc w:val="left"/>
              <w:rPr>
                <w:rFonts w:ascii="Lucida Sans" w:hAnsi="Lucida Sans"/>
                <w:sz w:val="17"/>
                <w:szCs w:val="16"/>
              </w:rPr>
            </w:pPr>
            <w:bookmarkStart w:id="10" w:name="MPRRef"/>
            <w:bookmarkEnd w:id="10"/>
            <w:r>
              <w:rPr>
                <w:rFonts w:ascii="Lucida Sans" w:hAnsi="Lucida Sans"/>
                <w:sz w:val="17"/>
                <w:szCs w:val="16"/>
              </w:rPr>
              <w:t>06843</w:t>
            </w:r>
          </w:p>
          <w:p w:rsidR="00174E3B" w:rsidRPr="00993339" w:rsidRDefault="00174E3B" w:rsidP="00FB2961">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174E3B" w:rsidRDefault="00174E3B" w:rsidP="00FB2961">
            <w:pPr>
              <w:spacing w:line="240" w:lineRule="exact"/>
              <w:ind w:firstLine="0"/>
              <w:jc w:val="left"/>
              <w:rPr>
                <w:rFonts w:ascii="Lucida Sans" w:hAnsi="Lucida Sans"/>
                <w:sz w:val="17"/>
                <w:szCs w:val="16"/>
              </w:rPr>
            </w:pPr>
            <w:bookmarkStart w:id="11" w:name="Agency"/>
            <w:bookmarkEnd w:id="11"/>
            <w:r>
              <w:rPr>
                <w:rFonts w:ascii="Lucida Sans" w:hAnsi="Lucida Sans"/>
                <w:sz w:val="17"/>
                <w:szCs w:val="16"/>
              </w:rPr>
              <w:t>Food &amp; Nutrition Service</w:t>
            </w:r>
          </w:p>
          <w:p w:rsidR="00174E3B" w:rsidRDefault="00174E3B" w:rsidP="00FB2961">
            <w:pPr>
              <w:spacing w:line="240" w:lineRule="exact"/>
              <w:ind w:firstLine="0"/>
              <w:jc w:val="left"/>
              <w:rPr>
                <w:rFonts w:ascii="Lucida Sans" w:hAnsi="Lucida Sans"/>
                <w:sz w:val="17"/>
                <w:szCs w:val="16"/>
              </w:rPr>
            </w:pPr>
            <w:bookmarkStart w:id="12" w:name="Address"/>
            <w:bookmarkEnd w:id="12"/>
            <w:r>
              <w:rPr>
                <w:rFonts w:ascii="Lucida Sans" w:hAnsi="Lucida Sans"/>
                <w:sz w:val="17"/>
                <w:szCs w:val="16"/>
              </w:rPr>
              <w:t>3101 Park Center Drive</w:t>
            </w:r>
          </w:p>
          <w:p w:rsidR="00174E3B" w:rsidRPr="00993339" w:rsidRDefault="00174E3B" w:rsidP="00FB2961">
            <w:pPr>
              <w:spacing w:line="240" w:lineRule="exact"/>
              <w:ind w:firstLine="0"/>
              <w:jc w:val="left"/>
              <w:rPr>
                <w:rFonts w:ascii="Lucida Sans" w:hAnsi="Lucida Sans"/>
                <w:sz w:val="17"/>
                <w:szCs w:val="16"/>
              </w:rPr>
            </w:pPr>
            <w:bookmarkStart w:id="13" w:name="Address2"/>
            <w:bookmarkEnd w:id="13"/>
            <w:r>
              <w:rPr>
                <w:rFonts w:ascii="Lucida Sans" w:hAnsi="Lucida Sans"/>
                <w:sz w:val="17"/>
                <w:szCs w:val="16"/>
              </w:rPr>
              <w:t>Alexandria, VA 22302</w:t>
            </w:r>
          </w:p>
          <w:p w:rsidR="00174E3B" w:rsidRPr="00993339" w:rsidRDefault="00174E3B" w:rsidP="00FB2961">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14" w:name="ProjOff"/>
            <w:bookmarkEnd w:id="14"/>
            <w:r>
              <w:rPr>
                <w:rFonts w:ascii="Lucida Sans" w:hAnsi="Lucida Sans"/>
                <w:sz w:val="17"/>
                <w:szCs w:val="16"/>
              </w:rPr>
              <w:t>Bob Dalrymple</w:t>
            </w:r>
          </w:p>
          <w:p w:rsidR="00174E3B" w:rsidRDefault="00174E3B" w:rsidP="00FB2961">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174E3B" w:rsidRPr="00993339" w:rsidRDefault="00174E3B" w:rsidP="00FB2961">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174E3B" w:rsidRDefault="00174E3B" w:rsidP="00FB2961">
            <w:pPr>
              <w:spacing w:line="240" w:lineRule="exact"/>
              <w:ind w:firstLine="0"/>
              <w:jc w:val="left"/>
              <w:rPr>
                <w:rFonts w:ascii="Lucida Sans" w:hAnsi="Lucida Sans"/>
                <w:sz w:val="17"/>
                <w:szCs w:val="16"/>
              </w:rPr>
            </w:pPr>
            <w:bookmarkStart w:id="15" w:name="MPRAddress2"/>
            <w:bookmarkEnd w:id="15"/>
            <w:r>
              <w:rPr>
                <w:rFonts w:ascii="Lucida Sans" w:hAnsi="Lucida Sans"/>
                <w:sz w:val="17"/>
                <w:szCs w:val="16"/>
              </w:rPr>
              <w:t>505 14th Street, Suite 800</w:t>
            </w:r>
          </w:p>
          <w:p w:rsidR="00174E3B" w:rsidRDefault="00174E3B" w:rsidP="00FB2961">
            <w:pPr>
              <w:spacing w:line="240" w:lineRule="exact"/>
              <w:ind w:firstLine="0"/>
              <w:jc w:val="left"/>
              <w:rPr>
                <w:rFonts w:ascii="Lucida Sans" w:hAnsi="Lucida Sans"/>
                <w:sz w:val="17"/>
                <w:szCs w:val="16"/>
              </w:rPr>
            </w:pPr>
            <w:r>
              <w:rPr>
                <w:rFonts w:ascii="Lucida Sans" w:hAnsi="Lucida Sans"/>
                <w:sz w:val="17"/>
                <w:szCs w:val="16"/>
              </w:rPr>
              <w:t>Oakland, CA 94612-1475</w:t>
            </w:r>
          </w:p>
          <w:p w:rsidR="00174E3B" w:rsidRDefault="00174E3B" w:rsidP="00FB2961">
            <w:pPr>
              <w:spacing w:line="240" w:lineRule="exact"/>
              <w:ind w:firstLine="0"/>
              <w:jc w:val="left"/>
              <w:rPr>
                <w:rFonts w:ascii="Lucida Sans" w:hAnsi="Lucida Sans"/>
                <w:sz w:val="17"/>
                <w:szCs w:val="16"/>
              </w:rPr>
            </w:pPr>
            <w:r>
              <w:rPr>
                <w:rFonts w:ascii="Lucida Sans" w:hAnsi="Lucida Sans"/>
                <w:sz w:val="17"/>
                <w:szCs w:val="16"/>
              </w:rPr>
              <w:t>Telephone: (510) 830-3700</w:t>
            </w:r>
          </w:p>
          <w:p w:rsidR="00174E3B" w:rsidRDefault="00174E3B" w:rsidP="00FB2961">
            <w:pPr>
              <w:spacing w:line="240" w:lineRule="exact"/>
              <w:ind w:firstLine="0"/>
              <w:jc w:val="left"/>
              <w:rPr>
                <w:rFonts w:ascii="Lucida Sans" w:hAnsi="Lucida Sans"/>
                <w:sz w:val="17"/>
                <w:szCs w:val="16"/>
              </w:rPr>
            </w:pPr>
            <w:r>
              <w:rPr>
                <w:rFonts w:ascii="Lucida Sans" w:hAnsi="Lucida Sans"/>
                <w:sz w:val="17"/>
                <w:szCs w:val="16"/>
              </w:rPr>
              <w:t>Facsimile: (510) 830-3701</w:t>
            </w:r>
          </w:p>
          <w:p w:rsidR="00174E3B" w:rsidRPr="00451D9C" w:rsidRDefault="00174E3B" w:rsidP="00FB2961">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6" w:name="ProjDir"/>
            <w:bookmarkEnd w:id="16"/>
            <w:r>
              <w:rPr>
                <w:rFonts w:ascii="Lucida Sans" w:hAnsi="Lucida Sans"/>
                <w:sz w:val="17"/>
                <w:szCs w:val="16"/>
              </w:rPr>
              <w:t>Laura Castner</w:t>
            </w:r>
          </w:p>
        </w:tc>
        <w:tc>
          <w:tcPr>
            <w:tcW w:w="4057" w:type="dxa"/>
          </w:tcPr>
          <w:p w:rsidR="00174E3B" w:rsidRPr="00451D9C" w:rsidRDefault="00174E3B" w:rsidP="00FB2961">
            <w:pPr>
              <w:spacing w:after="144" w:line="312" w:lineRule="auto"/>
              <w:ind w:left="58" w:firstLine="0"/>
              <w:jc w:val="left"/>
              <w:rPr>
                <w:rFonts w:ascii="Lucida Sans" w:hAnsi="Lucida Sans"/>
                <w:b/>
                <w:sz w:val="22"/>
                <w:szCs w:val="22"/>
              </w:rPr>
            </w:pPr>
            <w:bookmarkStart w:id="17" w:name="RepTitle2"/>
            <w:bookmarkEnd w:id="17"/>
            <w:r>
              <w:rPr>
                <w:rFonts w:ascii="Lucida Sans" w:hAnsi="Lucida Sans"/>
                <w:b/>
                <w:sz w:val="22"/>
                <w:szCs w:val="22"/>
              </w:rPr>
              <w:t xml:space="preserve">Supporting Statement </w:t>
            </w:r>
            <w:r w:rsidR="00DF58D9">
              <w:rPr>
                <w:rFonts w:ascii="Lucida Sans" w:hAnsi="Lucida Sans"/>
                <w:b/>
                <w:sz w:val="22"/>
                <w:szCs w:val="22"/>
              </w:rPr>
              <w:t xml:space="preserve">Part </w:t>
            </w:r>
            <w:r>
              <w:rPr>
                <w:rFonts w:ascii="Lucida Sans" w:hAnsi="Lucida Sans"/>
                <w:b/>
                <w:sz w:val="22"/>
                <w:szCs w:val="22"/>
              </w:rPr>
              <w:t>B for the Study of the Effectiveness of Efforts to I</w:t>
            </w:r>
            <w:r w:rsidR="00EE4562">
              <w:rPr>
                <w:rFonts w:ascii="Lucida Sans" w:hAnsi="Lucida Sans"/>
                <w:b/>
                <w:sz w:val="22"/>
                <w:szCs w:val="22"/>
              </w:rPr>
              <w:t>mprove</w:t>
            </w:r>
            <w:r>
              <w:rPr>
                <w:rFonts w:ascii="Lucida Sans" w:hAnsi="Lucida Sans"/>
                <w:b/>
                <w:sz w:val="22"/>
                <w:szCs w:val="22"/>
              </w:rPr>
              <w:t xml:space="preserve"> Supplemental Nutrition Assistance Program </w:t>
            </w:r>
            <w:r w:rsidR="00EE4562">
              <w:rPr>
                <w:rFonts w:ascii="Lucida Sans" w:hAnsi="Lucida Sans"/>
                <w:b/>
                <w:sz w:val="22"/>
                <w:szCs w:val="22"/>
              </w:rPr>
              <w:t>Access</w:t>
            </w:r>
            <w:r>
              <w:rPr>
                <w:rFonts w:ascii="Lucida Sans" w:hAnsi="Lucida Sans"/>
                <w:b/>
                <w:sz w:val="22"/>
                <w:szCs w:val="22"/>
              </w:rPr>
              <w:t xml:space="preserve"> Among Medicare’s Extra Help Population Pilot Projects</w:t>
            </w:r>
          </w:p>
          <w:p w:rsidR="00174E3B" w:rsidRPr="00D678C4" w:rsidRDefault="006C6EEE" w:rsidP="00FB2961">
            <w:pPr>
              <w:spacing w:before="144" w:after="288" w:line="360" w:lineRule="exact"/>
              <w:ind w:left="58" w:firstLine="0"/>
              <w:jc w:val="left"/>
              <w:rPr>
                <w:rFonts w:ascii="Lucida Sans" w:hAnsi="Lucida Sans"/>
                <w:sz w:val="22"/>
                <w:szCs w:val="22"/>
              </w:rPr>
            </w:pPr>
            <w:bookmarkStart w:id="18" w:name="RepType2"/>
            <w:bookmarkStart w:id="19" w:name="DateMark2"/>
            <w:bookmarkEnd w:id="18"/>
            <w:bookmarkEnd w:id="19"/>
            <w:r>
              <w:rPr>
                <w:rFonts w:ascii="Lucida Sans" w:hAnsi="Lucida Sans"/>
                <w:sz w:val="22"/>
                <w:szCs w:val="22"/>
              </w:rPr>
              <w:t>September 17</w:t>
            </w:r>
            <w:r w:rsidR="00931AAF">
              <w:rPr>
                <w:rFonts w:ascii="Lucida Sans" w:hAnsi="Lucida Sans"/>
                <w:sz w:val="22"/>
                <w:szCs w:val="22"/>
              </w:rPr>
              <w:t>,</w:t>
            </w:r>
            <w:r w:rsidR="00174E3B" w:rsidRPr="00D678C4">
              <w:rPr>
                <w:rFonts w:ascii="Lucida Sans" w:hAnsi="Lucida Sans"/>
                <w:sz w:val="22"/>
                <w:szCs w:val="22"/>
              </w:rPr>
              <w:t xml:space="preserve"> 2012</w:t>
            </w:r>
          </w:p>
          <w:p w:rsidR="00174E3B" w:rsidRPr="00D678C4" w:rsidRDefault="00174E3B" w:rsidP="00EB2B9E">
            <w:pPr>
              <w:spacing w:after="288" w:line="240" w:lineRule="auto"/>
              <w:ind w:left="58" w:firstLine="0"/>
              <w:jc w:val="left"/>
              <w:rPr>
                <w:rFonts w:ascii="Lucida Sans" w:hAnsi="Lucida Sans"/>
                <w:sz w:val="22"/>
                <w:szCs w:val="22"/>
              </w:rPr>
            </w:pPr>
            <w:r w:rsidRPr="00D678C4">
              <w:rPr>
                <w:rFonts w:ascii="Lucida Sans" w:hAnsi="Lucida Sans"/>
                <w:sz w:val="22"/>
                <w:szCs w:val="22"/>
              </w:rPr>
              <w:t>Laura Castner</w:t>
            </w:r>
            <w:r w:rsidR="00EB2B9E">
              <w:rPr>
                <w:rFonts w:ascii="Lucida Sans" w:hAnsi="Lucida Sans"/>
                <w:sz w:val="22"/>
                <w:szCs w:val="22"/>
              </w:rPr>
              <w:br/>
            </w:r>
            <w:r w:rsidRPr="00D678C4">
              <w:rPr>
                <w:rFonts w:ascii="Lucida Sans" w:hAnsi="Lucida Sans"/>
                <w:sz w:val="22"/>
                <w:szCs w:val="22"/>
              </w:rPr>
              <w:t>Daniel Friend</w:t>
            </w:r>
          </w:p>
          <w:p w:rsidR="00174E3B" w:rsidRPr="00451D9C" w:rsidRDefault="00174E3B" w:rsidP="00FB2961">
            <w:pPr>
              <w:spacing w:line="264" w:lineRule="auto"/>
              <w:ind w:left="58" w:firstLine="0"/>
              <w:jc w:val="left"/>
              <w:rPr>
                <w:rFonts w:ascii="Lucida Sans" w:hAnsi="Lucida Sans"/>
                <w:sz w:val="22"/>
                <w:szCs w:val="22"/>
              </w:rPr>
            </w:pPr>
          </w:p>
        </w:tc>
      </w:tr>
    </w:tbl>
    <w:p w:rsidR="00174E3B" w:rsidRDefault="00174E3B" w:rsidP="00174E3B">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174E3B" w:rsidRDefault="00174E3B" w:rsidP="00174E3B">
      <w:pPr>
        <w:spacing w:line="264" w:lineRule="auto"/>
        <w:ind w:firstLine="0"/>
        <w:rPr>
          <w:rFonts w:ascii="Lucida Sans" w:hAnsi="Lucida Sans"/>
          <w:sz w:val="22"/>
          <w:szCs w:val="22"/>
        </w:rPr>
      </w:pPr>
    </w:p>
    <w:p w:rsidR="00174E3B" w:rsidRDefault="00174E3B" w:rsidP="00174E3B">
      <w:pPr>
        <w:pStyle w:val="Heading1Black"/>
        <w:sectPr w:rsidR="00174E3B" w:rsidSect="00FB2961">
          <w:footerReference w:type="default" r:id="rId9"/>
          <w:endnotePr>
            <w:numFmt w:val="decimal"/>
          </w:endnotePr>
          <w:pgSz w:w="12240" w:h="15840" w:code="1"/>
          <w:pgMar w:top="1440" w:right="1440" w:bottom="576" w:left="1440" w:header="720" w:footer="576" w:gutter="0"/>
          <w:pgNumType w:fmt="lowerRoman" w:start="3"/>
          <w:cols w:space="720"/>
          <w:docGrid w:linePitch="326"/>
        </w:sectPr>
      </w:pPr>
    </w:p>
    <w:bookmarkEnd w:id="0"/>
    <w:p w:rsidR="00174E3B" w:rsidRDefault="00174E3B" w:rsidP="00174E3B">
      <w:pPr>
        <w:spacing w:after="480" w:line="240" w:lineRule="auto"/>
        <w:ind w:firstLine="0"/>
        <w:jc w:val="center"/>
        <w:rPr>
          <w:rFonts w:ascii="Lucida Sans" w:eastAsiaTheme="minorEastAsia" w:hAnsi="Lucida Sans"/>
          <w:b/>
          <w:noProof/>
        </w:rPr>
      </w:pPr>
      <w:r>
        <w:rPr>
          <w:rFonts w:ascii="Lucida Sans" w:eastAsiaTheme="minorEastAsia" w:hAnsi="Lucida Sans"/>
          <w:b/>
          <w:noProof/>
        </w:rPr>
        <w:lastRenderedPageBreak/>
        <w:t>CONTENTS</w:t>
      </w:r>
    </w:p>
    <w:p w:rsidR="00174E3B" w:rsidRDefault="00174E3B" w:rsidP="00861F08">
      <w:pPr>
        <w:pStyle w:val="TOC1"/>
        <w:rPr>
          <w:noProof/>
        </w:rPr>
      </w:pPr>
    </w:p>
    <w:p w:rsidR="00861F08" w:rsidRDefault="00861F08" w:rsidP="00861F08">
      <w:pPr>
        <w:pStyle w:val="TOC1"/>
        <w:rPr>
          <w:rFonts w:asciiTheme="minorHAnsi" w:eastAsiaTheme="minorEastAsia" w:hAnsiTheme="minorHAnsi" w:cstheme="minorBidi"/>
          <w:caps w:val="0"/>
          <w:noProof/>
          <w:szCs w:val="22"/>
        </w:rPr>
      </w:pPr>
      <w:r>
        <w:rPr>
          <w:noProof/>
        </w:rPr>
        <w:t>B.</w:t>
      </w:r>
      <w:r>
        <w:rPr>
          <w:rFonts w:asciiTheme="minorHAnsi" w:eastAsiaTheme="minorEastAsia" w:hAnsiTheme="minorHAnsi" w:cstheme="minorBidi"/>
          <w:caps w:val="0"/>
          <w:noProof/>
          <w:szCs w:val="22"/>
        </w:rPr>
        <w:tab/>
      </w:r>
      <w:r>
        <w:rPr>
          <w:noProof/>
        </w:rPr>
        <w:t>COLLECTION OF INFORMATION USING STATISTICAL METHODS</w:t>
      </w:r>
      <w:r>
        <w:rPr>
          <w:noProof/>
          <w:webHidden/>
        </w:rPr>
        <w:tab/>
      </w:r>
      <w:r w:rsidR="00E44DC8">
        <w:rPr>
          <w:noProof/>
          <w:webHidden/>
        </w:rPr>
        <w:t>1</w:t>
      </w:r>
    </w:p>
    <w:p w:rsidR="00861F08" w:rsidRDefault="00861F08" w:rsidP="00861F08">
      <w:pPr>
        <w:pStyle w:val="TOC2"/>
        <w:rPr>
          <w:rFonts w:asciiTheme="minorHAnsi" w:eastAsiaTheme="minorEastAsia" w:hAnsiTheme="minorHAnsi" w:cstheme="minorBidi"/>
          <w:noProof/>
          <w:szCs w:val="22"/>
        </w:rPr>
      </w:pPr>
      <w:r>
        <w:rPr>
          <w:noProof/>
        </w:rPr>
        <w:t>B1.</w:t>
      </w:r>
      <w:r>
        <w:rPr>
          <w:rFonts w:asciiTheme="minorHAnsi" w:eastAsiaTheme="minorEastAsia" w:hAnsiTheme="minorHAnsi" w:cstheme="minorBidi"/>
          <w:noProof/>
          <w:szCs w:val="22"/>
        </w:rPr>
        <w:tab/>
      </w:r>
      <w:r>
        <w:rPr>
          <w:noProof/>
        </w:rPr>
        <w:t>Respondent Universe and Sampling Methods</w:t>
      </w:r>
      <w:r>
        <w:rPr>
          <w:noProof/>
          <w:webHidden/>
        </w:rPr>
        <w:tab/>
      </w:r>
      <w:r w:rsidR="00E44DC8">
        <w:rPr>
          <w:noProof/>
          <w:webHidden/>
        </w:rPr>
        <w:t>1</w:t>
      </w:r>
    </w:p>
    <w:p w:rsidR="00861F08" w:rsidRDefault="00861F08" w:rsidP="00861F08">
      <w:pPr>
        <w:pStyle w:val="TOC2"/>
        <w:rPr>
          <w:rFonts w:asciiTheme="minorHAnsi" w:eastAsiaTheme="minorEastAsia" w:hAnsiTheme="minorHAnsi" w:cstheme="minorBidi"/>
          <w:noProof/>
          <w:szCs w:val="22"/>
        </w:rPr>
      </w:pPr>
      <w:r>
        <w:rPr>
          <w:noProof/>
        </w:rPr>
        <w:t>B.2.</w:t>
      </w:r>
      <w:r>
        <w:rPr>
          <w:rFonts w:asciiTheme="minorHAnsi" w:eastAsiaTheme="minorEastAsia" w:hAnsiTheme="minorHAnsi" w:cstheme="minorBidi"/>
          <w:noProof/>
          <w:szCs w:val="22"/>
        </w:rPr>
        <w:tab/>
      </w:r>
      <w:r>
        <w:rPr>
          <w:noProof/>
        </w:rPr>
        <w:t>Procedures for Collecting the Information</w:t>
      </w:r>
      <w:r>
        <w:rPr>
          <w:noProof/>
          <w:webHidden/>
        </w:rPr>
        <w:tab/>
      </w:r>
      <w:r w:rsidR="00E44DC8">
        <w:rPr>
          <w:noProof/>
          <w:webHidden/>
        </w:rPr>
        <w:t>4</w:t>
      </w:r>
    </w:p>
    <w:p w:rsidR="00861F08" w:rsidRDefault="00861F08" w:rsidP="00861F08">
      <w:pPr>
        <w:pStyle w:val="TOC2"/>
        <w:rPr>
          <w:rFonts w:asciiTheme="minorHAnsi" w:eastAsiaTheme="minorEastAsia" w:hAnsiTheme="minorHAnsi" w:cstheme="minorBidi"/>
          <w:noProof/>
          <w:szCs w:val="22"/>
        </w:rPr>
      </w:pPr>
      <w:r>
        <w:rPr>
          <w:noProof/>
        </w:rPr>
        <w:t>B.3.</w:t>
      </w:r>
      <w:r>
        <w:rPr>
          <w:rFonts w:asciiTheme="minorHAnsi" w:eastAsiaTheme="minorEastAsia" w:hAnsiTheme="minorHAnsi" w:cstheme="minorBidi"/>
          <w:noProof/>
          <w:szCs w:val="22"/>
        </w:rPr>
        <w:tab/>
      </w:r>
      <w:r>
        <w:rPr>
          <w:noProof/>
        </w:rPr>
        <w:t>Methods to Maximize Response Rates and Deal with Nonresponse</w:t>
      </w:r>
      <w:r>
        <w:rPr>
          <w:noProof/>
          <w:webHidden/>
        </w:rPr>
        <w:tab/>
      </w:r>
      <w:r w:rsidR="00E44DC8">
        <w:rPr>
          <w:noProof/>
          <w:webHidden/>
        </w:rPr>
        <w:t>9</w:t>
      </w:r>
    </w:p>
    <w:p w:rsidR="00861F08" w:rsidRDefault="00861F08" w:rsidP="00861F08">
      <w:pPr>
        <w:pStyle w:val="TOC2"/>
        <w:rPr>
          <w:rFonts w:asciiTheme="minorHAnsi" w:eastAsiaTheme="minorEastAsia" w:hAnsiTheme="minorHAnsi" w:cstheme="minorBidi"/>
          <w:noProof/>
          <w:szCs w:val="22"/>
        </w:rPr>
      </w:pPr>
      <w:r>
        <w:rPr>
          <w:noProof/>
        </w:rPr>
        <w:t>B.4.</w:t>
      </w:r>
      <w:r>
        <w:rPr>
          <w:rFonts w:asciiTheme="minorHAnsi" w:eastAsiaTheme="minorEastAsia" w:hAnsiTheme="minorHAnsi" w:cstheme="minorBidi"/>
          <w:noProof/>
          <w:szCs w:val="22"/>
        </w:rPr>
        <w:tab/>
      </w:r>
      <w:r>
        <w:rPr>
          <w:noProof/>
        </w:rPr>
        <w:t>Tests of Procedures or Methods to be Undertaken</w:t>
      </w:r>
      <w:r>
        <w:rPr>
          <w:noProof/>
          <w:webHidden/>
        </w:rPr>
        <w:tab/>
      </w:r>
      <w:r w:rsidR="009B0A97">
        <w:rPr>
          <w:noProof/>
          <w:webHidden/>
        </w:rPr>
        <w:t>1</w:t>
      </w:r>
      <w:r w:rsidR="00E44DC8">
        <w:rPr>
          <w:noProof/>
          <w:webHidden/>
        </w:rPr>
        <w:t>1</w:t>
      </w:r>
    </w:p>
    <w:p w:rsidR="00861F08" w:rsidRDefault="00861F08" w:rsidP="00861F08">
      <w:pPr>
        <w:pStyle w:val="TOC2"/>
        <w:rPr>
          <w:noProof/>
          <w:webHidden/>
        </w:rPr>
      </w:pPr>
      <w:r>
        <w:rPr>
          <w:noProof/>
        </w:rPr>
        <w:t>B5.</w:t>
      </w:r>
      <w:r>
        <w:rPr>
          <w:rFonts w:asciiTheme="minorHAnsi" w:eastAsiaTheme="minorEastAsia" w:hAnsiTheme="minorHAnsi" w:cstheme="minorBidi"/>
          <w:noProof/>
          <w:szCs w:val="22"/>
        </w:rPr>
        <w:tab/>
      </w:r>
      <w:r>
        <w:rPr>
          <w:noProof/>
        </w:rPr>
        <w:t>Individuals Consulted on Statistical Aspects and Individuals Collecting or Analyzing Data</w:t>
      </w:r>
      <w:r>
        <w:rPr>
          <w:noProof/>
          <w:webHidden/>
        </w:rPr>
        <w:tab/>
      </w:r>
      <w:r w:rsidR="009B0A97">
        <w:rPr>
          <w:noProof/>
          <w:webHidden/>
        </w:rPr>
        <w:t>1</w:t>
      </w:r>
      <w:r w:rsidR="00E44DC8">
        <w:rPr>
          <w:noProof/>
          <w:webHidden/>
        </w:rPr>
        <w:t>2</w:t>
      </w:r>
    </w:p>
    <w:p w:rsidR="00861F08" w:rsidRDefault="00861F08" w:rsidP="00861F08">
      <w:pPr>
        <w:rPr>
          <w:rFonts w:eastAsiaTheme="minorEastAsia"/>
        </w:rPr>
      </w:pPr>
    </w:p>
    <w:p w:rsidR="00861F08" w:rsidRDefault="00861F08" w:rsidP="00861F08">
      <w:pPr>
        <w:rPr>
          <w:rFonts w:eastAsiaTheme="minorEastAsia"/>
        </w:rPr>
      </w:pPr>
    </w:p>
    <w:p w:rsidR="00861F08" w:rsidRDefault="00861F08">
      <w:pPr>
        <w:tabs>
          <w:tab w:val="clear" w:pos="432"/>
        </w:tabs>
        <w:spacing w:line="240" w:lineRule="auto"/>
        <w:ind w:firstLine="0"/>
        <w:jc w:val="left"/>
        <w:rPr>
          <w:rFonts w:eastAsiaTheme="minorEastAsia"/>
        </w:rPr>
      </w:pPr>
      <w:r>
        <w:rPr>
          <w:rFonts w:eastAsiaTheme="minorEastAsia"/>
        </w:rPr>
        <w:br w:type="page"/>
      </w:r>
    </w:p>
    <w:p w:rsidR="00861F08" w:rsidRPr="00861F08" w:rsidRDefault="00861F08" w:rsidP="00861F08">
      <w:pPr>
        <w:jc w:val="center"/>
        <w:rPr>
          <w:rFonts w:ascii="Lucida Sans" w:eastAsiaTheme="minorEastAsia" w:hAnsi="Lucida Sans"/>
          <w:b/>
        </w:rPr>
      </w:pPr>
      <w:r w:rsidRPr="00861F08">
        <w:rPr>
          <w:rFonts w:ascii="Lucida Sans" w:eastAsiaTheme="minorEastAsia" w:hAnsi="Lucida Sans"/>
          <w:b/>
        </w:rPr>
        <w:lastRenderedPageBreak/>
        <w:t>TABLES</w:t>
      </w:r>
    </w:p>
    <w:p w:rsidR="00861F08" w:rsidRDefault="00861F08" w:rsidP="00861F08">
      <w:pPr>
        <w:pStyle w:val="TableofFigures"/>
        <w:rPr>
          <w:rFonts w:asciiTheme="minorHAnsi" w:eastAsiaTheme="minorEastAsia" w:hAnsiTheme="minorHAnsi" w:cstheme="minorBidi"/>
          <w:noProof/>
          <w:szCs w:val="22"/>
        </w:rPr>
      </w:pPr>
      <w:r>
        <w:rPr>
          <w:noProof/>
        </w:rPr>
        <w:t>B1.1</w:t>
      </w:r>
      <w:r>
        <w:rPr>
          <w:noProof/>
        </w:rPr>
        <w:tab/>
        <w:t>Sample Size and Response Rate Estimates for Client Interviews, by State and Site</w:t>
      </w:r>
      <w:r>
        <w:rPr>
          <w:noProof/>
          <w:webHidden/>
        </w:rPr>
        <w:tab/>
      </w:r>
      <w:r w:rsidR="000B27F7">
        <w:rPr>
          <w:noProof/>
          <w:webHidden/>
        </w:rPr>
        <w:t>3</w:t>
      </w:r>
    </w:p>
    <w:p w:rsidR="00861F08" w:rsidRDefault="00861F08" w:rsidP="00861F08">
      <w:pPr>
        <w:pStyle w:val="TableofFigures"/>
        <w:rPr>
          <w:rFonts w:asciiTheme="minorHAnsi" w:eastAsiaTheme="minorEastAsia" w:hAnsiTheme="minorHAnsi" w:cstheme="minorBidi"/>
          <w:noProof/>
          <w:szCs w:val="22"/>
        </w:rPr>
      </w:pPr>
      <w:r>
        <w:rPr>
          <w:noProof/>
        </w:rPr>
        <w:t>B2.1</w:t>
      </w:r>
      <w:r>
        <w:rPr>
          <w:noProof/>
        </w:rPr>
        <w:tab/>
        <w:t>Minimum Detectable Differences for Findings from Client Survey, by State and SNAP Participation</w:t>
      </w:r>
      <w:r>
        <w:rPr>
          <w:noProof/>
          <w:webHidden/>
        </w:rPr>
        <w:tab/>
      </w:r>
      <w:r w:rsidR="00E44DC8">
        <w:rPr>
          <w:noProof/>
          <w:webHidden/>
        </w:rPr>
        <w:t>9</w:t>
      </w:r>
    </w:p>
    <w:p w:rsidR="00861F08" w:rsidRDefault="00861F08" w:rsidP="00861F08">
      <w:pPr>
        <w:pStyle w:val="TableofFigures"/>
        <w:rPr>
          <w:rFonts w:asciiTheme="minorHAnsi" w:eastAsiaTheme="minorEastAsia" w:hAnsiTheme="minorHAnsi" w:cstheme="minorBidi"/>
          <w:noProof/>
          <w:szCs w:val="22"/>
        </w:rPr>
      </w:pPr>
      <w:r>
        <w:rPr>
          <w:noProof/>
        </w:rPr>
        <w:t>B5.1</w:t>
      </w:r>
      <w:r>
        <w:rPr>
          <w:noProof/>
        </w:rPr>
        <w:tab/>
        <w:t>Individuals Responsible for Statistical Aspects and Data Collection and Analysis</w:t>
      </w:r>
      <w:r>
        <w:rPr>
          <w:noProof/>
          <w:webHidden/>
        </w:rPr>
        <w:tab/>
      </w:r>
      <w:r w:rsidR="009B0A97">
        <w:rPr>
          <w:noProof/>
          <w:webHidden/>
        </w:rPr>
        <w:t>1</w:t>
      </w:r>
      <w:r w:rsidR="00E44DC8">
        <w:rPr>
          <w:noProof/>
          <w:webHidden/>
        </w:rPr>
        <w:t>3</w:t>
      </w:r>
    </w:p>
    <w:p w:rsidR="00421E08" w:rsidRDefault="00421E08" w:rsidP="0047686C">
      <w:pPr>
        <w:pStyle w:val="Heading1Black"/>
      </w:pPr>
    </w:p>
    <w:p w:rsidR="00B84799" w:rsidRDefault="00B84799"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Pr="00AC5E0E" w:rsidRDefault="00AC5E0E" w:rsidP="00AC5E0E">
      <w:pPr>
        <w:rPr>
          <w:rFonts w:ascii="Lucida Sans" w:hAnsi="Lucida Sans"/>
          <w:b/>
        </w:rPr>
      </w:pPr>
      <w:r w:rsidRPr="00AC5E0E">
        <w:rPr>
          <w:rFonts w:ascii="Lucida Sans" w:hAnsi="Lucida Sans"/>
          <w:b/>
        </w:rPr>
        <w:t>Appendices</w:t>
      </w:r>
    </w:p>
    <w:p w:rsidR="00AC5E0E" w:rsidRPr="00AC5E0E" w:rsidRDefault="00AC5E0E" w:rsidP="00AC5E0E">
      <w:pPr>
        <w:rPr>
          <w:rFonts w:ascii="Lucida Sans" w:hAnsi="Lucida Sans"/>
        </w:rPr>
      </w:pPr>
      <w:r w:rsidRPr="00AC5E0E">
        <w:rPr>
          <w:rFonts w:ascii="Lucida Sans" w:hAnsi="Lucida Sans"/>
        </w:rPr>
        <w:t>A.) SNAP CATI Client Survey</w:t>
      </w:r>
    </w:p>
    <w:p w:rsidR="00AC5E0E" w:rsidRPr="00AC5E0E" w:rsidRDefault="00AC5E0E" w:rsidP="00AC5E0E">
      <w:pPr>
        <w:rPr>
          <w:rFonts w:ascii="Lucida Sans" w:hAnsi="Lucida Sans"/>
        </w:rPr>
      </w:pPr>
      <w:r w:rsidRPr="00AC5E0E">
        <w:rPr>
          <w:rFonts w:ascii="Lucida Sans" w:hAnsi="Lucida Sans"/>
        </w:rPr>
        <w:t>B.) SNAP CATI Client Survey - Spanish</w:t>
      </w:r>
    </w:p>
    <w:p w:rsidR="00AC5E0E" w:rsidRPr="00AC5E0E" w:rsidRDefault="00AC5E0E" w:rsidP="00AC5E0E">
      <w:pPr>
        <w:rPr>
          <w:rFonts w:ascii="Lucida Sans" w:hAnsi="Lucida Sans"/>
        </w:rPr>
      </w:pPr>
      <w:r w:rsidRPr="00AC5E0E">
        <w:rPr>
          <w:rFonts w:ascii="Lucida Sans" w:hAnsi="Lucida Sans"/>
        </w:rPr>
        <w:t>C.) Focus Group Protocol</w:t>
      </w:r>
    </w:p>
    <w:p w:rsidR="00AC5E0E" w:rsidRPr="00AC5E0E" w:rsidRDefault="00AC5E0E" w:rsidP="00AC5E0E">
      <w:pPr>
        <w:rPr>
          <w:rFonts w:ascii="Lucida Sans" w:hAnsi="Lucida Sans"/>
        </w:rPr>
      </w:pPr>
      <w:r w:rsidRPr="00AC5E0E">
        <w:rPr>
          <w:rFonts w:ascii="Lucida Sans" w:hAnsi="Lucida Sans"/>
        </w:rPr>
        <w:t>D.) Focus Group Protocol - Spanish</w:t>
      </w:r>
    </w:p>
    <w:p w:rsidR="00AC5E0E" w:rsidRPr="00AC5E0E" w:rsidRDefault="00AC5E0E" w:rsidP="00AC5E0E">
      <w:pPr>
        <w:rPr>
          <w:rFonts w:ascii="Lucida Sans" w:hAnsi="Lucida Sans"/>
        </w:rPr>
      </w:pPr>
      <w:r w:rsidRPr="00AC5E0E">
        <w:rPr>
          <w:rFonts w:ascii="Lucida Sans" w:hAnsi="Lucida Sans"/>
        </w:rPr>
        <w:t>E.) Public Comments</w:t>
      </w:r>
    </w:p>
    <w:p w:rsidR="00AC5E0E" w:rsidRPr="00AC5E0E" w:rsidRDefault="00AC5E0E" w:rsidP="00AC5E0E">
      <w:pPr>
        <w:rPr>
          <w:rFonts w:ascii="Lucida Sans" w:hAnsi="Lucida Sans"/>
        </w:rPr>
      </w:pPr>
      <w:r w:rsidRPr="00AC5E0E">
        <w:rPr>
          <w:rFonts w:ascii="Lucida Sans" w:hAnsi="Lucida Sans"/>
        </w:rPr>
        <w:t>F.) Focus Group Recruitment</w:t>
      </w:r>
    </w:p>
    <w:p w:rsidR="00AC5E0E" w:rsidRPr="00AC5E0E" w:rsidRDefault="00AC5E0E" w:rsidP="00AC5E0E">
      <w:pPr>
        <w:rPr>
          <w:rFonts w:ascii="Lucida Sans" w:hAnsi="Lucida Sans"/>
        </w:rPr>
      </w:pPr>
      <w:r w:rsidRPr="00AC5E0E">
        <w:rPr>
          <w:rFonts w:ascii="Lucida Sans" w:hAnsi="Lucida Sans"/>
        </w:rPr>
        <w:t>G.) Pretest Summary</w:t>
      </w:r>
    </w:p>
    <w:p w:rsidR="00AC5E0E" w:rsidRPr="00AC5E0E" w:rsidRDefault="00AC5E0E" w:rsidP="00AC5E0E">
      <w:pPr>
        <w:rPr>
          <w:rFonts w:ascii="Lucida Sans" w:hAnsi="Lucida Sans"/>
        </w:rPr>
      </w:pPr>
      <w:r w:rsidRPr="00AC5E0E">
        <w:rPr>
          <w:rFonts w:ascii="Lucida Sans" w:hAnsi="Lucida Sans"/>
        </w:rPr>
        <w:t>H.) Advance Letter</w:t>
      </w:r>
    </w:p>
    <w:p w:rsidR="00AC5E0E" w:rsidRPr="00AC5E0E" w:rsidRDefault="00AC5E0E" w:rsidP="00AC5E0E">
      <w:pPr>
        <w:rPr>
          <w:rFonts w:ascii="Lucida Sans" w:hAnsi="Lucida Sans"/>
        </w:rPr>
      </w:pPr>
      <w:r w:rsidRPr="00AC5E0E">
        <w:rPr>
          <w:rFonts w:ascii="Lucida Sans" w:hAnsi="Lucida Sans"/>
        </w:rPr>
        <w:t>I.) Locating Letter</w:t>
      </w:r>
    </w:p>
    <w:p w:rsidR="00AC5E0E" w:rsidRPr="00AC5E0E" w:rsidRDefault="00AC5E0E" w:rsidP="00AC5E0E">
      <w:pPr>
        <w:rPr>
          <w:rFonts w:ascii="Lucida Sans" w:hAnsi="Lucida Sans"/>
        </w:rPr>
      </w:pPr>
      <w:r w:rsidRPr="00AC5E0E">
        <w:rPr>
          <w:rFonts w:ascii="Lucida Sans" w:hAnsi="Lucida Sans"/>
        </w:rPr>
        <w:t>J.) Thank You Letter</w:t>
      </w:r>
    </w:p>
    <w:p w:rsidR="00AC5E0E" w:rsidRPr="00AC5E0E" w:rsidRDefault="00AC5E0E" w:rsidP="00AC5E0E">
      <w:pPr>
        <w:rPr>
          <w:rFonts w:ascii="Lucida Sans" w:hAnsi="Lucida Sans"/>
        </w:rPr>
      </w:pPr>
      <w:r w:rsidRPr="00AC5E0E">
        <w:rPr>
          <w:rFonts w:ascii="Lucida Sans" w:hAnsi="Lucida Sans"/>
        </w:rPr>
        <w:t>K.) Tribal Letter to New Mexico</w:t>
      </w:r>
    </w:p>
    <w:p w:rsidR="00AC5E0E" w:rsidRPr="00AC5E0E" w:rsidRDefault="00AC5E0E" w:rsidP="00AC5E0E">
      <w:pPr>
        <w:rPr>
          <w:rFonts w:ascii="Lucida Sans" w:hAnsi="Lucida Sans"/>
        </w:rPr>
      </w:pPr>
      <w:r w:rsidRPr="00AC5E0E">
        <w:rPr>
          <w:rFonts w:ascii="Lucida Sans" w:hAnsi="Lucida Sans"/>
        </w:rPr>
        <w:t>L.) Tribal Letter to Washington</w:t>
      </w:r>
    </w:p>
    <w:p w:rsidR="00AC5E0E" w:rsidRPr="00AC5E0E" w:rsidRDefault="00AC5E0E" w:rsidP="00AC5E0E">
      <w:pPr>
        <w:rPr>
          <w:rFonts w:ascii="Lucida Sans" w:hAnsi="Lucida Sans"/>
        </w:rPr>
      </w:pPr>
      <w:r w:rsidRPr="00AC5E0E">
        <w:rPr>
          <w:rFonts w:ascii="Lucida Sans" w:hAnsi="Lucida Sans"/>
        </w:rPr>
        <w:t>M.) Advance Letter- Spanish</w:t>
      </w:r>
    </w:p>
    <w:p w:rsidR="00AC5E0E" w:rsidRPr="00AC5E0E" w:rsidRDefault="00AC5E0E" w:rsidP="00AC5E0E">
      <w:pPr>
        <w:rPr>
          <w:rFonts w:ascii="Lucida Sans" w:hAnsi="Lucida Sans"/>
        </w:rPr>
      </w:pPr>
      <w:r w:rsidRPr="00AC5E0E">
        <w:rPr>
          <w:rFonts w:ascii="Lucida Sans" w:hAnsi="Lucida Sans"/>
        </w:rPr>
        <w:t>N.) Locating Letter - Spanish</w:t>
      </w:r>
    </w:p>
    <w:p w:rsidR="00AC5E0E" w:rsidRPr="00AC5E0E" w:rsidRDefault="00AC5E0E" w:rsidP="00AC5E0E">
      <w:pPr>
        <w:rPr>
          <w:rFonts w:ascii="Lucida Sans" w:hAnsi="Lucida Sans"/>
        </w:rPr>
      </w:pPr>
      <w:r w:rsidRPr="00AC5E0E">
        <w:rPr>
          <w:rFonts w:ascii="Lucida Sans" w:hAnsi="Lucida Sans"/>
        </w:rPr>
        <w:t>O.) Thank You Letter - Spanish</w:t>
      </w:r>
    </w:p>
    <w:p w:rsidR="00AC5E0E" w:rsidRPr="00AC5E0E" w:rsidRDefault="00AC5E0E" w:rsidP="00AC5E0E">
      <w:pPr>
        <w:rPr>
          <w:rFonts w:ascii="Lucida Sans" w:hAnsi="Lucida Sans"/>
        </w:rPr>
      </w:pPr>
      <w:r w:rsidRPr="00AC5E0E">
        <w:rPr>
          <w:rFonts w:ascii="Lucida Sans" w:hAnsi="Lucida Sans"/>
        </w:rPr>
        <w:t>P.) IRB Application</w:t>
      </w:r>
    </w:p>
    <w:p w:rsidR="00AC5E0E" w:rsidRPr="00AC5E0E" w:rsidRDefault="00AC5E0E" w:rsidP="00AC5E0E">
      <w:pPr>
        <w:rPr>
          <w:rFonts w:ascii="Lucida Sans" w:hAnsi="Lucida Sans"/>
        </w:rPr>
      </w:pPr>
      <w:r w:rsidRPr="00AC5E0E">
        <w:rPr>
          <w:rFonts w:ascii="Lucida Sans" w:hAnsi="Lucida Sans"/>
        </w:rPr>
        <w:t>Q.) IRB Approval</w:t>
      </w:r>
    </w:p>
    <w:p w:rsidR="00AC5E0E" w:rsidRDefault="00AC5E0E" w:rsidP="00AC5E0E">
      <w:pPr>
        <w:rPr>
          <w:rFonts w:ascii="Lucida Sans" w:hAnsi="Lucida Sans"/>
        </w:rPr>
      </w:pPr>
      <w:r w:rsidRPr="00AC5E0E">
        <w:rPr>
          <w:rFonts w:ascii="Lucida Sans" w:hAnsi="Lucida Sans"/>
        </w:rPr>
        <w:t>R.) National Agricultural Statistics Service (NASS) Review</w:t>
      </w:r>
    </w:p>
    <w:p w:rsidR="006C6EEE" w:rsidRPr="00AC5E0E" w:rsidRDefault="006C6EEE" w:rsidP="00AC5E0E">
      <w:pPr>
        <w:rPr>
          <w:rFonts w:ascii="Lucida Sans" w:hAnsi="Lucida Sans"/>
        </w:rPr>
      </w:pPr>
      <w:r>
        <w:rPr>
          <w:rFonts w:ascii="Lucida Sans" w:hAnsi="Lucida Sans"/>
        </w:rPr>
        <w:t xml:space="preserve">S.) </w:t>
      </w:r>
      <w:r w:rsidR="005A1DBC" w:rsidRPr="005A1DBC">
        <w:rPr>
          <w:rFonts w:ascii="Lucida Sans" w:hAnsi="Lucida Sans"/>
          <w:noProof/>
        </w:rPr>
        <w:t>Focus Group Recruitment - Spanish</w:t>
      </w: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421E08">
      <w:pPr>
        <w:rPr>
          <w:rFonts w:ascii="Lucida Sans" w:hAnsi="Lucida Sans"/>
        </w:rPr>
      </w:pPr>
    </w:p>
    <w:p w:rsidR="00AC5E0E" w:rsidRDefault="00AC5E0E" w:rsidP="008401D1">
      <w:pPr>
        <w:ind w:firstLine="0"/>
        <w:rPr>
          <w:rFonts w:ascii="Lucida Sans" w:hAnsi="Lucida Sans"/>
        </w:rPr>
        <w:sectPr w:rsidR="00AC5E0E" w:rsidSect="00B84799">
          <w:headerReference w:type="default" r:id="rId10"/>
          <w:footerReference w:type="default" r:id="rId11"/>
          <w:endnotePr>
            <w:numFmt w:val="decimal"/>
          </w:endnotePr>
          <w:pgSz w:w="12240" w:h="15840" w:code="1"/>
          <w:pgMar w:top="1440" w:right="1440" w:bottom="576" w:left="1440" w:header="720" w:footer="576" w:gutter="0"/>
          <w:pgNumType w:start="3"/>
          <w:cols w:space="720"/>
          <w:docGrid w:linePitch="326"/>
        </w:sectPr>
      </w:pPr>
    </w:p>
    <w:p w:rsidR="0047686C" w:rsidRDefault="0047686C" w:rsidP="00EB2B9E">
      <w:pPr>
        <w:pStyle w:val="Heading1Black"/>
        <w:jc w:val="left"/>
      </w:pPr>
      <w:r>
        <w:lastRenderedPageBreak/>
        <w:t>B.</w:t>
      </w:r>
      <w:r>
        <w:tab/>
      </w:r>
      <w:r w:rsidR="00EB2B9E">
        <w:t>COLLECTIONS OF INFORMATION EMPLOYING STATISTICAL METHODS</w:t>
      </w:r>
      <w:bookmarkEnd w:id="1"/>
      <w:bookmarkEnd w:id="2"/>
    </w:p>
    <w:p w:rsidR="005E4AD0" w:rsidRDefault="0047686C" w:rsidP="005E4AD0">
      <w:r>
        <w:t>The Food and Nutrition Service (FNS), U.S. Department of Agriculture (USDA) is funding three pilot projects to address some of the challenges of i</w:t>
      </w:r>
      <w:r w:rsidR="00CB33AA">
        <w:t>mproving</w:t>
      </w:r>
      <w:r>
        <w:t xml:space="preserve"> SNAP </w:t>
      </w:r>
      <w:r w:rsidR="00CB33AA">
        <w:t>access</w:t>
      </w:r>
      <w:r>
        <w:t xml:space="preserve"> among the elderly, specifically among beneficiaries of Medicare’s Extra Help program, through three approaches: (1) targeted outreach in Washington, (2) simplified eligibility criteria in Pennsylvania, and (3) standardized SNAP benefits in New Mexico.</w:t>
      </w:r>
    </w:p>
    <w:p w:rsidR="005E4AD0" w:rsidRDefault="0047686C" w:rsidP="005E4AD0">
      <w:proofErr w:type="gramStart"/>
      <w:r w:rsidRPr="00AF49AE">
        <w:rPr>
          <w:b/>
        </w:rPr>
        <w:t>Overview of the study design.</w:t>
      </w:r>
      <w:proofErr w:type="gramEnd"/>
      <w:r>
        <w:t xml:space="preserve"> The overarching goal of the evaluation is to understand how the pilot programs operated; who they served; and the extent to which they generated any measurable effects on participation, cost, and SNAP benefits. As part of the evaluation, FNS will assess the overall pilot experience among SNAP participants and nonparticipants within the target group.</w:t>
      </w:r>
    </w:p>
    <w:p w:rsidR="00FC7918" w:rsidRDefault="0047686C" w:rsidP="005E4AD0">
      <w:r>
        <w:t>The information collection being requested for this project is to address the assessment of overall pilot experience among SNAP participants and eligible nonparticipants by soliciting feedback from participants and nonparticipants through a 20-minute telephone survey and through 60-minute focus groups in order to better understand the client experience with SNAP in general and the pilot project more specifically. In pilot locations, the evaluation will also ask about respondents’ impressions of the pilot initiative.</w:t>
      </w:r>
    </w:p>
    <w:p w:rsidR="0047686C" w:rsidRDefault="0047686C" w:rsidP="005E4AD0">
      <w:pPr>
        <w:pStyle w:val="Heading3"/>
      </w:pPr>
      <w:bookmarkStart w:id="20" w:name="_Toc297293719"/>
      <w:bookmarkStart w:id="21" w:name="_Toc309717587"/>
      <w:r>
        <w:t>B1.</w:t>
      </w:r>
      <w:r>
        <w:tab/>
      </w:r>
      <w:r w:rsidR="00461110" w:rsidRPr="00461110">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20"/>
      <w:bookmarkEnd w:id="21"/>
    </w:p>
    <w:p w:rsidR="005E4AD0" w:rsidRDefault="0047686C" w:rsidP="005E4AD0">
      <w:r w:rsidRPr="00AF49AE">
        <w:rPr>
          <w:b/>
        </w:rPr>
        <w:t>Client survey.</w:t>
      </w:r>
      <w:r>
        <w:t xml:space="preserve"> The total estimated number of sample members to the survey is 6,000</w:t>
      </w:r>
      <w:r w:rsidR="00371994">
        <w:t xml:space="preserve"> (the additional 138 will be collected in the focus groups described below)</w:t>
      </w:r>
      <w:r>
        <w:t xml:space="preserve">. This includes 1,000 individuals in New Mexico, 2,000 in Washington, and 3,000 in Pennsylvania. The total estimated number of </w:t>
      </w:r>
      <w:r>
        <w:lastRenderedPageBreak/>
        <w:t>respondents to the survey is 4,803, or 80 percent of the sample in each state (85 percent of the participant sample and 75 percent of the nonparticipant sample). For statistical efficiency, equal numbers of surveys in the comparison and demonstration sites will be conducted. Where necessary, sampling could be used to deal with varying site sizes so that the survey is fielded over the same period of time in all states and both the pilot and comparison counties. This may be necessary in Pennsylvania based on this state’s estimates of the target size. Sampling may be less relevant to the client surveys in New Mexico and Washington. In any states where sampling is required, it will be done in proportion to the number of Extra Help applicants in the counties.</w:t>
      </w:r>
    </w:p>
    <w:p w:rsidR="005E4AD0" w:rsidRDefault="0047686C" w:rsidP="005E4AD0">
      <w:r>
        <w:t>Table B1.1 shows the target response rates and the expected number of completed interviews for each state.</w:t>
      </w:r>
      <w:bookmarkStart w:id="22" w:name="_Toc297294264"/>
    </w:p>
    <w:p w:rsidR="0047686C" w:rsidRDefault="0047686C" w:rsidP="005E4AD0">
      <w:pPr>
        <w:rPr>
          <w:rFonts w:ascii="Lucida Sans" w:hAnsi="Lucida Sans"/>
          <w:b/>
          <w:sz w:val="18"/>
        </w:rPr>
      </w:pPr>
      <w:r>
        <w:br w:type="page"/>
      </w:r>
    </w:p>
    <w:p w:rsidR="0047686C" w:rsidRDefault="0047686C" w:rsidP="0047686C">
      <w:pPr>
        <w:pStyle w:val="MarkforTableHeading"/>
      </w:pPr>
      <w:bookmarkStart w:id="23" w:name="_Toc309717688"/>
      <w:r>
        <w:lastRenderedPageBreak/>
        <w:t xml:space="preserve">Table B1.1. </w:t>
      </w:r>
      <w:r w:rsidRPr="00CF4EFB">
        <w:t>Sample Size and Response Rate Estimates for Client Interviews, by State and Site</w:t>
      </w:r>
      <w:bookmarkEnd w:id="22"/>
      <w:bookmarkEnd w:id="23"/>
    </w:p>
    <w:tbl>
      <w:tblPr>
        <w:tblStyle w:val="TableGrid"/>
        <w:tblW w:w="500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042"/>
        <w:gridCol w:w="1845"/>
        <w:gridCol w:w="1845"/>
        <w:gridCol w:w="1844"/>
      </w:tblGrid>
      <w:tr w:rsidR="0047686C" w:rsidTr="00FC7918">
        <w:trPr>
          <w:tblHeader/>
        </w:trPr>
        <w:tc>
          <w:tcPr>
            <w:tcW w:w="2110" w:type="pct"/>
            <w:tcBorders>
              <w:top w:val="single" w:sz="12" w:space="0" w:color="auto"/>
              <w:bottom w:val="single" w:sz="4" w:space="0" w:color="auto"/>
            </w:tcBorders>
            <w:shd w:val="clear" w:color="auto" w:fill="auto"/>
            <w:vAlign w:val="center"/>
          </w:tcPr>
          <w:p w:rsidR="0047686C" w:rsidRDefault="0047686C" w:rsidP="00FC7918">
            <w:pPr>
              <w:pStyle w:val="TableHeaderLeft"/>
              <w:tabs>
                <w:tab w:val="clear" w:pos="432"/>
              </w:tabs>
            </w:pPr>
          </w:p>
        </w:tc>
        <w:tc>
          <w:tcPr>
            <w:tcW w:w="963" w:type="pct"/>
            <w:tcBorders>
              <w:top w:val="single" w:sz="12" w:space="0" w:color="auto"/>
              <w:bottom w:val="single" w:sz="4" w:space="0" w:color="auto"/>
            </w:tcBorders>
            <w:shd w:val="clear" w:color="auto" w:fill="auto"/>
            <w:vAlign w:val="center"/>
          </w:tcPr>
          <w:p w:rsidR="0047686C" w:rsidRDefault="0047686C" w:rsidP="00FC7918">
            <w:pPr>
              <w:pStyle w:val="TableHeaderCenter"/>
            </w:pPr>
            <w:r>
              <w:t>Pilot Series</w:t>
            </w:r>
          </w:p>
        </w:tc>
        <w:tc>
          <w:tcPr>
            <w:tcW w:w="963" w:type="pct"/>
            <w:tcBorders>
              <w:top w:val="single" w:sz="12" w:space="0" w:color="auto"/>
              <w:bottom w:val="single" w:sz="4" w:space="0" w:color="auto"/>
            </w:tcBorders>
            <w:shd w:val="clear" w:color="auto" w:fill="auto"/>
            <w:vAlign w:val="center"/>
          </w:tcPr>
          <w:p w:rsidR="0047686C" w:rsidRDefault="0047686C" w:rsidP="00FC7918">
            <w:pPr>
              <w:pStyle w:val="TableHeaderCenter"/>
            </w:pPr>
            <w:r>
              <w:t>Comparison Sites</w:t>
            </w:r>
          </w:p>
        </w:tc>
        <w:tc>
          <w:tcPr>
            <w:tcW w:w="963" w:type="pct"/>
            <w:tcBorders>
              <w:top w:val="single" w:sz="12" w:space="0" w:color="auto"/>
              <w:bottom w:val="single" w:sz="4" w:space="0" w:color="auto"/>
            </w:tcBorders>
            <w:shd w:val="clear" w:color="auto" w:fill="auto"/>
            <w:vAlign w:val="center"/>
          </w:tcPr>
          <w:p w:rsidR="0047686C" w:rsidRDefault="0047686C" w:rsidP="00FC7918">
            <w:pPr>
              <w:pStyle w:val="TableHeaderCenter"/>
            </w:pPr>
            <w:r>
              <w:t>Total</w:t>
            </w:r>
          </w:p>
        </w:tc>
      </w:tr>
      <w:tr w:rsidR="0047686C" w:rsidTr="00FC7918">
        <w:tc>
          <w:tcPr>
            <w:tcW w:w="2110" w:type="pct"/>
            <w:tcBorders>
              <w:top w:val="single" w:sz="4" w:space="0" w:color="auto"/>
            </w:tcBorders>
            <w:shd w:val="clear" w:color="auto" w:fill="auto"/>
            <w:vAlign w:val="center"/>
          </w:tcPr>
          <w:p w:rsidR="0047686C" w:rsidRDefault="0047686C" w:rsidP="00FC7918">
            <w:pPr>
              <w:pStyle w:val="TableText"/>
              <w:spacing w:before="120" w:after="20"/>
            </w:pPr>
            <w:r>
              <w:t>Response Rates (AAPOR Response Rate 1)</w:t>
            </w:r>
          </w:p>
        </w:tc>
        <w:tc>
          <w:tcPr>
            <w:tcW w:w="963" w:type="pct"/>
            <w:tcBorders>
              <w:top w:val="single" w:sz="4" w:space="0" w:color="auto"/>
            </w:tcBorders>
            <w:shd w:val="clear" w:color="auto" w:fill="auto"/>
            <w:vAlign w:val="center"/>
          </w:tcPr>
          <w:p w:rsidR="0047686C" w:rsidRDefault="0047686C" w:rsidP="00FC7918">
            <w:pPr>
              <w:pStyle w:val="TableText"/>
              <w:spacing w:before="120" w:after="20"/>
            </w:pPr>
          </w:p>
        </w:tc>
        <w:tc>
          <w:tcPr>
            <w:tcW w:w="963" w:type="pct"/>
            <w:tcBorders>
              <w:top w:val="single" w:sz="4" w:space="0" w:color="auto"/>
            </w:tcBorders>
            <w:shd w:val="clear" w:color="auto" w:fill="auto"/>
            <w:vAlign w:val="center"/>
          </w:tcPr>
          <w:p w:rsidR="0047686C" w:rsidRDefault="0047686C" w:rsidP="00FC7918">
            <w:pPr>
              <w:pStyle w:val="TableText"/>
              <w:spacing w:before="120" w:after="20"/>
            </w:pPr>
          </w:p>
        </w:tc>
        <w:tc>
          <w:tcPr>
            <w:tcW w:w="963" w:type="pct"/>
            <w:tcBorders>
              <w:top w:val="single" w:sz="4" w:space="0" w:color="auto"/>
            </w:tcBorders>
            <w:shd w:val="clear" w:color="auto" w:fill="auto"/>
            <w:vAlign w:val="center"/>
          </w:tcPr>
          <w:p w:rsidR="0047686C" w:rsidRDefault="0047686C" w:rsidP="00FC7918">
            <w:pPr>
              <w:pStyle w:val="TableText"/>
              <w:spacing w:before="120" w:after="20"/>
            </w:pPr>
          </w:p>
        </w:tc>
      </w:tr>
      <w:tr w:rsidR="0047686C" w:rsidTr="00FC7918">
        <w:tc>
          <w:tcPr>
            <w:tcW w:w="2110" w:type="pct"/>
            <w:tcBorders>
              <w:bottom w:val="nil"/>
            </w:tcBorders>
            <w:shd w:val="clear" w:color="auto" w:fill="auto"/>
          </w:tcPr>
          <w:p w:rsidR="0047686C" w:rsidRPr="001C2CCE" w:rsidRDefault="0047686C" w:rsidP="00FC7918">
            <w:pPr>
              <w:pStyle w:val="TableText"/>
              <w:spacing w:before="20" w:after="20"/>
            </w:pPr>
            <w:r w:rsidRPr="001C2CCE">
              <w:t>Target response rate–participants</w:t>
            </w:r>
          </w:p>
        </w:tc>
        <w:tc>
          <w:tcPr>
            <w:tcW w:w="963" w:type="pct"/>
            <w:tcBorders>
              <w:bottom w:val="nil"/>
            </w:tcBorders>
            <w:shd w:val="clear" w:color="auto" w:fill="auto"/>
            <w:vAlign w:val="center"/>
          </w:tcPr>
          <w:p w:rsidR="0047686C" w:rsidRDefault="0047686C" w:rsidP="00FC7918">
            <w:pPr>
              <w:pStyle w:val="TableText"/>
              <w:spacing w:before="20" w:after="20"/>
              <w:ind w:right="576"/>
              <w:jc w:val="right"/>
            </w:pPr>
            <w:r>
              <w:t>85%</w:t>
            </w:r>
          </w:p>
        </w:tc>
        <w:tc>
          <w:tcPr>
            <w:tcW w:w="963" w:type="pct"/>
            <w:tcBorders>
              <w:bottom w:val="nil"/>
            </w:tcBorders>
            <w:shd w:val="clear" w:color="auto" w:fill="auto"/>
            <w:vAlign w:val="center"/>
          </w:tcPr>
          <w:p w:rsidR="0047686C" w:rsidRDefault="0047686C" w:rsidP="00FC7918">
            <w:pPr>
              <w:pStyle w:val="TableText"/>
              <w:spacing w:before="20" w:after="20"/>
              <w:ind w:right="576"/>
              <w:jc w:val="right"/>
            </w:pPr>
            <w:r>
              <w:t>80%</w:t>
            </w:r>
          </w:p>
        </w:tc>
        <w:tc>
          <w:tcPr>
            <w:tcW w:w="963" w:type="pct"/>
            <w:tcBorders>
              <w:bottom w:val="nil"/>
            </w:tcBorders>
            <w:shd w:val="clear" w:color="auto" w:fill="auto"/>
            <w:vAlign w:val="center"/>
          </w:tcPr>
          <w:p w:rsidR="0047686C" w:rsidRDefault="0047686C" w:rsidP="00FC7918">
            <w:pPr>
              <w:pStyle w:val="TableText"/>
              <w:spacing w:before="20" w:after="20"/>
              <w:ind w:right="576"/>
              <w:jc w:val="right"/>
            </w:pPr>
          </w:p>
        </w:tc>
      </w:tr>
      <w:tr w:rsidR="0047686C" w:rsidTr="00FC7918">
        <w:tc>
          <w:tcPr>
            <w:tcW w:w="2110" w:type="pct"/>
            <w:tcBorders>
              <w:top w:val="nil"/>
              <w:bottom w:val="single" w:sz="4" w:space="0" w:color="auto"/>
            </w:tcBorders>
            <w:shd w:val="clear" w:color="auto" w:fill="auto"/>
          </w:tcPr>
          <w:p w:rsidR="0047686C" w:rsidRPr="001C2CCE" w:rsidRDefault="0047686C" w:rsidP="00FC7918">
            <w:pPr>
              <w:pStyle w:val="TableText"/>
              <w:spacing w:before="20" w:after="120"/>
            </w:pPr>
            <w:r w:rsidRPr="001C2CCE">
              <w:t>Target response rate–nonparticipants</w:t>
            </w:r>
          </w:p>
        </w:tc>
        <w:tc>
          <w:tcPr>
            <w:tcW w:w="963" w:type="pct"/>
            <w:tcBorders>
              <w:top w:val="nil"/>
              <w:bottom w:val="single" w:sz="4" w:space="0" w:color="auto"/>
            </w:tcBorders>
            <w:shd w:val="clear" w:color="auto" w:fill="auto"/>
          </w:tcPr>
          <w:p w:rsidR="0047686C" w:rsidRPr="00155E70" w:rsidRDefault="0047686C" w:rsidP="00FC7918">
            <w:pPr>
              <w:pStyle w:val="TableText"/>
              <w:spacing w:before="20" w:after="120"/>
              <w:ind w:right="576"/>
              <w:jc w:val="right"/>
            </w:pPr>
            <w:r w:rsidRPr="00155E70">
              <w:t>81%</w:t>
            </w:r>
          </w:p>
        </w:tc>
        <w:tc>
          <w:tcPr>
            <w:tcW w:w="963" w:type="pct"/>
            <w:tcBorders>
              <w:top w:val="nil"/>
              <w:bottom w:val="single" w:sz="4" w:space="0" w:color="auto"/>
            </w:tcBorders>
            <w:shd w:val="clear" w:color="auto" w:fill="auto"/>
          </w:tcPr>
          <w:p w:rsidR="0047686C" w:rsidRPr="00850214" w:rsidRDefault="0047686C" w:rsidP="00FC7918">
            <w:pPr>
              <w:pStyle w:val="TableText"/>
              <w:spacing w:before="20" w:after="120"/>
              <w:ind w:right="576"/>
              <w:jc w:val="right"/>
            </w:pPr>
            <w:r w:rsidRPr="00850214">
              <w:t>76%</w:t>
            </w:r>
          </w:p>
        </w:tc>
        <w:tc>
          <w:tcPr>
            <w:tcW w:w="963" w:type="pct"/>
            <w:tcBorders>
              <w:top w:val="nil"/>
              <w:bottom w:val="single" w:sz="4" w:space="0" w:color="auto"/>
            </w:tcBorders>
            <w:shd w:val="clear" w:color="auto" w:fill="auto"/>
            <w:vAlign w:val="center"/>
          </w:tcPr>
          <w:p w:rsidR="0047686C" w:rsidRDefault="0047686C" w:rsidP="00FC7918">
            <w:pPr>
              <w:pStyle w:val="TableText"/>
              <w:spacing w:before="20" w:after="120"/>
              <w:ind w:right="576"/>
              <w:jc w:val="right"/>
            </w:pPr>
          </w:p>
        </w:tc>
      </w:tr>
      <w:tr w:rsidR="0047686C" w:rsidTr="00FC7918">
        <w:tc>
          <w:tcPr>
            <w:tcW w:w="2110" w:type="pct"/>
            <w:tcBorders>
              <w:top w:val="single" w:sz="4" w:space="0" w:color="auto"/>
            </w:tcBorders>
            <w:shd w:val="clear" w:color="auto" w:fill="auto"/>
          </w:tcPr>
          <w:p w:rsidR="0047686C" w:rsidRPr="001C2CCE" w:rsidRDefault="0047686C" w:rsidP="00FC7918">
            <w:pPr>
              <w:pStyle w:val="TableText"/>
              <w:spacing w:before="20" w:after="20"/>
            </w:pPr>
            <w:r w:rsidRPr="001C2CCE">
              <w:t xml:space="preserve">New Mexico initial sample size </w:t>
            </w:r>
          </w:p>
        </w:tc>
        <w:tc>
          <w:tcPr>
            <w:tcW w:w="963" w:type="pct"/>
            <w:tcBorders>
              <w:top w:val="single" w:sz="4" w:space="0" w:color="auto"/>
            </w:tcBorders>
            <w:shd w:val="clear" w:color="auto" w:fill="auto"/>
          </w:tcPr>
          <w:p w:rsidR="0047686C" w:rsidRPr="00155E70" w:rsidRDefault="0047686C" w:rsidP="00FC7918">
            <w:pPr>
              <w:pStyle w:val="TableText"/>
              <w:spacing w:before="20" w:after="20"/>
              <w:ind w:right="576"/>
              <w:jc w:val="right"/>
            </w:pPr>
            <w:r w:rsidRPr="00155E70">
              <w:t>500</w:t>
            </w:r>
          </w:p>
        </w:tc>
        <w:tc>
          <w:tcPr>
            <w:tcW w:w="963" w:type="pct"/>
            <w:tcBorders>
              <w:top w:val="single" w:sz="4" w:space="0" w:color="auto"/>
            </w:tcBorders>
            <w:shd w:val="clear" w:color="auto" w:fill="auto"/>
          </w:tcPr>
          <w:p w:rsidR="0047686C" w:rsidRPr="00850214" w:rsidRDefault="0047686C" w:rsidP="00FC7918">
            <w:pPr>
              <w:pStyle w:val="TableText"/>
              <w:spacing w:before="20" w:after="20"/>
              <w:ind w:right="576"/>
              <w:jc w:val="right"/>
            </w:pPr>
            <w:r w:rsidRPr="00850214">
              <w:t>500</w:t>
            </w:r>
          </w:p>
        </w:tc>
        <w:tc>
          <w:tcPr>
            <w:tcW w:w="963" w:type="pct"/>
            <w:tcBorders>
              <w:top w:val="single" w:sz="4" w:space="0" w:color="auto"/>
            </w:tcBorders>
            <w:shd w:val="clear" w:color="auto" w:fill="auto"/>
            <w:vAlign w:val="center"/>
          </w:tcPr>
          <w:p w:rsidR="0047686C" w:rsidRDefault="0047686C" w:rsidP="00FC7918">
            <w:pPr>
              <w:pStyle w:val="TableText"/>
              <w:spacing w:before="20" w:after="20"/>
              <w:ind w:right="576"/>
              <w:jc w:val="right"/>
            </w:pPr>
            <w:r>
              <w:t>1,000</w:t>
            </w:r>
          </w:p>
        </w:tc>
      </w:tr>
      <w:tr w:rsidR="0047686C" w:rsidTr="00FC7918">
        <w:tc>
          <w:tcPr>
            <w:tcW w:w="2110" w:type="pct"/>
            <w:shd w:val="clear" w:color="auto" w:fill="auto"/>
          </w:tcPr>
          <w:p w:rsidR="0047686C" w:rsidRPr="001C2CCE" w:rsidRDefault="0047686C" w:rsidP="00FC7918">
            <w:pPr>
              <w:pStyle w:val="TableText"/>
              <w:spacing w:before="20" w:after="20"/>
            </w:pPr>
            <w:r w:rsidRPr="001C2CCE">
              <w:t>SNAP elderly participation rate</w:t>
            </w:r>
          </w:p>
        </w:tc>
        <w:tc>
          <w:tcPr>
            <w:tcW w:w="963" w:type="pct"/>
            <w:shd w:val="clear" w:color="auto" w:fill="auto"/>
          </w:tcPr>
          <w:p w:rsidR="0047686C" w:rsidRPr="00155E70" w:rsidRDefault="0047686C" w:rsidP="00FC7918">
            <w:pPr>
              <w:pStyle w:val="TableText"/>
              <w:spacing w:before="20" w:after="20"/>
              <w:ind w:right="576"/>
              <w:jc w:val="right"/>
            </w:pPr>
            <w:r w:rsidRPr="00155E70">
              <w:t>35%</w:t>
            </w:r>
          </w:p>
        </w:tc>
        <w:tc>
          <w:tcPr>
            <w:tcW w:w="963" w:type="pct"/>
            <w:shd w:val="clear" w:color="auto" w:fill="auto"/>
          </w:tcPr>
          <w:p w:rsidR="0047686C" w:rsidRPr="00850214" w:rsidRDefault="0047686C" w:rsidP="00FC7918">
            <w:pPr>
              <w:pStyle w:val="TableText"/>
              <w:spacing w:before="20" w:after="20"/>
              <w:ind w:right="576"/>
              <w:jc w:val="right"/>
            </w:pPr>
            <w:r w:rsidRPr="00850214">
              <w:t>30%</w:t>
            </w:r>
          </w:p>
        </w:tc>
        <w:tc>
          <w:tcPr>
            <w:tcW w:w="963" w:type="pct"/>
            <w:shd w:val="clear" w:color="auto" w:fill="auto"/>
          </w:tcPr>
          <w:p w:rsidR="0047686C" w:rsidRPr="0017112A" w:rsidRDefault="0047686C" w:rsidP="00FC7918">
            <w:pPr>
              <w:pStyle w:val="TableText"/>
              <w:spacing w:before="20" w:after="20"/>
              <w:ind w:right="576"/>
              <w:jc w:val="right"/>
            </w:pPr>
          </w:p>
        </w:tc>
      </w:tr>
      <w:tr w:rsidR="0047686C" w:rsidTr="00FC7918">
        <w:tc>
          <w:tcPr>
            <w:tcW w:w="2110" w:type="pct"/>
            <w:shd w:val="clear" w:color="auto" w:fill="auto"/>
          </w:tcPr>
          <w:p w:rsidR="0047686C" w:rsidRPr="001C2CCE" w:rsidRDefault="0047686C" w:rsidP="00FC7918">
            <w:pPr>
              <w:pStyle w:val="TableText"/>
              <w:spacing w:before="20" w:after="20"/>
            </w:pPr>
            <w:r w:rsidRPr="001C2CCE">
              <w:t>Number of SNAP participants</w:t>
            </w:r>
          </w:p>
        </w:tc>
        <w:tc>
          <w:tcPr>
            <w:tcW w:w="963" w:type="pct"/>
            <w:shd w:val="clear" w:color="auto" w:fill="auto"/>
          </w:tcPr>
          <w:p w:rsidR="0047686C" w:rsidRPr="00155E70" w:rsidRDefault="0047686C" w:rsidP="00FC7918">
            <w:pPr>
              <w:pStyle w:val="TableText"/>
              <w:spacing w:before="20" w:after="20"/>
              <w:ind w:right="576"/>
              <w:jc w:val="right"/>
            </w:pPr>
            <w:r w:rsidRPr="00155E70">
              <w:t>175</w:t>
            </w:r>
          </w:p>
        </w:tc>
        <w:tc>
          <w:tcPr>
            <w:tcW w:w="963" w:type="pct"/>
            <w:shd w:val="clear" w:color="auto" w:fill="auto"/>
          </w:tcPr>
          <w:p w:rsidR="0047686C" w:rsidRPr="00850214" w:rsidRDefault="0047686C" w:rsidP="00FC7918">
            <w:pPr>
              <w:pStyle w:val="TableText"/>
              <w:spacing w:before="20" w:after="20"/>
              <w:ind w:right="576"/>
              <w:jc w:val="right"/>
            </w:pPr>
            <w:r w:rsidRPr="00850214">
              <w:t>150</w:t>
            </w:r>
          </w:p>
        </w:tc>
        <w:tc>
          <w:tcPr>
            <w:tcW w:w="963" w:type="pct"/>
            <w:shd w:val="clear" w:color="auto" w:fill="auto"/>
          </w:tcPr>
          <w:p w:rsidR="0047686C" w:rsidRPr="0017112A" w:rsidRDefault="0047686C" w:rsidP="00FC7918">
            <w:pPr>
              <w:pStyle w:val="TableText"/>
              <w:spacing w:before="20" w:after="20"/>
              <w:ind w:right="576"/>
              <w:jc w:val="right"/>
            </w:pPr>
          </w:p>
        </w:tc>
      </w:tr>
      <w:tr w:rsidR="0047686C" w:rsidTr="00FC7918">
        <w:tc>
          <w:tcPr>
            <w:tcW w:w="2110" w:type="pct"/>
            <w:shd w:val="clear" w:color="auto" w:fill="auto"/>
          </w:tcPr>
          <w:p w:rsidR="0047686C" w:rsidRPr="001C2CCE" w:rsidRDefault="0047686C" w:rsidP="00FC7918">
            <w:pPr>
              <w:pStyle w:val="TableText"/>
              <w:spacing w:before="20" w:after="20"/>
            </w:pPr>
            <w:r w:rsidRPr="001C2CCE">
              <w:t>Number of SNAP nonparticipants</w:t>
            </w:r>
          </w:p>
        </w:tc>
        <w:tc>
          <w:tcPr>
            <w:tcW w:w="963" w:type="pct"/>
            <w:shd w:val="clear" w:color="auto" w:fill="auto"/>
          </w:tcPr>
          <w:p w:rsidR="0047686C" w:rsidRPr="00155E70" w:rsidRDefault="0047686C" w:rsidP="00FC7918">
            <w:pPr>
              <w:pStyle w:val="TableText"/>
              <w:spacing w:before="20" w:after="20"/>
              <w:ind w:right="576"/>
              <w:jc w:val="right"/>
            </w:pPr>
            <w:r w:rsidRPr="00155E70">
              <w:t>325</w:t>
            </w:r>
          </w:p>
        </w:tc>
        <w:tc>
          <w:tcPr>
            <w:tcW w:w="963" w:type="pct"/>
            <w:shd w:val="clear" w:color="auto" w:fill="auto"/>
          </w:tcPr>
          <w:p w:rsidR="0047686C" w:rsidRPr="00850214" w:rsidRDefault="0047686C" w:rsidP="00FC7918">
            <w:pPr>
              <w:pStyle w:val="TableText"/>
              <w:spacing w:before="20" w:after="20"/>
              <w:ind w:right="576"/>
              <w:jc w:val="right"/>
            </w:pPr>
            <w:r w:rsidRPr="00850214">
              <w:t>350</w:t>
            </w:r>
          </w:p>
        </w:tc>
        <w:tc>
          <w:tcPr>
            <w:tcW w:w="963" w:type="pct"/>
            <w:shd w:val="clear" w:color="auto" w:fill="auto"/>
          </w:tcPr>
          <w:p w:rsidR="0047686C" w:rsidRPr="0017112A" w:rsidRDefault="0047686C" w:rsidP="00FC7918">
            <w:pPr>
              <w:pStyle w:val="TableText"/>
              <w:spacing w:before="20" w:after="20"/>
              <w:ind w:right="576"/>
              <w:jc w:val="right"/>
            </w:pPr>
          </w:p>
        </w:tc>
      </w:tr>
      <w:tr w:rsidR="0047686C" w:rsidTr="00FC7918">
        <w:tc>
          <w:tcPr>
            <w:tcW w:w="2110" w:type="pct"/>
            <w:shd w:val="clear" w:color="auto" w:fill="auto"/>
          </w:tcPr>
          <w:p w:rsidR="0047686C" w:rsidRPr="001C2CCE" w:rsidRDefault="0047686C" w:rsidP="00FC7918">
            <w:pPr>
              <w:pStyle w:val="TableText"/>
              <w:spacing w:before="20" w:after="20"/>
            </w:pPr>
            <w:r w:rsidRPr="001C2CCE">
              <w:t>Target completed interviews–participants</w:t>
            </w:r>
          </w:p>
        </w:tc>
        <w:tc>
          <w:tcPr>
            <w:tcW w:w="963" w:type="pct"/>
            <w:shd w:val="clear" w:color="auto" w:fill="auto"/>
          </w:tcPr>
          <w:p w:rsidR="0047686C" w:rsidRPr="00155E70" w:rsidRDefault="0047686C" w:rsidP="00FC7918">
            <w:pPr>
              <w:pStyle w:val="TableText"/>
              <w:spacing w:before="20" w:after="20"/>
              <w:ind w:right="576"/>
              <w:jc w:val="right"/>
            </w:pPr>
            <w:r w:rsidRPr="00155E70">
              <w:t>149</w:t>
            </w:r>
          </w:p>
        </w:tc>
        <w:tc>
          <w:tcPr>
            <w:tcW w:w="963" w:type="pct"/>
            <w:shd w:val="clear" w:color="auto" w:fill="auto"/>
          </w:tcPr>
          <w:p w:rsidR="0047686C" w:rsidRPr="00850214" w:rsidRDefault="0047686C" w:rsidP="00FC7918">
            <w:pPr>
              <w:pStyle w:val="TableText"/>
              <w:spacing w:before="20" w:after="20"/>
              <w:ind w:right="576"/>
              <w:jc w:val="right"/>
            </w:pPr>
            <w:r w:rsidRPr="00850214">
              <w:t>120</w:t>
            </w:r>
          </w:p>
        </w:tc>
        <w:tc>
          <w:tcPr>
            <w:tcW w:w="963" w:type="pct"/>
            <w:shd w:val="clear" w:color="auto" w:fill="auto"/>
          </w:tcPr>
          <w:p w:rsidR="0047686C" w:rsidRPr="0017112A" w:rsidRDefault="0047686C" w:rsidP="00FC7918">
            <w:pPr>
              <w:pStyle w:val="TableText"/>
              <w:spacing w:before="20" w:after="20"/>
              <w:ind w:right="576"/>
              <w:jc w:val="right"/>
            </w:pPr>
          </w:p>
        </w:tc>
      </w:tr>
      <w:tr w:rsidR="0047686C" w:rsidTr="00FC7918">
        <w:tc>
          <w:tcPr>
            <w:tcW w:w="2110" w:type="pct"/>
            <w:shd w:val="clear" w:color="auto" w:fill="auto"/>
          </w:tcPr>
          <w:p w:rsidR="0047686C" w:rsidRPr="001C2CCE" w:rsidRDefault="0047686C" w:rsidP="00FC7918">
            <w:pPr>
              <w:pStyle w:val="TableText"/>
              <w:spacing w:before="20" w:after="20"/>
            </w:pPr>
            <w:r w:rsidRPr="001C2CCE">
              <w:t>Target completes–nonparticipants</w:t>
            </w:r>
          </w:p>
        </w:tc>
        <w:tc>
          <w:tcPr>
            <w:tcW w:w="963" w:type="pct"/>
            <w:shd w:val="clear" w:color="auto" w:fill="auto"/>
          </w:tcPr>
          <w:p w:rsidR="0047686C" w:rsidRPr="00155E70" w:rsidRDefault="0047686C" w:rsidP="00FC7918">
            <w:pPr>
              <w:pStyle w:val="TableText"/>
              <w:spacing w:before="20" w:after="20"/>
              <w:ind w:right="576"/>
              <w:jc w:val="right"/>
            </w:pPr>
            <w:r w:rsidRPr="00155E70">
              <w:t>263</w:t>
            </w:r>
          </w:p>
        </w:tc>
        <w:tc>
          <w:tcPr>
            <w:tcW w:w="963" w:type="pct"/>
            <w:shd w:val="clear" w:color="auto" w:fill="auto"/>
          </w:tcPr>
          <w:p w:rsidR="0047686C" w:rsidRPr="00850214" w:rsidRDefault="0047686C" w:rsidP="00FC7918">
            <w:pPr>
              <w:pStyle w:val="TableText"/>
              <w:spacing w:before="20" w:after="20"/>
              <w:ind w:right="576"/>
              <w:jc w:val="right"/>
            </w:pPr>
            <w:r w:rsidRPr="00850214">
              <w:t>266</w:t>
            </w:r>
          </w:p>
        </w:tc>
        <w:tc>
          <w:tcPr>
            <w:tcW w:w="963" w:type="pct"/>
            <w:shd w:val="clear" w:color="auto" w:fill="auto"/>
          </w:tcPr>
          <w:p w:rsidR="0047686C" w:rsidRPr="0017112A" w:rsidRDefault="0047686C" w:rsidP="00FC7918">
            <w:pPr>
              <w:pStyle w:val="TableText"/>
              <w:spacing w:before="20" w:after="20"/>
              <w:ind w:right="576"/>
              <w:jc w:val="right"/>
            </w:pPr>
          </w:p>
        </w:tc>
      </w:tr>
      <w:tr w:rsidR="0047686C" w:rsidTr="00FC7918">
        <w:tc>
          <w:tcPr>
            <w:tcW w:w="2110" w:type="pct"/>
            <w:tcBorders>
              <w:bottom w:val="nil"/>
            </w:tcBorders>
            <w:shd w:val="clear" w:color="auto" w:fill="auto"/>
          </w:tcPr>
          <w:p w:rsidR="0047686C" w:rsidRPr="001C2CCE" w:rsidRDefault="0047686C" w:rsidP="00FC7918">
            <w:pPr>
              <w:pStyle w:val="TableText"/>
              <w:spacing w:before="20" w:after="20"/>
            </w:pPr>
            <w:r w:rsidRPr="001C2CCE">
              <w:t>Total number of completed interviews</w:t>
            </w:r>
          </w:p>
        </w:tc>
        <w:tc>
          <w:tcPr>
            <w:tcW w:w="963" w:type="pct"/>
            <w:tcBorders>
              <w:bottom w:val="nil"/>
            </w:tcBorders>
            <w:shd w:val="clear" w:color="auto" w:fill="auto"/>
          </w:tcPr>
          <w:p w:rsidR="0047686C" w:rsidRPr="00155E70" w:rsidRDefault="0047686C" w:rsidP="00FC7918">
            <w:pPr>
              <w:pStyle w:val="TableText"/>
              <w:spacing w:before="20" w:after="20"/>
              <w:ind w:right="576"/>
              <w:jc w:val="right"/>
            </w:pPr>
            <w:r w:rsidRPr="00155E70">
              <w:t>412</w:t>
            </w:r>
          </w:p>
        </w:tc>
        <w:tc>
          <w:tcPr>
            <w:tcW w:w="963" w:type="pct"/>
            <w:tcBorders>
              <w:bottom w:val="nil"/>
            </w:tcBorders>
            <w:shd w:val="clear" w:color="auto" w:fill="auto"/>
          </w:tcPr>
          <w:p w:rsidR="0047686C" w:rsidRPr="00850214" w:rsidRDefault="0047686C" w:rsidP="00FC7918">
            <w:pPr>
              <w:pStyle w:val="TableText"/>
              <w:spacing w:before="20" w:after="20"/>
              <w:ind w:right="576"/>
              <w:jc w:val="right"/>
            </w:pPr>
            <w:r w:rsidRPr="00850214">
              <w:t>386</w:t>
            </w:r>
          </w:p>
        </w:tc>
        <w:tc>
          <w:tcPr>
            <w:tcW w:w="963" w:type="pct"/>
            <w:tcBorders>
              <w:bottom w:val="nil"/>
            </w:tcBorders>
            <w:shd w:val="clear" w:color="auto" w:fill="auto"/>
          </w:tcPr>
          <w:p w:rsidR="0047686C" w:rsidRPr="0017112A" w:rsidRDefault="0047686C" w:rsidP="00FC7918">
            <w:pPr>
              <w:pStyle w:val="TableText"/>
              <w:spacing w:before="20" w:after="20"/>
              <w:ind w:right="576"/>
              <w:jc w:val="right"/>
            </w:pPr>
            <w:r w:rsidRPr="0017112A">
              <w:t>798</w:t>
            </w:r>
          </w:p>
        </w:tc>
      </w:tr>
      <w:tr w:rsidR="0047686C" w:rsidTr="00FC7918">
        <w:tc>
          <w:tcPr>
            <w:tcW w:w="2110" w:type="pct"/>
            <w:tcBorders>
              <w:top w:val="nil"/>
              <w:bottom w:val="single" w:sz="4" w:space="0" w:color="auto"/>
            </w:tcBorders>
            <w:shd w:val="clear" w:color="auto" w:fill="auto"/>
          </w:tcPr>
          <w:p w:rsidR="0047686C" w:rsidRPr="001C2CCE" w:rsidRDefault="0047686C" w:rsidP="00FC7918">
            <w:pPr>
              <w:pStyle w:val="TableText"/>
              <w:spacing w:before="20" w:after="120"/>
            </w:pPr>
            <w:r w:rsidRPr="001C2CCE">
              <w:t>Target overall response rate</w:t>
            </w:r>
          </w:p>
        </w:tc>
        <w:tc>
          <w:tcPr>
            <w:tcW w:w="963" w:type="pct"/>
            <w:tcBorders>
              <w:top w:val="nil"/>
              <w:bottom w:val="single" w:sz="4" w:space="0" w:color="auto"/>
            </w:tcBorders>
            <w:shd w:val="clear" w:color="auto" w:fill="auto"/>
          </w:tcPr>
          <w:p w:rsidR="0047686C" w:rsidRPr="00155E70" w:rsidRDefault="0047686C" w:rsidP="00FC7918">
            <w:pPr>
              <w:pStyle w:val="TableText"/>
              <w:spacing w:before="20" w:after="120"/>
              <w:ind w:right="576"/>
              <w:jc w:val="right"/>
            </w:pPr>
            <w:r w:rsidRPr="00155E70">
              <w:t>82.4%</w:t>
            </w:r>
          </w:p>
        </w:tc>
        <w:tc>
          <w:tcPr>
            <w:tcW w:w="963" w:type="pct"/>
            <w:tcBorders>
              <w:top w:val="nil"/>
              <w:bottom w:val="single" w:sz="4" w:space="0" w:color="auto"/>
            </w:tcBorders>
            <w:shd w:val="clear" w:color="auto" w:fill="auto"/>
          </w:tcPr>
          <w:p w:rsidR="0047686C" w:rsidRPr="00850214" w:rsidRDefault="0047686C" w:rsidP="00FC7918">
            <w:pPr>
              <w:pStyle w:val="TableText"/>
              <w:spacing w:before="20" w:after="120"/>
              <w:ind w:right="576"/>
              <w:jc w:val="right"/>
            </w:pPr>
            <w:r w:rsidRPr="00850214">
              <w:t>77.2%</w:t>
            </w:r>
          </w:p>
        </w:tc>
        <w:tc>
          <w:tcPr>
            <w:tcW w:w="963" w:type="pct"/>
            <w:tcBorders>
              <w:top w:val="nil"/>
              <w:bottom w:val="single" w:sz="4" w:space="0" w:color="auto"/>
            </w:tcBorders>
            <w:shd w:val="clear" w:color="auto" w:fill="auto"/>
          </w:tcPr>
          <w:p w:rsidR="0047686C" w:rsidRPr="0017112A" w:rsidRDefault="0047686C" w:rsidP="00FC7918">
            <w:pPr>
              <w:pStyle w:val="TableText"/>
              <w:spacing w:before="20" w:after="120"/>
              <w:ind w:right="576"/>
              <w:jc w:val="right"/>
            </w:pPr>
            <w:r w:rsidRPr="0017112A">
              <w:t>79.8%</w:t>
            </w:r>
          </w:p>
        </w:tc>
      </w:tr>
      <w:tr w:rsidR="0047686C" w:rsidTr="00FC7918">
        <w:tc>
          <w:tcPr>
            <w:tcW w:w="2110" w:type="pct"/>
            <w:tcBorders>
              <w:top w:val="single" w:sz="4" w:space="0" w:color="auto"/>
            </w:tcBorders>
            <w:shd w:val="clear" w:color="auto" w:fill="auto"/>
          </w:tcPr>
          <w:p w:rsidR="0047686C" w:rsidRPr="001C2CCE" w:rsidRDefault="0047686C" w:rsidP="00FC7918">
            <w:pPr>
              <w:pStyle w:val="TableText"/>
              <w:spacing w:before="120" w:after="20"/>
            </w:pPr>
            <w:r w:rsidRPr="001C2CCE">
              <w:t>Pennsylvania initial sample size</w:t>
            </w:r>
          </w:p>
        </w:tc>
        <w:tc>
          <w:tcPr>
            <w:tcW w:w="963" w:type="pct"/>
            <w:tcBorders>
              <w:top w:val="single" w:sz="4" w:space="0" w:color="auto"/>
            </w:tcBorders>
            <w:shd w:val="clear" w:color="auto" w:fill="auto"/>
          </w:tcPr>
          <w:p w:rsidR="0047686C" w:rsidRPr="00155E70" w:rsidRDefault="0047686C" w:rsidP="00FC7918">
            <w:pPr>
              <w:pStyle w:val="TableText"/>
              <w:spacing w:before="120" w:after="20"/>
              <w:ind w:right="576"/>
              <w:jc w:val="right"/>
            </w:pPr>
            <w:r w:rsidRPr="00155E70">
              <w:t>1,500</w:t>
            </w:r>
          </w:p>
        </w:tc>
        <w:tc>
          <w:tcPr>
            <w:tcW w:w="963" w:type="pct"/>
            <w:tcBorders>
              <w:top w:val="single" w:sz="4" w:space="0" w:color="auto"/>
            </w:tcBorders>
            <w:shd w:val="clear" w:color="auto" w:fill="auto"/>
          </w:tcPr>
          <w:p w:rsidR="0047686C" w:rsidRPr="00850214" w:rsidRDefault="0047686C" w:rsidP="00FC7918">
            <w:pPr>
              <w:pStyle w:val="TableText"/>
              <w:spacing w:before="120" w:after="20"/>
              <w:ind w:right="576"/>
              <w:jc w:val="right"/>
            </w:pPr>
            <w:r w:rsidRPr="00850214">
              <w:t>1,500</w:t>
            </w:r>
          </w:p>
        </w:tc>
        <w:tc>
          <w:tcPr>
            <w:tcW w:w="963" w:type="pct"/>
            <w:tcBorders>
              <w:top w:val="single" w:sz="4" w:space="0" w:color="auto"/>
            </w:tcBorders>
            <w:shd w:val="clear" w:color="auto" w:fill="auto"/>
          </w:tcPr>
          <w:p w:rsidR="0047686C" w:rsidRPr="0017112A" w:rsidRDefault="0047686C" w:rsidP="00FC7918">
            <w:pPr>
              <w:pStyle w:val="TableText"/>
              <w:spacing w:before="120" w:after="20"/>
              <w:ind w:right="576"/>
              <w:jc w:val="right"/>
            </w:pPr>
            <w:r w:rsidRPr="0017112A">
              <w:t>3,000</w:t>
            </w:r>
          </w:p>
        </w:tc>
      </w:tr>
      <w:tr w:rsidR="0047686C" w:rsidTr="00FC7918">
        <w:tc>
          <w:tcPr>
            <w:tcW w:w="2110" w:type="pct"/>
            <w:shd w:val="clear" w:color="auto" w:fill="auto"/>
          </w:tcPr>
          <w:p w:rsidR="0047686C" w:rsidRPr="001C2CCE" w:rsidRDefault="0047686C" w:rsidP="00FC7918">
            <w:pPr>
              <w:pStyle w:val="TableText"/>
              <w:spacing w:before="20" w:after="20"/>
            </w:pPr>
            <w:r w:rsidRPr="001C2CCE">
              <w:t>SNAP elderly participation rate</w:t>
            </w:r>
          </w:p>
        </w:tc>
        <w:tc>
          <w:tcPr>
            <w:tcW w:w="963" w:type="pct"/>
            <w:shd w:val="clear" w:color="auto" w:fill="auto"/>
          </w:tcPr>
          <w:p w:rsidR="0047686C" w:rsidRPr="00155E70" w:rsidRDefault="0047686C" w:rsidP="00FC7918">
            <w:pPr>
              <w:pStyle w:val="TableText"/>
              <w:spacing w:before="20" w:after="20"/>
              <w:ind w:right="576"/>
              <w:jc w:val="right"/>
            </w:pPr>
            <w:r w:rsidRPr="00155E70">
              <w:t>39%</w:t>
            </w:r>
          </w:p>
        </w:tc>
        <w:tc>
          <w:tcPr>
            <w:tcW w:w="963" w:type="pct"/>
            <w:shd w:val="clear" w:color="auto" w:fill="auto"/>
          </w:tcPr>
          <w:p w:rsidR="0047686C" w:rsidRPr="00850214" w:rsidRDefault="0047686C" w:rsidP="00FC7918">
            <w:pPr>
              <w:pStyle w:val="TableText"/>
              <w:spacing w:before="20" w:after="20"/>
              <w:ind w:right="576"/>
              <w:jc w:val="right"/>
            </w:pPr>
            <w:r w:rsidRPr="00850214">
              <w:t>34%</w:t>
            </w:r>
          </w:p>
        </w:tc>
        <w:tc>
          <w:tcPr>
            <w:tcW w:w="963" w:type="pct"/>
            <w:shd w:val="clear" w:color="auto" w:fill="auto"/>
          </w:tcPr>
          <w:p w:rsidR="0047686C" w:rsidRPr="0017112A" w:rsidRDefault="0047686C" w:rsidP="00FC7918">
            <w:pPr>
              <w:pStyle w:val="TableText"/>
              <w:spacing w:before="20" w:after="20"/>
              <w:ind w:right="576"/>
              <w:jc w:val="right"/>
            </w:pPr>
          </w:p>
        </w:tc>
      </w:tr>
      <w:tr w:rsidR="0047686C" w:rsidTr="00FC7918">
        <w:tc>
          <w:tcPr>
            <w:tcW w:w="2110" w:type="pct"/>
            <w:shd w:val="clear" w:color="auto" w:fill="auto"/>
          </w:tcPr>
          <w:p w:rsidR="0047686C" w:rsidRPr="001C2CCE" w:rsidRDefault="0047686C" w:rsidP="00FC7918">
            <w:pPr>
              <w:pStyle w:val="TableText"/>
              <w:spacing w:before="20" w:after="20"/>
            </w:pPr>
            <w:r w:rsidRPr="001C2CCE">
              <w:t>Number of SNAP participants</w:t>
            </w:r>
          </w:p>
        </w:tc>
        <w:tc>
          <w:tcPr>
            <w:tcW w:w="963" w:type="pct"/>
            <w:shd w:val="clear" w:color="auto" w:fill="auto"/>
          </w:tcPr>
          <w:p w:rsidR="0047686C" w:rsidRPr="00155E70" w:rsidRDefault="0047686C" w:rsidP="00FC7918">
            <w:pPr>
              <w:pStyle w:val="TableText"/>
              <w:spacing w:before="20" w:after="20"/>
              <w:ind w:right="576"/>
              <w:jc w:val="right"/>
            </w:pPr>
            <w:r w:rsidRPr="00155E70">
              <w:t>585</w:t>
            </w:r>
          </w:p>
        </w:tc>
        <w:tc>
          <w:tcPr>
            <w:tcW w:w="963" w:type="pct"/>
            <w:shd w:val="clear" w:color="auto" w:fill="auto"/>
          </w:tcPr>
          <w:p w:rsidR="0047686C" w:rsidRPr="00850214" w:rsidRDefault="0047686C" w:rsidP="00FC7918">
            <w:pPr>
              <w:pStyle w:val="TableText"/>
              <w:spacing w:before="20" w:after="20"/>
              <w:ind w:right="576"/>
              <w:jc w:val="right"/>
            </w:pPr>
            <w:r w:rsidRPr="00850214">
              <w:t>510</w:t>
            </w:r>
          </w:p>
        </w:tc>
        <w:tc>
          <w:tcPr>
            <w:tcW w:w="963" w:type="pct"/>
            <w:shd w:val="clear" w:color="auto" w:fill="auto"/>
          </w:tcPr>
          <w:p w:rsidR="0047686C" w:rsidRPr="0017112A" w:rsidRDefault="0047686C" w:rsidP="00FC7918">
            <w:pPr>
              <w:pStyle w:val="TableText"/>
              <w:spacing w:before="20" w:after="20"/>
              <w:ind w:right="576"/>
              <w:jc w:val="right"/>
            </w:pPr>
          </w:p>
        </w:tc>
      </w:tr>
      <w:tr w:rsidR="0047686C" w:rsidTr="00FC7918">
        <w:tc>
          <w:tcPr>
            <w:tcW w:w="2110" w:type="pct"/>
            <w:shd w:val="clear" w:color="auto" w:fill="auto"/>
          </w:tcPr>
          <w:p w:rsidR="0047686C" w:rsidRPr="001C2CCE" w:rsidRDefault="0047686C" w:rsidP="00FC7918">
            <w:pPr>
              <w:pStyle w:val="TableText"/>
              <w:spacing w:before="20" w:after="20"/>
            </w:pPr>
            <w:r w:rsidRPr="001C2CCE">
              <w:t>Number of SNAP nonparticipants</w:t>
            </w:r>
          </w:p>
        </w:tc>
        <w:tc>
          <w:tcPr>
            <w:tcW w:w="963" w:type="pct"/>
            <w:shd w:val="clear" w:color="auto" w:fill="auto"/>
          </w:tcPr>
          <w:p w:rsidR="0047686C" w:rsidRPr="00155E70" w:rsidRDefault="0047686C" w:rsidP="00FC7918">
            <w:pPr>
              <w:pStyle w:val="TableText"/>
              <w:spacing w:before="20" w:after="20"/>
              <w:ind w:right="576"/>
              <w:jc w:val="right"/>
            </w:pPr>
            <w:r w:rsidRPr="00155E70">
              <w:t>915</w:t>
            </w:r>
          </w:p>
        </w:tc>
        <w:tc>
          <w:tcPr>
            <w:tcW w:w="963" w:type="pct"/>
            <w:shd w:val="clear" w:color="auto" w:fill="auto"/>
          </w:tcPr>
          <w:p w:rsidR="0047686C" w:rsidRPr="00850214" w:rsidRDefault="0047686C" w:rsidP="00FC7918">
            <w:pPr>
              <w:pStyle w:val="TableText"/>
              <w:spacing w:before="20" w:after="20"/>
              <w:ind w:right="576"/>
              <w:jc w:val="right"/>
            </w:pPr>
            <w:r w:rsidRPr="00850214">
              <w:t>990</w:t>
            </w:r>
          </w:p>
        </w:tc>
        <w:tc>
          <w:tcPr>
            <w:tcW w:w="963" w:type="pct"/>
            <w:shd w:val="clear" w:color="auto" w:fill="auto"/>
          </w:tcPr>
          <w:p w:rsidR="0047686C" w:rsidRPr="0017112A" w:rsidRDefault="0047686C" w:rsidP="00FC7918">
            <w:pPr>
              <w:pStyle w:val="TableText"/>
              <w:spacing w:before="20" w:after="20"/>
              <w:ind w:right="576"/>
              <w:jc w:val="right"/>
            </w:pPr>
          </w:p>
        </w:tc>
      </w:tr>
      <w:tr w:rsidR="0047686C" w:rsidTr="00FC7918">
        <w:tc>
          <w:tcPr>
            <w:tcW w:w="2110" w:type="pct"/>
            <w:shd w:val="clear" w:color="auto" w:fill="auto"/>
          </w:tcPr>
          <w:p w:rsidR="0047686C" w:rsidRPr="001C2CCE" w:rsidRDefault="0047686C" w:rsidP="00FC7918">
            <w:pPr>
              <w:pStyle w:val="TableText"/>
              <w:spacing w:before="20" w:after="20"/>
            </w:pPr>
            <w:r w:rsidRPr="001C2CCE">
              <w:t>Target completed interviews–participants</w:t>
            </w:r>
          </w:p>
        </w:tc>
        <w:tc>
          <w:tcPr>
            <w:tcW w:w="963" w:type="pct"/>
            <w:shd w:val="clear" w:color="auto" w:fill="auto"/>
          </w:tcPr>
          <w:p w:rsidR="0047686C" w:rsidRPr="00155E70" w:rsidRDefault="0047686C" w:rsidP="00FC7918">
            <w:pPr>
              <w:pStyle w:val="TableText"/>
              <w:spacing w:before="20" w:after="20"/>
              <w:ind w:right="576"/>
              <w:jc w:val="right"/>
            </w:pPr>
            <w:r w:rsidRPr="00155E70">
              <w:t>497</w:t>
            </w:r>
          </w:p>
        </w:tc>
        <w:tc>
          <w:tcPr>
            <w:tcW w:w="963" w:type="pct"/>
            <w:shd w:val="clear" w:color="auto" w:fill="auto"/>
          </w:tcPr>
          <w:p w:rsidR="0047686C" w:rsidRPr="00850214" w:rsidRDefault="0047686C" w:rsidP="00FC7918">
            <w:pPr>
              <w:pStyle w:val="TableText"/>
              <w:spacing w:before="20" w:after="20"/>
              <w:ind w:right="576"/>
              <w:jc w:val="right"/>
            </w:pPr>
            <w:r w:rsidRPr="00850214">
              <w:t>408</w:t>
            </w:r>
          </w:p>
        </w:tc>
        <w:tc>
          <w:tcPr>
            <w:tcW w:w="963" w:type="pct"/>
            <w:shd w:val="clear" w:color="auto" w:fill="auto"/>
          </w:tcPr>
          <w:p w:rsidR="0047686C" w:rsidRPr="0017112A" w:rsidRDefault="0047686C" w:rsidP="00FC7918">
            <w:pPr>
              <w:pStyle w:val="TableText"/>
              <w:spacing w:before="20" w:after="20"/>
              <w:ind w:right="576"/>
              <w:jc w:val="right"/>
            </w:pPr>
          </w:p>
        </w:tc>
      </w:tr>
      <w:tr w:rsidR="0047686C" w:rsidTr="00FC7918">
        <w:tc>
          <w:tcPr>
            <w:tcW w:w="2110" w:type="pct"/>
            <w:shd w:val="clear" w:color="auto" w:fill="auto"/>
          </w:tcPr>
          <w:p w:rsidR="0047686C" w:rsidRPr="001C2CCE" w:rsidRDefault="0047686C" w:rsidP="00FC7918">
            <w:pPr>
              <w:pStyle w:val="TableText"/>
              <w:spacing w:before="20" w:after="20"/>
            </w:pPr>
            <w:r w:rsidRPr="001C2CCE">
              <w:t>Target completes–nonparticipants</w:t>
            </w:r>
          </w:p>
        </w:tc>
        <w:tc>
          <w:tcPr>
            <w:tcW w:w="963" w:type="pct"/>
            <w:shd w:val="clear" w:color="auto" w:fill="auto"/>
          </w:tcPr>
          <w:p w:rsidR="0047686C" w:rsidRPr="00155E70" w:rsidRDefault="0047686C" w:rsidP="00FC7918">
            <w:pPr>
              <w:pStyle w:val="TableText"/>
              <w:spacing w:before="20" w:after="20"/>
              <w:ind w:right="576"/>
              <w:jc w:val="right"/>
            </w:pPr>
            <w:r w:rsidRPr="00155E70">
              <w:t>741</w:t>
            </w:r>
          </w:p>
        </w:tc>
        <w:tc>
          <w:tcPr>
            <w:tcW w:w="963" w:type="pct"/>
            <w:shd w:val="clear" w:color="auto" w:fill="auto"/>
          </w:tcPr>
          <w:p w:rsidR="0047686C" w:rsidRPr="00850214" w:rsidRDefault="0047686C" w:rsidP="00FC7918">
            <w:pPr>
              <w:pStyle w:val="TableText"/>
              <w:spacing w:before="20" w:after="20"/>
              <w:ind w:right="576"/>
              <w:jc w:val="right"/>
            </w:pPr>
            <w:r w:rsidRPr="00850214">
              <w:t>752</w:t>
            </w:r>
          </w:p>
        </w:tc>
        <w:tc>
          <w:tcPr>
            <w:tcW w:w="963" w:type="pct"/>
            <w:shd w:val="clear" w:color="auto" w:fill="auto"/>
          </w:tcPr>
          <w:p w:rsidR="0047686C" w:rsidRPr="0017112A" w:rsidRDefault="0047686C" w:rsidP="00FC7918">
            <w:pPr>
              <w:pStyle w:val="TableText"/>
              <w:spacing w:before="20" w:after="20"/>
              <w:ind w:right="576"/>
              <w:jc w:val="right"/>
            </w:pPr>
          </w:p>
        </w:tc>
      </w:tr>
      <w:tr w:rsidR="0047686C" w:rsidTr="00FC7918">
        <w:tc>
          <w:tcPr>
            <w:tcW w:w="2110" w:type="pct"/>
            <w:tcBorders>
              <w:bottom w:val="nil"/>
            </w:tcBorders>
            <w:shd w:val="clear" w:color="auto" w:fill="auto"/>
          </w:tcPr>
          <w:p w:rsidR="0047686C" w:rsidRPr="001C2CCE" w:rsidRDefault="0047686C" w:rsidP="00FC7918">
            <w:pPr>
              <w:pStyle w:val="TableText"/>
              <w:spacing w:before="20" w:after="20"/>
            </w:pPr>
            <w:r w:rsidRPr="001C2CCE">
              <w:t>Total number of completed interviews</w:t>
            </w:r>
          </w:p>
        </w:tc>
        <w:tc>
          <w:tcPr>
            <w:tcW w:w="963" w:type="pct"/>
            <w:tcBorders>
              <w:bottom w:val="nil"/>
            </w:tcBorders>
            <w:shd w:val="clear" w:color="auto" w:fill="auto"/>
          </w:tcPr>
          <w:p w:rsidR="0047686C" w:rsidRPr="00155E70" w:rsidRDefault="0047686C" w:rsidP="00FC7918">
            <w:pPr>
              <w:pStyle w:val="TableText"/>
              <w:spacing w:before="20" w:after="20"/>
              <w:ind w:right="576"/>
              <w:jc w:val="right"/>
            </w:pPr>
            <w:r w:rsidRPr="00155E70">
              <w:t>1,238</w:t>
            </w:r>
          </w:p>
        </w:tc>
        <w:tc>
          <w:tcPr>
            <w:tcW w:w="963" w:type="pct"/>
            <w:tcBorders>
              <w:bottom w:val="nil"/>
            </w:tcBorders>
            <w:shd w:val="clear" w:color="auto" w:fill="auto"/>
          </w:tcPr>
          <w:p w:rsidR="0047686C" w:rsidRPr="00850214" w:rsidRDefault="0047686C" w:rsidP="00FC7918">
            <w:pPr>
              <w:pStyle w:val="TableText"/>
              <w:spacing w:before="20" w:after="20"/>
              <w:ind w:right="576"/>
              <w:jc w:val="right"/>
            </w:pPr>
            <w:r w:rsidRPr="00850214">
              <w:t>1,160</w:t>
            </w:r>
          </w:p>
        </w:tc>
        <w:tc>
          <w:tcPr>
            <w:tcW w:w="963" w:type="pct"/>
            <w:tcBorders>
              <w:bottom w:val="nil"/>
            </w:tcBorders>
            <w:shd w:val="clear" w:color="auto" w:fill="auto"/>
          </w:tcPr>
          <w:p w:rsidR="0047686C" w:rsidRPr="0017112A" w:rsidRDefault="0047686C" w:rsidP="00FC7918">
            <w:pPr>
              <w:pStyle w:val="TableText"/>
              <w:spacing w:before="20" w:after="20"/>
              <w:ind w:right="576"/>
              <w:jc w:val="right"/>
            </w:pPr>
            <w:r w:rsidRPr="0017112A">
              <w:t>2,399</w:t>
            </w:r>
          </w:p>
        </w:tc>
      </w:tr>
      <w:tr w:rsidR="0047686C" w:rsidTr="00FC7918">
        <w:tc>
          <w:tcPr>
            <w:tcW w:w="2110" w:type="pct"/>
            <w:tcBorders>
              <w:top w:val="nil"/>
              <w:bottom w:val="single" w:sz="4" w:space="0" w:color="auto"/>
            </w:tcBorders>
            <w:shd w:val="clear" w:color="auto" w:fill="auto"/>
          </w:tcPr>
          <w:p w:rsidR="0047686C" w:rsidRPr="001C2CCE" w:rsidRDefault="0047686C" w:rsidP="00FC7918">
            <w:pPr>
              <w:pStyle w:val="TableText"/>
              <w:spacing w:before="20" w:after="120"/>
            </w:pPr>
            <w:r w:rsidRPr="001C2CCE">
              <w:t>Target overall response rate</w:t>
            </w:r>
          </w:p>
        </w:tc>
        <w:tc>
          <w:tcPr>
            <w:tcW w:w="963" w:type="pct"/>
            <w:tcBorders>
              <w:top w:val="nil"/>
              <w:bottom w:val="single" w:sz="4" w:space="0" w:color="auto"/>
            </w:tcBorders>
            <w:shd w:val="clear" w:color="auto" w:fill="auto"/>
          </w:tcPr>
          <w:p w:rsidR="0047686C" w:rsidRPr="00155E70" w:rsidRDefault="0047686C" w:rsidP="00FC7918">
            <w:pPr>
              <w:pStyle w:val="TableText"/>
              <w:spacing w:before="20" w:after="120"/>
              <w:ind w:right="576"/>
              <w:jc w:val="right"/>
            </w:pPr>
            <w:r w:rsidRPr="00155E70">
              <w:t>82.6%</w:t>
            </w:r>
          </w:p>
        </w:tc>
        <w:tc>
          <w:tcPr>
            <w:tcW w:w="963" w:type="pct"/>
            <w:tcBorders>
              <w:top w:val="nil"/>
              <w:bottom w:val="single" w:sz="4" w:space="0" w:color="auto"/>
            </w:tcBorders>
            <w:shd w:val="clear" w:color="auto" w:fill="auto"/>
          </w:tcPr>
          <w:p w:rsidR="0047686C" w:rsidRPr="00850214" w:rsidRDefault="0047686C" w:rsidP="00FC7918">
            <w:pPr>
              <w:pStyle w:val="TableText"/>
              <w:spacing w:before="20" w:after="120"/>
              <w:ind w:right="576"/>
              <w:jc w:val="right"/>
            </w:pPr>
            <w:r w:rsidRPr="00850214">
              <w:t>77.4%</w:t>
            </w:r>
          </w:p>
        </w:tc>
        <w:tc>
          <w:tcPr>
            <w:tcW w:w="963" w:type="pct"/>
            <w:tcBorders>
              <w:top w:val="nil"/>
              <w:bottom w:val="single" w:sz="4" w:space="0" w:color="auto"/>
            </w:tcBorders>
            <w:shd w:val="clear" w:color="auto" w:fill="auto"/>
          </w:tcPr>
          <w:p w:rsidR="0047686C" w:rsidRPr="0017112A" w:rsidRDefault="0047686C" w:rsidP="00FC7918">
            <w:pPr>
              <w:pStyle w:val="TableText"/>
              <w:spacing w:before="20" w:after="120"/>
              <w:ind w:right="576"/>
              <w:jc w:val="right"/>
            </w:pPr>
            <w:r w:rsidRPr="0017112A">
              <w:t>80.0%</w:t>
            </w:r>
          </w:p>
        </w:tc>
      </w:tr>
      <w:tr w:rsidR="0047686C" w:rsidTr="00FC7918">
        <w:tc>
          <w:tcPr>
            <w:tcW w:w="2110" w:type="pct"/>
            <w:tcBorders>
              <w:top w:val="single" w:sz="4" w:space="0" w:color="auto"/>
            </w:tcBorders>
            <w:shd w:val="clear" w:color="auto" w:fill="auto"/>
          </w:tcPr>
          <w:p w:rsidR="0047686C" w:rsidRPr="001C2CCE" w:rsidRDefault="0047686C" w:rsidP="00FC7918">
            <w:pPr>
              <w:pStyle w:val="TableText"/>
              <w:spacing w:before="120" w:after="20"/>
            </w:pPr>
            <w:r w:rsidRPr="001C2CCE">
              <w:t>Washington initial sample size</w:t>
            </w:r>
          </w:p>
        </w:tc>
        <w:tc>
          <w:tcPr>
            <w:tcW w:w="963" w:type="pct"/>
            <w:tcBorders>
              <w:top w:val="single" w:sz="4" w:space="0" w:color="auto"/>
            </w:tcBorders>
            <w:shd w:val="clear" w:color="auto" w:fill="auto"/>
          </w:tcPr>
          <w:p w:rsidR="0047686C" w:rsidRPr="00155E70" w:rsidRDefault="0047686C" w:rsidP="00FC7918">
            <w:pPr>
              <w:pStyle w:val="TableText"/>
              <w:spacing w:before="120" w:after="20"/>
              <w:ind w:right="576"/>
              <w:jc w:val="right"/>
            </w:pPr>
            <w:r w:rsidRPr="00155E70">
              <w:t>1,000</w:t>
            </w:r>
          </w:p>
        </w:tc>
        <w:tc>
          <w:tcPr>
            <w:tcW w:w="963" w:type="pct"/>
            <w:tcBorders>
              <w:top w:val="single" w:sz="4" w:space="0" w:color="auto"/>
            </w:tcBorders>
            <w:shd w:val="clear" w:color="auto" w:fill="auto"/>
          </w:tcPr>
          <w:p w:rsidR="0047686C" w:rsidRPr="00850214" w:rsidRDefault="0047686C" w:rsidP="00FC7918">
            <w:pPr>
              <w:pStyle w:val="TableText"/>
              <w:spacing w:before="120" w:after="20"/>
              <w:ind w:right="576"/>
              <w:jc w:val="right"/>
            </w:pPr>
            <w:r w:rsidRPr="00850214">
              <w:t>1,000</w:t>
            </w:r>
          </w:p>
        </w:tc>
        <w:tc>
          <w:tcPr>
            <w:tcW w:w="963" w:type="pct"/>
            <w:tcBorders>
              <w:top w:val="single" w:sz="4" w:space="0" w:color="auto"/>
            </w:tcBorders>
            <w:shd w:val="clear" w:color="auto" w:fill="auto"/>
          </w:tcPr>
          <w:p w:rsidR="0047686C" w:rsidRPr="0017112A" w:rsidRDefault="0047686C" w:rsidP="00FC7918">
            <w:pPr>
              <w:pStyle w:val="TableText"/>
              <w:spacing w:before="120" w:after="20"/>
              <w:ind w:right="576"/>
              <w:jc w:val="right"/>
            </w:pPr>
            <w:r w:rsidRPr="0017112A">
              <w:t>2,000</w:t>
            </w:r>
          </w:p>
        </w:tc>
      </w:tr>
      <w:tr w:rsidR="0047686C" w:rsidTr="00FC7918">
        <w:tc>
          <w:tcPr>
            <w:tcW w:w="2110" w:type="pct"/>
            <w:shd w:val="clear" w:color="auto" w:fill="auto"/>
          </w:tcPr>
          <w:p w:rsidR="0047686C" w:rsidRPr="001C2CCE" w:rsidRDefault="0047686C" w:rsidP="00FC7918">
            <w:pPr>
              <w:pStyle w:val="TableText"/>
              <w:spacing w:before="20" w:after="20"/>
            </w:pPr>
            <w:r w:rsidRPr="001C2CCE">
              <w:t>SNAP elderly participation rate</w:t>
            </w:r>
          </w:p>
        </w:tc>
        <w:tc>
          <w:tcPr>
            <w:tcW w:w="963" w:type="pct"/>
            <w:shd w:val="clear" w:color="auto" w:fill="auto"/>
          </w:tcPr>
          <w:p w:rsidR="0047686C" w:rsidRPr="00155E70" w:rsidRDefault="0047686C" w:rsidP="00FC7918">
            <w:pPr>
              <w:pStyle w:val="TableText"/>
              <w:spacing w:before="20" w:after="20"/>
              <w:ind w:right="576"/>
              <w:jc w:val="right"/>
            </w:pPr>
            <w:r w:rsidRPr="00155E70">
              <w:t>48%</w:t>
            </w:r>
          </w:p>
        </w:tc>
        <w:tc>
          <w:tcPr>
            <w:tcW w:w="963" w:type="pct"/>
            <w:shd w:val="clear" w:color="auto" w:fill="auto"/>
          </w:tcPr>
          <w:p w:rsidR="0047686C" w:rsidRPr="00850214" w:rsidRDefault="0047686C" w:rsidP="00FC7918">
            <w:pPr>
              <w:pStyle w:val="TableText"/>
              <w:spacing w:before="20" w:after="20"/>
              <w:ind w:right="576"/>
              <w:jc w:val="right"/>
            </w:pPr>
            <w:r w:rsidRPr="00850214">
              <w:t>43%</w:t>
            </w:r>
          </w:p>
        </w:tc>
        <w:tc>
          <w:tcPr>
            <w:tcW w:w="963" w:type="pct"/>
            <w:shd w:val="clear" w:color="auto" w:fill="auto"/>
          </w:tcPr>
          <w:p w:rsidR="0047686C" w:rsidRPr="0017112A" w:rsidRDefault="0047686C" w:rsidP="00FC7918">
            <w:pPr>
              <w:pStyle w:val="TableText"/>
              <w:spacing w:before="20" w:after="20"/>
              <w:ind w:right="576"/>
              <w:jc w:val="right"/>
            </w:pPr>
          </w:p>
        </w:tc>
      </w:tr>
      <w:tr w:rsidR="0047686C" w:rsidTr="00FC7918">
        <w:tc>
          <w:tcPr>
            <w:tcW w:w="2110" w:type="pct"/>
            <w:shd w:val="clear" w:color="auto" w:fill="auto"/>
          </w:tcPr>
          <w:p w:rsidR="0047686C" w:rsidRPr="001C2CCE" w:rsidRDefault="0047686C" w:rsidP="00FC7918">
            <w:pPr>
              <w:pStyle w:val="TableText"/>
              <w:spacing w:before="20" w:after="20"/>
            </w:pPr>
            <w:r w:rsidRPr="001C2CCE">
              <w:t>Number of SNAP participants</w:t>
            </w:r>
          </w:p>
        </w:tc>
        <w:tc>
          <w:tcPr>
            <w:tcW w:w="963" w:type="pct"/>
            <w:shd w:val="clear" w:color="auto" w:fill="auto"/>
          </w:tcPr>
          <w:p w:rsidR="0047686C" w:rsidRPr="00155E70" w:rsidRDefault="0047686C" w:rsidP="00FC7918">
            <w:pPr>
              <w:pStyle w:val="TableText"/>
              <w:spacing w:before="20" w:after="20"/>
              <w:ind w:right="576"/>
              <w:jc w:val="right"/>
            </w:pPr>
            <w:r w:rsidRPr="00155E70">
              <w:t>480</w:t>
            </w:r>
          </w:p>
        </w:tc>
        <w:tc>
          <w:tcPr>
            <w:tcW w:w="963" w:type="pct"/>
            <w:shd w:val="clear" w:color="auto" w:fill="auto"/>
          </w:tcPr>
          <w:p w:rsidR="0047686C" w:rsidRPr="00850214" w:rsidRDefault="0047686C" w:rsidP="00FC7918">
            <w:pPr>
              <w:pStyle w:val="TableText"/>
              <w:spacing w:before="20" w:after="20"/>
              <w:ind w:right="576"/>
              <w:jc w:val="right"/>
            </w:pPr>
            <w:r w:rsidRPr="00850214">
              <w:t>430</w:t>
            </w:r>
          </w:p>
        </w:tc>
        <w:tc>
          <w:tcPr>
            <w:tcW w:w="963" w:type="pct"/>
            <w:shd w:val="clear" w:color="auto" w:fill="auto"/>
          </w:tcPr>
          <w:p w:rsidR="0047686C" w:rsidRPr="0017112A" w:rsidRDefault="0047686C" w:rsidP="00FC7918">
            <w:pPr>
              <w:pStyle w:val="TableText"/>
              <w:spacing w:before="20" w:after="20"/>
              <w:ind w:right="576"/>
              <w:jc w:val="right"/>
            </w:pPr>
          </w:p>
        </w:tc>
      </w:tr>
      <w:tr w:rsidR="0047686C" w:rsidTr="00FC7918">
        <w:tc>
          <w:tcPr>
            <w:tcW w:w="2110" w:type="pct"/>
            <w:shd w:val="clear" w:color="auto" w:fill="auto"/>
          </w:tcPr>
          <w:p w:rsidR="0047686C" w:rsidRPr="001C2CCE" w:rsidRDefault="0047686C" w:rsidP="00FC7918">
            <w:pPr>
              <w:pStyle w:val="TableText"/>
              <w:spacing w:before="20" w:after="20"/>
            </w:pPr>
            <w:r w:rsidRPr="001C2CCE">
              <w:t>Number of SNAP nonparticipants</w:t>
            </w:r>
          </w:p>
        </w:tc>
        <w:tc>
          <w:tcPr>
            <w:tcW w:w="963" w:type="pct"/>
            <w:shd w:val="clear" w:color="auto" w:fill="auto"/>
          </w:tcPr>
          <w:p w:rsidR="0047686C" w:rsidRPr="00155E70" w:rsidRDefault="0047686C" w:rsidP="00FC7918">
            <w:pPr>
              <w:pStyle w:val="TableText"/>
              <w:spacing w:before="20" w:after="20"/>
              <w:ind w:right="576"/>
              <w:jc w:val="right"/>
            </w:pPr>
            <w:r w:rsidRPr="00155E70">
              <w:t>520</w:t>
            </w:r>
          </w:p>
        </w:tc>
        <w:tc>
          <w:tcPr>
            <w:tcW w:w="963" w:type="pct"/>
            <w:shd w:val="clear" w:color="auto" w:fill="auto"/>
          </w:tcPr>
          <w:p w:rsidR="0047686C" w:rsidRPr="00850214" w:rsidRDefault="0047686C" w:rsidP="00FC7918">
            <w:pPr>
              <w:pStyle w:val="TableText"/>
              <w:spacing w:before="20" w:after="20"/>
              <w:ind w:right="576"/>
              <w:jc w:val="right"/>
            </w:pPr>
            <w:r w:rsidRPr="00850214">
              <w:t>570</w:t>
            </w:r>
          </w:p>
        </w:tc>
        <w:tc>
          <w:tcPr>
            <w:tcW w:w="963" w:type="pct"/>
            <w:shd w:val="clear" w:color="auto" w:fill="auto"/>
          </w:tcPr>
          <w:p w:rsidR="0047686C" w:rsidRPr="0017112A" w:rsidRDefault="0047686C" w:rsidP="00FC7918">
            <w:pPr>
              <w:pStyle w:val="TableText"/>
              <w:spacing w:before="20" w:after="20"/>
              <w:ind w:right="576"/>
              <w:jc w:val="right"/>
            </w:pPr>
          </w:p>
        </w:tc>
      </w:tr>
      <w:tr w:rsidR="0047686C" w:rsidTr="00FC7918">
        <w:tc>
          <w:tcPr>
            <w:tcW w:w="2110" w:type="pct"/>
            <w:shd w:val="clear" w:color="auto" w:fill="auto"/>
          </w:tcPr>
          <w:p w:rsidR="0047686C" w:rsidRPr="001C2CCE" w:rsidRDefault="0047686C" w:rsidP="00FC7918">
            <w:pPr>
              <w:pStyle w:val="TableText"/>
              <w:spacing w:before="20" w:after="20"/>
            </w:pPr>
            <w:r w:rsidRPr="001C2CCE">
              <w:t>Target completed interviews–participants</w:t>
            </w:r>
          </w:p>
        </w:tc>
        <w:tc>
          <w:tcPr>
            <w:tcW w:w="963" w:type="pct"/>
            <w:shd w:val="clear" w:color="auto" w:fill="auto"/>
          </w:tcPr>
          <w:p w:rsidR="0047686C" w:rsidRPr="00155E70" w:rsidRDefault="0047686C" w:rsidP="00FC7918">
            <w:pPr>
              <w:pStyle w:val="TableText"/>
              <w:spacing w:before="20" w:after="20"/>
              <w:ind w:right="576"/>
              <w:jc w:val="right"/>
            </w:pPr>
            <w:r w:rsidRPr="00155E70">
              <w:t>408</w:t>
            </w:r>
          </w:p>
        </w:tc>
        <w:tc>
          <w:tcPr>
            <w:tcW w:w="963" w:type="pct"/>
            <w:shd w:val="clear" w:color="auto" w:fill="auto"/>
          </w:tcPr>
          <w:p w:rsidR="0047686C" w:rsidRPr="00850214" w:rsidRDefault="0047686C" w:rsidP="00FC7918">
            <w:pPr>
              <w:pStyle w:val="TableText"/>
              <w:spacing w:before="20" w:after="20"/>
              <w:ind w:right="576"/>
              <w:jc w:val="right"/>
            </w:pPr>
            <w:r w:rsidRPr="00850214">
              <w:t>344</w:t>
            </w:r>
          </w:p>
        </w:tc>
        <w:tc>
          <w:tcPr>
            <w:tcW w:w="963" w:type="pct"/>
            <w:shd w:val="clear" w:color="auto" w:fill="auto"/>
          </w:tcPr>
          <w:p w:rsidR="0047686C" w:rsidRPr="0017112A" w:rsidRDefault="0047686C" w:rsidP="00FC7918">
            <w:pPr>
              <w:pStyle w:val="TableText"/>
              <w:spacing w:before="20" w:after="20"/>
              <w:ind w:right="576"/>
              <w:jc w:val="right"/>
            </w:pPr>
          </w:p>
        </w:tc>
      </w:tr>
      <w:tr w:rsidR="0047686C" w:rsidTr="00FC7918">
        <w:tc>
          <w:tcPr>
            <w:tcW w:w="2110" w:type="pct"/>
            <w:shd w:val="clear" w:color="auto" w:fill="auto"/>
          </w:tcPr>
          <w:p w:rsidR="0047686C" w:rsidRPr="001C2CCE" w:rsidRDefault="0047686C" w:rsidP="00FC7918">
            <w:pPr>
              <w:pStyle w:val="TableText"/>
              <w:spacing w:before="20" w:after="20"/>
            </w:pPr>
            <w:r w:rsidRPr="001C2CCE">
              <w:t>Target completes–nonparticipants</w:t>
            </w:r>
          </w:p>
        </w:tc>
        <w:tc>
          <w:tcPr>
            <w:tcW w:w="963" w:type="pct"/>
            <w:shd w:val="clear" w:color="auto" w:fill="auto"/>
          </w:tcPr>
          <w:p w:rsidR="0047686C" w:rsidRPr="00155E70" w:rsidRDefault="0047686C" w:rsidP="00FC7918">
            <w:pPr>
              <w:pStyle w:val="TableText"/>
              <w:spacing w:before="20" w:after="20"/>
              <w:ind w:right="576"/>
              <w:jc w:val="right"/>
            </w:pPr>
            <w:r w:rsidRPr="00155E70">
              <w:t>421</w:t>
            </w:r>
          </w:p>
        </w:tc>
        <w:tc>
          <w:tcPr>
            <w:tcW w:w="963" w:type="pct"/>
            <w:shd w:val="clear" w:color="auto" w:fill="auto"/>
          </w:tcPr>
          <w:p w:rsidR="0047686C" w:rsidRPr="00850214" w:rsidRDefault="0047686C" w:rsidP="00FC7918">
            <w:pPr>
              <w:pStyle w:val="TableText"/>
              <w:spacing w:before="20" w:after="20"/>
              <w:ind w:right="576"/>
              <w:jc w:val="right"/>
            </w:pPr>
            <w:r w:rsidRPr="00850214">
              <w:t>433</w:t>
            </w:r>
          </w:p>
        </w:tc>
        <w:tc>
          <w:tcPr>
            <w:tcW w:w="963" w:type="pct"/>
            <w:shd w:val="clear" w:color="auto" w:fill="auto"/>
          </w:tcPr>
          <w:p w:rsidR="0047686C" w:rsidRPr="0017112A" w:rsidRDefault="0047686C" w:rsidP="00FC7918">
            <w:pPr>
              <w:pStyle w:val="TableText"/>
              <w:spacing w:before="20" w:after="20"/>
              <w:ind w:right="576"/>
              <w:jc w:val="right"/>
            </w:pPr>
          </w:p>
        </w:tc>
      </w:tr>
      <w:tr w:rsidR="0047686C" w:rsidTr="00FC7918">
        <w:tc>
          <w:tcPr>
            <w:tcW w:w="2110" w:type="pct"/>
            <w:shd w:val="clear" w:color="auto" w:fill="auto"/>
          </w:tcPr>
          <w:p w:rsidR="0047686C" w:rsidRPr="001C2CCE" w:rsidRDefault="0047686C" w:rsidP="00FC7918">
            <w:pPr>
              <w:pStyle w:val="TableText"/>
              <w:spacing w:before="20" w:after="20"/>
            </w:pPr>
            <w:r w:rsidRPr="001C2CCE">
              <w:t>Total number of completed interviews</w:t>
            </w:r>
          </w:p>
        </w:tc>
        <w:tc>
          <w:tcPr>
            <w:tcW w:w="963" w:type="pct"/>
            <w:shd w:val="clear" w:color="auto" w:fill="auto"/>
          </w:tcPr>
          <w:p w:rsidR="0047686C" w:rsidRPr="00155E70" w:rsidRDefault="0047686C" w:rsidP="00FC7918">
            <w:pPr>
              <w:pStyle w:val="TableText"/>
              <w:spacing w:before="20" w:after="20"/>
              <w:ind w:right="576"/>
              <w:jc w:val="right"/>
            </w:pPr>
            <w:r w:rsidRPr="00155E70">
              <w:t>829</w:t>
            </w:r>
          </w:p>
        </w:tc>
        <w:tc>
          <w:tcPr>
            <w:tcW w:w="963" w:type="pct"/>
            <w:shd w:val="clear" w:color="auto" w:fill="auto"/>
          </w:tcPr>
          <w:p w:rsidR="0047686C" w:rsidRPr="00850214" w:rsidRDefault="0047686C" w:rsidP="00FC7918">
            <w:pPr>
              <w:pStyle w:val="TableText"/>
              <w:spacing w:before="20" w:after="20"/>
              <w:ind w:right="576"/>
              <w:jc w:val="right"/>
            </w:pPr>
            <w:r w:rsidRPr="00850214">
              <w:t>777</w:t>
            </w:r>
          </w:p>
        </w:tc>
        <w:tc>
          <w:tcPr>
            <w:tcW w:w="963" w:type="pct"/>
            <w:shd w:val="clear" w:color="auto" w:fill="auto"/>
          </w:tcPr>
          <w:p w:rsidR="0047686C" w:rsidRPr="0017112A" w:rsidRDefault="0047686C" w:rsidP="00FC7918">
            <w:pPr>
              <w:pStyle w:val="TableText"/>
              <w:spacing w:before="20" w:after="20"/>
              <w:ind w:right="576"/>
              <w:jc w:val="right"/>
            </w:pPr>
            <w:r w:rsidRPr="0017112A">
              <w:t>1,606</w:t>
            </w:r>
          </w:p>
        </w:tc>
      </w:tr>
      <w:tr w:rsidR="0047686C" w:rsidTr="00FC7918">
        <w:tc>
          <w:tcPr>
            <w:tcW w:w="2110" w:type="pct"/>
            <w:shd w:val="clear" w:color="auto" w:fill="auto"/>
          </w:tcPr>
          <w:p w:rsidR="0047686C" w:rsidRDefault="0047686C" w:rsidP="00FC7918">
            <w:pPr>
              <w:pStyle w:val="TableText"/>
              <w:spacing w:before="20" w:after="20"/>
            </w:pPr>
            <w:r w:rsidRPr="001C2CCE">
              <w:t>Target overall response rate</w:t>
            </w:r>
          </w:p>
        </w:tc>
        <w:tc>
          <w:tcPr>
            <w:tcW w:w="963" w:type="pct"/>
            <w:shd w:val="clear" w:color="auto" w:fill="auto"/>
          </w:tcPr>
          <w:p w:rsidR="0047686C" w:rsidRDefault="0047686C" w:rsidP="00FC7918">
            <w:pPr>
              <w:pStyle w:val="TableText"/>
              <w:spacing w:before="20" w:after="20"/>
              <w:ind w:right="576"/>
              <w:jc w:val="right"/>
            </w:pPr>
            <w:r w:rsidRPr="00155E70">
              <w:t>82.9%</w:t>
            </w:r>
          </w:p>
        </w:tc>
        <w:tc>
          <w:tcPr>
            <w:tcW w:w="963" w:type="pct"/>
            <w:shd w:val="clear" w:color="auto" w:fill="auto"/>
          </w:tcPr>
          <w:p w:rsidR="0047686C" w:rsidRDefault="0047686C" w:rsidP="00FC7918">
            <w:pPr>
              <w:pStyle w:val="TableText"/>
              <w:spacing w:before="20" w:after="20"/>
              <w:ind w:right="576"/>
              <w:jc w:val="right"/>
            </w:pPr>
            <w:r w:rsidRPr="00850214">
              <w:t>77.7%</w:t>
            </w:r>
          </w:p>
        </w:tc>
        <w:tc>
          <w:tcPr>
            <w:tcW w:w="963" w:type="pct"/>
            <w:shd w:val="clear" w:color="auto" w:fill="auto"/>
          </w:tcPr>
          <w:p w:rsidR="0047686C" w:rsidRDefault="0047686C" w:rsidP="00FC7918">
            <w:pPr>
              <w:pStyle w:val="TableText"/>
              <w:spacing w:before="20" w:after="20"/>
              <w:ind w:right="576"/>
              <w:jc w:val="right"/>
            </w:pPr>
            <w:r w:rsidRPr="0017112A">
              <w:t>80.3%</w:t>
            </w:r>
          </w:p>
        </w:tc>
      </w:tr>
    </w:tbl>
    <w:p w:rsidR="0047686C" w:rsidRDefault="0047686C" w:rsidP="0047686C">
      <w:pPr>
        <w:pStyle w:val="TableSpace"/>
      </w:pPr>
    </w:p>
    <w:p w:rsidR="0047686C" w:rsidRDefault="0047686C" w:rsidP="0047686C">
      <w:pPr>
        <w:pStyle w:val="TableSourceCaption"/>
        <w:spacing w:after="360"/>
      </w:pPr>
      <w:r>
        <w:t>Note:</w:t>
      </w:r>
      <w:r>
        <w:tab/>
      </w:r>
      <w:r w:rsidRPr="000E55DA">
        <w:t>SNAP participation rates in the comparison sites are based on state estimates of the elderly participation rate in 2006 (Cunnyngham 2010). It is likely that SNAP participation rates among Extra Help applicants will be lower because very low income seniors are likely to be automatically eligible for Extra Help. It is assumed that the participation rate increases by 5</w:t>
      </w:r>
      <w:r w:rsidR="00EB2B9E">
        <w:t> </w:t>
      </w:r>
      <w:r w:rsidRPr="000E55DA">
        <w:t xml:space="preserve">percentage points in the pilot sites. The response rates are based on the contractor’s experience surveying elderly beneficiaries and are calculated in accordance with the standards set forth by the American Association for Public Opinion Research (AAPOR) in the </w:t>
      </w:r>
      <w:r w:rsidRPr="000E55DA">
        <w:rPr>
          <w:i/>
        </w:rPr>
        <w:t>2009 Edition of Standard Definitions.</w:t>
      </w:r>
    </w:p>
    <w:p w:rsidR="00FC7918" w:rsidRDefault="0047686C" w:rsidP="005E4AD0">
      <w:r>
        <w:t xml:space="preserve">SNAP participants will likely be interviewed at higher rates than nonparticipants because (1) it is likely that contact information for participants will be better than for nonparticipants, making them easier to locate and contact; and (2) participants may be more willing than nonparticipants to share information about themselves. Higher response rates in the pilot sites versus comparison sites are expected because individuals in the pilot sites will have had more recent contact with the state. </w:t>
      </w:r>
      <w:r>
        <w:lastRenderedPageBreak/>
        <w:t>While it is difficult to predict an exact response rate, experience with surveys of elderly beneficiaries suggests that it is possible to target a response rate of at least 85 percent for participants in the pilot sites and 76 percent for nonparticipants in the comparison sites. Methods to maximize response rates are described in more detail in section B.3.</w:t>
      </w:r>
    </w:p>
    <w:p w:rsidR="00FC7918" w:rsidRDefault="0047686C" w:rsidP="005E4AD0">
      <w:proofErr w:type="gramStart"/>
      <w:r w:rsidRPr="000754B8">
        <w:rPr>
          <w:b/>
        </w:rPr>
        <w:t>Focus groups.</w:t>
      </w:r>
      <w:proofErr w:type="gramEnd"/>
      <w:r>
        <w:t xml:space="preserve"> The total estimated number of sample members for the focus group is 138. The total number of focus group participants is 110, or 80 percent of the focus group sample in each state. This includes two groups with 10 people each in Pennsylvania, five groups with 10 people each in Washington, and four groups with 10 people each in New Mexico. Focus group participants will be eligible nonparticipants in the pilot sites.</w:t>
      </w:r>
    </w:p>
    <w:p w:rsidR="00461110" w:rsidRPr="00EB2B9E" w:rsidRDefault="00EB2B9E" w:rsidP="00623B36">
      <w:pPr>
        <w:pStyle w:val="Heading3"/>
      </w:pPr>
      <w:bookmarkStart w:id="24" w:name="_Toc297293720"/>
      <w:bookmarkStart w:id="25" w:name="_Toc309717588"/>
      <w:r w:rsidRPr="00EB2B9E">
        <w:t>B</w:t>
      </w:r>
      <w:r w:rsidR="0047686C" w:rsidRPr="00EB2B9E">
        <w:t>2.</w:t>
      </w:r>
      <w:r>
        <w:tab/>
      </w:r>
      <w:r w:rsidR="00461110" w:rsidRPr="00EB2B9E">
        <w:t>Describe the procedures for the collection of information including:</w:t>
      </w:r>
    </w:p>
    <w:p w:rsidR="00461110" w:rsidRPr="00555D89" w:rsidRDefault="003023D4" w:rsidP="00EB2B9E">
      <w:pPr>
        <w:pStyle w:val="BulletBlack"/>
        <w:rPr>
          <w:b/>
        </w:rPr>
      </w:pPr>
      <w:r w:rsidRPr="003023D4">
        <w:rPr>
          <w:b/>
        </w:rPr>
        <w:t>Statistical methodology for stratification and sample selection,</w:t>
      </w:r>
    </w:p>
    <w:p w:rsidR="00461110" w:rsidRPr="00555D89" w:rsidRDefault="003023D4" w:rsidP="00EB2B9E">
      <w:pPr>
        <w:pStyle w:val="BulletBlack"/>
        <w:rPr>
          <w:b/>
        </w:rPr>
      </w:pPr>
      <w:r w:rsidRPr="003023D4">
        <w:rPr>
          <w:b/>
        </w:rPr>
        <w:t>Estimation procedure,</w:t>
      </w:r>
    </w:p>
    <w:p w:rsidR="00461110" w:rsidRPr="00555D89" w:rsidRDefault="003023D4" w:rsidP="00EB2B9E">
      <w:pPr>
        <w:pStyle w:val="BulletBlack"/>
        <w:rPr>
          <w:b/>
        </w:rPr>
      </w:pPr>
      <w:r w:rsidRPr="003023D4">
        <w:rPr>
          <w:b/>
        </w:rPr>
        <w:t>Degree of accuracy needed for the purpose described in the justification,</w:t>
      </w:r>
    </w:p>
    <w:p w:rsidR="00461110" w:rsidRPr="00555D89" w:rsidRDefault="003023D4" w:rsidP="00EB2B9E">
      <w:pPr>
        <w:pStyle w:val="BulletBlack"/>
        <w:rPr>
          <w:b/>
        </w:rPr>
      </w:pPr>
      <w:r w:rsidRPr="003023D4">
        <w:rPr>
          <w:b/>
        </w:rPr>
        <w:t>Unusual problems requiring specialized sampling procedures, and</w:t>
      </w:r>
    </w:p>
    <w:p w:rsidR="00461110" w:rsidRPr="00555D89" w:rsidRDefault="003023D4" w:rsidP="00EB2B9E">
      <w:pPr>
        <w:pStyle w:val="BulletBlackLastSS"/>
        <w:rPr>
          <w:rFonts w:ascii="Lucida Sans" w:hAnsi="Lucida Sans"/>
          <w:b/>
        </w:rPr>
      </w:pPr>
      <w:r w:rsidRPr="003023D4">
        <w:rPr>
          <w:b/>
        </w:rPr>
        <w:t>Any use of periodic (less frequent than annual) data collection cycles to reduce burden.</w:t>
      </w:r>
    </w:p>
    <w:bookmarkEnd w:id="24"/>
    <w:bookmarkEnd w:id="25"/>
    <w:p w:rsidR="00623B36" w:rsidRPr="00E16435" w:rsidRDefault="0047686C" w:rsidP="00623B36">
      <w:r w:rsidRPr="00E16435">
        <w:t>The procedures for the client survey and focus group activities are described below.</w:t>
      </w:r>
      <w:r w:rsidR="00623B36" w:rsidRPr="00E16435">
        <w:t xml:space="preserve"> </w:t>
      </w:r>
    </w:p>
    <w:p w:rsidR="00623B36" w:rsidRDefault="0047686C" w:rsidP="00623B36">
      <w:proofErr w:type="gramStart"/>
      <w:r w:rsidRPr="000754B8">
        <w:rPr>
          <w:b/>
        </w:rPr>
        <w:t>Survey data collection.</w:t>
      </w:r>
      <w:proofErr w:type="gramEnd"/>
      <w:r>
        <w:t xml:space="preserve"> Survey data will be collected through a CATI survey on a rolling basis over the course of one year in each state. Working with each pilot site to identify the appropriate month to contact the site and using the contact information provided by sites for Extra Help applicants, FNS expects to contact Extra Help applicants approximately three to four months after the Medicaid office receives its information. </w:t>
      </w:r>
      <w:r w:rsidR="00560F41">
        <w:t xml:space="preserve">This will give the pilot staff time to provide the services to applicants and applicants time to apply for SNAP, if they so desire. </w:t>
      </w:r>
      <w:r>
        <w:t>To manage respondent burden due to potential stamina issues of elderly respondents, the survey questionnaire is limited 20 minutes.</w:t>
      </w:r>
    </w:p>
    <w:p w:rsidR="00FC7918" w:rsidRDefault="0047686C" w:rsidP="00623B36">
      <w:r>
        <w:lastRenderedPageBreak/>
        <w:t xml:space="preserve">The first contact with each sample member will be by United States Postal Service (USPS) mail. The </w:t>
      </w:r>
      <w:r w:rsidR="0055732B">
        <w:t xml:space="preserve">advance </w:t>
      </w:r>
      <w:r>
        <w:t>letter</w:t>
      </w:r>
      <w:r w:rsidR="00461110">
        <w:t xml:space="preserve"> (Appendix </w:t>
      </w:r>
      <w:r w:rsidR="00513C55">
        <w:t>H</w:t>
      </w:r>
      <w:r w:rsidR="0055732B">
        <w:t xml:space="preserve"> and </w:t>
      </w:r>
      <w:r w:rsidR="00513C55">
        <w:t>M</w:t>
      </w:r>
      <w:r w:rsidR="00461110">
        <w:t>)</w:t>
      </w:r>
      <w:r>
        <w:t xml:space="preserve"> will explain the importance and legitimacy of the survey and notify sample members of privacy to the extent required by law. It will also explain that participation is voluntary</w:t>
      </w:r>
      <w:r w:rsidR="001F365D">
        <w:t>, that they will receive $25 as a token of our appreciation</w:t>
      </w:r>
      <w:r w:rsidR="00E240C3">
        <w:t xml:space="preserve"> for completing the survey,</w:t>
      </w:r>
      <w:r>
        <w:t xml:space="preserve"> and </w:t>
      </w:r>
      <w:r w:rsidR="00713844">
        <w:t xml:space="preserve">that </w:t>
      </w:r>
      <w:r>
        <w:t>the $25</w:t>
      </w:r>
      <w:r w:rsidR="00771717">
        <w:t> </w:t>
      </w:r>
      <w:r>
        <w:t xml:space="preserve">will not affect their SNAP benefit. </w:t>
      </w:r>
    </w:p>
    <w:p w:rsidR="00623B36" w:rsidRDefault="0047686C" w:rsidP="00623B36">
      <w:r>
        <w:t>Subsequent contact attempts with sample members will be by telephone. Interviewers will be flexible with sample members and make appointments to call back at more convenient times when appropriate. Interviewers will also assess the respondent’s fatigue and offer to continue the interview at a later date if the respondent seems tired or not focused on the interview. The survey questionnaire has been translated into Spanish. For respondents more comfortable in Spanish, a bilingual interviewer will administer the interview in that language.</w:t>
      </w:r>
    </w:p>
    <w:p w:rsidR="00623B36" w:rsidRDefault="0047686C" w:rsidP="00623B36">
      <w:r>
        <w:t xml:space="preserve">For their participation, respondents will be offered a $25 incentive. As some sample members may live in rural areas or in remote areas on Indian reservations, they may be difficult to contact by telephone. Sample members that are difficult to locate and for whom no </w:t>
      </w:r>
      <w:r w:rsidR="00EE4542">
        <w:t xml:space="preserve">reliable </w:t>
      </w:r>
      <w:r>
        <w:t>telephone information can be found will be offered an additional $10 incentive. This incentive is intended as a token of our appreciation and to offset the extra effort required of sample members to participate if they do not have easy or convenient access to a telephone.</w:t>
      </w:r>
    </w:p>
    <w:p w:rsidR="00623B36" w:rsidRDefault="0047686C" w:rsidP="00623B36">
      <w:r>
        <w:t>The materials used to contact respondents</w:t>
      </w:r>
      <w:r w:rsidR="00E90E1B">
        <w:t xml:space="preserve"> (including those translated into Spanish)</w:t>
      </w:r>
      <w:r>
        <w:t>, including the advance letter, the non-response letter offering the additional incentive, and the letter that accompanies the incentive for respondents who completed th</w:t>
      </w:r>
      <w:r w:rsidR="00E90E1B">
        <w:t xml:space="preserve">e survey are located in Appendices </w:t>
      </w:r>
      <w:r w:rsidR="00513C55">
        <w:t xml:space="preserve">H </w:t>
      </w:r>
      <w:r w:rsidR="00C83D63">
        <w:t>–</w:t>
      </w:r>
      <w:r w:rsidR="00513C55">
        <w:t xml:space="preserve"> O</w:t>
      </w:r>
      <w:r w:rsidR="00C83D63">
        <w:t xml:space="preserve"> and S</w:t>
      </w:r>
      <w:r>
        <w:t>.</w:t>
      </w:r>
    </w:p>
    <w:p w:rsidR="00FC7918" w:rsidRDefault="0047686C" w:rsidP="00623B36">
      <w:proofErr w:type="gramStart"/>
      <w:r w:rsidRPr="000754B8">
        <w:rPr>
          <w:b/>
        </w:rPr>
        <w:t>Focus groups.</w:t>
      </w:r>
      <w:proofErr w:type="gramEnd"/>
      <w:r w:rsidR="00560F41">
        <w:rPr>
          <w:b/>
        </w:rPr>
        <w:t xml:space="preserve"> </w:t>
      </w:r>
      <w:r>
        <w:t xml:space="preserve"> In addition to the survey interview, focus groups with SNAP nonparticipants in the pilot sites will be conducted. The focus groups will capture information about barriers that elderly individuals face in applying for SNAP and build understanding about how the pilot programs </w:t>
      </w:r>
      <w:r>
        <w:lastRenderedPageBreak/>
        <w:t xml:space="preserve">could be changed to address remaining barriers. To conduct the focus groups, a list of eligible Extra Help applicants (those that applied more than four months prior) will be obtained from the pilot sites. These lists will be ordered first by ZIP code and then randomly ordered by names within each ZIP code. Two to four weeks before the focus group, calling will begin to people who live in the ZIP codes closest to the focus group location, in the order they are on the list. This approach ensures that those for whom transportation is less burdensome are called first, but otherwise focus group members are selected randomly. The purpose of the focus group will be described during the recruitment call. About seven days before the focus group date, each person who agreed to participate will be sent a reminder letter along with directions and a map to the location of the focus group. The day before the focus group date, calls will be made to everyone who agreed to participate to remind them of the focus group meeting date, time, and location. On average, 10 clients per focus group are expected to attend. The script to recruit focus group participants is located in </w:t>
      </w:r>
      <w:r w:rsidR="00350194">
        <w:t>Appendix</w:t>
      </w:r>
      <w:r>
        <w:t xml:space="preserve"> </w:t>
      </w:r>
      <w:r w:rsidR="00CF39BE">
        <w:t>F</w:t>
      </w:r>
      <w:r w:rsidR="001D504F">
        <w:t xml:space="preserve"> &amp; S</w:t>
      </w:r>
      <w:r>
        <w:t>.</w:t>
      </w:r>
    </w:p>
    <w:p w:rsidR="00FC7918" w:rsidRDefault="0047686C" w:rsidP="00623B36">
      <w:pPr>
        <w:rPr>
          <w:szCs w:val="22"/>
        </w:rPr>
      </w:pPr>
      <w:r w:rsidRPr="00026707">
        <w:rPr>
          <w:b/>
        </w:rPr>
        <w:t>Procedures for contacting sample members living on Indian reservations.</w:t>
      </w:r>
      <w:r>
        <w:t xml:space="preserve"> As both New Mexico and Washington will have sample members living on Indian reservations, the data collection procedures will include communication with tribal leaders in advance of contacting sample </w:t>
      </w:r>
      <w:r w:rsidR="00E855E5" w:rsidRPr="00FB2961">
        <w:t>members. A letter will be sent to tribal leaders (Appendi</w:t>
      </w:r>
      <w:r w:rsidR="00E90E1B" w:rsidRPr="00FB2961">
        <w:t xml:space="preserve">ces </w:t>
      </w:r>
      <w:r w:rsidR="00513C55">
        <w:t>K</w:t>
      </w:r>
      <w:r w:rsidR="00E90E1B" w:rsidRPr="00FB2961">
        <w:t xml:space="preserve"> and </w:t>
      </w:r>
      <w:r w:rsidR="00513C55">
        <w:t>L</w:t>
      </w:r>
      <w:r w:rsidR="0055732B">
        <w:t>)</w:t>
      </w:r>
      <w:r w:rsidR="00E855E5" w:rsidRPr="00FB2961">
        <w:t xml:space="preserve"> in the</w:t>
      </w:r>
      <w:r>
        <w:t xml:space="preserve"> two states to make them </w:t>
      </w:r>
      <w:r w:rsidRPr="00F97F91">
        <w:t>aware of the study</w:t>
      </w:r>
      <w:r>
        <w:t>. In New Mexico, where the tribal members often have limited access to telephones and are less likely to speak English, the letter</w:t>
      </w:r>
      <w:r w:rsidR="0006234E">
        <w:t xml:space="preserve"> (Appendix </w:t>
      </w:r>
      <w:r w:rsidR="00513C55">
        <w:t>K</w:t>
      </w:r>
      <w:r w:rsidR="0006234E">
        <w:t>)</w:t>
      </w:r>
      <w:r>
        <w:t xml:space="preserve"> will ask the tribal leaders for their support in encouraging their local leaders at chapter houses and/or senior centers to work with sample members who need help participating in the study. A letter will be mailed to the local leaders</w:t>
      </w:r>
      <w:r w:rsidR="00461110">
        <w:t xml:space="preserve"> (Appendix </w:t>
      </w:r>
      <w:r w:rsidR="00513C55">
        <w:t>K</w:t>
      </w:r>
      <w:r w:rsidR="00E90E1B">
        <w:t xml:space="preserve"> and </w:t>
      </w:r>
      <w:r w:rsidR="00513C55">
        <w:t>L</w:t>
      </w:r>
      <w:r w:rsidR="00461110">
        <w:t>)</w:t>
      </w:r>
      <w:r>
        <w:t xml:space="preserve"> to let them know that the data collection effort is underway. Sample members identified as living on reservations, either through their address or from program information, will be mailed a </w:t>
      </w:r>
      <w:r w:rsidR="00E90E1B">
        <w:t>letter</w:t>
      </w:r>
      <w:r>
        <w:t xml:space="preserve"> they can send back indicating the best way to contact them, including if they prefer </w:t>
      </w:r>
      <w:r>
        <w:lastRenderedPageBreak/>
        <w:t>to be contacted on the phone of a close friend or family member, or at a chapter house or other community center</w:t>
      </w:r>
      <w:r w:rsidR="00E90E1B">
        <w:t xml:space="preserve"> (Appendix </w:t>
      </w:r>
      <w:r w:rsidR="00513C55">
        <w:t>I and N</w:t>
      </w:r>
      <w:r w:rsidR="00E90E1B">
        <w:t>)</w:t>
      </w:r>
      <w:r>
        <w:t xml:space="preserve">. </w:t>
      </w:r>
      <w:r w:rsidRPr="00797BFF">
        <w:rPr>
          <w:szCs w:val="22"/>
        </w:rPr>
        <w:t xml:space="preserve">The </w:t>
      </w:r>
      <w:r w:rsidR="00E90E1B">
        <w:rPr>
          <w:szCs w:val="22"/>
        </w:rPr>
        <w:t>letter</w:t>
      </w:r>
      <w:r w:rsidRPr="00797BFF">
        <w:rPr>
          <w:szCs w:val="22"/>
        </w:rPr>
        <w:t xml:space="preserve"> will also ask about </w:t>
      </w:r>
      <w:r w:rsidRPr="00F97F91">
        <w:rPr>
          <w:szCs w:val="22"/>
        </w:rPr>
        <w:t>days of the week and blocks of time that would be convenient</w:t>
      </w:r>
      <w:r>
        <w:rPr>
          <w:szCs w:val="22"/>
        </w:rPr>
        <w:t xml:space="preserve"> to conduct the survey interview</w:t>
      </w:r>
      <w:r w:rsidRPr="00797BFF">
        <w:rPr>
          <w:szCs w:val="22"/>
        </w:rPr>
        <w:t>.</w:t>
      </w:r>
      <w:r>
        <w:rPr>
          <w:szCs w:val="22"/>
        </w:rPr>
        <w:t xml:space="preserve"> These contact procedures will be used for both the survey and the focus groups. When selecting focus group locations, consideration will be given to locations that are convenient for sample members to attend.</w:t>
      </w:r>
    </w:p>
    <w:p w:rsidR="00FB2961" w:rsidRDefault="0047686C">
      <w:pPr>
        <w:pStyle w:val="NormalSS"/>
        <w:spacing w:line="480" w:lineRule="auto"/>
      </w:pPr>
      <w:r w:rsidRPr="000754B8">
        <w:rPr>
          <w:b/>
        </w:rPr>
        <w:t>Degree of accuracy needed for the purpose described in the justification.</w:t>
      </w:r>
      <w:r>
        <w:t xml:space="preserve"> As described in Part A of this Supporting Statement, the survey data will be analyzed by comparing groups on certain types of survey questions:</w:t>
      </w:r>
    </w:p>
    <w:p w:rsidR="00FB2961" w:rsidRDefault="0047686C">
      <w:pPr>
        <w:pStyle w:val="NumberedBullet"/>
        <w:numPr>
          <w:ilvl w:val="0"/>
          <w:numId w:val="17"/>
        </w:numPr>
        <w:spacing w:line="480" w:lineRule="auto"/>
      </w:pPr>
      <w:r>
        <w:t>All Extra Help applicants in the comparison sites and pilot sites will be compared on their responses to questions about previous SNAP experience and food security.</w:t>
      </w:r>
    </w:p>
    <w:p w:rsidR="00FB2961" w:rsidRDefault="0047686C">
      <w:pPr>
        <w:pStyle w:val="NumberedBullet"/>
        <w:spacing w:line="480" w:lineRule="auto"/>
      </w:pPr>
      <w:r>
        <w:t>Extra Help applicants who are SNAP participants in comparison sites will be compared to those in Pilot sites on questions about their reasons for applying for SNAP and their application and participation experiences.</w:t>
      </w:r>
    </w:p>
    <w:p w:rsidR="00FB2961" w:rsidRDefault="0047686C">
      <w:pPr>
        <w:pStyle w:val="NumberedBullet"/>
        <w:spacing w:line="480" w:lineRule="auto"/>
      </w:pPr>
      <w:r>
        <w:t>Extra Help applicants who are not SNAP participants will be compared in comparison site versus pilot sites on their knowledge of SNAP and reasons for nonparticipation.</w:t>
      </w:r>
    </w:p>
    <w:p w:rsidR="00FB2961" w:rsidRDefault="0047686C">
      <w:pPr>
        <w:pStyle w:val="NumberedBullet"/>
        <w:spacing w:line="480" w:lineRule="auto"/>
      </w:pPr>
      <w:r>
        <w:t>Pilot site Extra Help applicants who are SNAP participants will be compared with pilot site Extra Help applicants who are nonparticipants on their previous SNAP experience, food security, and pilot experience.</w:t>
      </w:r>
    </w:p>
    <w:p w:rsidR="00FB2961" w:rsidRDefault="0047686C">
      <w:pPr>
        <w:pStyle w:val="NumberedBulletLASTSS"/>
        <w:spacing w:line="480" w:lineRule="auto"/>
      </w:pPr>
      <w:r>
        <w:t>Comparison site, Extra Help applicants who are SNAP participants will be compared with comparison site Extra Help applicants who are nonparticipants on their previous SNAP experience, food security, and pilot experience.</w:t>
      </w:r>
    </w:p>
    <w:p w:rsidR="00FB2961" w:rsidRDefault="0047686C">
      <w:r>
        <w:t xml:space="preserve">Analysis of the survey data will include producing simple descriptive statistics on pilot program experiences for Extra Help applicants in the pilot sites as well as basic cross-tabulations for each of </w:t>
      </w:r>
      <w:r>
        <w:lastRenderedPageBreak/>
        <w:t xml:space="preserve">these comparisons. </w:t>
      </w:r>
      <w:r w:rsidR="00E16435">
        <w:t>Additionally, t</w:t>
      </w:r>
      <w:r w:rsidR="00E16435" w:rsidRPr="00E16435">
        <w:t>he survey data will be analyzed by comparing survey data between t</w:t>
      </w:r>
      <w:r w:rsidR="00EB2B9E">
        <w:t xml:space="preserve">he pilot and comparison sites. </w:t>
      </w:r>
      <w:r w:rsidR="00E16435" w:rsidRPr="00E16435">
        <w:t>The statistical model will use the two-tailed t-test, and the sample design target</w:t>
      </w:r>
      <w:r w:rsidR="00EB2B9E">
        <w:t>s an overall 80 percent response rate.</w:t>
      </w:r>
      <w:r w:rsidR="00E16435" w:rsidRPr="00E16435">
        <w:t xml:space="preserve"> Table B2.1 shows the comparison groups with the expected number of completed interviews and the minimum detectable difference</w:t>
      </w:r>
      <w:r w:rsidR="00EB2B9E">
        <w:t xml:space="preserve">s from the two-tailed t-tests. </w:t>
      </w:r>
      <w:r w:rsidR="00E16435" w:rsidRPr="00E16435">
        <w:t>As described in Part A, the survey data will also be analyzed targeting specific subgroups on cert</w:t>
      </w:r>
      <w:r w:rsidR="00EB2B9E">
        <w:t xml:space="preserve">ain types of survey questions. </w:t>
      </w:r>
      <w:r w:rsidR="00E16435" w:rsidRPr="00E16435">
        <w:t>Caution should be taken in sample subgroups that show low response rates, for the degree of accuracy with the descriptive and inferent</w:t>
      </w:r>
      <w:r w:rsidR="00EB2B9E">
        <w:t xml:space="preserve">ial statistics may be affected. </w:t>
      </w:r>
      <w:r w:rsidR="00E16435" w:rsidRPr="00E16435">
        <w:t>Possible subgroups include counties or regions with low response, or certain groups of the elderly who have special needs and cannot participate in over-the-phone interviews.</w:t>
      </w:r>
    </w:p>
    <w:p w:rsidR="00FB2961" w:rsidRDefault="0047686C">
      <w:pPr>
        <w:pStyle w:val="NormalSS"/>
        <w:spacing w:line="480" w:lineRule="auto"/>
      </w:pPr>
      <w:r>
        <w:t>Table B2.1 shows the minimum detectable differences (MDDs) in proportions for each state. The MDD represents the smallest difference that can be expected to be statistically significant when comparing the pilot site with the comparison site. If the “true effect” of the pilot is positive but smaller than the MDD, it will not be detectable. The table shows differences in proportions because many of the survey questions are ratings that can be reduced to binary questions (for example, having a positive viewpoint of the SNAP application process or not). The table displays MDDs for two-tailed tests with 80 percent power and a significance level of 5 percent. The table assumes 50</w:t>
      </w:r>
      <w:r w:rsidR="00771717">
        <w:t> </w:t>
      </w:r>
      <w:r>
        <w:t>percent of the comparison population has a characteristics or outcome (such as having a positive view). Either a higher or a lower percentage will lead to a smaller MDD.</w:t>
      </w:r>
    </w:p>
    <w:p w:rsidR="000E20B6" w:rsidRDefault="000E20B6">
      <w:pPr>
        <w:tabs>
          <w:tab w:val="clear" w:pos="432"/>
        </w:tabs>
        <w:spacing w:line="240" w:lineRule="auto"/>
        <w:ind w:firstLine="0"/>
        <w:jc w:val="left"/>
        <w:rPr>
          <w:rFonts w:ascii="Lucida Sans" w:hAnsi="Lucida Sans"/>
          <w:b/>
          <w:sz w:val="18"/>
        </w:rPr>
      </w:pPr>
      <w:bookmarkStart w:id="26" w:name="_Toc297294265"/>
      <w:bookmarkStart w:id="27" w:name="_Toc309717689"/>
      <w:r>
        <w:br w:type="page"/>
      </w:r>
    </w:p>
    <w:p w:rsidR="0047686C" w:rsidRDefault="0047686C" w:rsidP="0047686C">
      <w:pPr>
        <w:pStyle w:val="MarkforTableHeading"/>
      </w:pPr>
      <w:r>
        <w:lastRenderedPageBreak/>
        <w:t xml:space="preserve">Table B2.1. </w:t>
      </w:r>
      <w:r w:rsidRPr="00727DB9">
        <w:t>Minimum Detectable Differences for Findings from Client Survey, by State and SNAP Participation</w:t>
      </w:r>
      <w:bookmarkEnd w:id="26"/>
      <w:bookmarkEnd w:id="27"/>
    </w:p>
    <w:tbl>
      <w:tblPr>
        <w:tblStyle w:val="TableGrid"/>
        <w:tblW w:w="500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859"/>
        <w:gridCol w:w="1904"/>
        <w:gridCol w:w="1904"/>
        <w:gridCol w:w="1909"/>
      </w:tblGrid>
      <w:tr w:rsidR="0047686C" w:rsidRPr="00DE7F42" w:rsidTr="00FC7918">
        <w:trPr>
          <w:trHeight w:val="150"/>
          <w:tblHeader/>
        </w:trPr>
        <w:tc>
          <w:tcPr>
            <w:tcW w:w="2015" w:type="pct"/>
            <w:vMerge w:val="restart"/>
            <w:tcBorders>
              <w:top w:val="single" w:sz="12" w:space="0" w:color="auto"/>
              <w:bottom w:val="single" w:sz="4" w:space="0" w:color="auto"/>
            </w:tcBorders>
            <w:shd w:val="clear" w:color="auto" w:fill="auto"/>
            <w:vAlign w:val="center"/>
          </w:tcPr>
          <w:p w:rsidR="0047686C" w:rsidRPr="00DE7F42" w:rsidRDefault="0047686C" w:rsidP="00FC7918">
            <w:pPr>
              <w:pStyle w:val="TableHeaderLeft"/>
              <w:tabs>
                <w:tab w:val="clear" w:pos="432"/>
              </w:tabs>
              <w:rPr>
                <w:szCs w:val="16"/>
              </w:rPr>
            </w:pPr>
          </w:p>
        </w:tc>
        <w:tc>
          <w:tcPr>
            <w:tcW w:w="2985" w:type="pct"/>
            <w:gridSpan w:val="3"/>
            <w:tcBorders>
              <w:top w:val="single" w:sz="12" w:space="0" w:color="auto"/>
              <w:bottom w:val="single" w:sz="4" w:space="0" w:color="auto"/>
            </w:tcBorders>
            <w:shd w:val="clear" w:color="auto" w:fill="auto"/>
            <w:vAlign w:val="center"/>
          </w:tcPr>
          <w:p w:rsidR="0047686C" w:rsidRPr="00DE7F42" w:rsidRDefault="0047686C" w:rsidP="00FC7918">
            <w:pPr>
              <w:pStyle w:val="TableHeaderCenter"/>
              <w:rPr>
                <w:szCs w:val="16"/>
              </w:rPr>
            </w:pPr>
            <w:r w:rsidRPr="00DE7F42">
              <w:rPr>
                <w:szCs w:val="16"/>
              </w:rPr>
              <w:t>Number of Completed Interviews</w:t>
            </w:r>
          </w:p>
        </w:tc>
      </w:tr>
      <w:tr w:rsidR="0047686C" w:rsidRPr="00DE7F42" w:rsidTr="00FC7918">
        <w:trPr>
          <w:trHeight w:val="150"/>
          <w:tblHeader/>
        </w:trPr>
        <w:tc>
          <w:tcPr>
            <w:tcW w:w="2015" w:type="pct"/>
            <w:vMerge/>
            <w:tcBorders>
              <w:top w:val="nil"/>
              <w:bottom w:val="single" w:sz="4" w:space="0" w:color="auto"/>
            </w:tcBorders>
            <w:shd w:val="clear" w:color="auto" w:fill="auto"/>
            <w:vAlign w:val="center"/>
          </w:tcPr>
          <w:p w:rsidR="0047686C" w:rsidRPr="00DE7F42" w:rsidRDefault="0047686C" w:rsidP="00FC7918">
            <w:pPr>
              <w:pStyle w:val="TableHeaderLeft"/>
              <w:tabs>
                <w:tab w:val="clear" w:pos="432"/>
              </w:tabs>
              <w:rPr>
                <w:szCs w:val="16"/>
              </w:rPr>
            </w:pPr>
          </w:p>
        </w:tc>
        <w:tc>
          <w:tcPr>
            <w:tcW w:w="994" w:type="pct"/>
            <w:tcBorders>
              <w:top w:val="single" w:sz="4" w:space="0" w:color="auto"/>
              <w:bottom w:val="single" w:sz="4" w:space="0" w:color="auto"/>
            </w:tcBorders>
            <w:shd w:val="clear" w:color="auto" w:fill="auto"/>
            <w:vAlign w:val="center"/>
          </w:tcPr>
          <w:p w:rsidR="0047686C" w:rsidRPr="00DE7F42" w:rsidRDefault="0047686C" w:rsidP="00FC7918">
            <w:pPr>
              <w:pStyle w:val="TableHeaderCenter"/>
              <w:rPr>
                <w:szCs w:val="16"/>
              </w:rPr>
            </w:pPr>
            <w:r w:rsidRPr="00DE7F42">
              <w:rPr>
                <w:szCs w:val="16"/>
              </w:rPr>
              <w:t>Pilot Sites</w:t>
            </w:r>
          </w:p>
        </w:tc>
        <w:tc>
          <w:tcPr>
            <w:tcW w:w="994" w:type="pct"/>
            <w:tcBorders>
              <w:top w:val="single" w:sz="4" w:space="0" w:color="auto"/>
              <w:bottom w:val="single" w:sz="4" w:space="0" w:color="auto"/>
            </w:tcBorders>
            <w:shd w:val="clear" w:color="auto" w:fill="auto"/>
            <w:vAlign w:val="center"/>
          </w:tcPr>
          <w:p w:rsidR="0047686C" w:rsidRPr="00DE7F42" w:rsidRDefault="0047686C" w:rsidP="00FC7918">
            <w:pPr>
              <w:pStyle w:val="TableHeaderCenter"/>
              <w:rPr>
                <w:szCs w:val="16"/>
              </w:rPr>
            </w:pPr>
            <w:r w:rsidRPr="00DE7F42">
              <w:rPr>
                <w:szCs w:val="16"/>
              </w:rPr>
              <w:t>Comparison Sites</w:t>
            </w:r>
          </w:p>
        </w:tc>
        <w:tc>
          <w:tcPr>
            <w:tcW w:w="997" w:type="pct"/>
            <w:tcBorders>
              <w:top w:val="single" w:sz="4" w:space="0" w:color="auto"/>
              <w:bottom w:val="single" w:sz="4" w:space="0" w:color="auto"/>
            </w:tcBorders>
            <w:shd w:val="clear" w:color="auto" w:fill="auto"/>
            <w:vAlign w:val="center"/>
          </w:tcPr>
          <w:p w:rsidR="0047686C" w:rsidRPr="00DE7F42" w:rsidRDefault="0047686C" w:rsidP="00FC7918">
            <w:pPr>
              <w:pStyle w:val="TableHeaderCenter"/>
              <w:rPr>
                <w:szCs w:val="16"/>
              </w:rPr>
            </w:pPr>
            <w:r w:rsidRPr="00DE7F42">
              <w:rPr>
                <w:szCs w:val="16"/>
              </w:rPr>
              <w:t>MDD</w:t>
            </w:r>
          </w:p>
        </w:tc>
      </w:tr>
      <w:tr w:rsidR="0047686C" w:rsidRPr="00DE7F42" w:rsidTr="00FC7918">
        <w:tc>
          <w:tcPr>
            <w:tcW w:w="2015" w:type="pct"/>
            <w:tcBorders>
              <w:top w:val="single" w:sz="4" w:space="0" w:color="auto"/>
              <w:bottom w:val="single" w:sz="4" w:space="0" w:color="auto"/>
            </w:tcBorders>
            <w:shd w:val="clear" w:color="auto" w:fill="A6A6A6" w:themeFill="background1" w:themeFillShade="A6"/>
            <w:vAlign w:val="center"/>
          </w:tcPr>
          <w:p w:rsidR="0047686C" w:rsidRPr="00DE7F42" w:rsidRDefault="0047686C" w:rsidP="00FC7918">
            <w:pPr>
              <w:pStyle w:val="TableText"/>
              <w:spacing w:before="40" w:after="40"/>
              <w:rPr>
                <w:szCs w:val="16"/>
              </w:rPr>
            </w:pPr>
            <w:r w:rsidRPr="00DE7F42">
              <w:rPr>
                <w:szCs w:val="16"/>
              </w:rPr>
              <w:t>New Mexico</w:t>
            </w:r>
          </w:p>
        </w:tc>
        <w:tc>
          <w:tcPr>
            <w:tcW w:w="994" w:type="pct"/>
            <w:tcBorders>
              <w:top w:val="single" w:sz="4" w:space="0" w:color="auto"/>
              <w:bottom w:val="single" w:sz="4" w:space="0" w:color="auto"/>
            </w:tcBorders>
            <w:shd w:val="clear" w:color="auto" w:fill="A6A6A6" w:themeFill="background1" w:themeFillShade="A6"/>
            <w:vAlign w:val="center"/>
          </w:tcPr>
          <w:p w:rsidR="0047686C" w:rsidRPr="00DE7F42" w:rsidRDefault="0047686C" w:rsidP="00FC7918">
            <w:pPr>
              <w:pStyle w:val="TableText"/>
              <w:spacing w:before="40" w:after="40"/>
              <w:rPr>
                <w:szCs w:val="16"/>
              </w:rPr>
            </w:pPr>
          </w:p>
        </w:tc>
        <w:tc>
          <w:tcPr>
            <w:tcW w:w="994" w:type="pct"/>
            <w:tcBorders>
              <w:top w:val="single" w:sz="4" w:space="0" w:color="auto"/>
              <w:bottom w:val="single" w:sz="4" w:space="0" w:color="auto"/>
            </w:tcBorders>
            <w:shd w:val="clear" w:color="auto" w:fill="A6A6A6" w:themeFill="background1" w:themeFillShade="A6"/>
            <w:vAlign w:val="center"/>
          </w:tcPr>
          <w:p w:rsidR="0047686C" w:rsidRPr="00DE7F42" w:rsidRDefault="0047686C" w:rsidP="00FC7918">
            <w:pPr>
              <w:pStyle w:val="TableText"/>
              <w:spacing w:before="40" w:after="40"/>
              <w:rPr>
                <w:szCs w:val="16"/>
              </w:rPr>
            </w:pPr>
          </w:p>
        </w:tc>
        <w:tc>
          <w:tcPr>
            <w:tcW w:w="997" w:type="pct"/>
            <w:tcBorders>
              <w:top w:val="single" w:sz="4" w:space="0" w:color="auto"/>
              <w:bottom w:val="single" w:sz="4" w:space="0" w:color="auto"/>
            </w:tcBorders>
            <w:shd w:val="clear" w:color="auto" w:fill="A6A6A6" w:themeFill="background1" w:themeFillShade="A6"/>
            <w:vAlign w:val="center"/>
          </w:tcPr>
          <w:p w:rsidR="0047686C" w:rsidRPr="00DE7F42" w:rsidRDefault="0047686C" w:rsidP="00FC7918">
            <w:pPr>
              <w:pStyle w:val="TableText"/>
              <w:spacing w:before="40" w:after="40"/>
              <w:rPr>
                <w:szCs w:val="16"/>
              </w:rPr>
            </w:pPr>
          </w:p>
        </w:tc>
      </w:tr>
      <w:tr w:rsidR="0047686C" w:rsidRPr="00DE7F42" w:rsidTr="00FC7918">
        <w:tc>
          <w:tcPr>
            <w:tcW w:w="2015" w:type="pct"/>
            <w:tcBorders>
              <w:top w:val="single" w:sz="4" w:space="0" w:color="auto"/>
            </w:tcBorders>
            <w:shd w:val="clear" w:color="auto" w:fill="auto"/>
          </w:tcPr>
          <w:p w:rsidR="0047686C" w:rsidRPr="00DE7F42" w:rsidRDefault="0047686C" w:rsidP="00FC7918">
            <w:pPr>
              <w:pStyle w:val="TableText"/>
              <w:rPr>
                <w:szCs w:val="16"/>
              </w:rPr>
            </w:pPr>
            <w:r w:rsidRPr="00DE7F42">
              <w:rPr>
                <w:szCs w:val="16"/>
              </w:rPr>
              <w:t>Overall comparisons</w:t>
            </w:r>
          </w:p>
        </w:tc>
        <w:tc>
          <w:tcPr>
            <w:tcW w:w="994" w:type="pct"/>
            <w:tcBorders>
              <w:top w:val="single" w:sz="4" w:space="0" w:color="auto"/>
            </w:tcBorders>
            <w:shd w:val="clear" w:color="auto" w:fill="auto"/>
            <w:vAlign w:val="center"/>
          </w:tcPr>
          <w:p w:rsidR="0047686C" w:rsidRPr="00DE7F42" w:rsidRDefault="0047686C" w:rsidP="00FC7918">
            <w:pPr>
              <w:pStyle w:val="TableText"/>
              <w:ind w:right="720"/>
              <w:jc w:val="right"/>
              <w:rPr>
                <w:szCs w:val="16"/>
              </w:rPr>
            </w:pPr>
            <w:r w:rsidRPr="00DE7F42">
              <w:rPr>
                <w:szCs w:val="16"/>
              </w:rPr>
              <w:t>412</w:t>
            </w:r>
          </w:p>
        </w:tc>
        <w:tc>
          <w:tcPr>
            <w:tcW w:w="994" w:type="pct"/>
            <w:tcBorders>
              <w:top w:val="single" w:sz="4" w:space="0" w:color="auto"/>
            </w:tcBorders>
            <w:shd w:val="clear" w:color="auto" w:fill="auto"/>
            <w:vAlign w:val="center"/>
          </w:tcPr>
          <w:p w:rsidR="0047686C" w:rsidRPr="00DE7F42" w:rsidRDefault="0047686C" w:rsidP="00FC7918">
            <w:pPr>
              <w:pStyle w:val="TableText"/>
              <w:ind w:right="720"/>
              <w:jc w:val="right"/>
              <w:rPr>
                <w:szCs w:val="16"/>
              </w:rPr>
            </w:pPr>
            <w:r w:rsidRPr="00DE7F42">
              <w:rPr>
                <w:szCs w:val="16"/>
              </w:rPr>
              <w:t>386</w:t>
            </w:r>
          </w:p>
        </w:tc>
        <w:tc>
          <w:tcPr>
            <w:tcW w:w="997" w:type="pct"/>
            <w:tcBorders>
              <w:top w:val="single" w:sz="4" w:space="0" w:color="auto"/>
            </w:tcBorders>
            <w:shd w:val="clear" w:color="auto" w:fill="auto"/>
            <w:vAlign w:val="center"/>
          </w:tcPr>
          <w:p w:rsidR="0047686C" w:rsidRPr="00DE7F42" w:rsidRDefault="0047686C" w:rsidP="00FC7918">
            <w:pPr>
              <w:pStyle w:val="TableText"/>
              <w:ind w:right="720"/>
              <w:jc w:val="right"/>
              <w:rPr>
                <w:szCs w:val="16"/>
              </w:rPr>
            </w:pPr>
            <w:r w:rsidRPr="00DE7F42">
              <w:rPr>
                <w:szCs w:val="16"/>
              </w:rPr>
              <w:t>9.9%</w:t>
            </w:r>
          </w:p>
        </w:tc>
      </w:tr>
      <w:tr w:rsidR="0047686C" w:rsidRPr="00DE7F42" w:rsidTr="00FC7918">
        <w:tc>
          <w:tcPr>
            <w:tcW w:w="2015" w:type="pct"/>
            <w:shd w:val="clear" w:color="auto" w:fill="auto"/>
          </w:tcPr>
          <w:p w:rsidR="0047686C" w:rsidRPr="00DE7F42" w:rsidRDefault="0047686C" w:rsidP="00FC7918">
            <w:pPr>
              <w:pStyle w:val="TableText"/>
              <w:rPr>
                <w:szCs w:val="16"/>
              </w:rPr>
            </w:pPr>
            <w:r w:rsidRPr="00DE7F42">
              <w:rPr>
                <w:szCs w:val="16"/>
              </w:rPr>
              <w:t>Comparisons of SNAP nonparticipants</w:t>
            </w:r>
          </w:p>
        </w:tc>
        <w:tc>
          <w:tcPr>
            <w:tcW w:w="994" w:type="pct"/>
            <w:shd w:val="clear" w:color="auto" w:fill="auto"/>
          </w:tcPr>
          <w:p w:rsidR="0047686C" w:rsidRPr="00DE7F42" w:rsidRDefault="0047686C" w:rsidP="00FC7918">
            <w:pPr>
              <w:pStyle w:val="TableText"/>
              <w:ind w:right="720"/>
              <w:jc w:val="right"/>
              <w:rPr>
                <w:szCs w:val="16"/>
              </w:rPr>
            </w:pPr>
            <w:r w:rsidRPr="00DE7F42">
              <w:rPr>
                <w:szCs w:val="16"/>
              </w:rPr>
              <w:t>263</w:t>
            </w:r>
          </w:p>
        </w:tc>
        <w:tc>
          <w:tcPr>
            <w:tcW w:w="994" w:type="pct"/>
            <w:shd w:val="clear" w:color="auto" w:fill="auto"/>
          </w:tcPr>
          <w:p w:rsidR="0047686C" w:rsidRPr="00DE7F42" w:rsidRDefault="0047686C" w:rsidP="00FC7918">
            <w:pPr>
              <w:pStyle w:val="TableText"/>
              <w:ind w:right="720"/>
              <w:jc w:val="right"/>
              <w:rPr>
                <w:szCs w:val="16"/>
              </w:rPr>
            </w:pPr>
            <w:r w:rsidRPr="00DE7F42">
              <w:rPr>
                <w:szCs w:val="16"/>
              </w:rPr>
              <w:t>266</w:t>
            </w:r>
          </w:p>
        </w:tc>
        <w:tc>
          <w:tcPr>
            <w:tcW w:w="997" w:type="pct"/>
            <w:shd w:val="clear" w:color="auto" w:fill="auto"/>
          </w:tcPr>
          <w:p w:rsidR="0047686C" w:rsidRPr="00DE7F42" w:rsidRDefault="0047686C" w:rsidP="00FC7918">
            <w:pPr>
              <w:pStyle w:val="TableText"/>
              <w:ind w:right="720"/>
              <w:jc w:val="right"/>
              <w:rPr>
                <w:szCs w:val="16"/>
              </w:rPr>
            </w:pPr>
            <w:r w:rsidRPr="00DE7F42">
              <w:rPr>
                <w:szCs w:val="16"/>
              </w:rPr>
              <w:t>12.2%</w:t>
            </w:r>
          </w:p>
        </w:tc>
      </w:tr>
      <w:tr w:rsidR="0047686C" w:rsidRPr="00DE7F42" w:rsidTr="00FC7918">
        <w:tc>
          <w:tcPr>
            <w:tcW w:w="2015" w:type="pct"/>
            <w:tcBorders>
              <w:bottom w:val="single" w:sz="4" w:space="0" w:color="auto"/>
            </w:tcBorders>
            <w:shd w:val="clear" w:color="auto" w:fill="auto"/>
          </w:tcPr>
          <w:p w:rsidR="0047686C" w:rsidRPr="00DE7F42" w:rsidRDefault="0047686C" w:rsidP="00FC7918">
            <w:pPr>
              <w:pStyle w:val="TableText"/>
              <w:rPr>
                <w:szCs w:val="16"/>
              </w:rPr>
            </w:pPr>
            <w:r w:rsidRPr="00DE7F42">
              <w:rPr>
                <w:szCs w:val="16"/>
              </w:rPr>
              <w:t>Comparisons of SNAP participants</w:t>
            </w:r>
          </w:p>
        </w:tc>
        <w:tc>
          <w:tcPr>
            <w:tcW w:w="994" w:type="pct"/>
            <w:tcBorders>
              <w:bottom w:val="single" w:sz="4" w:space="0" w:color="auto"/>
            </w:tcBorders>
            <w:shd w:val="clear" w:color="auto" w:fill="auto"/>
          </w:tcPr>
          <w:p w:rsidR="0047686C" w:rsidRPr="00DE7F42" w:rsidRDefault="0047686C" w:rsidP="00FC7918">
            <w:pPr>
              <w:pStyle w:val="TableText"/>
              <w:ind w:right="720"/>
              <w:jc w:val="right"/>
              <w:rPr>
                <w:szCs w:val="16"/>
              </w:rPr>
            </w:pPr>
            <w:r w:rsidRPr="00DE7F42">
              <w:rPr>
                <w:szCs w:val="16"/>
              </w:rPr>
              <w:t>149</w:t>
            </w:r>
          </w:p>
        </w:tc>
        <w:tc>
          <w:tcPr>
            <w:tcW w:w="994" w:type="pct"/>
            <w:tcBorders>
              <w:bottom w:val="single" w:sz="4" w:space="0" w:color="auto"/>
            </w:tcBorders>
            <w:shd w:val="clear" w:color="auto" w:fill="auto"/>
          </w:tcPr>
          <w:p w:rsidR="0047686C" w:rsidRPr="00DE7F42" w:rsidRDefault="0047686C" w:rsidP="00FC7918">
            <w:pPr>
              <w:pStyle w:val="TableText"/>
              <w:ind w:right="720"/>
              <w:jc w:val="right"/>
              <w:rPr>
                <w:szCs w:val="16"/>
              </w:rPr>
            </w:pPr>
            <w:r w:rsidRPr="00DE7F42">
              <w:rPr>
                <w:szCs w:val="16"/>
              </w:rPr>
              <w:t>120</w:t>
            </w:r>
          </w:p>
        </w:tc>
        <w:tc>
          <w:tcPr>
            <w:tcW w:w="997" w:type="pct"/>
            <w:tcBorders>
              <w:bottom w:val="single" w:sz="4" w:space="0" w:color="auto"/>
            </w:tcBorders>
            <w:shd w:val="clear" w:color="auto" w:fill="auto"/>
          </w:tcPr>
          <w:p w:rsidR="0047686C" w:rsidRPr="00DE7F42" w:rsidRDefault="0047686C" w:rsidP="00FC7918">
            <w:pPr>
              <w:pStyle w:val="TableText"/>
              <w:ind w:right="720"/>
              <w:jc w:val="right"/>
              <w:rPr>
                <w:szCs w:val="16"/>
              </w:rPr>
            </w:pPr>
            <w:r w:rsidRPr="00DE7F42">
              <w:rPr>
                <w:szCs w:val="16"/>
              </w:rPr>
              <w:t>17.2%</w:t>
            </w:r>
          </w:p>
        </w:tc>
      </w:tr>
      <w:tr w:rsidR="0047686C" w:rsidRPr="00DE7F42" w:rsidTr="00FC7918">
        <w:tc>
          <w:tcPr>
            <w:tcW w:w="2015" w:type="pct"/>
            <w:tcBorders>
              <w:top w:val="single" w:sz="4" w:space="0" w:color="auto"/>
              <w:bottom w:val="single" w:sz="4" w:space="0" w:color="auto"/>
            </w:tcBorders>
            <w:shd w:val="clear" w:color="auto" w:fill="A6A6A6" w:themeFill="background1" w:themeFillShade="A6"/>
          </w:tcPr>
          <w:p w:rsidR="0047686C" w:rsidRPr="00DE7F42" w:rsidRDefault="0047686C" w:rsidP="00FC7918">
            <w:pPr>
              <w:pStyle w:val="TableText"/>
              <w:spacing w:before="40" w:after="40"/>
              <w:rPr>
                <w:szCs w:val="16"/>
              </w:rPr>
            </w:pPr>
            <w:r w:rsidRPr="00DE7F42">
              <w:rPr>
                <w:szCs w:val="16"/>
              </w:rPr>
              <w:t>Pennsylvania</w:t>
            </w:r>
          </w:p>
        </w:tc>
        <w:tc>
          <w:tcPr>
            <w:tcW w:w="994" w:type="pct"/>
            <w:tcBorders>
              <w:top w:val="single" w:sz="4" w:space="0" w:color="auto"/>
              <w:bottom w:val="single" w:sz="4" w:space="0" w:color="auto"/>
            </w:tcBorders>
            <w:shd w:val="clear" w:color="auto" w:fill="A6A6A6" w:themeFill="background1" w:themeFillShade="A6"/>
          </w:tcPr>
          <w:p w:rsidR="0047686C" w:rsidRPr="00DE7F42" w:rsidRDefault="0047686C" w:rsidP="00FC7918">
            <w:pPr>
              <w:pStyle w:val="TableText"/>
              <w:spacing w:before="40" w:after="40"/>
              <w:ind w:right="720"/>
              <w:jc w:val="right"/>
              <w:rPr>
                <w:szCs w:val="16"/>
              </w:rPr>
            </w:pPr>
          </w:p>
        </w:tc>
        <w:tc>
          <w:tcPr>
            <w:tcW w:w="994" w:type="pct"/>
            <w:tcBorders>
              <w:top w:val="single" w:sz="4" w:space="0" w:color="auto"/>
              <w:bottom w:val="single" w:sz="4" w:space="0" w:color="auto"/>
            </w:tcBorders>
            <w:shd w:val="clear" w:color="auto" w:fill="A6A6A6" w:themeFill="background1" w:themeFillShade="A6"/>
          </w:tcPr>
          <w:p w:rsidR="0047686C" w:rsidRPr="00DE7F42" w:rsidRDefault="0047686C" w:rsidP="00FC7918">
            <w:pPr>
              <w:pStyle w:val="TableText"/>
              <w:spacing w:before="40" w:after="40"/>
              <w:ind w:right="720"/>
              <w:jc w:val="right"/>
              <w:rPr>
                <w:szCs w:val="16"/>
              </w:rPr>
            </w:pPr>
          </w:p>
        </w:tc>
        <w:tc>
          <w:tcPr>
            <w:tcW w:w="997" w:type="pct"/>
            <w:tcBorders>
              <w:top w:val="single" w:sz="4" w:space="0" w:color="auto"/>
              <w:bottom w:val="single" w:sz="4" w:space="0" w:color="auto"/>
            </w:tcBorders>
            <w:shd w:val="clear" w:color="auto" w:fill="A6A6A6" w:themeFill="background1" w:themeFillShade="A6"/>
          </w:tcPr>
          <w:p w:rsidR="0047686C" w:rsidRPr="00DE7F42" w:rsidRDefault="0047686C" w:rsidP="00FC7918">
            <w:pPr>
              <w:pStyle w:val="TableText"/>
              <w:spacing w:before="40" w:after="40"/>
              <w:ind w:right="720"/>
              <w:jc w:val="right"/>
              <w:rPr>
                <w:szCs w:val="16"/>
              </w:rPr>
            </w:pPr>
          </w:p>
        </w:tc>
      </w:tr>
      <w:tr w:rsidR="0047686C" w:rsidRPr="00DE7F42" w:rsidTr="00FC7918">
        <w:tc>
          <w:tcPr>
            <w:tcW w:w="2015" w:type="pct"/>
            <w:tcBorders>
              <w:top w:val="single" w:sz="4" w:space="0" w:color="auto"/>
            </w:tcBorders>
            <w:shd w:val="clear" w:color="auto" w:fill="auto"/>
          </w:tcPr>
          <w:p w:rsidR="0047686C" w:rsidRPr="00DE7F42" w:rsidRDefault="0047686C" w:rsidP="00FC7918">
            <w:pPr>
              <w:pStyle w:val="TableText"/>
              <w:rPr>
                <w:szCs w:val="16"/>
              </w:rPr>
            </w:pPr>
            <w:r w:rsidRPr="00DE7F42">
              <w:rPr>
                <w:szCs w:val="16"/>
              </w:rPr>
              <w:t>Overall comparisons</w:t>
            </w:r>
          </w:p>
        </w:tc>
        <w:tc>
          <w:tcPr>
            <w:tcW w:w="994" w:type="pct"/>
            <w:tcBorders>
              <w:top w:val="single" w:sz="4" w:space="0" w:color="auto"/>
            </w:tcBorders>
            <w:shd w:val="clear" w:color="auto" w:fill="auto"/>
          </w:tcPr>
          <w:p w:rsidR="0047686C" w:rsidRPr="00DE7F42" w:rsidRDefault="0047686C" w:rsidP="00FC7918">
            <w:pPr>
              <w:pStyle w:val="TableText"/>
              <w:ind w:right="720"/>
              <w:jc w:val="right"/>
              <w:rPr>
                <w:szCs w:val="16"/>
              </w:rPr>
            </w:pPr>
            <w:r w:rsidRPr="00DE7F42">
              <w:rPr>
                <w:szCs w:val="16"/>
              </w:rPr>
              <w:t>1,238</w:t>
            </w:r>
          </w:p>
        </w:tc>
        <w:tc>
          <w:tcPr>
            <w:tcW w:w="994" w:type="pct"/>
            <w:tcBorders>
              <w:top w:val="single" w:sz="4" w:space="0" w:color="auto"/>
            </w:tcBorders>
            <w:shd w:val="clear" w:color="auto" w:fill="auto"/>
          </w:tcPr>
          <w:p w:rsidR="0047686C" w:rsidRPr="00DE7F42" w:rsidRDefault="0047686C" w:rsidP="00FC7918">
            <w:pPr>
              <w:pStyle w:val="TableText"/>
              <w:ind w:right="720"/>
              <w:jc w:val="right"/>
              <w:rPr>
                <w:szCs w:val="16"/>
              </w:rPr>
            </w:pPr>
            <w:r w:rsidRPr="00DE7F42">
              <w:rPr>
                <w:szCs w:val="16"/>
              </w:rPr>
              <w:t>1,160</w:t>
            </w:r>
          </w:p>
        </w:tc>
        <w:tc>
          <w:tcPr>
            <w:tcW w:w="997" w:type="pct"/>
            <w:tcBorders>
              <w:top w:val="single" w:sz="4" w:space="0" w:color="auto"/>
            </w:tcBorders>
            <w:shd w:val="clear" w:color="auto" w:fill="auto"/>
          </w:tcPr>
          <w:p w:rsidR="0047686C" w:rsidRPr="00DE7F42" w:rsidRDefault="0047686C" w:rsidP="00FC7918">
            <w:pPr>
              <w:pStyle w:val="TableText"/>
              <w:ind w:right="720"/>
              <w:jc w:val="right"/>
              <w:rPr>
                <w:szCs w:val="16"/>
              </w:rPr>
            </w:pPr>
            <w:r w:rsidRPr="00DE7F42">
              <w:rPr>
                <w:szCs w:val="16"/>
              </w:rPr>
              <w:t>5.7%</w:t>
            </w:r>
          </w:p>
        </w:tc>
      </w:tr>
      <w:tr w:rsidR="0047686C" w:rsidRPr="00DE7F42" w:rsidTr="00FC7918">
        <w:tc>
          <w:tcPr>
            <w:tcW w:w="2015" w:type="pct"/>
            <w:shd w:val="clear" w:color="auto" w:fill="auto"/>
          </w:tcPr>
          <w:p w:rsidR="0047686C" w:rsidRPr="00DE7F42" w:rsidRDefault="0047686C" w:rsidP="00FC7918">
            <w:pPr>
              <w:pStyle w:val="TableText"/>
              <w:rPr>
                <w:szCs w:val="16"/>
              </w:rPr>
            </w:pPr>
            <w:r w:rsidRPr="00DE7F42">
              <w:rPr>
                <w:szCs w:val="16"/>
              </w:rPr>
              <w:t>Comparisons of SNAP nonparticipants</w:t>
            </w:r>
          </w:p>
        </w:tc>
        <w:tc>
          <w:tcPr>
            <w:tcW w:w="994" w:type="pct"/>
            <w:shd w:val="clear" w:color="auto" w:fill="auto"/>
          </w:tcPr>
          <w:p w:rsidR="0047686C" w:rsidRPr="00DE7F42" w:rsidRDefault="0047686C" w:rsidP="00FC7918">
            <w:pPr>
              <w:pStyle w:val="TableText"/>
              <w:ind w:right="720"/>
              <w:jc w:val="right"/>
              <w:rPr>
                <w:szCs w:val="16"/>
              </w:rPr>
            </w:pPr>
            <w:r w:rsidRPr="00DE7F42">
              <w:rPr>
                <w:szCs w:val="16"/>
              </w:rPr>
              <w:t>741</w:t>
            </w:r>
          </w:p>
        </w:tc>
        <w:tc>
          <w:tcPr>
            <w:tcW w:w="994" w:type="pct"/>
            <w:shd w:val="clear" w:color="auto" w:fill="auto"/>
          </w:tcPr>
          <w:p w:rsidR="0047686C" w:rsidRPr="00DE7F42" w:rsidRDefault="0047686C" w:rsidP="00FC7918">
            <w:pPr>
              <w:pStyle w:val="TableText"/>
              <w:ind w:right="720"/>
              <w:jc w:val="right"/>
              <w:rPr>
                <w:szCs w:val="16"/>
              </w:rPr>
            </w:pPr>
            <w:r w:rsidRPr="00DE7F42">
              <w:rPr>
                <w:szCs w:val="16"/>
              </w:rPr>
              <w:t>752</w:t>
            </w:r>
          </w:p>
        </w:tc>
        <w:tc>
          <w:tcPr>
            <w:tcW w:w="997" w:type="pct"/>
            <w:shd w:val="clear" w:color="auto" w:fill="auto"/>
          </w:tcPr>
          <w:p w:rsidR="0047686C" w:rsidRPr="00DE7F42" w:rsidRDefault="0047686C" w:rsidP="00FC7918">
            <w:pPr>
              <w:pStyle w:val="TableText"/>
              <w:ind w:right="720"/>
              <w:jc w:val="right"/>
              <w:rPr>
                <w:szCs w:val="16"/>
              </w:rPr>
            </w:pPr>
            <w:r w:rsidRPr="00DE7F42">
              <w:rPr>
                <w:szCs w:val="16"/>
              </w:rPr>
              <w:t>7.2%</w:t>
            </w:r>
          </w:p>
        </w:tc>
      </w:tr>
      <w:tr w:rsidR="0047686C" w:rsidRPr="00DE7F42" w:rsidTr="00FC7918">
        <w:tc>
          <w:tcPr>
            <w:tcW w:w="2015" w:type="pct"/>
            <w:tcBorders>
              <w:bottom w:val="single" w:sz="4" w:space="0" w:color="auto"/>
            </w:tcBorders>
            <w:shd w:val="clear" w:color="auto" w:fill="auto"/>
          </w:tcPr>
          <w:p w:rsidR="0047686C" w:rsidRPr="00DE7F42" w:rsidRDefault="0047686C" w:rsidP="00FC7918">
            <w:pPr>
              <w:pStyle w:val="TableText"/>
              <w:rPr>
                <w:szCs w:val="16"/>
              </w:rPr>
            </w:pPr>
            <w:r w:rsidRPr="00DE7F42">
              <w:rPr>
                <w:szCs w:val="16"/>
              </w:rPr>
              <w:t>Comparisons of SNAP participants</w:t>
            </w:r>
          </w:p>
        </w:tc>
        <w:tc>
          <w:tcPr>
            <w:tcW w:w="994" w:type="pct"/>
            <w:tcBorders>
              <w:bottom w:val="single" w:sz="4" w:space="0" w:color="auto"/>
            </w:tcBorders>
            <w:shd w:val="clear" w:color="auto" w:fill="auto"/>
          </w:tcPr>
          <w:p w:rsidR="0047686C" w:rsidRPr="00DE7F42" w:rsidRDefault="0047686C" w:rsidP="00FC7918">
            <w:pPr>
              <w:pStyle w:val="TableText"/>
              <w:ind w:right="720"/>
              <w:jc w:val="right"/>
              <w:rPr>
                <w:szCs w:val="16"/>
              </w:rPr>
            </w:pPr>
            <w:r w:rsidRPr="00DE7F42">
              <w:rPr>
                <w:szCs w:val="16"/>
              </w:rPr>
              <w:t>497</w:t>
            </w:r>
          </w:p>
        </w:tc>
        <w:tc>
          <w:tcPr>
            <w:tcW w:w="994" w:type="pct"/>
            <w:tcBorders>
              <w:bottom w:val="single" w:sz="4" w:space="0" w:color="auto"/>
            </w:tcBorders>
            <w:shd w:val="clear" w:color="auto" w:fill="auto"/>
          </w:tcPr>
          <w:p w:rsidR="0047686C" w:rsidRPr="00DE7F42" w:rsidRDefault="0047686C" w:rsidP="00FC7918">
            <w:pPr>
              <w:pStyle w:val="TableText"/>
              <w:ind w:right="720"/>
              <w:jc w:val="right"/>
              <w:rPr>
                <w:szCs w:val="16"/>
              </w:rPr>
            </w:pPr>
            <w:r w:rsidRPr="00DE7F42">
              <w:rPr>
                <w:szCs w:val="16"/>
              </w:rPr>
              <w:t>408</w:t>
            </w:r>
          </w:p>
        </w:tc>
        <w:tc>
          <w:tcPr>
            <w:tcW w:w="997" w:type="pct"/>
            <w:tcBorders>
              <w:bottom w:val="single" w:sz="4" w:space="0" w:color="auto"/>
            </w:tcBorders>
            <w:shd w:val="clear" w:color="auto" w:fill="auto"/>
          </w:tcPr>
          <w:p w:rsidR="0047686C" w:rsidRPr="00DE7F42" w:rsidRDefault="0047686C" w:rsidP="00FC7918">
            <w:pPr>
              <w:pStyle w:val="TableText"/>
              <w:ind w:right="720"/>
              <w:jc w:val="right"/>
              <w:rPr>
                <w:szCs w:val="16"/>
              </w:rPr>
            </w:pPr>
            <w:r w:rsidRPr="00DE7F42">
              <w:rPr>
                <w:szCs w:val="16"/>
              </w:rPr>
              <w:t>9.4%</w:t>
            </w:r>
          </w:p>
        </w:tc>
      </w:tr>
      <w:tr w:rsidR="0047686C" w:rsidRPr="00DE7F42" w:rsidTr="00FC7918">
        <w:tc>
          <w:tcPr>
            <w:tcW w:w="2015" w:type="pct"/>
            <w:tcBorders>
              <w:top w:val="single" w:sz="4" w:space="0" w:color="auto"/>
              <w:bottom w:val="single" w:sz="4" w:space="0" w:color="auto"/>
            </w:tcBorders>
            <w:shd w:val="clear" w:color="auto" w:fill="A6A6A6" w:themeFill="background1" w:themeFillShade="A6"/>
          </w:tcPr>
          <w:p w:rsidR="0047686C" w:rsidRPr="00DE7F42" w:rsidRDefault="0047686C" w:rsidP="00FC7918">
            <w:pPr>
              <w:pStyle w:val="TableText"/>
              <w:spacing w:before="40" w:after="40"/>
              <w:rPr>
                <w:szCs w:val="16"/>
              </w:rPr>
            </w:pPr>
            <w:r w:rsidRPr="00DE7F42">
              <w:rPr>
                <w:szCs w:val="16"/>
              </w:rPr>
              <w:t>Washington</w:t>
            </w:r>
          </w:p>
        </w:tc>
        <w:tc>
          <w:tcPr>
            <w:tcW w:w="994" w:type="pct"/>
            <w:tcBorders>
              <w:top w:val="single" w:sz="4" w:space="0" w:color="auto"/>
              <w:bottom w:val="single" w:sz="4" w:space="0" w:color="auto"/>
            </w:tcBorders>
            <w:shd w:val="clear" w:color="auto" w:fill="A6A6A6" w:themeFill="background1" w:themeFillShade="A6"/>
          </w:tcPr>
          <w:p w:rsidR="0047686C" w:rsidRPr="00DE7F42" w:rsidRDefault="0047686C" w:rsidP="00FC7918">
            <w:pPr>
              <w:pStyle w:val="TableText"/>
              <w:spacing w:before="40" w:after="40"/>
              <w:ind w:right="720"/>
              <w:jc w:val="right"/>
              <w:rPr>
                <w:szCs w:val="16"/>
              </w:rPr>
            </w:pPr>
          </w:p>
        </w:tc>
        <w:tc>
          <w:tcPr>
            <w:tcW w:w="994" w:type="pct"/>
            <w:tcBorders>
              <w:top w:val="single" w:sz="4" w:space="0" w:color="auto"/>
              <w:bottom w:val="single" w:sz="4" w:space="0" w:color="auto"/>
            </w:tcBorders>
            <w:shd w:val="clear" w:color="auto" w:fill="A6A6A6" w:themeFill="background1" w:themeFillShade="A6"/>
          </w:tcPr>
          <w:p w:rsidR="0047686C" w:rsidRPr="00DE7F42" w:rsidRDefault="0047686C" w:rsidP="00FC7918">
            <w:pPr>
              <w:pStyle w:val="TableText"/>
              <w:spacing w:before="40" w:after="40"/>
              <w:ind w:right="720"/>
              <w:jc w:val="right"/>
              <w:rPr>
                <w:szCs w:val="16"/>
              </w:rPr>
            </w:pPr>
          </w:p>
        </w:tc>
        <w:tc>
          <w:tcPr>
            <w:tcW w:w="997" w:type="pct"/>
            <w:tcBorders>
              <w:top w:val="single" w:sz="4" w:space="0" w:color="auto"/>
              <w:bottom w:val="single" w:sz="4" w:space="0" w:color="auto"/>
            </w:tcBorders>
            <w:shd w:val="clear" w:color="auto" w:fill="A6A6A6" w:themeFill="background1" w:themeFillShade="A6"/>
          </w:tcPr>
          <w:p w:rsidR="0047686C" w:rsidRPr="00DE7F42" w:rsidRDefault="0047686C" w:rsidP="00FC7918">
            <w:pPr>
              <w:pStyle w:val="TableText"/>
              <w:spacing w:before="40" w:after="40"/>
              <w:ind w:right="720"/>
              <w:jc w:val="right"/>
              <w:rPr>
                <w:szCs w:val="16"/>
              </w:rPr>
            </w:pPr>
          </w:p>
        </w:tc>
      </w:tr>
      <w:tr w:rsidR="0047686C" w:rsidRPr="00DE7F42" w:rsidTr="00FC7918">
        <w:tc>
          <w:tcPr>
            <w:tcW w:w="2015" w:type="pct"/>
            <w:tcBorders>
              <w:top w:val="single" w:sz="4" w:space="0" w:color="auto"/>
            </w:tcBorders>
            <w:shd w:val="clear" w:color="auto" w:fill="auto"/>
          </w:tcPr>
          <w:p w:rsidR="0047686C" w:rsidRPr="00DE7F42" w:rsidRDefault="0047686C" w:rsidP="00FC7918">
            <w:pPr>
              <w:pStyle w:val="TableText"/>
              <w:rPr>
                <w:szCs w:val="16"/>
              </w:rPr>
            </w:pPr>
            <w:r w:rsidRPr="00DE7F42">
              <w:rPr>
                <w:szCs w:val="16"/>
              </w:rPr>
              <w:t>Overall comparisons</w:t>
            </w:r>
          </w:p>
        </w:tc>
        <w:tc>
          <w:tcPr>
            <w:tcW w:w="994" w:type="pct"/>
            <w:tcBorders>
              <w:top w:val="single" w:sz="4" w:space="0" w:color="auto"/>
            </w:tcBorders>
            <w:shd w:val="clear" w:color="auto" w:fill="auto"/>
          </w:tcPr>
          <w:p w:rsidR="0047686C" w:rsidRPr="00DE7F42" w:rsidRDefault="0047686C" w:rsidP="00FC7918">
            <w:pPr>
              <w:pStyle w:val="TableText"/>
              <w:ind w:right="720"/>
              <w:jc w:val="right"/>
              <w:rPr>
                <w:szCs w:val="16"/>
              </w:rPr>
            </w:pPr>
            <w:r w:rsidRPr="00DE7F42">
              <w:rPr>
                <w:szCs w:val="16"/>
              </w:rPr>
              <w:t>829</w:t>
            </w:r>
          </w:p>
        </w:tc>
        <w:tc>
          <w:tcPr>
            <w:tcW w:w="994" w:type="pct"/>
            <w:tcBorders>
              <w:top w:val="single" w:sz="4" w:space="0" w:color="auto"/>
            </w:tcBorders>
            <w:shd w:val="clear" w:color="auto" w:fill="auto"/>
          </w:tcPr>
          <w:p w:rsidR="0047686C" w:rsidRPr="00DE7F42" w:rsidRDefault="0047686C" w:rsidP="00FC7918">
            <w:pPr>
              <w:pStyle w:val="TableText"/>
              <w:ind w:right="720"/>
              <w:jc w:val="right"/>
              <w:rPr>
                <w:szCs w:val="16"/>
              </w:rPr>
            </w:pPr>
            <w:r w:rsidRPr="00DE7F42">
              <w:rPr>
                <w:szCs w:val="16"/>
              </w:rPr>
              <w:t>777</w:t>
            </w:r>
          </w:p>
        </w:tc>
        <w:tc>
          <w:tcPr>
            <w:tcW w:w="997" w:type="pct"/>
            <w:tcBorders>
              <w:top w:val="single" w:sz="4" w:space="0" w:color="auto"/>
            </w:tcBorders>
            <w:shd w:val="clear" w:color="auto" w:fill="auto"/>
          </w:tcPr>
          <w:p w:rsidR="0047686C" w:rsidRPr="00DE7F42" w:rsidRDefault="0047686C" w:rsidP="00FC7918">
            <w:pPr>
              <w:pStyle w:val="TableText"/>
              <w:ind w:right="720"/>
              <w:jc w:val="right"/>
              <w:rPr>
                <w:szCs w:val="16"/>
              </w:rPr>
            </w:pPr>
            <w:r w:rsidRPr="00DE7F42">
              <w:rPr>
                <w:szCs w:val="16"/>
              </w:rPr>
              <w:t>7.0%</w:t>
            </w:r>
          </w:p>
        </w:tc>
      </w:tr>
      <w:tr w:rsidR="0047686C" w:rsidRPr="00DE7F42" w:rsidTr="00FC7918">
        <w:tc>
          <w:tcPr>
            <w:tcW w:w="2015" w:type="pct"/>
            <w:shd w:val="clear" w:color="auto" w:fill="auto"/>
          </w:tcPr>
          <w:p w:rsidR="0047686C" w:rsidRPr="00DE7F42" w:rsidRDefault="0047686C" w:rsidP="00FC7918">
            <w:pPr>
              <w:pStyle w:val="TableText"/>
              <w:rPr>
                <w:szCs w:val="16"/>
              </w:rPr>
            </w:pPr>
            <w:r w:rsidRPr="00DE7F42">
              <w:rPr>
                <w:szCs w:val="16"/>
              </w:rPr>
              <w:t>Comparisons of SNAP nonparticipants</w:t>
            </w:r>
          </w:p>
        </w:tc>
        <w:tc>
          <w:tcPr>
            <w:tcW w:w="994" w:type="pct"/>
            <w:shd w:val="clear" w:color="auto" w:fill="auto"/>
          </w:tcPr>
          <w:p w:rsidR="0047686C" w:rsidRPr="00DE7F42" w:rsidRDefault="0047686C" w:rsidP="00FC7918">
            <w:pPr>
              <w:pStyle w:val="TableText"/>
              <w:ind w:right="720"/>
              <w:jc w:val="right"/>
              <w:rPr>
                <w:szCs w:val="16"/>
              </w:rPr>
            </w:pPr>
            <w:r w:rsidRPr="00DE7F42">
              <w:rPr>
                <w:szCs w:val="16"/>
              </w:rPr>
              <w:t>421</w:t>
            </w:r>
          </w:p>
        </w:tc>
        <w:tc>
          <w:tcPr>
            <w:tcW w:w="994" w:type="pct"/>
            <w:shd w:val="clear" w:color="auto" w:fill="auto"/>
          </w:tcPr>
          <w:p w:rsidR="0047686C" w:rsidRPr="00DE7F42" w:rsidRDefault="0047686C" w:rsidP="00FC7918">
            <w:pPr>
              <w:pStyle w:val="TableText"/>
              <w:ind w:right="720"/>
              <w:jc w:val="right"/>
              <w:rPr>
                <w:szCs w:val="16"/>
              </w:rPr>
            </w:pPr>
            <w:r w:rsidRPr="00DE7F42">
              <w:rPr>
                <w:szCs w:val="16"/>
              </w:rPr>
              <w:t>433</w:t>
            </w:r>
          </w:p>
        </w:tc>
        <w:tc>
          <w:tcPr>
            <w:tcW w:w="997" w:type="pct"/>
            <w:shd w:val="clear" w:color="auto" w:fill="auto"/>
          </w:tcPr>
          <w:p w:rsidR="0047686C" w:rsidRPr="00DE7F42" w:rsidRDefault="0047686C" w:rsidP="00FC7918">
            <w:pPr>
              <w:pStyle w:val="TableText"/>
              <w:ind w:right="720"/>
              <w:jc w:val="right"/>
              <w:rPr>
                <w:szCs w:val="16"/>
              </w:rPr>
            </w:pPr>
            <w:r w:rsidRPr="00DE7F42">
              <w:rPr>
                <w:szCs w:val="16"/>
              </w:rPr>
              <w:t>9.6%</w:t>
            </w:r>
          </w:p>
        </w:tc>
      </w:tr>
      <w:tr w:rsidR="0047686C" w:rsidRPr="00DE7F42" w:rsidTr="00FC7918">
        <w:tc>
          <w:tcPr>
            <w:tcW w:w="2015" w:type="pct"/>
            <w:shd w:val="clear" w:color="auto" w:fill="auto"/>
          </w:tcPr>
          <w:p w:rsidR="0047686C" w:rsidRPr="00DE7F42" w:rsidRDefault="0047686C" w:rsidP="00FC7918">
            <w:pPr>
              <w:pStyle w:val="TableText"/>
              <w:rPr>
                <w:szCs w:val="16"/>
              </w:rPr>
            </w:pPr>
            <w:r w:rsidRPr="00DE7F42">
              <w:rPr>
                <w:szCs w:val="16"/>
              </w:rPr>
              <w:t>Comparisons of SNAP participants</w:t>
            </w:r>
          </w:p>
        </w:tc>
        <w:tc>
          <w:tcPr>
            <w:tcW w:w="994" w:type="pct"/>
            <w:shd w:val="clear" w:color="auto" w:fill="auto"/>
          </w:tcPr>
          <w:p w:rsidR="0047686C" w:rsidRPr="00DE7F42" w:rsidRDefault="0047686C" w:rsidP="00FC7918">
            <w:pPr>
              <w:pStyle w:val="TableText"/>
              <w:ind w:right="720"/>
              <w:jc w:val="right"/>
              <w:rPr>
                <w:szCs w:val="16"/>
              </w:rPr>
            </w:pPr>
            <w:r w:rsidRPr="00DE7F42">
              <w:rPr>
                <w:szCs w:val="16"/>
              </w:rPr>
              <w:t>408</w:t>
            </w:r>
          </w:p>
        </w:tc>
        <w:tc>
          <w:tcPr>
            <w:tcW w:w="994" w:type="pct"/>
            <w:shd w:val="clear" w:color="auto" w:fill="auto"/>
          </w:tcPr>
          <w:p w:rsidR="0047686C" w:rsidRPr="00DE7F42" w:rsidRDefault="0047686C" w:rsidP="00FC7918">
            <w:pPr>
              <w:pStyle w:val="TableText"/>
              <w:ind w:right="720"/>
              <w:jc w:val="right"/>
              <w:rPr>
                <w:szCs w:val="16"/>
              </w:rPr>
            </w:pPr>
            <w:r w:rsidRPr="00DE7F42">
              <w:rPr>
                <w:szCs w:val="16"/>
              </w:rPr>
              <w:t>344</w:t>
            </w:r>
          </w:p>
        </w:tc>
        <w:tc>
          <w:tcPr>
            <w:tcW w:w="997" w:type="pct"/>
            <w:shd w:val="clear" w:color="auto" w:fill="auto"/>
          </w:tcPr>
          <w:p w:rsidR="0047686C" w:rsidRPr="00DE7F42" w:rsidRDefault="0047686C" w:rsidP="00FC7918">
            <w:pPr>
              <w:pStyle w:val="TableText"/>
              <w:ind w:right="720"/>
              <w:jc w:val="right"/>
              <w:rPr>
                <w:szCs w:val="16"/>
              </w:rPr>
            </w:pPr>
            <w:r w:rsidRPr="00DE7F42">
              <w:rPr>
                <w:szCs w:val="16"/>
              </w:rPr>
              <w:t>10.2%</w:t>
            </w:r>
          </w:p>
        </w:tc>
      </w:tr>
    </w:tbl>
    <w:p w:rsidR="0047686C" w:rsidRDefault="0047686C" w:rsidP="0047686C">
      <w:pPr>
        <w:pStyle w:val="TableSpace"/>
      </w:pPr>
    </w:p>
    <w:p w:rsidR="0047686C" w:rsidRDefault="0047686C" w:rsidP="0047686C">
      <w:pPr>
        <w:pStyle w:val="TableSourceCaption"/>
        <w:spacing w:after="360"/>
        <w:rPr>
          <w:highlight w:val="yellow"/>
        </w:rPr>
      </w:pPr>
      <w:r>
        <w:t>Note:</w:t>
      </w:r>
      <w:r>
        <w:tab/>
      </w:r>
      <w:r w:rsidRPr="00727DB9">
        <w:t>Notes: The targeted number of completed interviews in each state and subgroup are from Table B1.1. MDDs are for two-tailed tests with 80 percent power and a significance level of 5 percent. We assumed 50 percent of the comparison population has a binary characteristic or outcome (a higher or lower percentage would lead to a smaller MDD).</w:t>
      </w:r>
    </w:p>
    <w:p w:rsidR="0047686C" w:rsidRDefault="00EB2B9E" w:rsidP="00623B36">
      <w:pPr>
        <w:pStyle w:val="Heading3"/>
      </w:pPr>
      <w:bookmarkStart w:id="28" w:name="_Toc297293721"/>
      <w:bookmarkStart w:id="29" w:name="_Toc309717589"/>
      <w:r>
        <w:t>B</w:t>
      </w:r>
      <w:r w:rsidR="0047686C">
        <w:t>3.</w:t>
      </w:r>
      <w:r w:rsidR="0047686C">
        <w:tab/>
      </w:r>
      <w:r w:rsidR="00784E77" w:rsidRPr="00784E77">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28"/>
      <w:bookmarkEnd w:id="29"/>
    </w:p>
    <w:p w:rsidR="00FC7918" w:rsidRDefault="0047686C" w:rsidP="00623B36">
      <w:r>
        <w:t xml:space="preserve">For the survey data collection that forms part of this evaluation, numerous methods will be used to encourage response. These include training in effective means of communicating with and convincing elderly respondents to participate in the survey to avoid refusals, extensive locating to minimize </w:t>
      </w:r>
      <w:proofErr w:type="spellStart"/>
      <w:r>
        <w:t>noncontacts</w:t>
      </w:r>
      <w:proofErr w:type="spellEnd"/>
      <w:r>
        <w:t>, and use of an additional incentive for respondents for whom no valid telephone information can be found.</w:t>
      </w:r>
    </w:p>
    <w:p w:rsidR="005E4AD0" w:rsidRDefault="0047686C" w:rsidP="005E4AD0">
      <w:r>
        <w:t xml:space="preserve">The </w:t>
      </w:r>
      <w:r w:rsidR="0055732B">
        <w:t xml:space="preserve">advance </w:t>
      </w:r>
      <w:r>
        <w:t>letter</w:t>
      </w:r>
      <w:r w:rsidR="00E90E1B">
        <w:t xml:space="preserve"> (Appendix </w:t>
      </w:r>
      <w:r w:rsidR="00513C55">
        <w:t>H</w:t>
      </w:r>
      <w:r w:rsidR="00784E77">
        <w:t>)</w:t>
      </w:r>
      <w:r>
        <w:t xml:space="preserve"> to sample members will be produced on FNS letterhead to heighten the salience of the survey request and to activate the norm of reciprocity. The survey incentive will also be mentioned in the letter to further heighten the saliency and reciprocity norm. The contractor’s professional interviewers have extensive experience interviewing elderly respondents, participants in federal income transfer programs, and individuals with disabilities such as hearing loss or dementia. They will be trained and prepared to accommodate the respondents’ </w:t>
      </w:r>
      <w:r>
        <w:lastRenderedPageBreak/>
        <w:t>needs by providing standardized explanations for common respondent concerns (such as fear of telephone scams), to avert refusals, to accommodate hard-of-hearing respondents, and to respond with neutral but encouraging probes. In addition, interviews will be as flexible and accommodating of the respondents’ needs as possible, such as by offering to conduct the interview in parts or rescheduling interviews for more convenient times.</w:t>
      </w:r>
    </w:p>
    <w:p w:rsidR="005E4AD0" w:rsidRDefault="0047686C" w:rsidP="005E4AD0">
      <w:r>
        <w:t xml:space="preserve">In addition to using information from returned mail using the USPS address correction service, locating efforts will also include major national databases, such as </w:t>
      </w:r>
      <w:proofErr w:type="spellStart"/>
      <w:r>
        <w:t>Accurint</w:t>
      </w:r>
      <w:proofErr w:type="spellEnd"/>
      <w:r>
        <w:t xml:space="preserve">; the Social Security death index; professional license databases; military locator database; property/deed transfer records; state, </w:t>
      </w:r>
      <w:proofErr w:type="gramStart"/>
      <w:r>
        <w:t>county,</w:t>
      </w:r>
      <w:proofErr w:type="gramEnd"/>
      <w:r>
        <w:t xml:space="preserve"> and civil court records; and other agency databases.</w:t>
      </w:r>
    </w:p>
    <w:p w:rsidR="005E4AD0" w:rsidRDefault="0047686C" w:rsidP="005E4AD0">
      <w:r>
        <w:t>Table B1.1 presents the expected target response rates for SNAP participants and nonparticipants in each state. These rates are achievable given the contractor’s success in conducting other phone interviews with elderly program beneficiaries and previous experience with these well-tested procedures.</w:t>
      </w:r>
    </w:p>
    <w:p w:rsidR="00FC7918" w:rsidRDefault="0047686C" w:rsidP="005E4AD0">
      <w:r w:rsidRPr="00FB2961">
        <w:t>Where the expected</w:t>
      </w:r>
      <w:r w:rsidR="00317059" w:rsidRPr="00FB2961">
        <w:t xml:space="preserve"> survey</w:t>
      </w:r>
      <w:r w:rsidRPr="00FB2961">
        <w:t xml:space="preserve"> response rate is less than 80 percent, </w:t>
      </w:r>
      <w:proofErr w:type="spellStart"/>
      <w:r w:rsidRPr="00FB2961">
        <w:t>nonresponse</w:t>
      </w:r>
      <w:proofErr w:type="spellEnd"/>
      <w:r>
        <w:t xml:space="preserve"> patterns will be analyzed using whatever relevant information is known about both respondents and </w:t>
      </w:r>
      <w:proofErr w:type="spellStart"/>
      <w:r>
        <w:t>nonrespondents</w:t>
      </w:r>
      <w:proofErr w:type="spellEnd"/>
      <w:r>
        <w:t xml:space="preserve">. The characteristics of respondents, </w:t>
      </w:r>
      <w:proofErr w:type="spellStart"/>
      <w:r>
        <w:t>nonrespondents</w:t>
      </w:r>
      <w:proofErr w:type="spellEnd"/>
      <w:r>
        <w:t>, and the total attempted sample</w:t>
      </w:r>
      <w:r w:rsidR="00317059">
        <w:t xml:space="preserve"> for the survey</w:t>
      </w:r>
      <w:r>
        <w:t xml:space="preserve">, both unweighted and weighted, will be compared to evaluate the risk for </w:t>
      </w:r>
      <w:proofErr w:type="spellStart"/>
      <w:r>
        <w:t>nonresponse</w:t>
      </w:r>
      <w:proofErr w:type="spellEnd"/>
      <w:r>
        <w:t xml:space="preserve"> bias of estimates, which cannot be directly measured.</w:t>
      </w:r>
      <w:r w:rsidR="00993359" w:rsidRPr="00993359">
        <w:t xml:space="preserve"> </w:t>
      </w:r>
    </w:p>
    <w:p w:rsidR="00FC7918" w:rsidRDefault="00993359">
      <w:pPr>
        <w:pStyle w:val="NormalSS"/>
        <w:spacing w:line="480" w:lineRule="auto"/>
      </w:pPr>
      <w:r>
        <w:t>The data collection involving focus groups is not based on a probability sample and is not meant to represent anyone other than the respondents; therefore a response rate does not apply to this activity.</w:t>
      </w:r>
    </w:p>
    <w:p w:rsidR="0047686C" w:rsidRDefault="00EB2B9E" w:rsidP="005E4AD0">
      <w:pPr>
        <w:pStyle w:val="Heading3"/>
      </w:pPr>
      <w:bookmarkStart w:id="30" w:name="_Toc297293722"/>
      <w:bookmarkStart w:id="31" w:name="_Toc309717590"/>
      <w:r>
        <w:lastRenderedPageBreak/>
        <w:t>B</w:t>
      </w:r>
      <w:r w:rsidR="0047686C">
        <w:t>4.</w:t>
      </w:r>
      <w:r w:rsidR="0047686C">
        <w:tab/>
      </w:r>
      <w:r w:rsidR="00993359" w:rsidRPr="00993359">
        <w:t>Describe any tests of procedure</w:t>
      </w:r>
      <w:r>
        <w:t xml:space="preserve">s or methods to be undertaken. </w:t>
      </w:r>
      <w:r w:rsidR="00993359" w:rsidRPr="00993359">
        <w:t>Testing is encouraged as an effective means of refining collections of information to minimi</w:t>
      </w:r>
      <w:r>
        <w:t xml:space="preserve">ze burden and improve utility. </w:t>
      </w:r>
      <w:r w:rsidR="00993359" w:rsidRPr="00993359">
        <w:t>Tests must be approved if they call for answers to identical questions from 10 or more respondents. A proposed test or set of tests may be submitted for approval separately or in combination with the main collection of information.</w:t>
      </w:r>
      <w:bookmarkEnd w:id="30"/>
      <w:bookmarkEnd w:id="31"/>
    </w:p>
    <w:p w:rsidR="005E4AD0" w:rsidRDefault="0047686C" w:rsidP="005E4AD0">
      <w:r>
        <w:t xml:space="preserve">The survey questionnaire was pretested in July 2011. </w:t>
      </w:r>
      <w:r w:rsidRPr="00A3638E">
        <w:t xml:space="preserve">The </w:t>
      </w:r>
      <w:r w:rsidR="009E4561">
        <w:t>pilot data</w:t>
      </w:r>
      <w:r w:rsidRPr="00A3638E">
        <w:t xml:space="preserve"> confirmed that </w:t>
      </w:r>
      <w:r>
        <w:t xml:space="preserve">overall, </w:t>
      </w:r>
      <w:r w:rsidRPr="00A3638E">
        <w:t xml:space="preserve">the information being requested in the </w:t>
      </w:r>
      <w:r>
        <w:t>survey</w:t>
      </w:r>
      <w:r w:rsidRPr="00A3638E">
        <w:t xml:space="preserve"> is reasonable, clearly stated in coherent unambiguous language, and collected in the least burdensome way possible.</w:t>
      </w:r>
      <w:r>
        <w:t xml:space="preserve"> </w:t>
      </w:r>
    </w:p>
    <w:p w:rsidR="005E4AD0" w:rsidRDefault="0047686C" w:rsidP="005E4AD0">
      <w:r w:rsidRPr="00250E9D">
        <w:t xml:space="preserve">The survey questionnaire was pretested with fewer than 10 respondents to learn about problems respondents might experience in providing the requested information and to make appropriate changes to the questionnaire. Pretest responses and comments to the survey questionnaire were collected by telephone to emulate as closely as possible the way the survey will ultimately be administered. Contractor staff mailed pretest respondents a letter and then followed up by telephone to conduct the interview. </w:t>
      </w:r>
    </w:p>
    <w:p w:rsidR="005E4AD0" w:rsidRDefault="0047686C" w:rsidP="005E4AD0">
      <w:r w:rsidRPr="00C52563">
        <w:t xml:space="preserve">While conducting the interview, contractor staff documented comments and questions from respondents, problems with respondent comprehension, and respondent sensitivity. As a result of the pretest, some minor wording changes were made to the survey instrument. These include changes to improve the flow of the interview, improve respondent comprehension, maximize interviewer ease of use to ensure the questionnaire is administered properly, and mitigate the potential sensitivity of some questions. A summary of the pretest is located in </w:t>
      </w:r>
      <w:r w:rsidR="00350194">
        <w:t>Appendix</w:t>
      </w:r>
      <w:r w:rsidRPr="00C52563">
        <w:t xml:space="preserve"> </w:t>
      </w:r>
      <w:r w:rsidR="00513C55">
        <w:t>G</w:t>
      </w:r>
      <w:r w:rsidRPr="00C52563">
        <w:t>.</w:t>
      </w:r>
    </w:p>
    <w:p w:rsidR="005E4AD0" w:rsidRDefault="0047686C" w:rsidP="005E4AD0">
      <w:r w:rsidRPr="00A3638E">
        <w:t xml:space="preserve">The pretest </w:t>
      </w:r>
      <w:r>
        <w:t xml:space="preserve">was also </w:t>
      </w:r>
      <w:r w:rsidRPr="00A3638E">
        <w:t xml:space="preserve">used to </w:t>
      </w:r>
      <w:r>
        <w:t>establish</w:t>
      </w:r>
      <w:r w:rsidRPr="00A3638E">
        <w:t xml:space="preserve"> the average interview length</w:t>
      </w:r>
      <w:r>
        <w:t xml:space="preserve">. As the pretest interviews were slightly longer than 20 minutes, some items that were less critical to the evaluation were deleted. The questionnaire is </w:t>
      </w:r>
      <w:r w:rsidRPr="00A3638E">
        <w:t xml:space="preserve">currently estimated at </w:t>
      </w:r>
      <w:r>
        <w:t xml:space="preserve">an average of </w:t>
      </w:r>
      <w:r w:rsidRPr="00A3638E">
        <w:t xml:space="preserve">20 minutes per </w:t>
      </w:r>
      <w:r>
        <w:t>respondent</w:t>
      </w:r>
      <w:r w:rsidRPr="00A3638E">
        <w:t>.</w:t>
      </w:r>
    </w:p>
    <w:p w:rsidR="00FC7918" w:rsidRDefault="0047686C" w:rsidP="005E4AD0">
      <w:r>
        <w:t>The protocol for the focus group with nonparticipants will not be pretested as it is not feasible to pretest a focus group protocol without conducting the focus group itself.</w:t>
      </w:r>
    </w:p>
    <w:p w:rsidR="0047686C" w:rsidRDefault="0047686C" w:rsidP="00FC7918">
      <w:pPr>
        <w:pStyle w:val="Heading3"/>
      </w:pPr>
      <w:bookmarkStart w:id="32" w:name="_Toc297293723"/>
      <w:bookmarkStart w:id="33" w:name="_Toc309717591"/>
      <w:r>
        <w:lastRenderedPageBreak/>
        <w:t>B5.</w:t>
      </w:r>
      <w:r>
        <w:tab/>
      </w:r>
      <w:r w:rsidR="00993359" w:rsidRPr="00993359">
        <w:t>Provide the name and telephone number of individuals consulted on statistical aspects of the design and the name of the agency unit, contractor(s), grantee(s), or other person(s) who will actually collect and/or analyze the information for the agency.</w:t>
      </w:r>
      <w:bookmarkEnd w:id="32"/>
      <w:bookmarkEnd w:id="33"/>
    </w:p>
    <w:p w:rsidR="00FC7918" w:rsidRDefault="005B730E" w:rsidP="00FC7918">
      <w:r>
        <w:t>A review by the USDA National Agricultural Statistics Service (NASS) was conducted</w:t>
      </w:r>
      <w:r w:rsidR="001E66F7">
        <w:t xml:space="preserve"> (Appendix </w:t>
      </w:r>
      <w:r w:rsidR="0030212F">
        <w:t>R</w:t>
      </w:r>
      <w:r w:rsidR="001E66F7">
        <w:t>)</w:t>
      </w:r>
      <w:r>
        <w:t xml:space="preserve">. </w:t>
      </w:r>
      <w:r w:rsidR="001E66F7">
        <w:t>No other</w:t>
      </w:r>
      <w:r>
        <w:t xml:space="preserve"> </w:t>
      </w:r>
      <w:r w:rsidR="0047686C">
        <w:t>individuals outside the evaluation project were consulted on statistical aspects of the design. FNS has contracted with Mathematica Policy Research to conduct this study. Table B5.1 identifies the individuals at this organization who will be responsible for collecting and analyzing the data. The Project Officer for the contract providing funding for the evaluation, Bob Dalrymple, will be responsible for receiving and approving all contract deliverables. His contact information is included in Table B5.1.</w:t>
      </w:r>
    </w:p>
    <w:p w:rsidR="000E20B6" w:rsidRDefault="000E20B6">
      <w:pPr>
        <w:tabs>
          <w:tab w:val="clear" w:pos="432"/>
        </w:tabs>
        <w:spacing w:line="240" w:lineRule="auto"/>
        <w:ind w:firstLine="0"/>
        <w:jc w:val="left"/>
        <w:rPr>
          <w:rFonts w:ascii="Lucida Sans" w:hAnsi="Lucida Sans"/>
          <w:b/>
          <w:sz w:val="18"/>
        </w:rPr>
      </w:pPr>
      <w:bookmarkStart w:id="34" w:name="_Toc297294266"/>
      <w:bookmarkStart w:id="35" w:name="_Toc309717690"/>
      <w:r>
        <w:rPr>
          <w:rFonts w:ascii="Lucida Sans" w:hAnsi="Lucida Sans"/>
          <w:b/>
          <w:sz w:val="18"/>
        </w:rPr>
        <w:br w:type="page"/>
      </w:r>
    </w:p>
    <w:p w:rsidR="0047686C" w:rsidRDefault="0047686C" w:rsidP="0047686C">
      <w:pPr>
        <w:pStyle w:val="MarkforTableHeading"/>
      </w:pPr>
      <w:r>
        <w:lastRenderedPageBreak/>
        <w:t xml:space="preserve">Table B5.1. </w:t>
      </w:r>
      <w:r w:rsidRPr="00703A7E">
        <w:t>Individuals Responsible for Statistical Aspects and Data Collection and Analysis</w:t>
      </w:r>
      <w:bookmarkEnd w:id="34"/>
      <w:bookmarkEnd w:id="35"/>
    </w:p>
    <w:tbl>
      <w:tblPr>
        <w:tblStyle w:val="TableGrid"/>
        <w:tblW w:w="4884"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337"/>
        <w:gridCol w:w="2454"/>
        <w:gridCol w:w="2945"/>
        <w:gridCol w:w="1618"/>
      </w:tblGrid>
      <w:tr w:rsidR="0047686C" w:rsidTr="005B730E">
        <w:trPr>
          <w:tblHeader/>
        </w:trPr>
        <w:tc>
          <w:tcPr>
            <w:tcW w:w="1249" w:type="pct"/>
            <w:tcBorders>
              <w:top w:val="single" w:sz="12" w:space="0" w:color="auto"/>
              <w:bottom w:val="single" w:sz="4" w:space="0" w:color="auto"/>
            </w:tcBorders>
            <w:shd w:val="clear" w:color="auto" w:fill="auto"/>
            <w:vAlign w:val="bottom"/>
          </w:tcPr>
          <w:p w:rsidR="0047686C" w:rsidRDefault="0047686C" w:rsidP="00FC7918">
            <w:pPr>
              <w:pStyle w:val="TableHeaderLeft"/>
              <w:tabs>
                <w:tab w:val="clear" w:pos="432"/>
              </w:tabs>
            </w:pPr>
            <w:r>
              <w:t>Name</w:t>
            </w:r>
          </w:p>
        </w:tc>
        <w:tc>
          <w:tcPr>
            <w:tcW w:w="1312" w:type="pct"/>
            <w:tcBorders>
              <w:top w:val="single" w:sz="12" w:space="0" w:color="auto"/>
              <w:bottom w:val="single" w:sz="4" w:space="0" w:color="auto"/>
            </w:tcBorders>
            <w:shd w:val="clear" w:color="auto" w:fill="auto"/>
            <w:vAlign w:val="bottom"/>
          </w:tcPr>
          <w:p w:rsidR="0047686C" w:rsidRDefault="0047686C" w:rsidP="00FC7918">
            <w:pPr>
              <w:pStyle w:val="TableHeaderCenter"/>
            </w:pPr>
            <w:r>
              <w:t>Title (Project Role)</w:t>
            </w:r>
          </w:p>
        </w:tc>
        <w:tc>
          <w:tcPr>
            <w:tcW w:w="1574" w:type="pct"/>
            <w:tcBorders>
              <w:top w:val="single" w:sz="12" w:space="0" w:color="auto"/>
              <w:bottom w:val="single" w:sz="4" w:space="0" w:color="auto"/>
            </w:tcBorders>
            <w:shd w:val="clear" w:color="auto" w:fill="auto"/>
            <w:vAlign w:val="bottom"/>
          </w:tcPr>
          <w:p w:rsidR="0047686C" w:rsidRDefault="0047686C" w:rsidP="00FC7918">
            <w:pPr>
              <w:pStyle w:val="TableHeaderCenter"/>
            </w:pPr>
            <w:r>
              <w:t>Organizational Affiliation and Address</w:t>
            </w:r>
          </w:p>
        </w:tc>
        <w:tc>
          <w:tcPr>
            <w:tcW w:w="865" w:type="pct"/>
            <w:tcBorders>
              <w:top w:val="single" w:sz="12" w:space="0" w:color="auto"/>
              <w:bottom w:val="single" w:sz="4" w:space="0" w:color="auto"/>
            </w:tcBorders>
            <w:shd w:val="clear" w:color="auto" w:fill="auto"/>
            <w:vAlign w:val="bottom"/>
          </w:tcPr>
          <w:p w:rsidR="0047686C" w:rsidRDefault="0047686C" w:rsidP="00FC7918">
            <w:pPr>
              <w:pStyle w:val="TableHeaderCenter"/>
            </w:pPr>
            <w:r>
              <w:t>Phone Number</w:t>
            </w:r>
          </w:p>
        </w:tc>
      </w:tr>
      <w:tr w:rsidR="005B730E" w:rsidTr="002E3E46">
        <w:trPr>
          <w:trHeight w:val="737"/>
        </w:trPr>
        <w:tc>
          <w:tcPr>
            <w:tcW w:w="1249" w:type="pct"/>
            <w:tcBorders>
              <w:top w:val="single" w:sz="4" w:space="0" w:color="auto"/>
              <w:bottom w:val="nil"/>
            </w:tcBorders>
            <w:shd w:val="clear" w:color="auto" w:fill="A6A6A6" w:themeFill="background1" w:themeFillShade="A6"/>
          </w:tcPr>
          <w:p w:rsidR="005B730E" w:rsidRDefault="005B730E" w:rsidP="00FC7918">
            <w:pPr>
              <w:pStyle w:val="TableText"/>
              <w:spacing w:before="120" w:after="120"/>
            </w:pPr>
            <w:r w:rsidRPr="00493083">
              <w:t>Laura Castner</w:t>
            </w:r>
          </w:p>
        </w:tc>
        <w:tc>
          <w:tcPr>
            <w:tcW w:w="1312" w:type="pct"/>
            <w:tcBorders>
              <w:top w:val="single" w:sz="4" w:space="0" w:color="auto"/>
              <w:bottom w:val="nil"/>
            </w:tcBorders>
            <w:shd w:val="clear" w:color="auto" w:fill="A6A6A6" w:themeFill="background1" w:themeFillShade="A6"/>
          </w:tcPr>
          <w:p w:rsidR="005B730E" w:rsidRDefault="005B730E" w:rsidP="005B730E">
            <w:pPr>
              <w:pStyle w:val="TableText"/>
              <w:spacing w:before="120"/>
            </w:pPr>
            <w:r>
              <w:t>Senior Researcher</w:t>
            </w:r>
          </w:p>
          <w:p w:rsidR="005B730E" w:rsidRDefault="005B730E" w:rsidP="00FC7918">
            <w:pPr>
              <w:pStyle w:val="TableText"/>
              <w:spacing w:after="120"/>
            </w:pPr>
            <w:r>
              <w:t>(Data collection design, analysis)</w:t>
            </w:r>
          </w:p>
        </w:tc>
        <w:tc>
          <w:tcPr>
            <w:tcW w:w="1574" w:type="pct"/>
            <w:tcBorders>
              <w:top w:val="single" w:sz="4" w:space="0" w:color="auto"/>
              <w:bottom w:val="nil"/>
            </w:tcBorders>
            <w:shd w:val="clear" w:color="auto" w:fill="A6A6A6" w:themeFill="background1" w:themeFillShade="A6"/>
          </w:tcPr>
          <w:p w:rsidR="005B730E" w:rsidRDefault="005B730E" w:rsidP="005B730E">
            <w:pPr>
              <w:pStyle w:val="TableText"/>
              <w:spacing w:before="120"/>
            </w:pPr>
            <w:r>
              <w:t>Mathematica Policy Research</w:t>
            </w:r>
          </w:p>
          <w:p w:rsidR="005B730E" w:rsidRPr="00523A59" w:rsidRDefault="005B730E" w:rsidP="005B730E">
            <w:pPr>
              <w:pStyle w:val="TableText"/>
            </w:pPr>
            <w:r w:rsidRPr="00523A59">
              <w:t>1100 1st Street, NE, 12th Floor</w:t>
            </w:r>
          </w:p>
          <w:p w:rsidR="005B730E" w:rsidRPr="005068F2" w:rsidRDefault="005B730E" w:rsidP="00FC7918">
            <w:pPr>
              <w:pStyle w:val="TableText"/>
            </w:pPr>
            <w:r w:rsidRPr="00523A59">
              <w:t>Washington, DC 20002-4221</w:t>
            </w:r>
          </w:p>
        </w:tc>
        <w:tc>
          <w:tcPr>
            <w:tcW w:w="865" w:type="pct"/>
            <w:tcBorders>
              <w:top w:val="single" w:sz="4" w:space="0" w:color="auto"/>
              <w:bottom w:val="nil"/>
            </w:tcBorders>
            <w:shd w:val="clear" w:color="auto" w:fill="A6A6A6" w:themeFill="background1" w:themeFillShade="A6"/>
          </w:tcPr>
          <w:p w:rsidR="005B730E" w:rsidRDefault="005B730E" w:rsidP="00FC7918">
            <w:pPr>
              <w:pStyle w:val="TableText"/>
              <w:spacing w:before="120" w:after="120"/>
            </w:pPr>
            <w:r>
              <w:t>(202) 484-3282</w:t>
            </w:r>
          </w:p>
        </w:tc>
      </w:tr>
      <w:tr w:rsidR="005B730E" w:rsidTr="002E3E46">
        <w:trPr>
          <w:trHeight w:val="737"/>
        </w:trPr>
        <w:tc>
          <w:tcPr>
            <w:tcW w:w="1249" w:type="pct"/>
            <w:tcBorders>
              <w:top w:val="nil"/>
              <w:bottom w:val="nil"/>
            </w:tcBorders>
            <w:shd w:val="clear" w:color="auto" w:fill="auto"/>
            <w:vAlign w:val="center"/>
          </w:tcPr>
          <w:p w:rsidR="005B730E" w:rsidRDefault="005B730E" w:rsidP="005B730E">
            <w:pPr>
              <w:pStyle w:val="TableText"/>
              <w:spacing w:before="120" w:after="120"/>
            </w:pPr>
            <w:r>
              <w:t>Daniel Friend</w:t>
            </w:r>
          </w:p>
        </w:tc>
        <w:tc>
          <w:tcPr>
            <w:tcW w:w="1312" w:type="pct"/>
            <w:tcBorders>
              <w:top w:val="nil"/>
              <w:bottom w:val="nil"/>
            </w:tcBorders>
            <w:shd w:val="clear" w:color="auto" w:fill="auto"/>
            <w:vAlign w:val="center"/>
          </w:tcPr>
          <w:p w:rsidR="005B730E" w:rsidRDefault="005B730E" w:rsidP="005B730E">
            <w:pPr>
              <w:pStyle w:val="TableText"/>
              <w:spacing w:before="120"/>
            </w:pPr>
            <w:r>
              <w:t>Survey Researcher</w:t>
            </w:r>
          </w:p>
          <w:p w:rsidR="005B730E" w:rsidRDefault="005B730E" w:rsidP="005B730E">
            <w:pPr>
              <w:pStyle w:val="TableText"/>
              <w:spacing w:after="120"/>
            </w:pPr>
            <w:r>
              <w:t xml:space="preserve">(Data collection design, </w:t>
            </w:r>
            <w:r w:rsidRPr="005068F2">
              <w:t>management)</w:t>
            </w:r>
          </w:p>
        </w:tc>
        <w:tc>
          <w:tcPr>
            <w:tcW w:w="1574" w:type="pct"/>
            <w:tcBorders>
              <w:top w:val="nil"/>
              <w:bottom w:val="nil"/>
            </w:tcBorders>
            <w:shd w:val="clear" w:color="auto" w:fill="auto"/>
            <w:vAlign w:val="center"/>
          </w:tcPr>
          <w:p w:rsidR="005B730E" w:rsidRDefault="005B730E" w:rsidP="005B730E">
            <w:pPr>
              <w:pStyle w:val="TableText"/>
            </w:pPr>
            <w:r w:rsidRPr="00993359">
              <w:t>Mathematica Policy Research</w:t>
            </w:r>
          </w:p>
          <w:p w:rsidR="005B730E" w:rsidRPr="00993359" w:rsidRDefault="005B730E" w:rsidP="005B730E">
            <w:pPr>
              <w:pStyle w:val="TableText"/>
            </w:pPr>
            <w:r w:rsidRPr="00993359">
              <w:t>1100 1st Street, NE, 12th Floor</w:t>
            </w:r>
          </w:p>
          <w:p w:rsidR="005B730E" w:rsidRPr="005068F2" w:rsidRDefault="005B730E" w:rsidP="005B730E">
            <w:pPr>
              <w:pStyle w:val="TableText"/>
            </w:pPr>
            <w:r w:rsidRPr="00993359">
              <w:t>Washington, DC 20002-4221</w:t>
            </w:r>
          </w:p>
        </w:tc>
        <w:tc>
          <w:tcPr>
            <w:tcW w:w="865" w:type="pct"/>
            <w:tcBorders>
              <w:top w:val="nil"/>
              <w:bottom w:val="nil"/>
            </w:tcBorders>
            <w:shd w:val="clear" w:color="auto" w:fill="auto"/>
            <w:vAlign w:val="center"/>
          </w:tcPr>
          <w:p w:rsidR="005B730E" w:rsidRDefault="005B730E" w:rsidP="005B730E">
            <w:pPr>
              <w:pStyle w:val="TableText"/>
              <w:spacing w:before="120" w:after="120"/>
            </w:pPr>
            <w:r>
              <w:t>(202) 250-3540</w:t>
            </w:r>
          </w:p>
        </w:tc>
      </w:tr>
      <w:tr w:rsidR="0047686C" w:rsidTr="002E3E46">
        <w:tc>
          <w:tcPr>
            <w:tcW w:w="1249" w:type="pct"/>
            <w:tcBorders>
              <w:top w:val="nil"/>
            </w:tcBorders>
            <w:shd w:val="clear" w:color="auto" w:fill="A6A6A6" w:themeFill="background1" w:themeFillShade="A6"/>
          </w:tcPr>
          <w:p w:rsidR="0047686C" w:rsidRPr="00493083" w:rsidRDefault="0047686C" w:rsidP="00FC7918">
            <w:pPr>
              <w:pStyle w:val="TableText"/>
              <w:spacing w:before="120" w:after="120"/>
            </w:pPr>
            <w:r w:rsidRPr="00493083">
              <w:t>Elizabeth Clary</w:t>
            </w:r>
          </w:p>
        </w:tc>
        <w:tc>
          <w:tcPr>
            <w:tcW w:w="1312" w:type="pct"/>
            <w:tcBorders>
              <w:top w:val="nil"/>
            </w:tcBorders>
            <w:shd w:val="clear" w:color="auto" w:fill="A6A6A6" w:themeFill="background1" w:themeFillShade="A6"/>
          </w:tcPr>
          <w:p w:rsidR="0047686C" w:rsidRDefault="0047686C" w:rsidP="00FC7918">
            <w:pPr>
              <w:pStyle w:val="TableText"/>
              <w:spacing w:before="120"/>
            </w:pPr>
            <w:r>
              <w:t>Research Analyst</w:t>
            </w:r>
          </w:p>
          <w:p w:rsidR="0047686C" w:rsidRDefault="0047686C" w:rsidP="00FC7918">
            <w:pPr>
              <w:pStyle w:val="TableText"/>
              <w:spacing w:after="120"/>
            </w:pPr>
            <w:r>
              <w:t>(Data collection management)</w:t>
            </w:r>
          </w:p>
        </w:tc>
        <w:tc>
          <w:tcPr>
            <w:tcW w:w="1574" w:type="pct"/>
            <w:tcBorders>
              <w:top w:val="nil"/>
            </w:tcBorders>
            <w:shd w:val="clear" w:color="auto" w:fill="A6A6A6" w:themeFill="background1" w:themeFillShade="A6"/>
          </w:tcPr>
          <w:p w:rsidR="0047686C" w:rsidRDefault="0047686C" w:rsidP="00FC7918">
            <w:pPr>
              <w:pStyle w:val="TableText"/>
              <w:spacing w:before="120"/>
            </w:pPr>
            <w:r>
              <w:t>Mathematica Policy Research</w:t>
            </w:r>
          </w:p>
          <w:p w:rsidR="0047686C" w:rsidRPr="00523A59" w:rsidRDefault="0047686C" w:rsidP="00FC7918">
            <w:pPr>
              <w:pStyle w:val="TableText"/>
            </w:pPr>
            <w:r w:rsidRPr="00523A59">
              <w:t>1100 1st Street, NE, 12th Floor</w:t>
            </w:r>
          </w:p>
          <w:p w:rsidR="0047686C" w:rsidRDefault="0047686C" w:rsidP="00FC7918">
            <w:pPr>
              <w:pStyle w:val="TableText"/>
              <w:spacing w:after="120"/>
            </w:pPr>
            <w:r w:rsidRPr="00523A59">
              <w:t>Washington, DC 20002-4221</w:t>
            </w:r>
          </w:p>
        </w:tc>
        <w:tc>
          <w:tcPr>
            <w:tcW w:w="865" w:type="pct"/>
            <w:tcBorders>
              <w:top w:val="nil"/>
            </w:tcBorders>
            <w:shd w:val="clear" w:color="auto" w:fill="A6A6A6" w:themeFill="background1" w:themeFillShade="A6"/>
          </w:tcPr>
          <w:p w:rsidR="0047686C" w:rsidRDefault="0047686C" w:rsidP="00FC7918">
            <w:pPr>
              <w:pStyle w:val="TableText"/>
              <w:spacing w:before="120" w:after="120"/>
            </w:pPr>
            <w:r>
              <w:t>(202) 484-4831</w:t>
            </w:r>
          </w:p>
        </w:tc>
      </w:tr>
      <w:tr w:rsidR="0047686C" w:rsidTr="005B730E">
        <w:tc>
          <w:tcPr>
            <w:tcW w:w="1249" w:type="pct"/>
            <w:shd w:val="clear" w:color="auto" w:fill="auto"/>
          </w:tcPr>
          <w:p w:rsidR="0047686C" w:rsidRPr="00493083" w:rsidRDefault="0047686C" w:rsidP="00FC7918">
            <w:pPr>
              <w:pStyle w:val="TableText"/>
              <w:spacing w:before="120" w:after="120"/>
            </w:pPr>
            <w:r w:rsidRPr="00493083">
              <w:t xml:space="preserve">Rhoda Cohen </w:t>
            </w:r>
          </w:p>
        </w:tc>
        <w:tc>
          <w:tcPr>
            <w:tcW w:w="1312" w:type="pct"/>
            <w:shd w:val="clear" w:color="auto" w:fill="auto"/>
          </w:tcPr>
          <w:p w:rsidR="0047686C" w:rsidRDefault="0047686C" w:rsidP="00FC7918">
            <w:pPr>
              <w:pStyle w:val="TableText"/>
              <w:spacing w:before="120"/>
            </w:pPr>
            <w:r>
              <w:t xml:space="preserve">Senior Survey Researcher </w:t>
            </w:r>
          </w:p>
          <w:p w:rsidR="0047686C" w:rsidRDefault="0047686C" w:rsidP="00FC7918">
            <w:pPr>
              <w:pStyle w:val="TableText"/>
              <w:spacing w:after="120"/>
            </w:pPr>
            <w:r>
              <w:t>(Data collection design, management)</w:t>
            </w:r>
          </w:p>
        </w:tc>
        <w:tc>
          <w:tcPr>
            <w:tcW w:w="1574" w:type="pct"/>
            <w:shd w:val="clear" w:color="auto" w:fill="auto"/>
          </w:tcPr>
          <w:p w:rsidR="0047686C" w:rsidRDefault="0047686C" w:rsidP="00FC7918">
            <w:pPr>
              <w:pStyle w:val="TableText"/>
              <w:spacing w:before="120"/>
            </w:pPr>
            <w:r>
              <w:t>Mathematica Policy Research</w:t>
            </w:r>
          </w:p>
          <w:p w:rsidR="0047686C" w:rsidRDefault="0047686C" w:rsidP="00FC7918">
            <w:pPr>
              <w:pStyle w:val="TableText"/>
            </w:pPr>
            <w:r>
              <w:t>600 Alexander Park</w:t>
            </w:r>
          </w:p>
          <w:p w:rsidR="0047686C" w:rsidRDefault="0047686C" w:rsidP="00FC7918">
            <w:pPr>
              <w:pStyle w:val="TableText"/>
              <w:spacing w:after="120"/>
            </w:pPr>
            <w:r>
              <w:t>Princeton, NJ 08540</w:t>
            </w:r>
          </w:p>
        </w:tc>
        <w:tc>
          <w:tcPr>
            <w:tcW w:w="865" w:type="pct"/>
            <w:shd w:val="clear" w:color="auto" w:fill="auto"/>
          </w:tcPr>
          <w:p w:rsidR="0047686C" w:rsidRDefault="0047686C" w:rsidP="00FC7918">
            <w:pPr>
              <w:pStyle w:val="TableText"/>
              <w:spacing w:before="120" w:after="120"/>
            </w:pPr>
            <w:r>
              <w:t>(609) 275-2324</w:t>
            </w:r>
          </w:p>
        </w:tc>
      </w:tr>
      <w:tr w:rsidR="0047686C" w:rsidTr="005B730E">
        <w:tc>
          <w:tcPr>
            <w:tcW w:w="1249" w:type="pct"/>
            <w:shd w:val="clear" w:color="auto" w:fill="A6A6A6" w:themeFill="background1" w:themeFillShade="A6"/>
          </w:tcPr>
          <w:p w:rsidR="0047686C" w:rsidRPr="00493083" w:rsidRDefault="0047686C" w:rsidP="00FC7918">
            <w:pPr>
              <w:pStyle w:val="TableText"/>
              <w:spacing w:before="120" w:after="120"/>
            </w:pPr>
            <w:r w:rsidRPr="00493083">
              <w:t>Mindy Hu</w:t>
            </w:r>
          </w:p>
        </w:tc>
        <w:tc>
          <w:tcPr>
            <w:tcW w:w="1312" w:type="pct"/>
            <w:shd w:val="clear" w:color="auto" w:fill="A6A6A6" w:themeFill="background1" w:themeFillShade="A6"/>
          </w:tcPr>
          <w:p w:rsidR="0047686C" w:rsidRDefault="0047686C" w:rsidP="00FC7918">
            <w:pPr>
              <w:pStyle w:val="TableText"/>
              <w:spacing w:before="120"/>
            </w:pPr>
            <w:r>
              <w:t xml:space="preserve">Survey Specialist </w:t>
            </w:r>
          </w:p>
          <w:p w:rsidR="0047686C" w:rsidRDefault="0047686C" w:rsidP="00FC7918">
            <w:pPr>
              <w:pStyle w:val="TableText"/>
              <w:spacing w:after="120"/>
            </w:pPr>
            <w:r>
              <w:t>(Data collection design, management)</w:t>
            </w:r>
          </w:p>
        </w:tc>
        <w:tc>
          <w:tcPr>
            <w:tcW w:w="1574" w:type="pct"/>
            <w:shd w:val="clear" w:color="auto" w:fill="A6A6A6" w:themeFill="background1" w:themeFillShade="A6"/>
          </w:tcPr>
          <w:p w:rsidR="0047686C" w:rsidRDefault="0047686C" w:rsidP="00FC7918">
            <w:pPr>
              <w:pStyle w:val="TableText"/>
              <w:spacing w:before="120"/>
            </w:pPr>
            <w:r>
              <w:t>Mathematica Policy Research</w:t>
            </w:r>
          </w:p>
          <w:p w:rsidR="0047686C" w:rsidRDefault="0047686C" w:rsidP="00FC7918">
            <w:pPr>
              <w:pStyle w:val="TableText"/>
            </w:pPr>
            <w:r>
              <w:t xml:space="preserve">505 14th Street </w:t>
            </w:r>
          </w:p>
          <w:p w:rsidR="0047686C" w:rsidRDefault="0047686C" w:rsidP="00FC7918">
            <w:pPr>
              <w:pStyle w:val="TableText"/>
            </w:pPr>
            <w:r>
              <w:t>Suite 800</w:t>
            </w:r>
          </w:p>
          <w:p w:rsidR="0047686C" w:rsidRDefault="0047686C" w:rsidP="00FC7918">
            <w:pPr>
              <w:pStyle w:val="TableText"/>
              <w:spacing w:after="120"/>
            </w:pPr>
            <w:r>
              <w:t>Oakland, CA 94612</w:t>
            </w:r>
          </w:p>
        </w:tc>
        <w:tc>
          <w:tcPr>
            <w:tcW w:w="865" w:type="pct"/>
            <w:shd w:val="clear" w:color="auto" w:fill="A6A6A6" w:themeFill="background1" w:themeFillShade="A6"/>
          </w:tcPr>
          <w:p w:rsidR="0047686C" w:rsidRDefault="0047686C" w:rsidP="00FC7918">
            <w:pPr>
              <w:pStyle w:val="TableText"/>
              <w:spacing w:before="120" w:after="120"/>
            </w:pPr>
            <w:r>
              <w:t>(510) 830-3710</w:t>
            </w:r>
          </w:p>
        </w:tc>
      </w:tr>
      <w:tr w:rsidR="0047686C" w:rsidTr="005B730E">
        <w:tc>
          <w:tcPr>
            <w:tcW w:w="1249" w:type="pct"/>
            <w:shd w:val="clear" w:color="auto" w:fill="auto"/>
          </w:tcPr>
          <w:p w:rsidR="0047686C" w:rsidRPr="00493083" w:rsidRDefault="0047686C" w:rsidP="00FC7918">
            <w:pPr>
              <w:pStyle w:val="TableText"/>
              <w:spacing w:before="120" w:after="120"/>
            </w:pPr>
            <w:r w:rsidRPr="00493083">
              <w:t>Jennifer McNulty</w:t>
            </w:r>
          </w:p>
        </w:tc>
        <w:tc>
          <w:tcPr>
            <w:tcW w:w="1312" w:type="pct"/>
            <w:shd w:val="clear" w:color="auto" w:fill="auto"/>
          </w:tcPr>
          <w:p w:rsidR="0047686C" w:rsidRDefault="0047686C" w:rsidP="00FC7918">
            <w:pPr>
              <w:pStyle w:val="TableText"/>
              <w:spacing w:before="120"/>
            </w:pPr>
            <w:r>
              <w:t>Senior Programmer</w:t>
            </w:r>
          </w:p>
          <w:p w:rsidR="0047686C" w:rsidRDefault="0047686C" w:rsidP="00FC7918">
            <w:pPr>
              <w:pStyle w:val="TableText"/>
              <w:spacing w:after="120"/>
            </w:pPr>
            <w:r>
              <w:t>(Data collection programming)</w:t>
            </w:r>
          </w:p>
        </w:tc>
        <w:tc>
          <w:tcPr>
            <w:tcW w:w="1574" w:type="pct"/>
            <w:shd w:val="clear" w:color="auto" w:fill="auto"/>
          </w:tcPr>
          <w:p w:rsidR="0047686C" w:rsidRDefault="0047686C" w:rsidP="00FC7918">
            <w:pPr>
              <w:pStyle w:val="TableText"/>
              <w:spacing w:before="120"/>
            </w:pPr>
            <w:r>
              <w:t>Mathematica Policy Research</w:t>
            </w:r>
          </w:p>
          <w:p w:rsidR="0047686C" w:rsidRDefault="0047686C" w:rsidP="00FC7918">
            <w:pPr>
              <w:pStyle w:val="TableText"/>
            </w:pPr>
            <w:r>
              <w:t>600 Alexander Park</w:t>
            </w:r>
          </w:p>
          <w:p w:rsidR="0047686C" w:rsidRDefault="0047686C" w:rsidP="00FC7918">
            <w:pPr>
              <w:pStyle w:val="TableText"/>
              <w:spacing w:after="120"/>
            </w:pPr>
            <w:r>
              <w:t>Princeton, NJ 08540</w:t>
            </w:r>
          </w:p>
        </w:tc>
        <w:tc>
          <w:tcPr>
            <w:tcW w:w="865" w:type="pct"/>
            <w:shd w:val="clear" w:color="auto" w:fill="auto"/>
          </w:tcPr>
          <w:p w:rsidR="0047686C" w:rsidRDefault="0047686C" w:rsidP="00FC7918">
            <w:pPr>
              <w:pStyle w:val="TableText"/>
              <w:spacing w:before="120" w:after="120"/>
            </w:pPr>
            <w:r>
              <w:t>(609) 716-4545</w:t>
            </w:r>
          </w:p>
        </w:tc>
      </w:tr>
      <w:tr w:rsidR="0047686C" w:rsidTr="005B730E">
        <w:tc>
          <w:tcPr>
            <w:tcW w:w="1249" w:type="pct"/>
            <w:shd w:val="clear" w:color="auto" w:fill="A6A6A6" w:themeFill="background1" w:themeFillShade="A6"/>
          </w:tcPr>
          <w:p w:rsidR="0047686C" w:rsidRPr="00493083" w:rsidRDefault="0047686C" w:rsidP="00FC7918">
            <w:pPr>
              <w:pStyle w:val="TableText"/>
              <w:spacing w:before="120" w:after="120"/>
            </w:pPr>
            <w:r w:rsidRPr="00493083">
              <w:t>Elizabeth Potamites</w:t>
            </w:r>
          </w:p>
        </w:tc>
        <w:tc>
          <w:tcPr>
            <w:tcW w:w="1312" w:type="pct"/>
            <w:shd w:val="clear" w:color="auto" w:fill="A6A6A6" w:themeFill="background1" w:themeFillShade="A6"/>
          </w:tcPr>
          <w:p w:rsidR="0047686C" w:rsidRDefault="0047686C" w:rsidP="00FC7918">
            <w:pPr>
              <w:pStyle w:val="TableText"/>
              <w:spacing w:before="120"/>
            </w:pPr>
            <w:r>
              <w:t>Researcher</w:t>
            </w:r>
          </w:p>
          <w:p w:rsidR="0047686C" w:rsidRDefault="0047686C" w:rsidP="00FC7918">
            <w:pPr>
              <w:pStyle w:val="TableText"/>
              <w:spacing w:after="120"/>
            </w:pPr>
            <w:r>
              <w:t>(Data collection design, analysis)</w:t>
            </w:r>
          </w:p>
        </w:tc>
        <w:tc>
          <w:tcPr>
            <w:tcW w:w="1574" w:type="pct"/>
            <w:shd w:val="clear" w:color="auto" w:fill="A6A6A6" w:themeFill="background1" w:themeFillShade="A6"/>
          </w:tcPr>
          <w:p w:rsidR="0047686C" w:rsidRDefault="0047686C" w:rsidP="00FC7918">
            <w:pPr>
              <w:pStyle w:val="TableText"/>
              <w:spacing w:before="120"/>
            </w:pPr>
            <w:r>
              <w:t xml:space="preserve">111 East </w:t>
            </w:r>
            <w:proofErr w:type="spellStart"/>
            <w:r>
              <w:t>Wacker</w:t>
            </w:r>
            <w:proofErr w:type="spellEnd"/>
            <w:r>
              <w:t xml:space="preserve"> Dr., </w:t>
            </w:r>
          </w:p>
          <w:p w:rsidR="0047686C" w:rsidRDefault="0047686C" w:rsidP="00FC7918">
            <w:pPr>
              <w:pStyle w:val="TableText"/>
            </w:pPr>
            <w:r>
              <w:t>Suite 920</w:t>
            </w:r>
          </w:p>
          <w:p w:rsidR="0047686C" w:rsidRDefault="0047686C" w:rsidP="00FC7918">
            <w:pPr>
              <w:pStyle w:val="TableText"/>
            </w:pPr>
            <w:r>
              <w:t>Chicago, IL 60601</w:t>
            </w:r>
          </w:p>
        </w:tc>
        <w:tc>
          <w:tcPr>
            <w:tcW w:w="865" w:type="pct"/>
            <w:shd w:val="clear" w:color="auto" w:fill="A6A6A6" w:themeFill="background1" w:themeFillShade="A6"/>
          </w:tcPr>
          <w:p w:rsidR="0047686C" w:rsidRDefault="0047686C" w:rsidP="00FC7918">
            <w:pPr>
              <w:pStyle w:val="TableText"/>
              <w:spacing w:before="120" w:after="120"/>
            </w:pPr>
            <w:r>
              <w:t>(312) 994-1011</w:t>
            </w:r>
          </w:p>
        </w:tc>
      </w:tr>
      <w:tr w:rsidR="0047686C" w:rsidTr="005B730E">
        <w:tc>
          <w:tcPr>
            <w:tcW w:w="1249" w:type="pct"/>
            <w:shd w:val="clear" w:color="auto" w:fill="auto"/>
          </w:tcPr>
          <w:p w:rsidR="0047686C" w:rsidRPr="00493083" w:rsidRDefault="0047686C" w:rsidP="00FC7918">
            <w:pPr>
              <w:pStyle w:val="TableText"/>
              <w:spacing w:before="120" w:after="120"/>
            </w:pPr>
            <w:r w:rsidRPr="00493083">
              <w:t>Emily Sama-Miller</w:t>
            </w:r>
          </w:p>
        </w:tc>
        <w:tc>
          <w:tcPr>
            <w:tcW w:w="1312" w:type="pct"/>
            <w:shd w:val="clear" w:color="auto" w:fill="auto"/>
          </w:tcPr>
          <w:p w:rsidR="0047686C" w:rsidRDefault="0047686C" w:rsidP="00FC7918">
            <w:pPr>
              <w:pStyle w:val="TableText"/>
              <w:spacing w:before="120"/>
            </w:pPr>
            <w:r>
              <w:t>Researcher</w:t>
            </w:r>
          </w:p>
          <w:p w:rsidR="0047686C" w:rsidRDefault="0047686C" w:rsidP="00FC7918">
            <w:pPr>
              <w:pStyle w:val="TableText"/>
              <w:spacing w:after="120"/>
            </w:pPr>
            <w:r>
              <w:t>(Data collection design, analysis)</w:t>
            </w:r>
          </w:p>
        </w:tc>
        <w:tc>
          <w:tcPr>
            <w:tcW w:w="1574" w:type="pct"/>
            <w:shd w:val="clear" w:color="auto" w:fill="auto"/>
          </w:tcPr>
          <w:p w:rsidR="0047686C" w:rsidRDefault="0047686C" w:rsidP="00FC7918">
            <w:pPr>
              <w:pStyle w:val="TableText"/>
              <w:spacing w:before="120"/>
            </w:pPr>
            <w:r>
              <w:t>Mathematica Policy Research</w:t>
            </w:r>
          </w:p>
          <w:p w:rsidR="0047686C" w:rsidRPr="00523A59" w:rsidRDefault="0047686C" w:rsidP="00FC7918">
            <w:pPr>
              <w:pStyle w:val="TableText"/>
            </w:pPr>
            <w:r w:rsidRPr="00523A59">
              <w:t>1100 1st Street, NE, 12th Floor</w:t>
            </w:r>
          </w:p>
          <w:p w:rsidR="0047686C" w:rsidRDefault="0047686C" w:rsidP="00FC7918">
            <w:pPr>
              <w:pStyle w:val="TableText"/>
              <w:spacing w:after="120"/>
            </w:pPr>
            <w:r w:rsidRPr="00523A59">
              <w:t>Washington, DC 20002-4221</w:t>
            </w:r>
          </w:p>
        </w:tc>
        <w:tc>
          <w:tcPr>
            <w:tcW w:w="865" w:type="pct"/>
            <w:shd w:val="clear" w:color="auto" w:fill="auto"/>
          </w:tcPr>
          <w:p w:rsidR="0047686C" w:rsidRDefault="0047686C" w:rsidP="00FC7918">
            <w:pPr>
              <w:pStyle w:val="TableText"/>
              <w:spacing w:before="120" w:after="120"/>
            </w:pPr>
            <w:r>
              <w:t>(202) 484-4512</w:t>
            </w:r>
          </w:p>
        </w:tc>
      </w:tr>
      <w:tr w:rsidR="0047686C" w:rsidTr="005B730E">
        <w:tc>
          <w:tcPr>
            <w:tcW w:w="1249" w:type="pct"/>
            <w:shd w:val="clear" w:color="auto" w:fill="A6A6A6" w:themeFill="background1" w:themeFillShade="A6"/>
          </w:tcPr>
          <w:p w:rsidR="0047686C" w:rsidRDefault="0047686C" w:rsidP="00FC7918">
            <w:pPr>
              <w:pStyle w:val="TableText"/>
              <w:spacing w:before="120" w:after="120"/>
            </w:pPr>
            <w:r w:rsidRPr="00493083">
              <w:t>Bob Dalrymple</w:t>
            </w:r>
          </w:p>
        </w:tc>
        <w:tc>
          <w:tcPr>
            <w:tcW w:w="1312" w:type="pct"/>
            <w:shd w:val="clear" w:color="auto" w:fill="A6A6A6" w:themeFill="background1" w:themeFillShade="A6"/>
          </w:tcPr>
          <w:p w:rsidR="0047686C" w:rsidRPr="00A936A5" w:rsidRDefault="0047686C" w:rsidP="00FC7918">
            <w:pPr>
              <w:pStyle w:val="TableText"/>
              <w:spacing w:before="120" w:after="120"/>
              <w:rPr>
                <w:highlight w:val="yellow"/>
              </w:rPr>
            </w:pPr>
            <w:r w:rsidRPr="002D2611">
              <w:t>Senior Analyst for the Family Programs Staff</w:t>
            </w:r>
          </w:p>
        </w:tc>
        <w:tc>
          <w:tcPr>
            <w:tcW w:w="1574" w:type="pct"/>
            <w:shd w:val="clear" w:color="auto" w:fill="A6A6A6" w:themeFill="background1" w:themeFillShade="A6"/>
          </w:tcPr>
          <w:p w:rsidR="0047686C" w:rsidRPr="002D2611" w:rsidRDefault="0047686C" w:rsidP="00FC7918">
            <w:pPr>
              <w:pStyle w:val="TableText"/>
              <w:spacing w:before="120"/>
              <w:rPr>
                <w:rFonts w:asciiTheme="minorHAnsi" w:hAnsiTheme="minorHAnsi"/>
                <w:szCs w:val="18"/>
              </w:rPr>
            </w:pPr>
            <w:r w:rsidRPr="002D2611">
              <w:rPr>
                <w:rFonts w:asciiTheme="minorHAnsi" w:hAnsiTheme="minorHAnsi"/>
                <w:szCs w:val="18"/>
              </w:rPr>
              <w:t xml:space="preserve">USDA </w:t>
            </w:r>
            <w:r w:rsidRPr="002D2611">
              <w:rPr>
                <w:rFonts w:asciiTheme="minorHAnsi" w:hAnsiTheme="minorHAnsi"/>
                <w:bCs/>
                <w:szCs w:val="18"/>
              </w:rPr>
              <w:t>Food and Nutrition Service, Office of Research and Analysis</w:t>
            </w:r>
            <w:r w:rsidRPr="002D2611">
              <w:rPr>
                <w:rFonts w:asciiTheme="minorHAnsi" w:hAnsiTheme="minorHAnsi"/>
                <w:szCs w:val="18"/>
              </w:rPr>
              <w:t xml:space="preserve"> </w:t>
            </w:r>
          </w:p>
          <w:p w:rsidR="0047686C" w:rsidRPr="002D2611" w:rsidRDefault="0047686C" w:rsidP="00FC7918">
            <w:pPr>
              <w:tabs>
                <w:tab w:val="clear" w:pos="432"/>
                <w:tab w:val="left" w:pos="1627"/>
              </w:tabs>
              <w:spacing w:line="240" w:lineRule="auto"/>
              <w:ind w:firstLine="0"/>
              <w:jc w:val="left"/>
              <w:rPr>
                <w:rFonts w:asciiTheme="minorHAnsi" w:hAnsiTheme="minorHAnsi"/>
                <w:sz w:val="18"/>
                <w:szCs w:val="18"/>
              </w:rPr>
            </w:pPr>
            <w:r w:rsidRPr="002D2611">
              <w:rPr>
                <w:rFonts w:asciiTheme="minorHAnsi" w:hAnsiTheme="minorHAnsi"/>
                <w:sz w:val="18"/>
                <w:szCs w:val="18"/>
              </w:rPr>
              <w:t>3101 Park Center Dr.</w:t>
            </w:r>
          </w:p>
          <w:p w:rsidR="0047686C" w:rsidRPr="005068F2" w:rsidRDefault="0047686C" w:rsidP="00FC7918">
            <w:pPr>
              <w:tabs>
                <w:tab w:val="clear" w:pos="432"/>
                <w:tab w:val="left" w:pos="1627"/>
              </w:tabs>
              <w:spacing w:after="120" w:line="240" w:lineRule="auto"/>
              <w:ind w:firstLine="0"/>
              <w:jc w:val="left"/>
              <w:rPr>
                <w:rFonts w:asciiTheme="minorHAnsi" w:hAnsiTheme="minorHAnsi"/>
                <w:sz w:val="18"/>
                <w:szCs w:val="18"/>
              </w:rPr>
            </w:pPr>
            <w:r w:rsidRPr="002D2611">
              <w:rPr>
                <w:rFonts w:asciiTheme="minorHAnsi" w:hAnsiTheme="minorHAnsi"/>
                <w:sz w:val="18"/>
                <w:szCs w:val="18"/>
              </w:rPr>
              <w:t>Alexandria, VA  22302</w:t>
            </w:r>
          </w:p>
        </w:tc>
        <w:tc>
          <w:tcPr>
            <w:tcW w:w="865" w:type="pct"/>
            <w:shd w:val="clear" w:color="auto" w:fill="A6A6A6" w:themeFill="background1" w:themeFillShade="A6"/>
          </w:tcPr>
          <w:p w:rsidR="0047686C" w:rsidRDefault="0047686C" w:rsidP="00FC7918">
            <w:pPr>
              <w:pStyle w:val="TableText"/>
              <w:spacing w:before="120" w:after="120"/>
            </w:pPr>
            <w:r>
              <w:rPr>
                <w:bCs/>
              </w:rPr>
              <w:t>703-305-212</w:t>
            </w:r>
            <w:r w:rsidRPr="002D2611">
              <w:rPr>
                <w:bCs/>
              </w:rPr>
              <w:t>2</w:t>
            </w:r>
          </w:p>
        </w:tc>
      </w:tr>
      <w:tr w:rsidR="005B730E" w:rsidTr="002E3E46">
        <w:tc>
          <w:tcPr>
            <w:tcW w:w="1249" w:type="pct"/>
            <w:shd w:val="clear" w:color="auto" w:fill="auto"/>
          </w:tcPr>
          <w:p w:rsidR="005B730E" w:rsidRPr="00493083" w:rsidRDefault="005B730E" w:rsidP="00FC7918">
            <w:pPr>
              <w:pStyle w:val="TableText"/>
              <w:spacing w:before="120" w:after="120"/>
            </w:pPr>
            <w:r>
              <w:t xml:space="preserve">Tom </w:t>
            </w:r>
            <w:proofErr w:type="spellStart"/>
            <w:r>
              <w:t>Pordugal</w:t>
            </w:r>
            <w:proofErr w:type="spellEnd"/>
          </w:p>
        </w:tc>
        <w:tc>
          <w:tcPr>
            <w:tcW w:w="1312" w:type="pct"/>
            <w:shd w:val="clear" w:color="auto" w:fill="auto"/>
          </w:tcPr>
          <w:p w:rsidR="005B730E" w:rsidRPr="002D2611" w:rsidRDefault="005B730E" w:rsidP="00FC7918">
            <w:pPr>
              <w:pStyle w:val="TableText"/>
              <w:spacing w:before="120" w:after="120"/>
            </w:pPr>
          </w:p>
        </w:tc>
        <w:tc>
          <w:tcPr>
            <w:tcW w:w="1574" w:type="pct"/>
            <w:shd w:val="clear" w:color="auto" w:fill="auto"/>
          </w:tcPr>
          <w:p w:rsidR="005B730E" w:rsidRDefault="001661ED" w:rsidP="00FC7918">
            <w:pPr>
              <w:pStyle w:val="TableText"/>
              <w:spacing w:before="120"/>
              <w:rPr>
                <w:rFonts w:asciiTheme="minorHAnsi" w:hAnsiTheme="minorHAnsi"/>
                <w:szCs w:val="18"/>
              </w:rPr>
            </w:pPr>
            <w:r>
              <w:rPr>
                <w:rFonts w:asciiTheme="minorHAnsi" w:hAnsiTheme="minorHAnsi"/>
                <w:szCs w:val="18"/>
              </w:rPr>
              <w:t xml:space="preserve">USDA, </w:t>
            </w:r>
            <w:r w:rsidRPr="001661ED">
              <w:rPr>
                <w:rFonts w:asciiTheme="minorHAnsi" w:hAnsiTheme="minorHAnsi"/>
                <w:szCs w:val="18"/>
              </w:rPr>
              <w:t>National Agricultural Statistics Service</w:t>
            </w:r>
            <w:r>
              <w:rPr>
                <w:rFonts w:asciiTheme="minorHAnsi" w:hAnsiTheme="minorHAnsi"/>
                <w:szCs w:val="18"/>
              </w:rPr>
              <w:t>, Statistical Methods Branch</w:t>
            </w:r>
          </w:p>
          <w:p w:rsidR="001661ED" w:rsidRDefault="001661ED" w:rsidP="00FC7918">
            <w:pPr>
              <w:pStyle w:val="TableText"/>
              <w:spacing w:before="120"/>
              <w:rPr>
                <w:rFonts w:asciiTheme="minorHAnsi" w:hAnsiTheme="minorHAnsi"/>
                <w:szCs w:val="18"/>
              </w:rPr>
            </w:pPr>
            <w:r>
              <w:rPr>
                <w:rFonts w:asciiTheme="minorHAnsi" w:hAnsiTheme="minorHAnsi"/>
                <w:szCs w:val="18"/>
              </w:rPr>
              <w:t>1400 Independence Ave., SW</w:t>
            </w:r>
          </w:p>
          <w:p w:rsidR="001661ED" w:rsidRPr="002D2611" w:rsidRDefault="001661ED" w:rsidP="00FC7918">
            <w:pPr>
              <w:pStyle w:val="TableText"/>
              <w:spacing w:before="120"/>
              <w:rPr>
                <w:rFonts w:asciiTheme="minorHAnsi" w:hAnsiTheme="minorHAnsi"/>
                <w:szCs w:val="18"/>
              </w:rPr>
            </w:pPr>
            <w:r>
              <w:rPr>
                <w:rFonts w:asciiTheme="minorHAnsi" w:hAnsiTheme="minorHAnsi"/>
                <w:szCs w:val="18"/>
              </w:rPr>
              <w:t>Washington, DC 20250</w:t>
            </w:r>
          </w:p>
        </w:tc>
        <w:tc>
          <w:tcPr>
            <w:tcW w:w="865" w:type="pct"/>
            <w:shd w:val="clear" w:color="auto" w:fill="auto"/>
          </w:tcPr>
          <w:p w:rsidR="005B730E" w:rsidRDefault="001661ED" w:rsidP="00FC7918">
            <w:pPr>
              <w:pStyle w:val="TableText"/>
              <w:spacing w:before="120" w:after="120"/>
              <w:rPr>
                <w:bCs/>
              </w:rPr>
            </w:pPr>
            <w:r>
              <w:rPr>
                <w:bCs/>
              </w:rPr>
              <w:t>202-720-7017</w:t>
            </w:r>
          </w:p>
        </w:tc>
      </w:tr>
    </w:tbl>
    <w:p w:rsidR="00E33FB4" w:rsidRPr="0001119F" w:rsidRDefault="00E33FB4" w:rsidP="00FC7918">
      <w:pPr>
        <w:ind w:firstLine="0"/>
      </w:pPr>
    </w:p>
    <w:sectPr w:rsidR="00E33FB4" w:rsidRPr="0001119F" w:rsidSect="00E44DC8">
      <w:footerReference w:type="default" r:id="rId12"/>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994" w:rsidRDefault="00371994">
      <w:pPr>
        <w:spacing w:line="240" w:lineRule="auto"/>
        <w:ind w:firstLine="0"/>
      </w:pPr>
    </w:p>
  </w:endnote>
  <w:endnote w:type="continuationSeparator" w:id="0">
    <w:p w:rsidR="00371994" w:rsidRDefault="00371994">
      <w:pPr>
        <w:spacing w:line="240" w:lineRule="auto"/>
        <w:ind w:firstLine="0"/>
      </w:pPr>
    </w:p>
  </w:endnote>
  <w:endnote w:type="continuationNotice" w:id="1">
    <w:p w:rsidR="00371994" w:rsidRDefault="00371994">
      <w:pPr>
        <w:spacing w:line="240" w:lineRule="auto"/>
        <w:ind w:firstLine="0"/>
      </w:pPr>
    </w:p>
    <w:p w:rsidR="00371994" w:rsidRDefault="00371994"/>
    <w:p w:rsidR="00371994" w:rsidRDefault="00371994">
      <w:r>
        <w:rPr>
          <w:b/>
          <w:snapToGrid w:val="0"/>
        </w:rPr>
        <w:t>DRAFT</w:t>
      </w:r>
      <w:r>
        <w:rPr>
          <w:snapToGrid w:val="0"/>
          <w:sz w:val="16"/>
        </w:rPr>
        <w:t xml:space="preserve"> </w:t>
      </w:r>
      <w:r w:rsidR="0082451B">
        <w:rPr>
          <w:snapToGrid w:val="0"/>
          <w:sz w:val="16"/>
        </w:rPr>
        <w:fldChar w:fldCharType="begin"/>
      </w:r>
      <w:r>
        <w:rPr>
          <w:snapToGrid w:val="0"/>
          <w:sz w:val="16"/>
        </w:rPr>
        <w:instrText xml:space="preserve"> FILENAME \p </w:instrText>
      </w:r>
      <w:r w:rsidR="0082451B">
        <w:rPr>
          <w:snapToGrid w:val="0"/>
          <w:sz w:val="16"/>
        </w:rPr>
        <w:fldChar w:fldCharType="separate"/>
      </w:r>
      <w:r>
        <w:rPr>
          <w:noProof/>
          <w:snapToGrid w:val="0"/>
          <w:sz w:val="16"/>
        </w:rPr>
        <w:t>C:\Users\bdalrymple\AppData\Local\Microsoft\Windows\Temporary Internet Files\Content.Outlook\0OT3RD0Q\10 01 12 OMB_SNAP Extra Help Part B.docx</w:t>
      </w:r>
      <w:r w:rsidR="0082451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994" w:rsidRPr="008F1A3F" w:rsidRDefault="00371994" w:rsidP="00FB2961">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994" w:rsidRPr="008F1A3F" w:rsidRDefault="00371994" w:rsidP="00FB2961">
    <w:pPr>
      <w:pStyle w:val="Footer"/>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81691"/>
      <w:docPartObj>
        <w:docPartGallery w:val="Page Numbers (Bottom of Page)"/>
        <w:docPartUnique/>
      </w:docPartObj>
    </w:sdtPr>
    <w:sdtContent>
      <w:p w:rsidR="00371994" w:rsidRDefault="0082451B">
        <w:pPr>
          <w:pStyle w:val="Footer"/>
          <w:jc w:val="center"/>
        </w:pPr>
        <w:fldSimple w:instr=" PAGE  \* roman  \* MERGEFORMAT ">
          <w:r w:rsidR="00CD3ABD">
            <w:rPr>
              <w:noProof/>
            </w:rPr>
            <w:t>vi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95212"/>
      <w:docPartObj>
        <w:docPartGallery w:val="Page Numbers (Bottom of Page)"/>
        <w:docPartUnique/>
      </w:docPartObj>
    </w:sdtPr>
    <w:sdtContent>
      <w:p w:rsidR="00371994" w:rsidRDefault="0082451B">
        <w:pPr>
          <w:pStyle w:val="Footer"/>
          <w:jc w:val="center"/>
        </w:pPr>
        <w:fldSimple w:instr=" PAGE   \* MERGEFORMAT ">
          <w:r w:rsidR="00CD3ABD">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994" w:rsidRDefault="00371994">
      <w:pPr>
        <w:spacing w:line="240" w:lineRule="auto"/>
        <w:ind w:firstLine="0"/>
      </w:pPr>
      <w:r>
        <w:separator/>
      </w:r>
    </w:p>
  </w:footnote>
  <w:footnote w:type="continuationSeparator" w:id="0">
    <w:p w:rsidR="00371994" w:rsidRDefault="00371994">
      <w:pPr>
        <w:spacing w:line="240" w:lineRule="auto"/>
        <w:ind w:firstLine="0"/>
      </w:pPr>
      <w:r>
        <w:separator/>
      </w:r>
    </w:p>
    <w:p w:rsidR="00371994" w:rsidRDefault="00371994">
      <w:pPr>
        <w:spacing w:line="240" w:lineRule="auto"/>
        <w:ind w:firstLine="0"/>
        <w:rPr>
          <w:i/>
        </w:rPr>
      </w:pPr>
      <w:r>
        <w:rPr>
          <w:i/>
        </w:rPr>
        <w:t>(</w:t>
      </w:r>
      <w:proofErr w:type="gramStart"/>
      <w:r>
        <w:rPr>
          <w:i/>
        </w:rPr>
        <w:t>continued</w:t>
      </w:r>
      <w:proofErr w:type="gramEnd"/>
      <w:r>
        <w:rPr>
          <w:i/>
        </w:rPr>
        <w:t>)</w:t>
      </w:r>
    </w:p>
  </w:footnote>
  <w:footnote w:type="continuationNotice" w:id="1">
    <w:p w:rsidR="00371994" w:rsidRDefault="0037199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994" w:rsidRPr="00707A91" w:rsidRDefault="00371994" w:rsidP="00707A91">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F7513D4"/>
    <w:multiLevelType w:val="hybridMultilevel"/>
    <w:tmpl w:val="E0280BAC"/>
    <w:lvl w:ilvl="0" w:tplc="EEB4F4CC">
      <w:start w:val="1"/>
      <w:numFmt w:val="bullet"/>
      <w:pStyle w:val="BulletBlack"/>
      <w:lvlText w:val=""/>
      <w:lvlJc w:val="left"/>
      <w:pPr>
        <w:ind w:left="3744" w:hanging="360"/>
      </w:pPr>
      <w:rPr>
        <w:rFonts w:ascii="Symbol" w:hAnsi="Symbol" w:hint="default"/>
      </w:rPr>
    </w:lvl>
    <w:lvl w:ilvl="1" w:tplc="04090003" w:tentative="1">
      <w:start w:val="1"/>
      <w:numFmt w:val="bullet"/>
      <w:lvlText w:val="o"/>
      <w:lvlJc w:val="left"/>
      <w:pPr>
        <w:ind w:left="4464" w:hanging="360"/>
      </w:pPr>
      <w:rPr>
        <w:rFonts w:ascii="Courier New" w:hAnsi="Courier New" w:cs="Courier New" w:hint="default"/>
      </w:rPr>
    </w:lvl>
    <w:lvl w:ilvl="2" w:tplc="04090005" w:tentative="1">
      <w:start w:val="1"/>
      <w:numFmt w:val="bullet"/>
      <w:lvlText w:val=""/>
      <w:lvlJc w:val="left"/>
      <w:pPr>
        <w:ind w:left="5184" w:hanging="360"/>
      </w:pPr>
      <w:rPr>
        <w:rFonts w:ascii="Wingdings" w:hAnsi="Wingdings" w:hint="default"/>
      </w:rPr>
    </w:lvl>
    <w:lvl w:ilvl="3" w:tplc="04090001" w:tentative="1">
      <w:start w:val="1"/>
      <w:numFmt w:val="bullet"/>
      <w:lvlText w:val=""/>
      <w:lvlJc w:val="left"/>
      <w:pPr>
        <w:ind w:left="5904" w:hanging="360"/>
      </w:pPr>
      <w:rPr>
        <w:rFonts w:ascii="Symbol" w:hAnsi="Symbol" w:hint="default"/>
      </w:rPr>
    </w:lvl>
    <w:lvl w:ilvl="4" w:tplc="04090003" w:tentative="1">
      <w:start w:val="1"/>
      <w:numFmt w:val="bullet"/>
      <w:lvlText w:val="o"/>
      <w:lvlJc w:val="left"/>
      <w:pPr>
        <w:ind w:left="6624" w:hanging="360"/>
      </w:pPr>
      <w:rPr>
        <w:rFonts w:ascii="Courier New" w:hAnsi="Courier New" w:cs="Courier New" w:hint="default"/>
      </w:rPr>
    </w:lvl>
    <w:lvl w:ilvl="5" w:tplc="04090005" w:tentative="1">
      <w:start w:val="1"/>
      <w:numFmt w:val="bullet"/>
      <w:lvlText w:val=""/>
      <w:lvlJc w:val="left"/>
      <w:pPr>
        <w:ind w:left="7344" w:hanging="360"/>
      </w:pPr>
      <w:rPr>
        <w:rFonts w:ascii="Wingdings" w:hAnsi="Wingdings" w:hint="default"/>
      </w:rPr>
    </w:lvl>
    <w:lvl w:ilvl="6" w:tplc="04090001" w:tentative="1">
      <w:start w:val="1"/>
      <w:numFmt w:val="bullet"/>
      <w:lvlText w:val=""/>
      <w:lvlJc w:val="left"/>
      <w:pPr>
        <w:ind w:left="8064" w:hanging="360"/>
      </w:pPr>
      <w:rPr>
        <w:rFonts w:ascii="Symbol" w:hAnsi="Symbol" w:hint="default"/>
      </w:rPr>
    </w:lvl>
    <w:lvl w:ilvl="7" w:tplc="04090003" w:tentative="1">
      <w:start w:val="1"/>
      <w:numFmt w:val="bullet"/>
      <w:lvlText w:val="o"/>
      <w:lvlJc w:val="left"/>
      <w:pPr>
        <w:ind w:left="8784" w:hanging="360"/>
      </w:pPr>
      <w:rPr>
        <w:rFonts w:ascii="Courier New" w:hAnsi="Courier New" w:cs="Courier New" w:hint="default"/>
      </w:rPr>
    </w:lvl>
    <w:lvl w:ilvl="8" w:tplc="04090005" w:tentative="1">
      <w:start w:val="1"/>
      <w:numFmt w:val="bullet"/>
      <w:lvlText w:val=""/>
      <w:lvlJc w:val="left"/>
      <w:pPr>
        <w:ind w:left="9504"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9"/>
  </w:num>
  <w:num w:numId="3">
    <w:abstractNumId w:val="13"/>
  </w:num>
  <w:num w:numId="4">
    <w:abstractNumId w:val="1"/>
  </w:num>
  <w:num w:numId="5">
    <w:abstractNumId w:val="0"/>
  </w:num>
  <w:num w:numId="6">
    <w:abstractNumId w:val="20"/>
  </w:num>
  <w:num w:numId="7">
    <w:abstractNumId w:val="16"/>
  </w:num>
  <w:num w:numId="8">
    <w:abstractNumId w:val="4"/>
  </w:num>
  <w:num w:numId="9">
    <w:abstractNumId w:val="6"/>
  </w:num>
  <w:num w:numId="10">
    <w:abstractNumId w:val="8"/>
  </w:num>
  <w:num w:numId="11">
    <w:abstractNumId w:val="2"/>
  </w:num>
  <w:num w:numId="12">
    <w:abstractNumId w:val="14"/>
  </w:num>
  <w:num w:numId="13">
    <w:abstractNumId w:val="3"/>
  </w:num>
  <w:num w:numId="14">
    <w:abstractNumId w:val="12"/>
  </w:num>
  <w:num w:numId="15">
    <w:abstractNumId w:val="15"/>
  </w:num>
  <w:num w:numId="16">
    <w:abstractNumId w:val="7"/>
  </w:num>
  <w:num w:numId="17">
    <w:abstractNumId w:val="10"/>
    <w:lvlOverride w:ilvl="0">
      <w:startOverride w:val="1"/>
    </w:lvlOverride>
  </w:num>
  <w:num w:numId="18">
    <w:abstractNumId w:val="17"/>
  </w:num>
  <w:num w:numId="19">
    <w:abstractNumId w:val="9"/>
  </w:num>
  <w:num w:numId="20">
    <w:abstractNumId w:val="5"/>
  </w:num>
  <w:num w:numId="21">
    <w:abstractNumId w:val="18"/>
  </w:num>
  <w:num w:numId="22">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64" w:dllVersion="131077" w:nlCheck="1" w:checkStyle="1"/>
  <w:activeWritingStyle w:appName="MSWord" w:lang="en-US"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88129"/>
  </w:hdrShapeDefaults>
  <w:footnotePr>
    <w:footnote w:id="-1"/>
    <w:footnote w:id="0"/>
    <w:footnote w:id="1"/>
  </w:footnotePr>
  <w:endnotePr>
    <w:numFmt w:val="decimal"/>
    <w:endnote w:id="-1"/>
    <w:endnote w:id="0"/>
    <w:endnote w:id="1"/>
  </w:endnotePr>
  <w:compat>
    <w:doNotUseHTMLParagraphAutoSpacing/>
  </w:compat>
  <w:rsids>
    <w:rsidRoot w:val="00421E08"/>
    <w:rsid w:val="000015FB"/>
    <w:rsid w:val="00005F28"/>
    <w:rsid w:val="00006E1F"/>
    <w:rsid w:val="00007CA0"/>
    <w:rsid w:val="0001119F"/>
    <w:rsid w:val="00012372"/>
    <w:rsid w:val="00012863"/>
    <w:rsid w:val="00015A82"/>
    <w:rsid w:val="00017DD1"/>
    <w:rsid w:val="00021A62"/>
    <w:rsid w:val="00026AC6"/>
    <w:rsid w:val="000300AF"/>
    <w:rsid w:val="00037098"/>
    <w:rsid w:val="00046CA3"/>
    <w:rsid w:val="00046E51"/>
    <w:rsid w:val="00052499"/>
    <w:rsid w:val="00053968"/>
    <w:rsid w:val="00056F9C"/>
    <w:rsid w:val="0006234E"/>
    <w:rsid w:val="00063123"/>
    <w:rsid w:val="00063274"/>
    <w:rsid w:val="00063FEF"/>
    <w:rsid w:val="00066AB9"/>
    <w:rsid w:val="000769A1"/>
    <w:rsid w:val="00076CF0"/>
    <w:rsid w:val="00080DFA"/>
    <w:rsid w:val="000812AE"/>
    <w:rsid w:val="00081D47"/>
    <w:rsid w:val="00090529"/>
    <w:rsid w:val="00097FB7"/>
    <w:rsid w:val="000A4439"/>
    <w:rsid w:val="000A544F"/>
    <w:rsid w:val="000B27F7"/>
    <w:rsid w:val="000B2BD0"/>
    <w:rsid w:val="000B3A77"/>
    <w:rsid w:val="000B7E70"/>
    <w:rsid w:val="000C0118"/>
    <w:rsid w:val="000C15B4"/>
    <w:rsid w:val="000C21AF"/>
    <w:rsid w:val="000C70DC"/>
    <w:rsid w:val="000C72F8"/>
    <w:rsid w:val="000D23BB"/>
    <w:rsid w:val="000D59AD"/>
    <w:rsid w:val="000D709F"/>
    <w:rsid w:val="000E1D9E"/>
    <w:rsid w:val="000E20B6"/>
    <w:rsid w:val="000E6D11"/>
    <w:rsid w:val="000F52A3"/>
    <w:rsid w:val="000F79B9"/>
    <w:rsid w:val="001001FA"/>
    <w:rsid w:val="00105D23"/>
    <w:rsid w:val="00105FB2"/>
    <w:rsid w:val="001073C9"/>
    <w:rsid w:val="001110F1"/>
    <w:rsid w:val="001139E9"/>
    <w:rsid w:val="00123EF4"/>
    <w:rsid w:val="00130424"/>
    <w:rsid w:val="0013282C"/>
    <w:rsid w:val="00132E2F"/>
    <w:rsid w:val="001332C0"/>
    <w:rsid w:val="00135AF5"/>
    <w:rsid w:val="00137C45"/>
    <w:rsid w:val="00141646"/>
    <w:rsid w:val="00141705"/>
    <w:rsid w:val="00141A0B"/>
    <w:rsid w:val="001425AF"/>
    <w:rsid w:val="00142AE3"/>
    <w:rsid w:val="00144DA7"/>
    <w:rsid w:val="0015677A"/>
    <w:rsid w:val="00160306"/>
    <w:rsid w:val="00160E09"/>
    <w:rsid w:val="00161156"/>
    <w:rsid w:val="00162191"/>
    <w:rsid w:val="00162C45"/>
    <w:rsid w:val="001661ED"/>
    <w:rsid w:val="00174E3B"/>
    <w:rsid w:val="00181F53"/>
    <w:rsid w:val="001843D0"/>
    <w:rsid w:val="0018564C"/>
    <w:rsid w:val="00191D9D"/>
    <w:rsid w:val="001933B1"/>
    <w:rsid w:val="001A07D4"/>
    <w:rsid w:val="001B360E"/>
    <w:rsid w:val="001B5854"/>
    <w:rsid w:val="001B7611"/>
    <w:rsid w:val="001C5ED8"/>
    <w:rsid w:val="001C6D08"/>
    <w:rsid w:val="001D11DE"/>
    <w:rsid w:val="001D247C"/>
    <w:rsid w:val="001D3C41"/>
    <w:rsid w:val="001D504F"/>
    <w:rsid w:val="001D634E"/>
    <w:rsid w:val="001E045B"/>
    <w:rsid w:val="001E0AB2"/>
    <w:rsid w:val="001E466A"/>
    <w:rsid w:val="001E66F7"/>
    <w:rsid w:val="001E694A"/>
    <w:rsid w:val="001F365D"/>
    <w:rsid w:val="001F5410"/>
    <w:rsid w:val="00200B10"/>
    <w:rsid w:val="00200CC4"/>
    <w:rsid w:val="002053F3"/>
    <w:rsid w:val="0022128F"/>
    <w:rsid w:val="00223990"/>
    <w:rsid w:val="0022402B"/>
    <w:rsid w:val="00236122"/>
    <w:rsid w:val="00237F6F"/>
    <w:rsid w:val="002401CA"/>
    <w:rsid w:val="00243909"/>
    <w:rsid w:val="00243DEE"/>
    <w:rsid w:val="00244706"/>
    <w:rsid w:val="0025182E"/>
    <w:rsid w:val="002529B7"/>
    <w:rsid w:val="002601A7"/>
    <w:rsid w:val="002613D2"/>
    <w:rsid w:val="00264716"/>
    <w:rsid w:val="00267F6C"/>
    <w:rsid w:val="00270385"/>
    <w:rsid w:val="00271B2B"/>
    <w:rsid w:val="00271C24"/>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E3E46"/>
    <w:rsid w:val="002F1E71"/>
    <w:rsid w:val="002F440B"/>
    <w:rsid w:val="002F60A0"/>
    <w:rsid w:val="002F71D4"/>
    <w:rsid w:val="002F7C83"/>
    <w:rsid w:val="00300CE3"/>
    <w:rsid w:val="0030212F"/>
    <w:rsid w:val="003023D4"/>
    <w:rsid w:val="00303CF8"/>
    <w:rsid w:val="0030793D"/>
    <w:rsid w:val="00313671"/>
    <w:rsid w:val="00313E69"/>
    <w:rsid w:val="003142E6"/>
    <w:rsid w:val="00317059"/>
    <w:rsid w:val="00317EDA"/>
    <w:rsid w:val="00320EB3"/>
    <w:rsid w:val="00336A60"/>
    <w:rsid w:val="00342CD8"/>
    <w:rsid w:val="00343A0C"/>
    <w:rsid w:val="00350194"/>
    <w:rsid w:val="00350399"/>
    <w:rsid w:val="00350E63"/>
    <w:rsid w:val="003528C2"/>
    <w:rsid w:val="00353544"/>
    <w:rsid w:val="00353E51"/>
    <w:rsid w:val="00354942"/>
    <w:rsid w:val="00354C34"/>
    <w:rsid w:val="0035674B"/>
    <w:rsid w:val="003607F3"/>
    <w:rsid w:val="00362133"/>
    <w:rsid w:val="00371994"/>
    <w:rsid w:val="00372AB1"/>
    <w:rsid w:val="00374549"/>
    <w:rsid w:val="00381A96"/>
    <w:rsid w:val="00381B5C"/>
    <w:rsid w:val="00386508"/>
    <w:rsid w:val="00394752"/>
    <w:rsid w:val="003A1506"/>
    <w:rsid w:val="003A1774"/>
    <w:rsid w:val="003A17E0"/>
    <w:rsid w:val="003A26BB"/>
    <w:rsid w:val="003A59B6"/>
    <w:rsid w:val="003B1FFC"/>
    <w:rsid w:val="003B303A"/>
    <w:rsid w:val="003C0A5F"/>
    <w:rsid w:val="003C27A1"/>
    <w:rsid w:val="003C57EB"/>
    <w:rsid w:val="003D77B2"/>
    <w:rsid w:val="003E0A97"/>
    <w:rsid w:val="003E0D48"/>
    <w:rsid w:val="003E10A4"/>
    <w:rsid w:val="003E3B72"/>
    <w:rsid w:val="003E4DE6"/>
    <w:rsid w:val="00401627"/>
    <w:rsid w:val="0040780A"/>
    <w:rsid w:val="00407BBB"/>
    <w:rsid w:val="00410D8F"/>
    <w:rsid w:val="00410F60"/>
    <w:rsid w:val="004118E0"/>
    <w:rsid w:val="00412D08"/>
    <w:rsid w:val="00414FF6"/>
    <w:rsid w:val="004178CB"/>
    <w:rsid w:val="00417B7A"/>
    <w:rsid w:val="0042039D"/>
    <w:rsid w:val="00421E08"/>
    <w:rsid w:val="0042391D"/>
    <w:rsid w:val="0042461E"/>
    <w:rsid w:val="004338D1"/>
    <w:rsid w:val="0044551C"/>
    <w:rsid w:val="00446472"/>
    <w:rsid w:val="00446CE2"/>
    <w:rsid w:val="00447C62"/>
    <w:rsid w:val="00450873"/>
    <w:rsid w:val="00455C7B"/>
    <w:rsid w:val="00461110"/>
    <w:rsid w:val="00463045"/>
    <w:rsid w:val="00474405"/>
    <w:rsid w:val="0047478B"/>
    <w:rsid w:val="00475483"/>
    <w:rsid w:val="0047686C"/>
    <w:rsid w:val="00476CB1"/>
    <w:rsid w:val="00485065"/>
    <w:rsid w:val="0048692F"/>
    <w:rsid w:val="00490847"/>
    <w:rsid w:val="00492B73"/>
    <w:rsid w:val="00494DE9"/>
    <w:rsid w:val="004A0392"/>
    <w:rsid w:val="004A071B"/>
    <w:rsid w:val="004A46CC"/>
    <w:rsid w:val="004B0D54"/>
    <w:rsid w:val="004D0229"/>
    <w:rsid w:val="004D62CD"/>
    <w:rsid w:val="004E5F4B"/>
    <w:rsid w:val="004E7D79"/>
    <w:rsid w:val="004F0B74"/>
    <w:rsid w:val="004F493C"/>
    <w:rsid w:val="004F7785"/>
    <w:rsid w:val="00513C55"/>
    <w:rsid w:val="00514703"/>
    <w:rsid w:val="00525772"/>
    <w:rsid w:val="00531424"/>
    <w:rsid w:val="00533133"/>
    <w:rsid w:val="005365AE"/>
    <w:rsid w:val="00537F22"/>
    <w:rsid w:val="00542523"/>
    <w:rsid w:val="00555D89"/>
    <w:rsid w:val="0055732B"/>
    <w:rsid w:val="00557FE1"/>
    <w:rsid w:val="005604DC"/>
    <w:rsid w:val="00560F41"/>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1DBC"/>
    <w:rsid w:val="005A3178"/>
    <w:rsid w:val="005A3631"/>
    <w:rsid w:val="005A3D02"/>
    <w:rsid w:val="005A4E2C"/>
    <w:rsid w:val="005A52EB"/>
    <w:rsid w:val="005A66CB"/>
    <w:rsid w:val="005B0472"/>
    <w:rsid w:val="005B730E"/>
    <w:rsid w:val="005C228F"/>
    <w:rsid w:val="005C272F"/>
    <w:rsid w:val="005D01A8"/>
    <w:rsid w:val="005E1375"/>
    <w:rsid w:val="005E4AD0"/>
    <w:rsid w:val="005E7695"/>
    <w:rsid w:val="005F162C"/>
    <w:rsid w:val="005F430F"/>
    <w:rsid w:val="005F53E1"/>
    <w:rsid w:val="00600494"/>
    <w:rsid w:val="006150A8"/>
    <w:rsid w:val="00623B36"/>
    <w:rsid w:val="0062522C"/>
    <w:rsid w:val="00626C58"/>
    <w:rsid w:val="00631F58"/>
    <w:rsid w:val="00635EC3"/>
    <w:rsid w:val="00636860"/>
    <w:rsid w:val="00636F3E"/>
    <w:rsid w:val="00637A61"/>
    <w:rsid w:val="0064008B"/>
    <w:rsid w:val="00641AC0"/>
    <w:rsid w:val="00645FA6"/>
    <w:rsid w:val="00650C2F"/>
    <w:rsid w:val="00656171"/>
    <w:rsid w:val="00656D5D"/>
    <w:rsid w:val="006571CE"/>
    <w:rsid w:val="00657FB0"/>
    <w:rsid w:val="00666769"/>
    <w:rsid w:val="00670448"/>
    <w:rsid w:val="006714AC"/>
    <w:rsid w:val="00671E2B"/>
    <w:rsid w:val="00672F90"/>
    <w:rsid w:val="0067684B"/>
    <w:rsid w:val="00677BF6"/>
    <w:rsid w:val="00682BCD"/>
    <w:rsid w:val="0068692D"/>
    <w:rsid w:val="00690B57"/>
    <w:rsid w:val="006959AF"/>
    <w:rsid w:val="006A28F8"/>
    <w:rsid w:val="006A3DE8"/>
    <w:rsid w:val="006A5367"/>
    <w:rsid w:val="006A65E7"/>
    <w:rsid w:val="006A7614"/>
    <w:rsid w:val="006B0652"/>
    <w:rsid w:val="006B2B5D"/>
    <w:rsid w:val="006B32E4"/>
    <w:rsid w:val="006B43E8"/>
    <w:rsid w:val="006C5B99"/>
    <w:rsid w:val="006C5F78"/>
    <w:rsid w:val="006C6EEE"/>
    <w:rsid w:val="006D413F"/>
    <w:rsid w:val="006D4428"/>
    <w:rsid w:val="006D44FA"/>
    <w:rsid w:val="006D67B8"/>
    <w:rsid w:val="006D6B4E"/>
    <w:rsid w:val="006E2AEF"/>
    <w:rsid w:val="006E3DE1"/>
    <w:rsid w:val="006E5CAD"/>
    <w:rsid w:val="006F053F"/>
    <w:rsid w:val="006F0832"/>
    <w:rsid w:val="006F168E"/>
    <w:rsid w:val="00702D34"/>
    <w:rsid w:val="00707664"/>
    <w:rsid w:val="00707A91"/>
    <w:rsid w:val="00711CA6"/>
    <w:rsid w:val="0071244B"/>
    <w:rsid w:val="00712A21"/>
    <w:rsid w:val="00712ADD"/>
    <w:rsid w:val="00713181"/>
    <w:rsid w:val="00713844"/>
    <w:rsid w:val="0071414E"/>
    <w:rsid w:val="00715BE3"/>
    <w:rsid w:val="00717B10"/>
    <w:rsid w:val="00720A3E"/>
    <w:rsid w:val="00720F11"/>
    <w:rsid w:val="007214EF"/>
    <w:rsid w:val="00723C00"/>
    <w:rsid w:val="007243E6"/>
    <w:rsid w:val="00726DD4"/>
    <w:rsid w:val="00730892"/>
    <w:rsid w:val="00731A4C"/>
    <w:rsid w:val="00742342"/>
    <w:rsid w:val="00742C8C"/>
    <w:rsid w:val="00744CFB"/>
    <w:rsid w:val="0074653C"/>
    <w:rsid w:val="00747001"/>
    <w:rsid w:val="0074778F"/>
    <w:rsid w:val="00747B99"/>
    <w:rsid w:val="007525FD"/>
    <w:rsid w:val="00754E03"/>
    <w:rsid w:val="00763A57"/>
    <w:rsid w:val="00771717"/>
    <w:rsid w:val="00773734"/>
    <w:rsid w:val="007761AF"/>
    <w:rsid w:val="0078127B"/>
    <w:rsid w:val="00784BA2"/>
    <w:rsid w:val="00784E77"/>
    <w:rsid w:val="007906CE"/>
    <w:rsid w:val="007959C1"/>
    <w:rsid w:val="007A5803"/>
    <w:rsid w:val="007B2015"/>
    <w:rsid w:val="007B2F7F"/>
    <w:rsid w:val="007B3FA3"/>
    <w:rsid w:val="007B5799"/>
    <w:rsid w:val="007B6D9E"/>
    <w:rsid w:val="007B705F"/>
    <w:rsid w:val="007C0CD8"/>
    <w:rsid w:val="007C1E2F"/>
    <w:rsid w:val="007C21D9"/>
    <w:rsid w:val="007C3668"/>
    <w:rsid w:val="007C39E6"/>
    <w:rsid w:val="007C4167"/>
    <w:rsid w:val="007C5524"/>
    <w:rsid w:val="007C5F1B"/>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2451B"/>
    <w:rsid w:val="008301AC"/>
    <w:rsid w:val="00833128"/>
    <w:rsid w:val="00833CD8"/>
    <w:rsid w:val="008401D1"/>
    <w:rsid w:val="00840E7C"/>
    <w:rsid w:val="008421A1"/>
    <w:rsid w:val="008432EE"/>
    <w:rsid w:val="00850CF2"/>
    <w:rsid w:val="00851DFB"/>
    <w:rsid w:val="00855573"/>
    <w:rsid w:val="00857845"/>
    <w:rsid w:val="00861F08"/>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17CE7"/>
    <w:rsid w:val="0092134D"/>
    <w:rsid w:val="00931AAF"/>
    <w:rsid w:val="00931BDB"/>
    <w:rsid w:val="00936037"/>
    <w:rsid w:val="00944D67"/>
    <w:rsid w:val="00945642"/>
    <w:rsid w:val="00945D20"/>
    <w:rsid w:val="00951B54"/>
    <w:rsid w:val="00952494"/>
    <w:rsid w:val="009527CF"/>
    <w:rsid w:val="00952FE4"/>
    <w:rsid w:val="00955CD5"/>
    <w:rsid w:val="00956F27"/>
    <w:rsid w:val="0095754B"/>
    <w:rsid w:val="009603FE"/>
    <w:rsid w:val="009672E4"/>
    <w:rsid w:val="00971581"/>
    <w:rsid w:val="00972701"/>
    <w:rsid w:val="00980391"/>
    <w:rsid w:val="00980DB0"/>
    <w:rsid w:val="00984B0B"/>
    <w:rsid w:val="00993359"/>
    <w:rsid w:val="00994EDD"/>
    <w:rsid w:val="00997375"/>
    <w:rsid w:val="009A1591"/>
    <w:rsid w:val="009B0A97"/>
    <w:rsid w:val="009B20BD"/>
    <w:rsid w:val="009B4174"/>
    <w:rsid w:val="009B61A1"/>
    <w:rsid w:val="009C0EAF"/>
    <w:rsid w:val="009C1F87"/>
    <w:rsid w:val="009C4947"/>
    <w:rsid w:val="009C67C5"/>
    <w:rsid w:val="009E4561"/>
    <w:rsid w:val="009E7EE8"/>
    <w:rsid w:val="009F0F58"/>
    <w:rsid w:val="009F3745"/>
    <w:rsid w:val="00A01202"/>
    <w:rsid w:val="00A0718C"/>
    <w:rsid w:val="00A10ACD"/>
    <w:rsid w:val="00A129F1"/>
    <w:rsid w:val="00A26CF0"/>
    <w:rsid w:val="00A274D2"/>
    <w:rsid w:val="00A3046E"/>
    <w:rsid w:val="00A31BC3"/>
    <w:rsid w:val="00A3304F"/>
    <w:rsid w:val="00A356E7"/>
    <w:rsid w:val="00A36752"/>
    <w:rsid w:val="00A37976"/>
    <w:rsid w:val="00A42745"/>
    <w:rsid w:val="00A43B1C"/>
    <w:rsid w:val="00A459E9"/>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85ACB"/>
    <w:rsid w:val="00A91891"/>
    <w:rsid w:val="00A9613A"/>
    <w:rsid w:val="00A973B2"/>
    <w:rsid w:val="00AB0F92"/>
    <w:rsid w:val="00AB567E"/>
    <w:rsid w:val="00AB5847"/>
    <w:rsid w:val="00AC08A8"/>
    <w:rsid w:val="00AC3943"/>
    <w:rsid w:val="00AC4317"/>
    <w:rsid w:val="00AC5E0E"/>
    <w:rsid w:val="00AC5EBF"/>
    <w:rsid w:val="00AC6981"/>
    <w:rsid w:val="00AD4163"/>
    <w:rsid w:val="00AE0C6E"/>
    <w:rsid w:val="00AE3A26"/>
    <w:rsid w:val="00AF1B2F"/>
    <w:rsid w:val="00B106D0"/>
    <w:rsid w:val="00B13000"/>
    <w:rsid w:val="00B20019"/>
    <w:rsid w:val="00B21550"/>
    <w:rsid w:val="00B24137"/>
    <w:rsid w:val="00B31FEF"/>
    <w:rsid w:val="00B325E1"/>
    <w:rsid w:val="00B3588C"/>
    <w:rsid w:val="00B43736"/>
    <w:rsid w:val="00B45919"/>
    <w:rsid w:val="00B46D7A"/>
    <w:rsid w:val="00B528FB"/>
    <w:rsid w:val="00B559AA"/>
    <w:rsid w:val="00B564BC"/>
    <w:rsid w:val="00B62E57"/>
    <w:rsid w:val="00B63270"/>
    <w:rsid w:val="00B64400"/>
    <w:rsid w:val="00B65228"/>
    <w:rsid w:val="00B70CD9"/>
    <w:rsid w:val="00B71319"/>
    <w:rsid w:val="00B714B7"/>
    <w:rsid w:val="00B73CAF"/>
    <w:rsid w:val="00B82337"/>
    <w:rsid w:val="00B82E71"/>
    <w:rsid w:val="00B83493"/>
    <w:rsid w:val="00B84799"/>
    <w:rsid w:val="00B940DD"/>
    <w:rsid w:val="00B95847"/>
    <w:rsid w:val="00B966ED"/>
    <w:rsid w:val="00BA268A"/>
    <w:rsid w:val="00BA3D8F"/>
    <w:rsid w:val="00BA3F68"/>
    <w:rsid w:val="00BA65A5"/>
    <w:rsid w:val="00BB6193"/>
    <w:rsid w:val="00BB6A0B"/>
    <w:rsid w:val="00BB756B"/>
    <w:rsid w:val="00BC15E4"/>
    <w:rsid w:val="00BD1A05"/>
    <w:rsid w:val="00BD1B80"/>
    <w:rsid w:val="00BD5FBC"/>
    <w:rsid w:val="00BE335A"/>
    <w:rsid w:val="00BE79BE"/>
    <w:rsid w:val="00BF024D"/>
    <w:rsid w:val="00BF187B"/>
    <w:rsid w:val="00C02961"/>
    <w:rsid w:val="00C02B5E"/>
    <w:rsid w:val="00C057EF"/>
    <w:rsid w:val="00C07274"/>
    <w:rsid w:val="00C14296"/>
    <w:rsid w:val="00C16B6E"/>
    <w:rsid w:val="00C2333D"/>
    <w:rsid w:val="00C2452C"/>
    <w:rsid w:val="00C2695D"/>
    <w:rsid w:val="00C27110"/>
    <w:rsid w:val="00C32246"/>
    <w:rsid w:val="00C41693"/>
    <w:rsid w:val="00C4260B"/>
    <w:rsid w:val="00C43792"/>
    <w:rsid w:val="00C450AE"/>
    <w:rsid w:val="00C510A3"/>
    <w:rsid w:val="00C51E56"/>
    <w:rsid w:val="00C53387"/>
    <w:rsid w:val="00C546B7"/>
    <w:rsid w:val="00C56ED2"/>
    <w:rsid w:val="00C6623A"/>
    <w:rsid w:val="00C673E2"/>
    <w:rsid w:val="00C70000"/>
    <w:rsid w:val="00C70B6C"/>
    <w:rsid w:val="00C74089"/>
    <w:rsid w:val="00C758F5"/>
    <w:rsid w:val="00C83D63"/>
    <w:rsid w:val="00C90E85"/>
    <w:rsid w:val="00C92E5D"/>
    <w:rsid w:val="00C93509"/>
    <w:rsid w:val="00C9777C"/>
    <w:rsid w:val="00CA0455"/>
    <w:rsid w:val="00CA4A39"/>
    <w:rsid w:val="00CA4C69"/>
    <w:rsid w:val="00CA58CB"/>
    <w:rsid w:val="00CA5BC7"/>
    <w:rsid w:val="00CB137C"/>
    <w:rsid w:val="00CB33AA"/>
    <w:rsid w:val="00CB4E54"/>
    <w:rsid w:val="00CB6AA7"/>
    <w:rsid w:val="00CC215D"/>
    <w:rsid w:val="00CC3F2F"/>
    <w:rsid w:val="00CC4A3E"/>
    <w:rsid w:val="00CC5690"/>
    <w:rsid w:val="00CC602E"/>
    <w:rsid w:val="00CC62E0"/>
    <w:rsid w:val="00CD0EB5"/>
    <w:rsid w:val="00CD3ABD"/>
    <w:rsid w:val="00CD6D27"/>
    <w:rsid w:val="00CD6F65"/>
    <w:rsid w:val="00CE16E0"/>
    <w:rsid w:val="00CF1131"/>
    <w:rsid w:val="00CF39BE"/>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3DD4"/>
    <w:rsid w:val="00D67274"/>
    <w:rsid w:val="00D77566"/>
    <w:rsid w:val="00D90DB4"/>
    <w:rsid w:val="00D94283"/>
    <w:rsid w:val="00DA371A"/>
    <w:rsid w:val="00DA39C5"/>
    <w:rsid w:val="00DA621C"/>
    <w:rsid w:val="00DB3842"/>
    <w:rsid w:val="00DB4896"/>
    <w:rsid w:val="00DB4CA9"/>
    <w:rsid w:val="00DB5A55"/>
    <w:rsid w:val="00DB6227"/>
    <w:rsid w:val="00DB625D"/>
    <w:rsid w:val="00DB72C1"/>
    <w:rsid w:val="00DB783D"/>
    <w:rsid w:val="00DC05C1"/>
    <w:rsid w:val="00DE1DED"/>
    <w:rsid w:val="00DE264C"/>
    <w:rsid w:val="00DE5628"/>
    <w:rsid w:val="00DE6AD2"/>
    <w:rsid w:val="00DE6E1C"/>
    <w:rsid w:val="00DF4385"/>
    <w:rsid w:val="00DF58D9"/>
    <w:rsid w:val="00E00038"/>
    <w:rsid w:val="00E008D5"/>
    <w:rsid w:val="00E03491"/>
    <w:rsid w:val="00E04753"/>
    <w:rsid w:val="00E0544B"/>
    <w:rsid w:val="00E11E24"/>
    <w:rsid w:val="00E12C39"/>
    <w:rsid w:val="00E13871"/>
    <w:rsid w:val="00E16096"/>
    <w:rsid w:val="00E16435"/>
    <w:rsid w:val="00E16A37"/>
    <w:rsid w:val="00E22292"/>
    <w:rsid w:val="00E240C3"/>
    <w:rsid w:val="00E25796"/>
    <w:rsid w:val="00E3155F"/>
    <w:rsid w:val="00E33FB4"/>
    <w:rsid w:val="00E35802"/>
    <w:rsid w:val="00E36FE2"/>
    <w:rsid w:val="00E44DC8"/>
    <w:rsid w:val="00E51F41"/>
    <w:rsid w:val="00E5691B"/>
    <w:rsid w:val="00E601F3"/>
    <w:rsid w:val="00E61505"/>
    <w:rsid w:val="00E6158B"/>
    <w:rsid w:val="00E63ACD"/>
    <w:rsid w:val="00E673D2"/>
    <w:rsid w:val="00E701E0"/>
    <w:rsid w:val="00E72220"/>
    <w:rsid w:val="00E74213"/>
    <w:rsid w:val="00E76CD9"/>
    <w:rsid w:val="00E80549"/>
    <w:rsid w:val="00E85272"/>
    <w:rsid w:val="00E855E5"/>
    <w:rsid w:val="00E90E1B"/>
    <w:rsid w:val="00E91E19"/>
    <w:rsid w:val="00E95106"/>
    <w:rsid w:val="00E95F26"/>
    <w:rsid w:val="00EA023E"/>
    <w:rsid w:val="00EA0EBF"/>
    <w:rsid w:val="00EB2B9E"/>
    <w:rsid w:val="00EC0B2E"/>
    <w:rsid w:val="00ED1CC5"/>
    <w:rsid w:val="00ED47C6"/>
    <w:rsid w:val="00ED585C"/>
    <w:rsid w:val="00ED74EC"/>
    <w:rsid w:val="00ED79BB"/>
    <w:rsid w:val="00EE0957"/>
    <w:rsid w:val="00EE0E4E"/>
    <w:rsid w:val="00EE2864"/>
    <w:rsid w:val="00EE4542"/>
    <w:rsid w:val="00EE4562"/>
    <w:rsid w:val="00EF0715"/>
    <w:rsid w:val="00EF0B95"/>
    <w:rsid w:val="00EF1732"/>
    <w:rsid w:val="00EF3ABF"/>
    <w:rsid w:val="00EF636A"/>
    <w:rsid w:val="00EF6795"/>
    <w:rsid w:val="00EF776D"/>
    <w:rsid w:val="00EF7F86"/>
    <w:rsid w:val="00F03412"/>
    <w:rsid w:val="00F0459C"/>
    <w:rsid w:val="00F1093E"/>
    <w:rsid w:val="00F11FE7"/>
    <w:rsid w:val="00F142BF"/>
    <w:rsid w:val="00F1508D"/>
    <w:rsid w:val="00F20CEF"/>
    <w:rsid w:val="00F27E9D"/>
    <w:rsid w:val="00F30F6D"/>
    <w:rsid w:val="00F31E31"/>
    <w:rsid w:val="00F31F97"/>
    <w:rsid w:val="00F336F6"/>
    <w:rsid w:val="00F35860"/>
    <w:rsid w:val="00F36C1D"/>
    <w:rsid w:val="00F40E54"/>
    <w:rsid w:val="00F42C01"/>
    <w:rsid w:val="00F45261"/>
    <w:rsid w:val="00F5243D"/>
    <w:rsid w:val="00F570F0"/>
    <w:rsid w:val="00F5755F"/>
    <w:rsid w:val="00F62807"/>
    <w:rsid w:val="00F647CA"/>
    <w:rsid w:val="00F70272"/>
    <w:rsid w:val="00F731D3"/>
    <w:rsid w:val="00F96808"/>
    <w:rsid w:val="00F968DD"/>
    <w:rsid w:val="00FA2139"/>
    <w:rsid w:val="00FA63D5"/>
    <w:rsid w:val="00FA7F74"/>
    <w:rsid w:val="00FB0335"/>
    <w:rsid w:val="00FB2961"/>
    <w:rsid w:val="00FB3929"/>
    <w:rsid w:val="00FB6B35"/>
    <w:rsid w:val="00FB6B9E"/>
    <w:rsid w:val="00FC0EF5"/>
    <w:rsid w:val="00FC5611"/>
    <w:rsid w:val="00FC5F8C"/>
    <w:rsid w:val="00FC7918"/>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7686C"/>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47686C"/>
    <w:rPr>
      <w:sz w:val="16"/>
      <w:szCs w:val="16"/>
    </w:rPr>
  </w:style>
  <w:style w:type="paragraph" w:styleId="CommentText">
    <w:name w:val="annotation text"/>
    <w:basedOn w:val="Normal"/>
    <w:link w:val="CommentTextChar"/>
    <w:uiPriority w:val="99"/>
    <w:semiHidden/>
    <w:unhideWhenUsed/>
    <w:rsid w:val="0047686C"/>
    <w:pPr>
      <w:spacing w:line="240" w:lineRule="auto"/>
    </w:pPr>
    <w:rPr>
      <w:sz w:val="20"/>
      <w:szCs w:val="20"/>
    </w:rPr>
  </w:style>
  <w:style w:type="character" w:customStyle="1" w:styleId="CommentTextChar">
    <w:name w:val="Comment Text Char"/>
    <w:basedOn w:val="DefaultParagraphFont"/>
    <w:link w:val="CommentText"/>
    <w:uiPriority w:val="99"/>
    <w:semiHidden/>
    <w:rsid w:val="0047686C"/>
    <w:rPr>
      <w:sz w:val="20"/>
      <w:szCs w:val="20"/>
    </w:rPr>
  </w:style>
  <w:style w:type="paragraph" w:styleId="CommentSubject">
    <w:name w:val="annotation subject"/>
    <w:basedOn w:val="CommentText"/>
    <w:next w:val="CommentText"/>
    <w:link w:val="CommentSubjectChar"/>
    <w:uiPriority w:val="99"/>
    <w:semiHidden/>
    <w:unhideWhenUsed/>
    <w:rsid w:val="00861F08"/>
    <w:rPr>
      <w:b/>
      <w:bCs/>
    </w:rPr>
  </w:style>
  <w:style w:type="character" w:customStyle="1" w:styleId="CommentSubjectChar">
    <w:name w:val="Comment Subject Char"/>
    <w:basedOn w:val="CommentTextChar"/>
    <w:link w:val="CommentSubject"/>
    <w:uiPriority w:val="99"/>
    <w:semiHidden/>
    <w:rsid w:val="00861F08"/>
    <w:rPr>
      <w:b/>
      <w:bCs/>
    </w:rPr>
  </w:style>
  <w:style w:type="character" w:customStyle="1" w:styleId="FooterChar">
    <w:name w:val="Footer Char"/>
    <w:basedOn w:val="DefaultParagraphFont"/>
    <w:link w:val="Footer"/>
    <w:uiPriority w:val="99"/>
    <w:rsid w:val="00931AAF"/>
  </w:style>
  <w:style w:type="paragraph" w:styleId="DocumentMap">
    <w:name w:val="Document Map"/>
    <w:basedOn w:val="Normal"/>
    <w:link w:val="DocumentMapChar"/>
    <w:uiPriority w:val="99"/>
    <w:semiHidden/>
    <w:unhideWhenUsed/>
    <w:rsid w:val="00EB2B9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B2B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1880D-4B29-45A1-9B82-B4F06B25F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4055</Words>
  <Characters>22641</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2012-11-19T21:23:00Z</dcterms:created>
  <dcterms:modified xsi:type="dcterms:W3CDTF">2012-11-19T21:23:00Z</dcterms:modified>
</cp:coreProperties>
</file>