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99" w:rsidRPr="00FE62E6" w:rsidRDefault="006C4999" w:rsidP="006C4999">
      <w:pPr>
        <w:pStyle w:val="BodyTextFirstIndent1"/>
      </w:pPr>
    </w:p>
    <w:p w:rsidR="006C4999" w:rsidRDefault="006C4999" w:rsidP="006C4999">
      <w:pPr>
        <w:pBdr>
          <w:top w:val="single" w:sz="36" w:space="1" w:color="auto"/>
        </w:pBdr>
        <w:jc w:val="center"/>
        <w:rPr>
          <w:rFonts w:ascii="Garamond" w:hAnsi="Garamond"/>
          <w:b/>
          <w:sz w:val="32"/>
          <w:szCs w:val="32"/>
        </w:rPr>
      </w:pPr>
    </w:p>
    <w:p w:rsidR="006C4999" w:rsidRDefault="006C4999" w:rsidP="006C4999">
      <w:pPr>
        <w:pBdr>
          <w:top w:val="single" w:sz="36" w:space="1" w:color="auto"/>
        </w:pBdr>
        <w:jc w:val="center"/>
        <w:rPr>
          <w:rFonts w:ascii="Garamond" w:hAnsi="Garamond"/>
          <w:b/>
          <w:sz w:val="32"/>
          <w:szCs w:val="32"/>
        </w:rPr>
      </w:pPr>
    </w:p>
    <w:p w:rsidR="006C4999" w:rsidRDefault="006C4999" w:rsidP="006C4999">
      <w:pPr>
        <w:pBdr>
          <w:top w:val="single" w:sz="36" w:space="1" w:color="auto"/>
        </w:pBdr>
        <w:jc w:val="center"/>
        <w:rPr>
          <w:rFonts w:ascii="Garamond" w:hAnsi="Garamond"/>
          <w:b/>
          <w:sz w:val="32"/>
          <w:szCs w:val="32"/>
        </w:rPr>
      </w:pPr>
    </w:p>
    <w:p w:rsidR="006C4999" w:rsidRDefault="006C4999" w:rsidP="006C4999">
      <w:pPr>
        <w:pBdr>
          <w:top w:val="single" w:sz="36" w:space="1" w:color="auto"/>
        </w:pBdr>
        <w:jc w:val="center"/>
        <w:rPr>
          <w:rFonts w:ascii="Garamond" w:hAnsi="Garamond"/>
          <w:b/>
          <w:sz w:val="32"/>
          <w:szCs w:val="32"/>
        </w:rPr>
      </w:pPr>
    </w:p>
    <w:p w:rsidR="006C4999" w:rsidRPr="004B4C90" w:rsidRDefault="006C4999" w:rsidP="006C4999">
      <w:pPr>
        <w:pBdr>
          <w:top w:val="single" w:sz="36" w:space="1" w:color="auto"/>
        </w:pBdr>
        <w:jc w:val="center"/>
        <w:rPr>
          <w:b/>
          <w:sz w:val="28"/>
          <w:szCs w:val="28"/>
        </w:rPr>
      </w:pPr>
      <w:r w:rsidRPr="004B4C90">
        <w:rPr>
          <w:b/>
          <w:sz w:val="28"/>
          <w:szCs w:val="28"/>
        </w:rPr>
        <w:t>UNDERSTANDING THE RATES, CAUSES, AND COSTS OF CHURNING</w:t>
      </w:r>
    </w:p>
    <w:p w:rsidR="006C4999" w:rsidRPr="004B4C90" w:rsidRDefault="006C4999" w:rsidP="006C4999">
      <w:pPr>
        <w:pBdr>
          <w:top w:val="single" w:sz="36" w:space="1" w:color="auto"/>
        </w:pBdr>
        <w:jc w:val="center"/>
        <w:rPr>
          <w:b/>
          <w:sz w:val="28"/>
          <w:szCs w:val="28"/>
        </w:rPr>
      </w:pPr>
      <w:r w:rsidRPr="004B4C90">
        <w:rPr>
          <w:b/>
          <w:sz w:val="28"/>
          <w:szCs w:val="28"/>
        </w:rPr>
        <w:t xml:space="preserve"> IN THE SUPPLEMENT</w:t>
      </w:r>
      <w:r>
        <w:rPr>
          <w:b/>
          <w:sz w:val="28"/>
          <w:szCs w:val="28"/>
        </w:rPr>
        <w:t>AL</w:t>
      </w:r>
      <w:r w:rsidRPr="004B4C90">
        <w:rPr>
          <w:b/>
          <w:sz w:val="28"/>
          <w:szCs w:val="28"/>
        </w:rPr>
        <w:t xml:space="preserve"> NUTRITION ASSISTANCE PROGRAM</w:t>
      </w:r>
      <w:r>
        <w:rPr>
          <w:b/>
          <w:sz w:val="28"/>
          <w:szCs w:val="28"/>
        </w:rPr>
        <w:t xml:space="preserve"> (SNAP)</w:t>
      </w:r>
    </w:p>
    <w:p w:rsidR="006C4999" w:rsidRPr="004B4C90" w:rsidRDefault="006C4999" w:rsidP="006C4999">
      <w:pPr>
        <w:pBdr>
          <w:top w:val="single" w:sz="36" w:space="1" w:color="auto"/>
        </w:pBdr>
        <w:jc w:val="center"/>
        <w:rPr>
          <w:b/>
          <w:sz w:val="40"/>
          <w:szCs w:val="40"/>
        </w:rPr>
      </w:pPr>
    </w:p>
    <w:p w:rsidR="006C4999" w:rsidRPr="004B4C90" w:rsidRDefault="006C4999" w:rsidP="006C4999">
      <w:pPr>
        <w:pBdr>
          <w:top w:val="single" w:sz="36" w:space="1" w:color="auto"/>
        </w:pBdr>
        <w:jc w:val="center"/>
        <w:rPr>
          <w:b/>
          <w:sz w:val="28"/>
          <w:szCs w:val="28"/>
        </w:rPr>
      </w:pPr>
      <w:r w:rsidRPr="004B4C90">
        <w:rPr>
          <w:b/>
          <w:sz w:val="28"/>
          <w:szCs w:val="28"/>
        </w:rPr>
        <w:t xml:space="preserve">OMB </w:t>
      </w:r>
      <w:r>
        <w:rPr>
          <w:b/>
          <w:sz w:val="28"/>
          <w:szCs w:val="28"/>
        </w:rPr>
        <w:t xml:space="preserve">CLEARANCE PACKAGE: </w:t>
      </w:r>
    </w:p>
    <w:p w:rsidR="006C4999" w:rsidRPr="005D7BC9" w:rsidRDefault="006C4999" w:rsidP="006C499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r>
        <w:rPr>
          <w:b/>
          <w:sz w:val="28"/>
          <w:szCs w:val="28"/>
        </w:rPr>
        <w:t xml:space="preserve">SUPPORTING STATEMENT, </w:t>
      </w:r>
      <w:r w:rsidRPr="005D7BC9">
        <w:rPr>
          <w:b/>
          <w:sz w:val="28"/>
          <w:szCs w:val="28"/>
        </w:rPr>
        <w:t>P</w:t>
      </w:r>
      <w:r>
        <w:rPr>
          <w:b/>
          <w:sz w:val="28"/>
          <w:szCs w:val="28"/>
        </w:rPr>
        <w:t>ART A</w:t>
      </w:r>
    </w:p>
    <w:p w:rsidR="006C4999" w:rsidRPr="003B2D27" w:rsidRDefault="006C4999" w:rsidP="006C4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Calibri"/>
          <w:sz w:val="26"/>
        </w:rPr>
      </w:pPr>
    </w:p>
    <w:p w:rsidR="006C4999" w:rsidRPr="00BD0A7E" w:rsidRDefault="006C4999" w:rsidP="006C4999">
      <w:pPr>
        <w:pStyle w:val="BodyText3"/>
        <w:spacing w:line="240" w:lineRule="auto"/>
        <w:ind w:left="0"/>
        <w:jc w:val="center"/>
        <w:rPr>
          <w:rFonts w:ascii="Times New Roman" w:hAnsi="Times New Roman"/>
          <w:b w:val="0"/>
          <w:sz w:val="24"/>
        </w:rPr>
      </w:pPr>
      <w:r w:rsidRPr="00BD0A7E">
        <w:rPr>
          <w:rFonts w:ascii="Times New Roman" w:hAnsi="Times New Roman"/>
          <w:b w:val="0"/>
          <w:sz w:val="24"/>
        </w:rPr>
        <w:t>U.S. Department of Agriculture</w:t>
      </w:r>
    </w:p>
    <w:p w:rsidR="006C4999" w:rsidRPr="00BD0A7E" w:rsidRDefault="006C4999" w:rsidP="006C4999">
      <w:pPr>
        <w:pStyle w:val="BodyText3"/>
        <w:spacing w:line="240" w:lineRule="auto"/>
        <w:ind w:left="0"/>
        <w:jc w:val="center"/>
        <w:rPr>
          <w:rFonts w:ascii="Times New Roman" w:hAnsi="Times New Roman"/>
          <w:b w:val="0"/>
          <w:sz w:val="24"/>
        </w:rPr>
      </w:pPr>
      <w:r w:rsidRPr="00BD0A7E">
        <w:rPr>
          <w:rFonts w:ascii="Times New Roman" w:hAnsi="Times New Roman"/>
          <w:b w:val="0"/>
          <w:sz w:val="24"/>
        </w:rPr>
        <w:t>Food and Nutrition Service</w:t>
      </w:r>
    </w:p>
    <w:p w:rsidR="006C4999" w:rsidRPr="00BD0A7E" w:rsidRDefault="006C4999" w:rsidP="006C4999">
      <w:pPr>
        <w:pStyle w:val="BodyText3"/>
        <w:spacing w:line="240" w:lineRule="auto"/>
        <w:ind w:left="0"/>
        <w:jc w:val="center"/>
        <w:rPr>
          <w:rFonts w:ascii="Times New Roman" w:hAnsi="Times New Roman"/>
          <w:b w:val="0"/>
          <w:sz w:val="24"/>
        </w:rPr>
      </w:pPr>
      <w:r w:rsidRPr="00BD0A7E">
        <w:rPr>
          <w:rFonts w:ascii="Times New Roman" w:hAnsi="Times New Roman"/>
          <w:b w:val="0"/>
          <w:sz w:val="24"/>
        </w:rPr>
        <w:t>3101 Park Center Drive</w:t>
      </w:r>
    </w:p>
    <w:p w:rsidR="006C4999" w:rsidRPr="00BD0A7E" w:rsidRDefault="006C4999" w:rsidP="006C4999">
      <w:pPr>
        <w:pStyle w:val="BodyText3"/>
        <w:spacing w:line="240" w:lineRule="auto"/>
        <w:ind w:left="0"/>
        <w:jc w:val="center"/>
        <w:rPr>
          <w:rFonts w:ascii="Times New Roman" w:hAnsi="Times New Roman"/>
          <w:b w:val="0"/>
          <w:sz w:val="24"/>
        </w:rPr>
      </w:pPr>
      <w:r w:rsidRPr="00BD0A7E">
        <w:rPr>
          <w:rFonts w:ascii="Times New Roman" w:hAnsi="Times New Roman"/>
          <w:b w:val="0"/>
          <w:sz w:val="24"/>
        </w:rPr>
        <w:t>Alexandria, VA 22302</w:t>
      </w:r>
    </w:p>
    <w:p w:rsidR="006C4999" w:rsidRPr="00BD0A7E" w:rsidRDefault="006C4999" w:rsidP="006C4999">
      <w:pPr>
        <w:pStyle w:val="BodyText3"/>
        <w:ind w:left="0"/>
        <w:jc w:val="center"/>
        <w:rPr>
          <w:sz w:val="24"/>
        </w:rPr>
      </w:pPr>
    </w:p>
    <w:p w:rsidR="006C4999" w:rsidRPr="00BD0A7E" w:rsidRDefault="006C4999" w:rsidP="006C4999">
      <w:pPr>
        <w:jc w:val="center"/>
      </w:pPr>
    </w:p>
    <w:p w:rsidR="006C4999" w:rsidRPr="00BD0A7E" w:rsidRDefault="006C4999" w:rsidP="006C4999">
      <w:pPr>
        <w:jc w:val="center"/>
      </w:pPr>
    </w:p>
    <w:p w:rsidR="006C4999" w:rsidRPr="00BD0A7E" w:rsidRDefault="006C4999" w:rsidP="006C4999">
      <w:pPr>
        <w:jc w:val="center"/>
      </w:pPr>
    </w:p>
    <w:p w:rsidR="006C4999" w:rsidRPr="00BD0A7E" w:rsidRDefault="006C4999" w:rsidP="006C4999">
      <w:pPr>
        <w:jc w:val="center"/>
      </w:pPr>
    </w:p>
    <w:p w:rsidR="006C4999" w:rsidRPr="00BD0A7E" w:rsidRDefault="00742769" w:rsidP="006C4999">
      <w:pPr>
        <w:jc w:val="center"/>
        <w:rPr>
          <w:b/>
        </w:rPr>
      </w:pPr>
      <w:r>
        <w:t>February 7, 2013</w:t>
      </w:r>
    </w:p>
    <w:p w:rsidR="006C4999" w:rsidRPr="00BD0A7E" w:rsidRDefault="006C4999" w:rsidP="006C4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center"/>
        <w:rPr>
          <w:b/>
        </w:rPr>
      </w:pPr>
    </w:p>
    <w:p w:rsidR="006C4999" w:rsidRPr="00BD0A7E" w:rsidRDefault="006C4999" w:rsidP="006C4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6C4999" w:rsidRPr="00BD0A7E" w:rsidRDefault="006C4999" w:rsidP="006C4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rPr>
      </w:pPr>
    </w:p>
    <w:p w:rsidR="006C4999" w:rsidRPr="00BD0A7E" w:rsidRDefault="006C4999" w:rsidP="006C4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rPr>
      </w:pPr>
    </w:p>
    <w:p w:rsidR="006C4999" w:rsidRPr="00BD0A7E" w:rsidRDefault="006C4999" w:rsidP="006C4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aramond" w:hAnsi="Garamond"/>
        </w:rPr>
      </w:pPr>
    </w:p>
    <w:p w:rsidR="006C4999" w:rsidRPr="000D304A" w:rsidRDefault="006C4999" w:rsidP="006C4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color w:val="006600"/>
        </w:rPr>
      </w:pPr>
    </w:p>
    <w:p w:rsidR="006C4999" w:rsidRPr="0021025F" w:rsidRDefault="006C4999" w:rsidP="006C4999">
      <w:pPr>
        <w:widowControl w:val="0"/>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i/>
        </w:rPr>
      </w:pPr>
      <w:r>
        <w:rPr>
          <w:noProof/>
          <w:color w:val="1F497D"/>
        </w:rPr>
        <w:drawing>
          <wp:inline distT="0" distB="0" distL="0" distR="0">
            <wp:extent cx="2377440" cy="57277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79" r="65385"/>
                    <a:stretch>
                      <a:fillRect/>
                    </a:stretch>
                  </pic:blipFill>
                  <pic:spPr bwMode="auto">
                    <a:xfrm>
                      <a:off x="0" y="0"/>
                      <a:ext cx="2377440" cy="572770"/>
                    </a:xfrm>
                    <a:prstGeom prst="rect">
                      <a:avLst/>
                    </a:prstGeom>
                    <a:noFill/>
                    <a:ln w="9525">
                      <a:noFill/>
                      <a:miter lim="800000"/>
                      <a:headEnd/>
                      <a:tailEnd/>
                    </a:ln>
                  </pic:spPr>
                </pic:pic>
              </a:graphicData>
            </a:graphic>
          </wp:inline>
        </w:drawing>
      </w:r>
    </w:p>
    <w:p w:rsidR="006C4999" w:rsidRPr="006F1306" w:rsidRDefault="006C4999" w:rsidP="006C4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rPr>
      </w:pPr>
    </w:p>
    <w:p w:rsidR="006C4999" w:rsidRPr="006F1306" w:rsidRDefault="006C4999" w:rsidP="006C4999">
      <w:pPr>
        <w:framePr w:w="804" w:h="862" w:hRule="exact" w:hSpace="240" w:vSpace="120" w:wrap="auto" w:vAnchor="text" w:hAnchor="page" w:x="1501" w:y="68"/>
        <w:widowControl w:val="0"/>
        <w:pBdr>
          <w:top w:val="single" w:sz="6" w:space="0" w:color="FFFFFF"/>
          <w:left w:val="single" w:sz="6" w:space="0" w:color="FFFFFF"/>
          <w:bottom w:val="single" w:sz="6" w:space="0" w:color="FFFFFF"/>
          <w:right w:val="single" w:sz="6" w:space="0" w:color="FFFFFF"/>
        </w:pBdr>
      </w:pPr>
    </w:p>
    <w:p w:rsidR="006C4999" w:rsidRPr="006F1306" w:rsidRDefault="006C4999" w:rsidP="006C4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6C4999" w:rsidRPr="006F1306" w:rsidRDefault="006C4999" w:rsidP="006C49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6C4999" w:rsidRPr="006F1306" w:rsidRDefault="006C4999" w:rsidP="006C4999">
      <w:pPr>
        <w:widowControl w:val="0"/>
        <w:pBdr>
          <w:bottom w:val="single" w:sz="36"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9" w:lineRule="exact"/>
        <w:jc w:val="both"/>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6C4999" w:rsidSect="00B06C2C">
          <w:headerReference w:type="default" r:id="rId9"/>
          <w:footerReference w:type="even" r:id="rId10"/>
          <w:footerReference w:type="default" r:id="rId11"/>
          <w:pgSz w:w="12240" w:h="15840" w:code="1"/>
          <w:pgMar w:top="1152" w:right="1152" w:bottom="720" w:left="1152" w:header="720" w:footer="720" w:gutter="0"/>
          <w:pgNumType w:start="1"/>
          <w:cols w:space="720"/>
          <w:noEndnote/>
          <w:titlePg/>
          <w:docGrid w:linePitch="326"/>
        </w:sectPr>
      </w:pPr>
      <w:r>
        <w:rPr>
          <w:b/>
          <w:sz w:val="36"/>
          <w:szCs w:val="36"/>
        </w:rPr>
        <w:tab/>
      </w:r>
    </w:p>
    <w:p w:rsidR="006C4999" w:rsidRDefault="006C4999" w:rsidP="006C4999">
      <w:pPr>
        <w:pStyle w:val="TOCHeading"/>
        <w:rPr>
          <w:rFonts w:ascii="Times New Roman" w:hAnsi="Times New Roman"/>
          <w:color w:val="auto"/>
          <w:sz w:val="32"/>
        </w:rPr>
      </w:pPr>
      <w:r w:rsidRPr="003B2D27">
        <w:rPr>
          <w:rFonts w:ascii="Times New Roman" w:hAnsi="Times New Roman"/>
          <w:color w:val="auto"/>
          <w:sz w:val="32"/>
        </w:rPr>
        <w:lastRenderedPageBreak/>
        <w:t>Table of Contents</w:t>
      </w:r>
    </w:p>
    <w:p w:rsidR="006C4999" w:rsidRPr="003B2D27" w:rsidRDefault="006C4999" w:rsidP="006C4999">
      <w:pPr>
        <w:rPr>
          <w:lang w:eastAsia="ja-JP"/>
        </w:rPr>
      </w:pPr>
    </w:p>
    <w:p w:rsidR="006C4999" w:rsidRPr="00D9057D" w:rsidRDefault="006C4999" w:rsidP="006C4999">
      <w:pPr>
        <w:pStyle w:val="TOC1"/>
      </w:pPr>
      <w:r>
        <w:t>A.</w:t>
      </w:r>
      <w:r w:rsidRPr="00D9057D">
        <w:t xml:space="preserve"> jUSTIFICATION</w:t>
      </w:r>
      <w:r w:rsidRPr="00D9057D">
        <w:tab/>
      </w:r>
      <w:r w:rsidR="00F20C59">
        <w:t>3</w:t>
      </w:r>
    </w:p>
    <w:p w:rsidR="006C4999" w:rsidRDefault="006C4999" w:rsidP="006C4999">
      <w:pPr>
        <w:pStyle w:val="TOC2"/>
        <w:tabs>
          <w:tab w:val="clear" w:pos="2160"/>
          <w:tab w:val="clear" w:pos="8208"/>
          <w:tab w:val="clear" w:pos="8640"/>
          <w:tab w:val="right" w:leader="dot" w:pos="9360"/>
        </w:tabs>
        <w:ind w:left="1080"/>
      </w:pPr>
      <w:r>
        <w:t xml:space="preserve">1. </w:t>
      </w:r>
      <w:r w:rsidRPr="0085626E">
        <w:t>Circumstances Making the Collection of Information Necessary</w:t>
      </w:r>
      <w:r w:rsidRPr="003B2D27">
        <w:tab/>
      </w:r>
      <w:r w:rsidR="00F20C59">
        <w:t>3</w:t>
      </w:r>
    </w:p>
    <w:p w:rsidR="006C4999" w:rsidRDefault="006C4999" w:rsidP="006C4999">
      <w:pPr>
        <w:pStyle w:val="TOC2"/>
        <w:tabs>
          <w:tab w:val="clear" w:pos="2160"/>
          <w:tab w:val="clear" w:pos="8208"/>
          <w:tab w:val="clear" w:pos="8640"/>
          <w:tab w:val="right" w:leader="dot" w:pos="9360"/>
        </w:tabs>
        <w:ind w:left="1080"/>
      </w:pPr>
      <w:r>
        <w:t xml:space="preserve">2. </w:t>
      </w:r>
      <w:r w:rsidRPr="0085626E">
        <w:t>Purpose and Use of Information Collection</w:t>
      </w:r>
      <w:r w:rsidRPr="003B2D27">
        <w:tab/>
      </w:r>
      <w:r w:rsidR="00F20C59">
        <w:t>4</w:t>
      </w:r>
    </w:p>
    <w:p w:rsidR="006C4999" w:rsidRDefault="006C4999" w:rsidP="006C4999">
      <w:pPr>
        <w:pStyle w:val="TOC2"/>
        <w:tabs>
          <w:tab w:val="clear" w:pos="2160"/>
          <w:tab w:val="clear" w:pos="8208"/>
          <w:tab w:val="clear" w:pos="8640"/>
          <w:tab w:val="right" w:leader="dot" w:pos="9360"/>
        </w:tabs>
        <w:ind w:left="1080"/>
      </w:pPr>
      <w:r>
        <w:t xml:space="preserve">3. </w:t>
      </w:r>
      <w:r w:rsidRPr="0085626E">
        <w:t>Use of Information Technology</w:t>
      </w:r>
      <w:r w:rsidRPr="003B2D27">
        <w:tab/>
      </w:r>
      <w:r w:rsidR="00F20C59">
        <w:t>10</w:t>
      </w:r>
    </w:p>
    <w:p w:rsidR="006C4999" w:rsidRDefault="006C4999" w:rsidP="006C4999">
      <w:pPr>
        <w:pStyle w:val="TOC2"/>
        <w:tabs>
          <w:tab w:val="clear" w:pos="2160"/>
          <w:tab w:val="clear" w:pos="8208"/>
          <w:tab w:val="clear" w:pos="8640"/>
          <w:tab w:val="right" w:leader="dot" w:pos="9360"/>
        </w:tabs>
        <w:ind w:left="1080"/>
      </w:pPr>
      <w:r w:rsidRPr="0085626E">
        <w:t>4.</w:t>
      </w:r>
      <w:r>
        <w:t xml:space="preserve"> </w:t>
      </w:r>
      <w:r w:rsidRPr="0085626E">
        <w:t>Efforts to Identify Duplication and Use of Similar Information</w:t>
      </w:r>
      <w:r w:rsidRPr="003B2D27">
        <w:tab/>
      </w:r>
      <w:r w:rsidR="00F20C59">
        <w:t>11</w:t>
      </w:r>
    </w:p>
    <w:p w:rsidR="006C4999" w:rsidRDefault="006C4999" w:rsidP="006C4999">
      <w:pPr>
        <w:pStyle w:val="TOC2"/>
        <w:tabs>
          <w:tab w:val="clear" w:pos="2160"/>
          <w:tab w:val="clear" w:pos="8208"/>
          <w:tab w:val="clear" w:pos="8640"/>
          <w:tab w:val="right" w:leader="dot" w:pos="9360"/>
        </w:tabs>
        <w:ind w:left="1080"/>
      </w:pPr>
      <w:r w:rsidRPr="0085626E">
        <w:t>5.</w:t>
      </w:r>
      <w:r>
        <w:t xml:space="preserve"> </w:t>
      </w:r>
      <w:r w:rsidRPr="0085626E">
        <w:t>Impact on Small Business or Other Small Entities</w:t>
      </w:r>
      <w:r w:rsidRPr="003B2D27">
        <w:tab/>
      </w:r>
      <w:r>
        <w:t>1</w:t>
      </w:r>
      <w:r w:rsidR="00F20C59">
        <w:t>4</w:t>
      </w:r>
    </w:p>
    <w:p w:rsidR="006C4999" w:rsidRDefault="006C4999" w:rsidP="006C4999">
      <w:pPr>
        <w:pStyle w:val="TOC2"/>
        <w:tabs>
          <w:tab w:val="clear" w:pos="2160"/>
          <w:tab w:val="clear" w:pos="8208"/>
          <w:tab w:val="clear" w:pos="8640"/>
          <w:tab w:val="right" w:leader="dot" w:pos="9360"/>
        </w:tabs>
        <w:ind w:left="1080"/>
      </w:pPr>
      <w:r w:rsidRPr="0085626E">
        <w:t>6.</w:t>
      </w:r>
      <w:r>
        <w:t xml:space="preserve"> </w:t>
      </w:r>
      <w:r w:rsidRPr="0085626E">
        <w:t>Consequences If Information Collected Less Frequently</w:t>
      </w:r>
      <w:r w:rsidRPr="003B2D27">
        <w:tab/>
      </w:r>
      <w:r w:rsidR="00052792">
        <w:t>1</w:t>
      </w:r>
      <w:r w:rsidR="00F20C59">
        <w:t>4</w:t>
      </w:r>
    </w:p>
    <w:p w:rsidR="006C4999" w:rsidRDefault="006C4999" w:rsidP="006C4999">
      <w:pPr>
        <w:pStyle w:val="TOC2"/>
        <w:tabs>
          <w:tab w:val="clear" w:pos="2160"/>
          <w:tab w:val="clear" w:pos="8208"/>
          <w:tab w:val="clear" w:pos="8640"/>
          <w:tab w:val="right" w:leader="dot" w:pos="9360"/>
        </w:tabs>
        <w:ind w:left="1080"/>
      </w:pPr>
      <w:r>
        <w:t>7. Consistency with the Guidelines in 5 CFR 1320.5(d)(2)</w:t>
      </w:r>
      <w:r w:rsidRPr="00282EA2">
        <w:t xml:space="preserve"> </w:t>
      </w:r>
      <w:r w:rsidRPr="003B2D27">
        <w:tab/>
      </w:r>
      <w:r>
        <w:t>1</w:t>
      </w:r>
      <w:r w:rsidR="00F20C59">
        <w:t>5</w:t>
      </w:r>
    </w:p>
    <w:p w:rsidR="006C4999" w:rsidRDefault="006C4999" w:rsidP="006C4999">
      <w:pPr>
        <w:pStyle w:val="TOC2"/>
        <w:tabs>
          <w:tab w:val="clear" w:pos="2160"/>
          <w:tab w:val="clear" w:pos="8208"/>
          <w:tab w:val="clear" w:pos="8640"/>
          <w:tab w:val="right" w:leader="dot" w:pos="9360"/>
        </w:tabs>
        <w:ind w:left="1080"/>
      </w:pPr>
      <w:r w:rsidRPr="0085626E">
        <w:t>8.</w:t>
      </w:r>
      <w:r>
        <w:t xml:space="preserve"> </w:t>
      </w:r>
      <w:r w:rsidRPr="0085626E">
        <w:t>Consultation Outside the Agency</w:t>
      </w:r>
      <w:r w:rsidRPr="003B2D27">
        <w:tab/>
      </w:r>
      <w:r>
        <w:t>1</w:t>
      </w:r>
      <w:r w:rsidR="00F20C59">
        <w:t>6</w:t>
      </w:r>
    </w:p>
    <w:p w:rsidR="006C4999" w:rsidRDefault="006C4999" w:rsidP="006C4999">
      <w:pPr>
        <w:pStyle w:val="TOC2"/>
        <w:tabs>
          <w:tab w:val="clear" w:pos="2160"/>
          <w:tab w:val="clear" w:pos="8208"/>
          <w:tab w:val="clear" w:pos="8640"/>
          <w:tab w:val="right" w:leader="dot" w:pos="9360"/>
        </w:tabs>
        <w:ind w:left="1080"/>
      </w:pPr>
      <w:r w:rsidRPr="0085626E">
        <w:t>9.</w:t>
      </w:r>
      <w:r>
        <w:t xml:space="preserve"> </w:t>
      </w:r>
      <w:r w:rsidRPr="0085626E">
        <w:t>Payment to Respondents</w:t>
      </w:r>
      <w:r w:rsidRPr="003B2D27">
        <w:tab/>
      </w:r>
      <w:r w:rsidR="00C80E4E">
        <w:t>1</w:t>
      </w:r>
      <w:r w:rsidR="00F20C59">
        <w:t>6</w:t>
      </w:r>
    </w:p>
    <w:p w:rsidR="006C4999" w:rsidRDefault="006C4999" w:rsidP="006C4999">
      <w:pPr>
        <w:pStyle w:val="TOC2"/>
        <w:tabs>
          <w:tab w:val="clear" w:pos="2160"/>
          <w:tab w:val="clear" w:pos="8208"/>
          <w:tab w:val="clear" w:pos="8640"/>
          <w:tab w:val="right" w:leader="dot" w:pos="9360"/>
        </w:tabs>
        <w:ind w:left="1080"/>
      </w:pPr>
      <w:r w:rsidRPr="0085626E">
        <w:t>10.</w:t>
      </w:r>
      <w:r>
        <w:t xml:space="preserve"> </w:t>
      </w:r>
      <w:r w:rsidRPr="0085626E">
        <w:t>Assurance of Confidentiality</w:t>
      </w:r>
      <w:r w:rsidRPr="003B2D27">
        <w:tab/>
      </w:r>
      <w:r>
        <w:t>1</w:t>
      </w:r>
      <w:r w:rsidR="00F20C59">
        <w:t>7</w:t>
      </w:r>
    </w:p>
    <w:p w:rsidR="006C4999" w:rsidRDefault="006C4999" w:rsidP="006C4999">
      <w:pPr>
        <w:pStyle w:val="TOC2"/>
        <w:tabs>
          <w:tab w:val="clear" w:pos="2160"/>
          <w:tab w:val="clear" w:pos="8208"/>
          <w:tab w:val="clear" w:pos="8640"/>
          <w:tab w:val="right" w:leader="dot" w:pos="9360"/>
        </w:tabs>
        <w:ind w:left="1080"/>
      </w:pPr>
      <w:r w:rsidRPr="0085626E">
        <w:t>11.</w:t>
      </w:r>
      <w:r>
        <w:t xml:space="preserve"> </w:t>
      </w:r>
      <w:r w:rsidRPr="0085626E">
        <w:t>Questions of a Sensitive Nature</w:t>
      </w:r>
      <w:r w:rsidRPr="003B2D27">
        <w:tab/>
      </w:r>
      <w:r w:rsidR="00F20C59">
        <w:t>21</w:t>
      </w:r>
    </w:p>
    <w:p w:rsidR="006C4999" w:rsidRDefault="006C4999" w:rsidP="006C4999">
      <w:pPr>
        <w:pStyle w:val="TOC2"/>
        <w:tabs>
          <w:tab w:val="clear" w:pos="2160"/>
          <w:tab w:val="clear" w:pos="8208"/>
          <w:tab w:val="clear" w:pos="8640"/>
          <w:tab w:val="right" w:leader="dot" w:pos="9360"/>
        </w:tabs>
        <w:ind w:left="1080"/>
      </w:pPr>
      <w:r w:rsidRPr="0085626E">
        <w:t>12.</w:t>
      </w:r>
      <w:r>
        <w:t xml:space="preserve"> </w:t>
      </w:r>
      <w:r w:rsidRPr="0085626E">
        <w:t>Estimates of Annualized Hour Burden</w:t>
      </w:r>
      <w:r w:rsidRPr="003B2D27">
        <w:tab/>
      </w:r>
      <w:r w:rsidR="00F20C59">
        <w:t>21</w:t>
      </w:r>
    </w:p>
    <w:p w:rsidR="006C4999" w:rsidRDefault="006C4999" w:rsidP="006C4999">
      <w:pPr>
        <w:pStyle w:val="TOC2"/>
        <w:tabs>
          <w:tab w:val="clear" w:pos="2160"/>
          <w:tab w:val="clear" w:pos="8208"/>
          <w:tab w:val="clear" w:pos="8640"/>
          <w:tab w:val="right" w:leader="dot" w:pos="9360"/>
        </w:tabs>
        <w:ind w:left="1080"/>
      </w:pPr>
      <w:r w:rsidRPr="0085626E">
        <w:t>13.</w:t>
      </w:r>
      <w:r>
        <w:t xml:space="preserve"> </w:t>
      </w:r>
      <w:r w:rsidRPr="0085626E">
        <w:t>Estimates of Annualized Cost Burden to Respondents</w:t>
      </w:r>
      <w:r w:rsidRPr="003B2D27">
        <w:tab/>
      </w:r>
      <w:r>
        <w:t>2</w:t>
      </w:r>
      <w:r w:rsidR="00F20C59">
        <w:t>8</w:t>
      </w:r>
    </w:p>
    <w:p w:rsidR="006C4999" w:rsidRDefault="006C4999" w:rsidP="006C4999">
      <w:pPr>
        <w:pStyle w:val="TOC2"/>
        <w:tabs>
          <w:tab w:val="clear" w:pos="2160"/>
          <w:tab w:val="clear" w:pos="8208"/>
          <w:tab w:val="clear" w:pos="8640"/>
          <w:tab w:val="right" w:leader="dot" w:pos="9360"/>
        </w:tabs>
        <w:ind w:left="1080"/>
      </w:pPr>
      <w:r w:rsidRPr="0085626E">
        <w:t>14.</w:t>
      </w:r>
      <w:r>
        <w:t xml:space="preserve"> </w:t>
      </w:r>
      <w:r w:rsidRPr="0085626E">
        <w:t>Estimates of Annualized Cost to the Government</w:t>
      </w:r>
      <w:r w:rsidRPr="003B2D27">
        <w:tab/>
      </w:r>
      <w:r w:rsidR="00C80E4E">
        <w:t>2</w:t>
      </w:r>
      <w:r w:rsidR="00F20C59">
        <w:t>8</w:t>
      </w:r>
    </w:p>
    <w:p w:rsidR="006C4999" w:rsidRDefault="006C4999" w:rsidP="006C4999">
      <w:pPr>
        <w:pStyle w:val="TOC2"/>
        <w:tabs>
          <w:tab w:val="clear" w:pos="2160"/>
          <w:tab w:val="clear" w:pos="8208"/>
          <w:tab w:val="clear" w:pos="8640"/>
          <w:tab w:val="right" w:leader="dot" w:pos="9360"/>
        </w:tabs>
        <w:ind w:left="1080"/>
      </w:pPr>
      <w:r>
        <w:t xml:space="preserve">15. </w:t>
      </w:r>
      <w:r w:rsidRPr="0085626E">
        <w:t>Explanation for Program Changes or Adjustments</w:t>
      </w:r>
      <w:r w:rsidRPr="003B2D27">
        <w:tab/>
      </w:r>
      <w:r w:rsidR="00C80E4E">
        <w:t>2</w:t>
      </w:r>
      <w:r w:rsidR="00F20C59">
        <w:t>9</w:t>
      </w:r>
    </w:p>
    <w:p w:rsidR="006C4999" w:rsidRDefault="006C4999" w:rsidP="006C4999">
      <w:pPr>
        <w:pStyle w:val="TOC2"/>
        <w:tabs>
          <w:tab w:val="clear" w:pos="2160"/>
          <w:tab w:val="clear" w:pos="8208"/>
          <w:tab w:val="clear" w:pos="8640"/>
          <w:tab w:val="right" w:leader="dot" w:pos="9360"/>
        </w:tabs>
        <w:ind w:left="1080"/>
      </w:pPr>
      <w:r>
        <w:t xml:space="preserve">16. </w:t>
      </w:r>
      <w:r w:rsidRPr="0085626E">
        <w:t>Plans for Tabulation and Publication and Project Time Schedule</w:t>
      </w:r>
      <w:r w:rsidRPr="003B2D27">
        <w:tab/>
      </w:r>
      <w:r w:rsidR="00C80E4E">
        <w:t>2</w:t>
      </w:r>
      <w:r w:rsidR="00F20C59">
        <w:t>9</w:t>
      </w:r>
    </w:p>
    <w:p w:rsidR="006C4999" w:rsidRDefault="006C4999" w:rsidP="006C4999">
      <w:pPr>
        <w:pStyle w:val="TOC2"/>
        <w:tabs>
          <w:tab w:val="clear" w:pos="2160"/>
          <w:tab w:val="clear" w:pos="8208"/>
          <w:tab w:val="clear" w:pos="8640"/>
          <w:tab w:val="right" w:leader="dot" w:pos="9360"/>
        </w:tabs>
        <w:ind w:left="1080"/>
      </w:pPr>
      <w:r w:rsidRPr="0085626E">
        <w:t>17.</w:t>
      </w:r>
      <w:r>
        <w:t xml:space="preserve"> </w:t>
      </w:r>
      <w:r w:rsidRPr="0085626E">
        <w:t>Display of Expiration Date</w:t>
      </w:r>
      <w:r w:rsidRPr="003B2D27">
        <w:tab/>
      </w:r>
      <w:r w:rsidR="00F20C59">
        <w:t>30</w:t>
      </w:r>
    </w:p>
    <w:p w:rsidR="006C4999" w:rsidRDefault="006C4999" w:rsidP="006C4999">
      <w:pPr>
        <w:pStyle w:val="TOC2"/>
        <w:tabs>
          <w:tab w:val="clear" w:pos="2160"/>
          <w:tab w:val="clear" w:pos="8208"/>
          <w:tab w:val="clear" w:pos="8640"/>
          <w:tab w:val="right" w:leader="dot" w:pos="9360"/>
        </w:tabs>
        <w:ind w:left="1080"/>
      </w:pPr>
      <w:r w:rsidRPr="0085626E">
        <w:t>18.</w:t>
      </w:r>
      <w:r>
        <w:t xml:space="preserve"> </w:t>
      </w:r>
      <w:r w:rsidRPr="0085626E">
        <w:t>Exceptions to Certification for Paperwork Reduction Act Submissions</w:t>
      </w:r>
      <w:r w:rsidRPr="003B2D27">
        <w:tab/>
      </w:r>
      <w:r w:rsidR="00F20C59">
        <w:t>30</w:t>
      </w:r>
    </w:p>
    <w:p w:rsidR="006C4999" w:rsidRDefault="006C4999" w:rsidP="006C4999">
      <w:pPr>
        <w:pStyle w:val="TOC2"/>
        <w:tabs>
          <w:tab w:val="clear" w:pos="2160"/>
          <w:tab w:val="clear" w:pos="8208"/>
          <w:tab w:val="clear" w:pos="8640"/>
          <w:tab w:val="left" w:pos="1350"/>
          <w:tab w:val="right" w:leader="dot" w:pos="9360"/>
        </w:tabs>
        <w:ind w:left="1080"/>
      </w:pPr>
    </w:p>
    <w:p w:rsidR="006C4999" w:rsidRPr="00B27CD8" w:rsidRDefault="006C4999" w:rsidP="006C4999">
      <w:pPr>
        <w:pStyle w:val="Heading21"/>
        <w:rPr>
          <w:rFonts w:ascii="Times New Roman" w:hAnsi="Times New Roman"/>
        </w:rPr>
      </w:pPr>
      <w:r w:rsidRPr="00B27CD8">
        <w:rPr>
          <w:rFonts w:ascii="Times New Roman" w:hAnsi="Times New Roman"/>
        </w:rPr>
        <w:t xml:space="preserve">Appendix A: </w:t>
      </w:r>
      <w:r>
        <w:rPr>
          <w:rFonts w:ascii="Times New Roman" w:hAnsi="Times New Roman"/>
        </w:rPr>
        <w:t>Interview Instruments [see separate document]</w:t>
      </w:r>
    </w:p>
    <w:p w:rsidR="006C4999" w:rsidRDefault="006C4999" w:rsidP="006C4999">
      <w:pPr>
        <w:pStyle w:val="Normal2"/>
        <w:jc w:val="both"/>
        <w:rPr>
          <w:rFonts w:ascii="Times New Roman" w:hAnsi="Times New Roman"/>
        </w:rPr>
      </w:pPr>
      <w:r>
        <w:rPr>
          <w:rFonts w:ascii="Times New Roman" w:hAnsi="Times New Roman"/>
        </w:rPr>
        <w:t>A-1: Recruitment Script: Interviews</w:t>
      </w:r>
    </w:p>
    <w:p w:rsidR="006C4999" w:rsidRDefault="006C4999" w:rsidP="006C4999">
      <w:pPr>
        <w:pStyle w:val="Normal2"/>
        <w:jc w:val="both"/>
        <w:rPr>
          <w:rFonts w:ascii="Times New Roman" w:hAnsi="Times New Roman"/>
        </w:rPr>
      </w:pPr>
      <w:r>
        <w:rPr>
          <w:rFonts w:ascii="Times New Roman" w:hAnsi="Times New Roman"/>
        </w:rPr>
        <w:t>A-2: Reminder Script: Interviews</w:t>
      </w:r>
    </w:p>
    <w:p w:rsidR="006C4999" w:rsidRDefault="006C4999" w:rsidP="006C4999">
      <w:pPr>
        <w:pStyle w:val="Normal2"/>
        <w:jc w:val="both"/>
        <w:rPr>
          <w:rFonts w:ascii="Times New Roman" w:hAnsi="Times New Roman"/>
        </w:rPr>
      </w:pPr>
      <w:r>
        <w:rPr>
          <w:rFonts w:ascii="Times New Roman" w:hAnsi="Times New Roman"/>
        </w:rPr>
        <w:t>A-3: Introductory Script: Interviews</w:t>
      </w:r>
    </w:p>
    <w:p w:rsidR="006C4999" w:rsidRPr="00B27CD8" w:rsidRDefault="006C4999" w:rsidP="006C4999">
      <w:pPr>
        <w:pStyle w:val="Normal2"/>
        <w:jc w:val="both"/>
        <w:rPr>
          <w:rFonts w:ascii="Times New Roman" w:hAnsi="Times New Roman"/>
        </w:rPr>
      </w:pPr>
      <w:r>
        <w:rPr>
          <w:rFonts w:ascii="Times New Roman" w:hAnsi="Times New Roman"/>
        </w:rPr>
        <w:t xml:space="preserve">A-4: Interview Guide: </w:t>
      </w:r>
      <w:r w:rsidRPr="00B27CD8">
        <w:rPr>
          <w:rFonts w:ascii="Times New Roman" w:hAnsi="Times New Roman"/>
        </w:rPr>
        <w:t>SNAP Administrator</w:t>
      </w:r>
    </w:p>
    <w:p w:rsidR="006C4999" w:rsidRPr="00B27CD8" w:rsidRDefault="006C4999" w:rsidP="006C4999">
      <w:pPr>
        <w:pStyle w:val="Normal2"/>
        <w:jc w:val="both"/>
        <w:rPr>
          <w:rFonts w:ascii="Times New Roman" w:hAnsi="Times New Roman"/>
        </w:rPr>
      </w:pPr>
      <w:r>
        <w:rPr>
          <w:rFonts w:ascii="Times New Roman" w:hAnsi="Times New Roman"/>
        </w:rPr>
        <w:t>A-5</w:t>
      </w:r>
      <w:r w:rsidRPr="00B27CD8">
        <w:rPr>
          <w:rFonts w:ascii="Times New Roman" w:hAnsi="Times New Roman"/>
        </w:rPr>
        <w:t xml:space="preserve">: </w:t>
      </w:r>
      <w:r>
        <w:rPr>
          <w:rFonts w:ascii="Times New Roman" w:hAnsi="Times New Roman"/>
        </w:rPr>
        <w:t xml:space="preserve">Interview Guide: </w:t>
      </w:r>
      <w:r w:rsidRPr="00B27CD8">
        <w:rPr>
          <w:rFonts w:ascii="Times New Roman" w:hAnsi="Times New Roman"/>
        </w:rPr>
        <w:t>SNAP Caseworker</w:t>
      </w:r>
    </w:p>
    <w:p w:rsidR="006C4999" w:rsidRPr="00B27CD8" w:rsidRDefault="006C4999" w:rsidP="006C4999">
      <w:pPr>
        <w:pStyle w:val="Normal2"/>
        <w:jc w:val="both"/>
        <w:rPr>
          <w:rFonts w:ascii="Times New Roman" w:hAnsi="Times New Roman"/>
        </w:rPr>
      </w:pPr>
      <w:r>
        <w:rPr>
          <w:rFonts w:ascii="Times New Roman" w:hAnsi="Times New Roman"/>
        </w:rPr>
        <w:t>A</w:t>
      </w:r>
      <w:r w:rsidRPr="00B27CD8">
        <w:rPr>
          <w:rFonts w:ascii="Times New Roman" w:hAnsi="Times New Roman"/>
        </w:rPr>
        <w:t>-</w:t>
      </w:r>
      <w:r>
        <w:rPr>
          <w:rFonts w:ascii="Times New Roman" w:hAnsi="Times New Roman"/>
        </w:rPr>
        <w:t>6</w:t>
      </w:r>
      <w:r w:rsidRPr="00B27CD8">
        <w:rPr>
          <w:rFonts w:ascii="Times New Roman" w:hAnsi="Times New Roman"/>
        </w:rPr>
        <w:t xml:space="preserve">: </w:t>
      </w:r>
      <w:r>
        <w:rPr>
          <w:rFonts w:ascii="Times New Roman" w:hAnsi="Times New Roman"/>
        </w:rPr>
        <w:t>Interview Guide: Community-Based Organization (</w:t>
      </w:r>
      <w:r w:rsidRPr="00B27CD8">
        <w:rPr>
          <w:rFonts w:ascii="Times New Roman" w:hAnsi="Times New Roman"/>
        </w:rPr>
        <w:t>CBO</w:t>
      </w:r>
      <w:r>
        <w:rPr>
          <w:rFonts w:ascii="Times New Roman" w:hAnsi="Times New Roman"/>
        </w:rPr>
        <w:t>)</w:t>
      </w:r>
      <w:r w:rsidRPr="00B27CD8">
        <w:rPr>
          <w:rFonts w:ascii="Times New Roman" w:hAnsi="Times New Roman"/>
        </w:rPr>
        <w:t xml:space="preserve"> Director</w:t>
      </w:r>
    </w:p>
    <w:p w:rsidR="006C4999" w:rsidRPr="00B27CD8" w:rsidRDefault="006C4999" w:rsidP="006C4999">
      <w:pPr>
        <w:pStyle w:val="Heading21"/>
        <w:rPr>
          <w:rFonts w:ascii="Times New Roman" w:hAnsi="Times New Roman"/>
        </w:rPr>
      </w:pPr>
      <w:r w:rsidRPr="00B27CD8">
        <w:rPr>
          <w:rFonts w:ascii="Times New Roman" w:hAnsi="Times New Roman"/>
        </w:rPr>
        <w:t xml:space="preserve">Appendix </w:t>
      </w:r>
      <w:r>
        <w:rPr>
          <w:rFonts w:ascii="Times New Roman" w:hAnsi="Times New Roman"/>
        </w:rPr>
        <w:t>B</w:t>
      </w:r>
      <w:r w:rsidRPr="00B27CD8">
        <w:rPr>
          <w:rFonts w:ascii="Times New Roman" w:hAnsi="Times New Roman"/>
        </w:rPr>
        <w:t xml:space="preserve">: Focus Group </w:t>
      </w:r>
      <w:r>
        <w:rPr>
          <w:rFonts w:ascii="Times New Roman" w:hAnsi="Times New Roman"/>
        </w:rPr>
        <w:t>Instruments [see separate document]</w:t>
      </w:r>
    </w:p>
    <w:p w:rsidR="006C4999" w:rsidRDefault="006C4999" w:rsidP="006C4999">
      <w:pPr>
        <w:pStyle w:val="Normal2"/>
        <w:rPr>
          <w:rFonts w:ascii="Times New Roman" w:hAnsi="Times New Roman"/>
        </w:rPr>
      </w:pPr>
      <w:r>
        <w:rPr>
          <w:rFonts w:ascii="Times New Roman" w:hAnsi="Times New Roman"/>
        </w:rPr>
        <w:t>B-1: Recruitment Script: Focus Groups</w:t>
      </w:r>
    </w:p>
    <w:p w:rsidR="006C4999" w:rsidRDefault="006C4999" w:rsidP="006C4999">
      <w:pPr>
        <w:pStyle w:val="Normal2"/>
        <w:rPr>
          <w:rFonts w:ascii="Times New Roman" w:hAnsi="Times New Roman"/>
        </w:rPr>
      </w:pPr>
      <w:r>
        <w:rPr>
          <w:rFonts w:ascii="Times New Roman" w:hAnsi="Times New Roman"/>
        </w:rPr>
        <w:t>B-2: Reminder Script: Focus Groups</w:t>
      </w:r>
    </w:p>
    <w:p w:rsidR="006C4999" w:rsidRPr="00B27CD8" w:rsidRDefault="006C4999" w:rsidP="006C4999">
      <w:pPr>
        <w:pStyle w:val="Normal2"/>
        <w:rPr>
          <w:rFonts w:ascii="Times New Roman" w:hAnsi="Times New Roman"/>
        </w:rPr>
      </w:pPr>
      <w:r>
        <w:rPr>
          <w:rFonts w:ascii="Times New Roman" w:hAnsi="Times New Roman"/>
        </w:rPr>
        <w:t>B</w:t>
      </w:r>
      <w:r w:rsidRPr="00B27CD8">
        <w:rPr>
          <w:rFonts w:ascii="Times New Roman" w:hAnsi="Times New Roman"/>
        </w:rPr>
        <w:t>-</w:t>
      </w:r>
      <w:r>
        <w:rPr>
          <w:rFonts w:ascii="Times New Roman" w:hAnsi="Times New Roman"/>
        </w:rPr>
        <w:t>3</w:t>
      </w:r>
      <w:r w:rsidRPr="00B27CD8">
        <w:rPr>
          <w:rFonts w:ascii="Times New Roman" w:hAnsi="Times New Roman"/>
        </w:rPr>
        <w:t xml:space="preserve">: </w:t>
      </w:r>
      <w:r>
        <w:rPr>
          <w:rFonts w:ascii="Times New Roman" w:hAnsi="Times New Roman"/>
        </w:rPr>
        <w:t xml:space="preserve">Introductory Script: Focus Groups </w:t>
      </w:r>
      <w:r w:rsidRPr="00B27CD8">
        <w:rPr>
          <w:rFonts w:ascii="Times New Roman" w:hAnsi="Times New Roman"/>
        </w:rPr>
        <w:t xml:space="preserve"> </w:t>
      </w:r>
    </w:p>
    <w:p w:rsidR="006C4999" w:rsidRPr="00B27CD8" w:rsidRDefault="006C4999" w:rsidP="006C4999">
      <w:pPr>
        <w:pStyle w:val="Normal2"/>
        <w:rPr>
          <w:rFonts w:ascii="Times New Roman" w:hAnsi="Times New Roman"/>
        </w:rPr>
      </w:pPr>
      <w:r>
        <w:rPr>
          <w:rFonts w:ascii="Times New Roman" w:hAnsi="Times New Roman"/>
        </w:rPr>
        <w:t>B</w:t>
      </w:r>
      <w:r w:rsidRPr="00B27CD8">
        <w:rPr>
          <w:rFonts w:ascii="Times New Roman" w:hAnsi="Times New Roman"/>
        </w:rPr>
        <w:t>-</w:t>
      </w:r>
      <w:r>
        <w:rPr>
          <w:rFonts w:ascii="Times New Roman" w:hAnsi="Times New Roman"/>
        </w:rPr>
        <w:t>4</w:t>
      </w:r>
      <w:r w:rsidRPr="00B27CD8">
        <w:rPr>
          <w:rFonts w:ascii="Times New Roman" w:hAnsi="Times New Roman"/>
        </w:rPr>
        <w:t xml:space="preserve">: </w:t>
      </w:r>
      <w:r>
        <w:rPr>
          <w:rFonts w:ascii="Times New Roman" w:hAnsi="Times New Roman"/>
        </w:rPr>
        <w:t xml:space="preserve">Focus Group </w:t>
      </w:r>
      <w:r w:rsidRPr="00B27CD8">
        <w:rPr>
          <w:rFonts w:ascii="Times New Roman" w:hAnsi="Times New Roman"/>
        </w:rPr>
        <w:t>Guide</w:t>
      </w:r>
      <w:r>
        <w:rPr>
          <w:rFonts w:ascii="Times New Roman" w:hAnsi="Times New Roman"/>
        </w:rPr>
        <w:t>: SNAP Participants</w:t>
      </w:r>
      <w:r w:rsidRPr="00B27CD8">
        <w:rPr>
          <w:rFonts w:ascii="Times New Roman" w:hAnsi="Times New Roman"/>
        </w:rPr>
        <w:t xml:space="preserve"> </w:t>
      </w:r>
    </w:p>
    <w:p w:rsidR="006C4999" w:rsidRDefault="006C4999" w:rsidP="006C4999">
      <w:pPr>
        <w:pStyle w:val="Normal2"/>
        <w:rPr>
          <w:rFonts w:ascii="Times New Roman" w:hAnsi="Times New Roman"/>
        </w:rPr>
      </w:pPr>
      <w:r>
        <w:rPr>
          <w:rFonts w:ascii="Times New Roman" w:hAnsi="Times New Roman"/>
        </w:rPr>
        <w:t>B</w:t>
      </w:r>
      <w:r w:rsidRPr="00B27CD8">
        <w:rPr>
          <w:rFonts w:ascii="Times New Roman" w:hAnsi="Times New Roman"/>
        </w:rPr>
        <w:t>-</w:t>
      </w:r>
      <w:r>
        <w:rPr>
          <w:rFonts w:ascii="Times New Roman" w:hAnsi="Times New Roman"/>
        </w:rPr>
        <w:t>5</w:t>
      </w:r>
      <w:r w:rsidRPr="00B27CD8">
        <w:rPr>
          <w:rFonts w:ascii="Times New Roman" w:hAnsi="Times New Roman"/>
        </w:rPr>
        <w:t>: Focus Group Participant Information Form</w:t>
      </w:r>
    </w:p>
    <w:p w:rsidR="006C4999" w:rsidRDefault="006C4999" w:rsidP="006C4999">
      <w:pPr>
        <w:pStyle w:val="Normal2"/>
        <w:rPr>
          <w:rFonts w:ascii="Times New Roman" w:hAnsi="Times New Roman"/>
        </w:rPr>
      </w:pPr>
      <w:r>
        <w:rPr>
          <w:rFonts w:ascii="Times New Roman" w:hAnsi="Times New Roman"/>
        </w:rPr>
        <w:t>B-6: Focus Group Participant Incentive Receipt Form</w:t>
      </w:r>
    </w:p>
    <w:p w:rsidR="006C4999" w:rsidRDefault="006C4999" w:rsidP="006C4999">
      <w:pPr>
        <w:pStyle w:val="Normal2"/>
        <w:ind w:firstLine="0"/>
        <w:rPr>
          <w:rFonts w:ascii="Times New Roman" w:hAnsi="Times New Roman"/>
          <w:b/>
        </w:rPr>
      </w:pPr>
    </w:p>
    <w:p w:rsidR="006C4999" w:rsidRDefault="006C4999" w:rsidP="006C4999">
      <w:pPr>
        <w:pStyle w:val="Normal2"/>
        <w:ind w:firstLine="0"/>
        <w:rPr>
          <w:rFonts w:ascii="Times New Roman" w:hAnsi="Times New Roman"/>
          <w:b/>
        </w:rPr>
      </w:pPr>
      <w:r>
        <w:rPr>
          <w:rFonts w:ascii="Times New Roman" w:hAnsi="Times New Roman"/>
          <w:b/>
        </w:rPr>
        <w:lastRenderedPageBreak/>
        <w:t>Appendix C: Staff Confidentiality Pledge</w:t>
      </w:r>
    </w:p>
    <w:p w:rsidR="006C4999" w:rsidRDefault="006C4999" w:rsidP="006C4999">
      <w:pPr>
        <w:pStyle w:val="Normal2"/>
        <w:ind w:firstLine="0"/>
        <w:rPr>
          <w:rFonts w:ascii="Times New Roman" w:hAnsi="Times New Roman"/>
          <w:b/>
        </w:rPr>
      </w:pPr>
    </w:p>
    <w:p w:rsidR="006C4999" w:rsidRDefault="006C4999" w:rsidP="006C4999">
      <w:pPr>
        <w:pStyle w:val="Normal2"/>
        <w:ind w:firstLine="0"/>
        <w:rPr>
          <w:rFonts w:ascii="Times New Roman" w:hAnsi="Times New Roman"/>
          <w:b/>
        </w:rPr>
      </w:pPr>
      <w:r>
        <w:rPr>
          <w:rFonts w:ascii="Times New Roman" w:hAnsi="Times New Roman"/>
          <w:b/>
        </w:rPr>
        <w:t>Appendix D: Institutional Review Board (IRB) of the Urban Institute</w:t>
      </w:r>
    </w:p>
    <w:p w:rsidR="006C4999" w:rsidRPr="00E00649" w:rsidRDefault="006C4999" w:rsidP="006C4999">
      <w:pPr>
        <w:pStyle w:val="Normal2"/>
        <w:ind w:firstLine="0"/>
        <w:rPr>
          <w:rFonts w:ascii="Times New Roman" w:hAnsi="Times New Roman"/>
          <w:b/>
        </w:rPr>
      </w:pPr>
    </w:p>
    <w:p w:rsidR="006C4999" w:rsidRDefault="006C4999" w:rsidP="006C4999">
      <w:pPr>
        <w:pStyle w:val="Normal2"/>
        <w:ind w:firstLine="0"/>
        <w:rPr>
          <w:rFonts w:ascii="Times New Roman" w:hAnsi="Times New Roman"/>
          <w:b/>
        </w:rPr>
      </w:pPr>
      <w:r>
        <w:rPr>
          <w:rFonts w:ascii="Times New Roman" w:hAnsi="Times New Roman"/>
          <w:b/>
        </w:rPr>
        <w:t>Appendix E: FNS Response to Public Comment Received on 60-Day Federal Register Notice</w:t>
      </w:r>
    </w:p>
    <w:p w:rsidR="006C4999" w:rsidRDefault="006C4999" w:rsidP="006C4999">
      <w:pPr>
        <w:pStyle w:val="TOC2"/>
        <w:tabs>
          <w:tab w:val="clear" w:pos="2160"/>
          <w:tab w:val="clear" w:pos="8208"/>
          <w:tab w:val="clear" w:pos="8640"/>
          <w:tab w:val="right" w:leader="dot" w:pos="9360"/>
        </w:tabs>
        <w:ind w:left="0" w:firstLine="0"/>
      </w:pPr>
    </w:p>
    <w:p w:rsidR="006C4999" w:rsidRPr="0015423A" w:rsidRDefault="006C4999" w:rsidP="006C4999">
      <w:pPr>
        <w:rPr>
          <w:b/>
        </w:rPr>
      </w:pPr>
      <w:r w:rsidRPr="0015423A">
        <w:rPr>
          <w:b/>
        </w:rPr>
        <w:t xml:space="preserve">Appendix </w:t>
      </w:r>
      <w:r>
        <w:rPr>
          <w:b/>
        </w:rPr>
        <w:t>F</w:t>
      </w:r>
      <w:r w:rsidRPr="0015423A">
        <w:rPr>
          <w:b/>
        </w:rPr>
        <w:t>: National Agricultural Statistics Service</w:t>
      </w:r>
      <w:r>
        <w:rPr>
          <w:b/>
        </w:rPr>
        <w:t xml:space="preserve"> (NASS) Comments </w:t>
      </w:r>
    </w:p>
    <w:p w:rsidR="006C4999" w:rsidRDefault="006C4999" w:rsidP="006C4999">
      <w:pPr>
        <w:pStyle w:val="TOC2"/>
        <w:tabs>
          <w:tab w:val="clear" w:pos="2160"/>
          <w:tab w:val="clear" w:pos="8208"/>
          <w:tab w:val="clear" w:pos="8640"/>
          <w:tab w:val="right" w:leader="dot" w:pos="9360"/>
        </w:tabs>
        <w:ind w:left="0" w:firstLine="0"/>
      </w:pPr>
    </w:p>
    <w:p w:rsidR="006C4999" w:rsidRPr="003B2D27" w:rsidRDefault="006C4999" w:rsidP="006C4999">
      <w:pPr>
        <w:pStyle w:val="TOC2"/>
        <w:tabs>
          <w:tab w:val="clear" w:pos="2160"/>
          <w:tab w:val="clear" w:pos="8208"/>
          <w:tab w:val="clear" w:pos="8640"/>
          <w:tab w:val="right" w:leader="dot" w:pos="9360"/>
        </w:tabs>
        <w:ind w:left="216"/>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6C4999" w:rsidSect="005D6FEB">
          <w:pgSz w:w="12240" w:h="15840" w:code="1"/>
          <w:pgMar w:top="1440" w:right="1440" w:bottom="1440" w:left="1440" w:header="720" w:footer="720" w:gutter="0"/>
          <w:pgNumType w:start="1"/>
          <w:cols w:space="720"/>
          <w:noEndnote/>
          <w:titlePg/>
          <w:docGrid w:linePitch="326"/>
        </w:sectPr>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4B4C90">
        <w:rPr>
          <w:b/>
          <w:sz w:val="28"/>
          <w:szCs w:val="28"/>
        </w:rPr>
        <w:lastRenderedPageBreak/>
        <w:t>UNDERSTANDING THE RATES, CAUSES, AND COSTS OF CHURN</w:t>
      </w:r>
      <w:r>
        <w:rPr>
          <w:b/>
          <w:sz w:val="28"/>
          <w:szCs w:val="28"/>
        </w:rPr>
        <w:t>ING</w:t>
      </w:r>
    </w:p>
    <w:p w:rsidR="006C4999" w:rsidRPr="004B4C90"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4B4C90">
        <w:rPr>
          <w:b/>
          <w:sz w:val="28"/>
          <w:szCs w:val="28"/>
        </w:rPr>
        <w:t xml:space="preserve"> IN THE SUPPLEMENT</w:t>
      </w:r>
      <w:r>
        <w:rPr>
          <w:b/>
          <w:sz w:val="28"/>
          <w:szCs w:val="28"/>
        </w:rPr>
        <w:t>AL</w:t>
      </w:r>
      <w:r w:rsidRPr="004B4C90">
        <w:rPr>
          <w:b/>
          <w:sz w:val="28"/>
          <w:szCs w:val="28"/>
        </w:rPr>
        <w:t xml:space="preserve"> NUTRITION ASSISTANCE PROGRAM (SNAP)</w:t>
      </w:r>
    </w:p>
    <w:p w:rsidR="006C4999" w:rsidRPr="008B0444"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p>
    <w:p w:rsidR="006C4999" w:rsidRPr="004B4C90"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u w:val="single"/>
        </w:rPr>
      </w:pPr>
      <w:r w:rsidRPr="004B4C90">
        <w:rPr>
          <w:b/>
          <w:sz w:val="28"/>
          <w:szCs w:val="28"/>
          <w:u w:val="single"/>
        </w:rPr>
        <w:t>SUPPORTING STATEMENT</w:t>
      </w:r>
    </w:p>
    <w:p w:rsidR="006C4999" w:rsidRPr="008B0444"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8B0444"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A.</w:t>
      </w:r>
      <w:r>
        <w:rPr>
          <w:b/>
        </w:rPr>
        <w:t xml:space="preserve">  </w:t>
      </w:r>
      <w:r>
        <w:rPr>
          <w:b/>
        </w:rPr>
        <w:tab/>
      </w:r>
      <w:r w:rsidRPr="008B0444">
        <w:rPr>
          <w:b/>
        </w:rPr>
        <w:t>JUSTIFICATION</w:t>
      </w:r>
    </w:p>
    <w:p w:rsidR="006C4999" w:rsidRPr="008B0444"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9A3085" w:rsidRDefault="006C4999" w:rsidP="006C4999">
      <w:pPr>
        <w:ind w:left="720" w:hanging="720"/>
        <w:rPr>
          <w:b/>
        </w:rPr>
      </w:pPr>
      <w:r w:rsidRPr="008B0444">
        <w:rPr>
          <w:b/>
        </w:rPr>
        <w:t>1.</w:t>
      </w:r>
      <w:r w:rsidRPr="008B0444">
        <w:rPr>
          <w:b/>
        </w:rPr>
        <w:tab/>
      </w:r>
      <w:r w:rsidRPr="009A3085">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C4999" w:rsidRPr="008B0444"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u w:val="single"/>
        </w:rPr>
      </w:pPr>
    </w:p>
    <w:p w:rsidR="006C4999" w:rsidRDefault="006C4999" w:rsidP="006C4999">
      <w:pPr>
        <w:spacing w:line="480" w:lineRule="auto"/>
      </w:pPr>
      <w:r>
        <w:t>T</w:t>
      </w:r>
      <w:r w:rsidRPr="00732730">
        <w:t>his study</w:t>
      </w:r>
      <w:r>
        <w:t xml:space="preserve">—a new information collection—aims to </w:t>
      </w:r>
      <w:r w:rsidRPr="00732730">
        <w:t xml:space="preserve">improve understanding of the </w:t>
      </w:r>
      <w:r>
        <w:t xml:space="preserve">rates, </w:t>
      </w:r>
      <w:r w:rsidRPr="00732730">
        <w:t>causes</w:t>
      </w:r>
      <w:r>
        <w:t>,</w:t>
      </w:r>
      <w:r w:rsidRPr="00732730">
        <w:t xml:space="preserve"> and costs of </w:t>
      </w:r>
      <w:r>
        <w:t xml:space="preserve">churning in the Supplemental Nutrition Assistance Program (SNAP) and </w:t>
      </w:r>
      <w:r w:rsidRPr="00732730">
        <w:t>to investigate policies and practices that might reduce churning and mitigate its costs</w:t>
      </w:r>
      <w:r>
        <w:t xml:space="preserve"> to program agencies and clients.</w:t>
      </w:r>
      <w:r w:rsidRPr="00732730">
        <w:t xml:space="preserve">  </w:t>
      </w:r>
    </w:p>
    <w:p w:rsidR="006C4999" w:rsidRPr="00732730" w:rsidRDefault="006C4999" w:rsidP="006C4999">
      <w:pPr>
        <w:spacing w:line="480" w:lineRule="auto"/>
      </w:pPr>
    </w:p>
    <w:p w:rsidR="006C4999" w:rsidRDefault="006C4999" w:rsidP="006C4999">
      <w:pPr>
        <w:spacing w:line="480" w:lineRule="auto"/>
      </w:pPr>
      <w:r>
        <w:t>In the context of dramatic recent growth in the SNAP caseload, increasing attention has focused on participant churning—the re-entry of cases after brief periods (four months or less) off the program</w:t>
      </w:r>
      <w:r w:rsidRPr="000E5F23">
        <w:rPr>
          <w:sz w:val="20"/>
        </w:rPr>
        <w:t>.</w:t>
      </w:r>
      <w:r>
        <w:t xml:space="preserve">  This on-off-on cycling is a major policy concern in terms of benefit loss to households who may have remained continuously eligible, the burden to them (in time and expense) of re-entering the program, and the administrative costs to program agencies associated with case closings and re-openings</w:t>
      </w:r>
      <w:r w:rsidRPr="000E5F23">
        <w:rPr>
          <w:sz w:val="20"/>
        </w:rPr>
        <w:t>.</w:t>
      </w:r>
      <w:r>
        <w:t xml:space="preserve"> </w:t>
      </w:r>
    </w:p>
    <w:p w:rsidR="006C4999" w:rsidRDefault="006C4999" w:rsidP="006C4999">
      <w:pPr>
        <w:spacing w:line="480" w:lineRule="auto"/>
      </w:pPr>
    </w:p>
    <w:p w:rsidR="006C4999" w:rsidRDefault="006C4999" w:rsidP="006C4999">
      <w:pPr>
        <w:spacing w:line="480" w:lineRule="auto"/>
      </w:pPr>
      <w:r>
        <w:t>For the purposes of this study, t</w:t>
      </w:r>
      <w:r w:rsidRPr="00EE4C13">
        <w:t xml:space="preserve">wo </w:t>
      </w:r>
      <w:r>
        <w:t xml:space="preserve">categories of SNAP </w:t>
      </w:r>
      <w:r w:rsidRPr="00EE4C13">
        <w:t>churn</w:t>
      </w:r>
      <w:r>
        <w:t xml:space="preserve">ers are defined. The first </w:t>
      </w:r>
      <w:r w:rsidRPr="00EE4C13">
        <w:t>(</w:t>
      </w:r>
      <w:r>
        <w:t xml:space="preserve">referred to here as </w:t>
      </w:r>
      <w:r w:rsidRPr="00EE4C13">
        <w:t>“benefit-eligible churners”)</w:t>
      </w:r>
      <w:r>
        <w:t xml:space="preserve"> consists of </w:t>
      </w:r>
      <w:r w:rsidRPr="00EE4C13">
        <w:t xml:space="preserve">recipients who exit the program </w:t>
      </w:r>
      <w:r>
        <w:t xml:space="preserve">for reasons of procedural noncompliance </w:t>
      </w:r>
      <w:r w:rsidRPr="00EE4C13">
        <w:t>at a time when they continue to meet income, resource, and other requirements</w:t>
      </w:r>
      <w:r>
        <w:t>.</w:t>
      </w:r>
      <w:r w:rsidRPr="00EE4C13">
        <w:t xml:space="preserve"> </w:t>
      </w:r>
      <w:r>
        <w:t xml:space="preserve"> The second consists of r</w:t>
      </w:r>
      <w:r w:rsidRPr="00EE4C13">
        <w:t xml:space="preserve">ecipients who are ineligible at exit but become eligible </w:t>
      </w:r>
      <w:r w:rsidRPr="00EE4C13">
        <w:lastRenderedPageBreak/>
        <w:t xml:space="preserve">again within a short period of time. An example of the first is someone who misses an interview or fails to file proper paperwork and </w:t>
      </w:r>
      <w:r>
        <w:t xml:space="preserve">whose SNAP benefit </w:t>
      </w:r>
      <w:r w:rsidRPr="00EE4C13">
        <w:t xml:space="preserve">is terminated but whose income and other circumstances are unchanged. An example of the second is someone who exits SNAP due to increased </w:t>
      </w:r>
      <w:r>
        <w:t>earnings,</w:t>
      </w:r>
      <w:r w:rsidRPr="00EE4C13">
        <w:t xml:space="preserve"> but loses the</w:t>
      </w:r>
      <w:r>
        <w:t>ir</w:t>
      </w:r>
      <w:r w:rsidRPr="00EE4C13">
        <w:t xml:space="preserve"> job within a few months and </w:t>
      </w:r>
      <w:r>
        <w:t>re-enters the program as newly eligible</w:t>
      </w:r>
      <w:r w:rsidRPr="00EE4C13">
        <w:t>. The first type is associated with costs for individuals in lost benefits</w:t>
      </w:r>
      <w:r>
        <w:t xml:space="preserve"> (and potentially, insufficient nutritious foods) and </w:t>
      </w:r>
      <w:r w:rsidRPr="00EE4C13">
        <w:t>additional administrative program costs. The second type is important more broadly as it relates to recipients’ economic instability</w:t>
      </w:r>
      <w:r>
        <w:t>, even though no benefit loss has occurred</w:t>
      </w:r>
      <w:r w:rsidRPr="00EE4C13">
        <w:t>.</w:t>
      </w:r>
      <w:r>
        <w:rPr>
          <w:rStyle w:val="FootnoteReference"/>
        </w:rPr>
        <w:footnoteReference w:id="1"/>
      </w:r>
      <w:r w:rsidRPr="00DE6673">
        <w:t xml:space="preserve"> </w:t>
      </w:r>
      <w:r>
        <w:t xml:space="preserve"> </w:t>
      </w:r>
    </w:p>
    <w:p w:rsidR="006C4999" w:rsidRDefault="006C4999" w:rsidP="006C4999">
      <w:pPr>
        <w:spacing w:line="480" w:lineRule="auto"/>
      </w:pPr>
    </w:p>
    <w:p w:rsidR="006C4999" w:rsidRDefault="006C4999" w:rsidP="006C4999">
      <w:pPr>
        <w:spacing w:line="480" w:lineRule="auto"/>
      </w:pPr>
      <w:r>
        <w:t>Section 17 [7 U.S.C. 2026] (a)(1) of the Food and Nutrition Act of 2008 provides general legislative authority for the planned data collection. This section authorizes the Secretary of Agriculture to enter into contracts with private institutions to undertake research that will help to improve the administration and effectiveness of SNAP in delivering nutrition-related benefits.  The data collection will be conducted by the Urban Institute under contract to the Office of Research and Analysis, Food and Nutrition Service, U.S. Department of Agriculture.</w:t>
      </w:r>
    </w:p>
    <w:p w:rsidR="006C4999" w:rsidRDefault="006C4999" w:rsidP="006C4999">
      <w:pPr>
        <w:spacing w:line="480" w:lineRule="auto"/>
      </w:pPr>
    </w:p>
    <w:p w:rsidR="006C4999" w:rsidRPr="008B0444" w:rsidRDefault="006C4999" w:rsidP="006C4999">
      <w:pPr>
        <w:tabs>
          <w:tab w:val="left" w:pos="-720"/>
          <w:tab w:val="left" w:pos="0"/>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ED2528" w:rsidRDefault="006C4999" w:rsidP="006C4999">
      <w:pPr>
        <w:autoSpaceDE w:val="0"/>
        <w:autoSpaceDN w:val="0"/>
        <w:adjustRightInd w:val="0"/>
        <w:ind w:left="720" w:hanging="720"/>
        <w:rPr>
          <w:b/>
        </w:rPr>
      </w:pPr>
      <w:r w:rsidRPr="008B0444">
        <w:rPr>
          <w:b/>
        </w:rPr>
        <w:t>2.</w:t>
      </w:r>
      <w:r w:rsidRPr="008B0444">
        <w:rPr>
          <w:b/>
        </w:rPr>
        <w:tab/>
      </w:r>
      <w:r w:rsidRPr="00ED2528">
        <w:rPr>
          <w:b/>
        </w:rPr>
        <w:t>Indicate how, by whom, and for what purpose the information is to be used. Except for a new collection, indicate the actual use the agency has made of the information received from the current collection.</w:t>
      </w:r>
    </w:p>
    <w:p w:rsidR="006C4999" w:rsidRDefault="006C4999" w:rsidP="006C4999">
      <w:pPr>
        <w:spacing w:line="480" w:lineRule="auto"/>
      </w:pPr>
    </w:p>
    <w:p w:rsidR="006C4999" w:rsidRDefault="006C4999" w:rsidP="006C4999">
      <w:pPr>
        <w:spacing w:line="480" w:lineRule="auto"/>
      </w:pPr>
      <w:r w:rsidRPr="00EE4C13">
        <w:lastRenderedPageBreak/>
        <w:t>The main research questions for th</w:t>
      </w:r>
      <w:r>
        <w:t xml:space="preserve">is </w:t>
      </w:r>
      <w:r w:rsidRPr="00EE4C13">
        <w:t>study are grouped into four categories</w:t>
      </w:r>
      <w:r>
        <w:t xml:space="preserve">, as </w:t>
      </w:r>
      <w:r w:rsidRPr="00EE4C13">
        <w:t xml:space="preserve">listed in </w:t>
      </w:r>
      <w:r w:rsidRPr="00AD7BC2">
        <w:t>Exhibit A.1</w:t>
      </w:r>
      <w:r>
        <w:t xml:space="preserve"> and </w:t>
      </w:r>
      <w:r w:rsidRPr="00EE4C13">
        <w:t xml:space="preserve"> discussed individually below</w:t>
      </w:r>
      <w:r>
        <w:t xml:space="preserve">, followed by a brief overview of the quantitative and qualitative research design. </w:t>
      </w:r>
    </w:p>
    <w:p w:rsidR="006C4999" w:rsidRDefault="006C4999" w:rsidP="006C4999">
      <w:pPr>
        <w:spacing w:line="480" w:lineRule="auto"/>
      </w:pPr>
      <w:r>
        <w:rPr>
          <w:noProof/>
        </w:rPr>
        <w:drawing>
          <wp:anchor distT="0" distB="0" distL="114300" distR="114300" simplePos="0" relativeHeight="251660288" behindDoc="1" locked="0" layoutInCell="1" allowOverlap="1">
            <wp:simplePos x="0" y="0"/>
            <wp:positionH relativeFrom="column">
              <wp:posOffset>226695</wp:posOffset>
            </wp:positionH>
            <wp:positionV relativeFrom="paragraph">
              <wp:posOffset>133350</wp:posOffset>
            </wp:positionV>
            <wp:extent cx="5290820" cy="6698615"/>
            <wp:effectExtent l="19050" t="0" r="5080" b="0"/>
            <wp:wrapTight wrapText="bothSides">
              <wp:wrapPolygon edited="0">
                <wp:start x="-78" y="0"/>
                <wp:lineTo x="-78" y="676"/>
                <wp:lineTo x="5600" y="983"/>
                <wp:lineTo x="16643" y="983"/>
                <wp:lineTo x="933" y="1474"/>
                <wp:lineTo x="-78" y="1474"/>
                <wp:lineTo x="-78" y="3870"/>
                <wp:lineTo x="156" y="3931"/>
                <wp:lineTo x="2878" y="3931"/>
                <wp:lineTo x="-78" y="4116"/>
                <wp:lineTo x="-78" y="21500"/>
                <wp:lineTo x="21621" y="21500"/>
                <wp:lineTo x="21621" y="0"/>
                <wp:lineTo x="-7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90820" cy="6698615"/>
                    </a:xfrm>
                    <a:prstGeom prst="rect">
                      <a:avLst/>
                    </a:prstGeom>
                    <a:noFill/>
                    <a:ln w="9525">
                      <a:noFill/>
                      <a:miter lim="800000"/>
                      <a:headEnd/>
                      <a:tailEnd/>
                    </a:ln>
                  </pic:spPr>
                </pic:pic>
              </a:graphicData>
            </a:graphic>
          </wp:anchor>
        </w:drawing>
      </w:r>
      <w:r>
        <w:br w:type="page"/>
      </w:r>
    </w:p>
    <w:p w:rsidR="006C4999" w:rsidRDefault="006C4999" w:rsidP="006C4999">
      <w:pPr>
        <w:pStyle w:val="ListParagraph"/>
        <w:spacing w:line="480" w:lineRule="auto"/>
      </w:pPr>
      <w:r w:rsidRPr="008D5D7F">
        <w:lastRenderedPageBreak/>
        <w:t>Determine rate and patterns of churning</w:t>
      </w:r>
    </w:p>
    <w:p w:rsidR="006C4999" w:rsidRDefault="006C4999" w:rsidP="006C4999">
      <w:pPr>
        <w:spacing w:line="480" w:lineRule="auto"/>
      </w:pPr>
      <w:r w:rsidRPr="00EE4C13">
        <w:t>To understand the extent to which churning is an issue, to be able to estimate costs of churning, and as context for analyzing policies and practices that can mitigate churning</w:t>
      </w:r>
      <w:r>
        <w:t>,</w:t>
      </w:r>
      <w:r w:rsidRPr="00EE4C13">
        <w:t xml:space="preserve"> </w:t>
      </w:r>
      <w:r>
        <w:t xml:space="preserve">the study will </w:t>
      </w:r>
      <w:r w:rsidRPr="00EE4C13">
        <w:t xml:space="preserve">first </w:t>
      </w:r>
      <w:r>
        <w:t>examine t</w:t>
      </w:r>
      <w:r w:rsidRPr="00EE4C13">
        <w:t xml:space="preserve">he </w:t>
      </w:r>
      <w:r>
        <w:t xml:space="preserve">rate </w:t>
      </w:r>
      <w:r w:rsidRPr="00EE4C13">
        <w:t xml:space="preserve">and patterns of churning, including how many SNAP participant households experience churning and how frequently. </w:t>
      </w:r>
      <w:r>
        <w:t xml:space="preserve"> Information collected, will be used by FNS t</w:t>
      </w:r>
      <w:r w:rsidRPr="00EE4C13">
        <w:t xml:space="preserve">o understand the causes of churn and </w:t>
      </w:r>
      <w:r>
        <w:t xml:space="preserve">to </w:t>
      </w:r>
      <w:r w:rsidRPr="00EE4C13">
        <w:t xml:space="preserve">be able to develop and target solutions, it is also important to identify how rates of churn (including time off the program and frequency of churn) differ across household demographic characteristics, program eligibility groups, benefit levels, and other characteristics such as whether participants are working. Given differences in policies and practices, </w:t>
      </w:r>
      <w:r>
        <w:t xml:space="preserve">it is also important to explore </w:t>
      </w:r>
      <w:r w:rsidRPr="00EE4C13">
        <w:t xml:space="preserve">whether churning differs across states and across regions or offices within states. Another question is the extent to which churning occurs at recertification versus other times.  </w:t>
      </w:r>
    </w:p>
    <w:p w:rsidR="006C4999" w:rsidRPr="008D5D7F" w:rsidRDefault="006C4999" w:rsidP="006C4999">
      <w:pPr>
        <w:pStyle w:val="ListParagraph"/>
        <w:spacing w:line="480" w:lineRule="auto"/>
      </w:pPr>
      <w:r w:rsidRPr="008D5D7F">
        <w:t>Examine the causes and relevant factors associated with churning</w:t>
      </w:r>
    </w:p>
    <w:p w:rsidR="006C4999" w:rsidRDefault="006C4999" w:rsidP="006C4999">
      <w:pPr>
        <w:spacing w:line="480" w:lineRule="auto"/>
      </w:pPr>
      <w:r w:rsidRPr="00EE4C13">
        <w:t>The second set of research questions examine</w:t>
      </w:r>
      <w:r>
        <w:t>s</w:t>
      </w:r>
      <w:r w:rsidRPr="00EE4C13">
        <w:t xml:space="preserve"> the causes of and the factors associated with churning. Potential causes or correlates of churning include personal barriers or characteristics that may impede recipients’ ability to comply with administrative procedures (including health issues, small children, household composition changes, work schedules, etc.). Operational practices in offices or SNAP policies may make it easier or harder for recipients to recertify or report status changes, including  face-to-face or telephone interviews, office hours, on-line or telephone recertification or reporting, procedures and timing on reporting relevant status changes, or simplified reporting. These can impact exits of otherwise eligible recipients and likewise lead to churning.  In addition, a key hypothesis of the study is that the role of local </w:t>
      </w:r>
      <w:r w:rsidRPr="00EE4C13">
        <w:lastRenderedPageBreak/>
        <w:t xml:space="preserve">community-based organizations (CBOs) is important to churning. Do those areas where CBOs can file SNAP applications have lower churn? </w:t>
      </w:r>
      <w:r>
        <w:t>The study w</w:t>
      </w:r>
      <w:r w:rsidRPr="00EE4C13">
        <w:t xml:space="preserve">ill </w:t>
      </w:r>
      <w:r>
        <w:t xml:space="preserve">investigate </w:t>
      </w:r>
      <w:r w:rsidRPr="00EE4C13">
        <w:t xml:space="preserve">the association of these factors to churning and examine variation in these associations across household types. </w:t>
      </w:r>
      <w:r>
        <w:t xml:space="preserve">The research </w:t>
      </w:r>
      <w:r w:rsidRPr="00EE4C13">
        <w:t>will also explore stakeholders views on churning, including whether it is a major issue, the perceived causes, why cases fail to recertify, and how can churning be reduced.</w:t>
      </w:r>
    </w:p>
    <w:p w:rsidR="006C4999" w:rsidRDefault="006C4999" w:rsidP="006C4999">
      <w:pPr>
        <w:spacing w:line="480" w:lineRule="auto"/>
      </w:pPr>
      <w:r w:rsidRPr="00EE4C13">
        <w:t xml:space="preserve"> </w:t>
      </w:r>
    </w:p>
    <w:p w:rsidR="006C4999" w:rsidRPr="00310FAE" w:rsidRDefault="006C4999" w:rsidP="0067084D">
      <w:pPr>
        <w:numPr>
          <w:ilvl w:val="0"/>
          <w:numId w:val="22"/>
        </w:numPr>
        <w:spacing w:line="480" w:lineRule="auto"/>
      </w:pPr>
      <w:r w:rsidRPr="00310FAE">
        <w:rPr>
          <w:b/>
        </w:rPr>
        <w:t>Determine the process of churner re-entry</w:t>
      </w:r>
    </w:p>
    <w:p w:rsidR="006C4999" w:rsidRDefault="006C4999" w:rsidP="006C4999">
      <w:pPr>
        <w:spacing w:line="480" w:lineRule="auto"/>
      </w:pPr>
    </w:p>
    <w:p w:rsidR="006C4999" w:rsidRDefault="006C4999" w:rsidP="006C4999">
      <w:pPr>
        <w:spacing w:line="480" w:lineRule="auto"/>
      </w:pPr>
      <w:r>
        <w:t xml:space="preserve">The study </w:t>
      </w:r>
      <w:r w:rsidRPr="00EE4C13">
        <w:t xml:space="preserve">also </w:t>
      </w:r>
      <w:r>
        <w:t xml:space="preserve">seeks to </w:t>
      </w:r>
      <w:r w:rsidRPr="00EE4C13">
        <w:t xml:space="preserve">understand more about the process of re-entry for churners and how it may be different than a standard application process. For example, are these short-term SNAP leavers treated differently than new applicants, possibly having to provide less documentation or go through a shorter process? Does this depend on length of time off the program? Differences could have implications for estimates of the costs of churning. In addition, is there any action taken when participants fail to recertify for administrative reasons, but appear to be otherwise eligible? Is there any outreach to these households? Are there any differences in the action taken among types of households that fail to recertify? </w:t>
      </w:r>
      <w:r>
        <w:t xml:space="preserve">The study </w:t>
      </w:r>
      <w:r w:rsidRPr="00EE4C13">
        <w:t xml:space="preserve">will explore whether the process of churner re-entry differs across states and within states by region or office. </w:t>
      </w:r>
    </w:p>
    <w:p w:rsidR="006C4999" w:rsidRPr="008D5D7F" w:rsidRDefault="006C4999" w:rsidP="006C4999">
      <w:pPr>
        <w:pStyle w:val="ListParagraph"/>
        <w:spacing w:line="480" w:lineRule="auto"/>
      </w:pPr>
      <w:r w:rsidRPr="008D5D7F">
        <w:t>Calculate the cost of churning</w:t>
      </w:r>
    </w:p>
    <w:p w:rsidR="006C4999" w:rsidRDefault="006C4999" w:rsidP="006C4999">
      <w:pPr>
        <w:spacing w:line="480" w:lineRule="auto"/>
      </w:pPr>
      <w:r w:rsidRPr="00EE4C13">
        <w:t xml:space="preserve">Finally, </w:t>
      </w:r>
      <w:r>
        <w:t xml:space="preserve">the research </w:t>
      </w:r>
      <w:r w:rsidRPr="00EE4C13">
        <w:t xml:space="preserve">will address questions </w:t>
      </w:r>
      <w:r>
        <w:t>about</w:t>
      </w:r>
      <w:r w:rsidRPr="00EE4C13">
        <w:t xml:space="preserve"> the cost of churning, both for participants and for programs. For participants, the cost of churning when still eligible is their benefit loss. For programs, a key factor is the </w:t>
      </w:r>
      <w:r>
        <w:t xml:space="preserve">administrative </w:t>
      </w:r>
      <w:r w:rsidRPr="00EE4C13">
        <w:t xml:space="preserve">cost of </w:t>
      </w:r>
      <w:r>
        <w:t xml:space="preserve">closure and </w:t>
      </w:r>
      <w:r w:rsidRPr="00EE4C13">
        <w:t>reapp</w:t>
      </w:r>
      <w:r>
        <w:t xml:space="preserve">roval versus case maintenance </w:t>
      </w:r>
      <w:r w:rsidRPr="00EE4C13">
        <w:t xml:space="preserve">for the months </w:t>
      </w:r>
      <w:r>
        <w:t xml:space="preserve">between exit and re-entry.  </w:t>
      </w:r>
      <w:r w:rsidRPr="00EE4C13">
        <w:t xml:space="preserve">Estimating the extent to which participants that churn continued to be eligible for benefits after exit is an important element of </w:t>
      </w:r>
      <w:r w:rsidRPr="00EE4C13">
        <w:lastRenderedPageBreak/>
        <w:t xml:space="preserve">this analysis. </w:t>
      </w:r>
      <w:r>
        <w:t xml:space="preserve">The study will </w:t>
      </w:r>
      <w:r w:rsidRPr="00EE4C13">
        <w:t>use these cost estimates and the differences across states and areas with different policies to provide information on the state fiscal impact of waivers</w:t>
      </w:r>
      <w:r>
        <w:t xml:space="preserve"> </w:t>
      </w:r>
      <w:r w:rsidRPr="00EE4C13">
        <w:t>and options that are associated with lower churn.</w:t>
      </w:r>
    </w:p>
    <w:p w:rsidR="006C4999" w:rsidRDefault="006C4999" w:rsidP="006C4999"/>
    <w:p w:rsidR="006C4999" w:rsidRDefault="006C4999" w:rsidP="006C4999">
      <w:pPr>
        <w:rPr>
          <w:iCs/>
        </w:rPr>
      </w:pPr>
    </w:p>
    <w:p w:rsidR="006C4999" w:rsidRDefault="006C4999" w:rsidP="006C4999">
      <w:pPr>
        <w:spacing w:line="480" w:lineRule="auto"/>
      </w:pPr>
      <w:r>
        <w:t xml:space="preserve">The </w:t>
      </w:r>
      <w:r w:rsidRPr="00EE4C13">
        <w:t xml:space="preserve">proposed approach to answering these research questions involves a combination of quantitative and qualitative analyses using multiple sources of data. For many of the questions </w:t>
      </w:r>
      <w:r>
        <w:t xml:space="preserve">the study </w:t>
      </w:r>
      <w:r w:rsidRPr="00EE4C13">
        <w:t xml:space="preserve">will rely on multiple analysis methods, integrating the results across methods in </w:t>
      </w:r>
      <w:r>
        <w:t xml:space="preserve">the </w:t>
      </w:r>
      <w:r w:rsidRPr="00EE4C13">
        <w:t xml:space="preserve">presentation of findings.  </w:t>
      </w:r>
    </w:p>
    <w:p w:rsidR="006C4999" w:rsidRPr="00EE4C13" w:rsidRDefault="006C4999" w:rsidP="006C4999">
      <w:pPr>
        <w:spacing w:line="480" w:lineRule="auto"/>
      </w:pPr>
    </w:p>
    <w:p w:rsidR="006C4999" w:rsidRPr="002C54C0" w:rsidRDefault="006C4999" w:rsidP="006C4999">
      <w:pPr>
        <w:spacing w:line="480" w:lineRule="auto"/>
        <w:rPr>
          <w:b/>
          <w:i/>
        </w:rPr>
      </w:pPr>
      <w:r>
        <w:rPr>
          <w:b/>
          <w:i/>
        </w:rPr>
        <w:t xml:space="preserve">Quantitative and Qualitative </w:t>
      </w:r>
      <w:r w:rsidRPr="002C54C0">
        <w:rPr>
          <w:b/>
          <w:i/>
        </w:rPr>
        <w:t xml:space="preserve">Data Collection Activities </w:t>
      </w:r>
    </w:p>
    <w:p w:rsidR="006C4999" w:rsidRDefault="006C4999" w:rsidP="006C4999">
      <w:pPr>
        <w:spacing w:line="480" w:lineRule="auto"/>
      </w:pPr>
    </w:p>
    <w:p w:rsidR="006C4999" w:rsidRDefault="006C4999" w:rsidP="006C4999">
      <w:pPr>
        <w:spacing w:line="480" w:lineRule="auto"/>
      </w:pPr>
      <w:r>
        <w:t xml:space="preserve">The </w:t>
      </w:r>
      <w:r w:rsidRPr="002C54C0">
        <w:rPr>
          <w:b/>
          <w:i/>
        </w:rPr>
        <w:t>quantitative analysis</w:t>
      </w:r>
      <w:r w:rsidRPr="00EE4C13">
        <w:t xml:space="preserve"> will rely on administrative </w:t>
      </w:r>
      <w:r>
        <w:t>micro</w:t>
      </w:r>
      <w:r w:rsidRPr="00EE4C13">
        <w:t xml:space="preserve">data </w:t>
      </w:r>
      <w:r>
        <w:t xml:space="preserve">on SNAP participants </w:t>
      </w:r>
      <w:r w:rsidRPr="00EE4C13">
        <w:t xml:space="preserve">in six </w:t>
      </w:r>
      <w:r>
        <w:t xml:space="preserve">selected </w:t>
      </w:r>
      <w:r w:rsidRPr="00EE4C13">
        <w:t>states</w:t>
      </w:r>
      <w:r>
        <w:t>,</w:t>
      </w:r>
      <w:r w:rsidRPr="00EE4C13">
        <w:t xml:space="preserve"> linked with relevant policy </w:t>
      </w:r>
      <w:r>
        <w:t xml:space="preserve">and administrative </w:t>
      </w:r>
      <w:r w:rsidRPr="00EE4C13">
        <w:t>variables. The six states will be chosen to reflect different SNAP policy choices</w:t>
      </w:r>
      <w:r>
        <w:t xml:space="preserve"> </w:t>
      </w:r>
      <w:r w:rsidRPr="00EE4C13">
        <w:t xml:space="preserve">and waivers (including use of CBO waivers) to allow comparison of results across policy environments. </w:t>
      </w:r>
      <w:r>
        <w:t>The study w</w:t>
      </w:r>
      <w:r w:rsidRPr="00EE4C13">
        <w:t xml:space="preserve">ill also examine within-state differences in policy and practices and the association with churn. </w:t>
      </w:r>
      <w:r>
        <w:t>In one of the six states, the research w</w:t>
      </w:r>
      <w:r w:rsidRPr="00EE4C13">
        <w:t xml:space="preserve">ill make use of additional linked </w:t>
      </w:r>
      <w:r>
        <w:t>micro</w:t>
      </w:r>
      <w:r w:rsidRPr="00EE4C13">
        <w:t>data</w:t>
      </w:r>
      <w:r>
        <w:t xml:space="preserve"> on earnings, from quarterly </w:t>
      </w:r>
      <w:r w:rsidRPr="00EE4C13">
        <w:t xml:space="preserve">Unemployment Insurance </w:t>
      </w:r>
      <w:r>
        <w:t xml:space="preserve">wage </w:t>
      </w:r>
      <w:r w:rsidRPr="00EE4C13">
        <w:t>records</w:t>
      </w:r>
      <w:r>
        <w:t xml:space="preserve">, to assess the income eligibility of churners during their period of benefit nonreceipt.  </w:t>
      </w:r>
      <w:r w:rsidRPr="00EE4C13">
        <w:t xml:space="preserve"> </w:t>
      </w:r>
    </w:p>
    <w:p w:rsidR="006C4999" w:rsidRDefault="006C4999" w:rsidP="006C4999">
      <w:pPr>
        <w:spacing w:line="480" w:lineRule="auto"/>
      </w:pPr>
    </w:p>
    <w:p w:rsidR="006C4999" w:rsidRDefault="006C4999" w:rsidP="006C4999">
      <w:pPr>
        <w:spacing w:line="480" w:lineRule="auto"/>
      </w:pPr>
      <w:r w:rsidRPr="00EE4C13">
        <w:t xml:space="preserve">In addition to these quantitative analyses, </w:t>
      </w:r>
      <w:r>
        <w:t xml:space="preserve">the study will include </w:t>
      </w:r>
      <w:r w:rsidRPr="002E3785">
        <w:rPr>
          <w:b/>
          <w:i/>
        </w:rPr>
        <w:t>qualitative analysis</w:t>
      </w:r>
      <w:r w:rsidRPr="00EE4C13">
        <w:t xml:space="preserve"> in six </w:t>
      </w:r>
      <w:r>
        <w:t>local sites</w:t>
      </w:r>
      <w:r w:rsidRPr="00EE4C13">
        <w:t xml:space="preserve">, through interviews of SNAP program administrators, </w:t>
      </w:r>
      <w:r>
        <w:t xml:space="preserve">SNAP </w:t>
      </w:r>
      <w:r w:rsidRPr="00EE4C13">
        <w:t>case</w:t>
      </w:r>
      <w:r>
        <w:t xml:space="preserve"> workers</w:t>
      </w:r>
      <w:r w:rsidRPr="00EE4C13">
        <w:t xml:space="preserve">, SNAP participants who have experienced churn, and representatives of CBOs.  Program administrators </w:t>
      </w:r>
      <w:r w:rsidRPr="00EE4C13">
        <w:lastRenderedPageBreak/>
        <w:t xml:space="preserve">and </w:t>
      </w:r>
      <w:r>
        <w:t xml:space="preserve">caseworkers will be asked to about </w:t>
      </w:r>
      <w:r w:rsidRPr="00EE4C13">
        <w:t>the implementation of SNAP policies in the field</w:t>
      </w:r>
      <w:r>
        <w:t xml:space="preserve">, about </w:t>
      </w:r>
      <w:r w:rsidRPr="00EE4C13">
        <w:t>potential reasons for churning related to administrative practices</w:t>
      </w:r>
      <w:r>
        <w:t>, about churner re-entry</w:t>
      </w:r>
      <w:r w:rsidRPr="00EE4C13">
        <w:t xml:space="preserve"> (e.g., how re-applications are handled for cases that left SNAP within the last four months)</w:t>
      </w:r>
      <w:r>
        <w:t>, and about the costs of churning</w:t>
      </w:r>
      <w:r w:rsidRPr="00EE4C13">
        <w:t>. The</w:t>
      </w:r>
      <w:r>
        <w:t xml:space="preserve"> caseworkers will also be </w:t>
      </w:r>
      <w:r w:rsidRPr="00EE4C13">
        <w:t xml:space="preserve">key informants for interpreting the meaning of case closure codes in administrative data, as they typically enter this information. CBO representatives that help individuals access SNAP benefits </w:t>
      </w:r>
      <w:r>
        <w:t xml:space="preserve">can </w:t>
      </w:r>
      <w:r w:rsidRPr="00EE4C13">
        <w:t>provide a different perspective than program staff on practices and policies that lead to churn.</w:t>
      </w:r>
      <w:r>
        <w:t xml:space="preserve">  Re</w:t>
      </w:r>
      <w:r w:rsidRPr="00EE4C13">
        <w:t xml:space="preserve">cipients who have </w:t>
      </w:r>
      <w:r>
        <w:t xml:space="preserve">themselves </w:t>
      </w:r>
      <w:r w:rsidRPr="00EE4C13">
        <w:t xml:space="preserve">churned can provide information on specific reasons for exiting that would not be listed in administrative data (such as difficulties navigating procedures due to health, language, or education deficits). </w:t>
      </w:r>
    </w:p>
    <w:p w:rsidR="006C4999" w:rsidRDefault="006C4999" w:rsidP="006C4999">
      <w:pPr>
        <w:spacing w:line="480" w:lineRule="auto"/>
      </w:pPr>
    </w:p>
    <w:p w:rsidR="006C4999" w:rsidRDefault="006C4999" w:rsidP="006C4999">
      <w:pPr>
        <w:spacing w:line="480" w:lineRule="auto"/>
      </w:pPr>
      <w:r>
        <w:t>The data collection instruments to be used are as follows:</w:t>
      </w:r>
    </w:p>
    <w:p w:rsidR="006C4999" w:rsidRDefault="006C4999" w:rsidP="0067084D">
      <w:pPr>
        <w:pStyle w:val="Normal2"/>
        <w:numPr>
          <w:ilvl w:val="0"/>
          <w:numId w:val="20"/>
        </w:numPr>
        <w:jc w:val="both"/>
        <w:rPr>
          <w:rFonts w:ascii="Times New Roman" w:hAnsi="Times New Roman"/>
        </w:rPr>
      </w:pPr>
      <w:r>
        <w:rPr>
          <w:rFonts w:ascii="Times New Roman" w:hAnsi="Times New Roman"/>
        </w:rPr>
        <w:t xml:space="preserve">Recruitment Script: Interviews (A-1)—To recruit respondents among administrators and staff of the state and local program agencies and community-based organizations. </w:t>
      </w:r>
    </w:p>
    <w:p w:rsidR="006C4999" w:rsidRDefault="006C4999" w:rsidP="0067084D">
      <w:pPr>
        <w:pStyle w:val="Normal2"/>
        <w:numPr>
          <w:ilvl w:val="0"/>
          <w:numId w:val="20"/>
        </w:numPr>
        <w:jc w:val="both"/>
        <w:rPr>
          <w:rFonts w:ascii="Times New Roman" w:hAnsi="Times New Roman"/>
        </w:rPr>
      </w:pPr>
      <w:r>
        <w:rPr>
          <w:rFonts w:ascii="Times New Roman" w:hAnsi="Times New Roman"/>
        </w:rPr>
        <w:t>Reminder Script: Interviews (A-2)—To remind the recruited respondents of the date, time, and location of their interview.</w:t>
      </w:r>
    </w:p>
    <w:p w:rsidR="006C4999" w:rsidRDefault="006C4999" w:rsidP="0067084D">
      <w:pPr>
        <w:pStyle w:val="Normal2"/>
        <w:numPr>
          <w:ilvl w:val="0"/>
          <w:numId w:val="20"/>
        </w:numPr>
        <w:jc w:val="both"/>
        <w:rPr>
          <w:rFonts w:ascii="Times New Roman" w:hAnsi="Times New Roman"/>
        </w:rPr>
      </w:pPr>
      <w:r>
        <w:rPr>
          <w:rFonts w:ascii="Times New Roman" w:hAnsi="Times New Roman"/>
        </w:rPr>
        <w:t>Introductory Script: Interviews (A-3)—To explain the interview objectives and procedures and to obtain consent from the respondent.</w:t>
      </w:r>
    </w:p>
    <w:p w:rsidR="006C4999" w:rsidRPr="00B27CD8" w:rsidRDefault="006C4999" w:rsidP="0067084D">
      <w:pPr>
        <w:pStyle w:val="Normal2"/>
        <w:numPr>
          <w:ilvl w:val="0"/>
          <w:numId w:val="20"/>
        </w:numPr>
        <w:jc w:val="both"/>
        <w:rPr>
          <w:rFonts w:ascii="Times New Roman" w:hAnsi="Times New Roman"/>
        </w:rPr>
      </w:pPr>
      <w:r>
        <w:rPr>
          <w:rFonts w:ascii="Times New Roman" w:hAnsi="Times New Roman"/>
        </w:rPr>
        <w:t xml:space="preserve">Interview Guides: </w:t>
      </w:r>
      <w:r w:rsidRPr="00B27CD8">
        <w:rPr>
          <w:rFonts w:ascii="Times New Roman" w:hAnsi="Times New Roman"/>
        </w:rPr>
        <w:t>SNAP Administrator</w:t>
      </w:r>
      <w:r>
        <w:rPr>
          <w:rFonts w:ascii="Times New Roman" w:hAnsi="Times New Roman"/>
        </w:rPr>
        <w:t xml:space="preserve"> (A-4), </w:t>
      </w:r>
      <w:r w:rsidRPr="00B27CD8">
        <w:rPr>
          <w:rFonts w:ascii="Times New Roman" w:hAnsi="Times New Roman"/>
        </w:rPr>
        <w:t>SNAP Caseworker</w:t>
      </w:r>
      <w:r>
        <w:rPr>
          <w:rFonts w:ascii="Times New Roman" w:hAnsi="Times New Roman"/>
        </w:rPr>
        <w:t xml:space="preserve"> (A-5), and Community-Based Organization </w:t>
      </w:r>
      <w:r w:rsidRPr="00B27CD8">
        <w:rPr>
          <w:rFonts w:ascii="Times New Roman" w:hAnsi="Times New Roman"/>
        </w:rPr>
        <w:t>Director</w:t>
      </w:r>
      <w:r>
        <w:rPr>
          <w:rFonts w:ascii="Times New Roman" w:hAnsi="Times New Roman"/>
        </w:rPr>
        <w:t xml:space="preserve"> (A-6)—To collect from the interview respondents the substantive information necessary for the study.</w:t>
      </w:r>
    </w:p>
    <w:p w:rsidR="006C4999" w:rsidRDefault="006C4999" w:rsidP="0067084D">
      <w:pPr>
        <w:pStyle w:val="Normal2"/>
        <w:numPr>
          <w:ilvl w:val="0"/>
          <w:numId w:val="20"/>
        </w:numPr>
        <w:rPr>
          <w:rFonts w:ascii="Times New Roman" w:hAnsi="Times New Roman"/>
        </w:rPr>
      </w:pPr>
      <w:r>
        <w:rPr>
          <w:rFonts w:ascii="Times New Roman" w:hAnsi="Times New Roman"/>
        </w:rPr>
        <w:t>Recruitment Script: Focus Groups (B-1)—To recruit focus group participants from among SNAP householders identified as having recently churned.</w:t>
      </w:r>
    </w:p>
    <w:p w:rsidR="006C4999" w:rsidRDefault="006C4999" w:rsidP="0067084D">
      <w:pPr>
        <w:pStyle w:val="Normal2"/>
        <w:numPr>
          <w:ilvl w:val="0"/>
          <w:numId w:val="20"/>
        </w:numPr>
        <w:rPr>
          <w:rFonts w:ascii="Times New Roman" w:hAnsi="Times New Roman"/>
        </w:rPr>
      </w:pPr>
      <w:r>
        <w:rPr>
          <w:rFonts w:ascii="Times New Roman" w:hAnsi="Times New Roman"/>
        </w:rPr>
        <w:t>Reminder Script: Focus Groups (B-2)—To remind the recruited focus group participants of the date, time, and location of their focus group.</w:t>
      </w:r>
    </w:p>
    <w:p w:rsidR="006C4999" w:rsidRPr="00B27CD8" w:rsidRDefault="006C4999" w:rsidP="0067084D">
      <w:pPr>
        <w:pStyle w:val="Normal2"/>
        <w:numPr>
          <w:ilvl w:val="0"/>
          <w:numId w:val="20"/>
        </w:numPr>
        <w:rPr>
          <w:rFonts w:ascii="Times New Roman" w:hAnsi="Times New Roman"/>
        </w:rPr>
      </w:pPr>
      <w:r>
        <w:rPr>
          <w:rFonts w:ascii="Times New Roman" w:hAnsi="Times New Roman"/>
        </w:rPr>
        <w:t>Introductory Script: Focus Groups (B-3)—To explain the focus group objectives and procedures and to obtain consent from the participants._</w:t>
      </w:r>
      <w:r w:rsidRPr="00B27CD8">
        <w:rPr>
          <w:rFonts w:ascii="Times New Roman" w:hAnsi="Times New Roman"/>
        </w:rPr>
        <w:t xml:space="preserve"> </w:t>
      </w:r>
    </w:p>
    <w:p w:rsidR="006C4999" w:rsidRPr="00B27CD8" w:rsidRDefault="006C4999" w:rsidP="0067084D">
      <w:pPr>
        <w:pStyle w:val="Normal2"/>
        <w:numPr>
          <w:ilvl w:val="0"/>
          <w:numId w:val="20"/>
        </w:numPr>
        <w:rPr>
          <w:rFonts w:ascii="Times New Roman" w:hAnsi="Times New Roman"/>
        </w:rPr>
      </w:pPr>
      <w:r>
        <w:rPr>
          <w:rFonts w:ascii="Times New Roman" w:hAnsi="Times New Roman"/>
        </w:rPr>
        <w:lastRenderedPageBreak/>
        <w:t xml:space="preserve">Focus Group </w:t>
      </w:r>
      <w:r w:rsidRPr="00B27CD8">
        <w:rPr>
          <w:rFonts w:ascii="Times New Roman" w:hAnsi="Times New Roman"/>
        </w:rPr>
        <w:t>Guide</w:t>
      </w:r>
      <w:r>
        <w:rPr>
          <w:rFonts w:ascii="Times New Roman" w:hAnsi="Times New Roman"/>
        </w:rPr>
        <w:t>: SNAP Participants</w:t>
      </w:r>
      <w:r w:rsidRPr="00B27CD8">
        <w:rPr>
          <w:rFonts w:ascii="Times New Roman" w:hAnsi="Times New Roman"/>
        </w:rPr>
        <w:t xml:space="preserve"> </w:t>
      </w:r>
      <w:r>
        <w:rPr>
          <w:rFonts w:ascii="Times New Roman" w:hAnsi="Times New Roman"/>
        </w:rPr>
        <w:t>(B-4)—To collect from the focus group participants the substantive information necessary for the study.</w:t>
      </w:r>
    </w:p>
    <w:p w:rsidR="006C4999" w:rsidRDefault="006C4999" w:rsidP="0067084D">
      <w:pPr>
        <w:pStyle w:val="Normal2"/>
        <w:numPr>
          <w:ilvl w:val="0"/>
          <w:numId w:val="20"/>
        </w:numPr>
        <w:rPr>
          <w:rFonts w:ascii="Times New Roman" w:hAnsi="Times New Roman"/>
        </w:rPr>
      </w:pPr>
      <w:r w:rsidRPr="00B27CD8">
        <w:rPr>
          <w:rFonts w:ascii="Times New Roman" w:hAnsi="Times New Roman"/>
        </w:rPr>
        <w:t>Focus Group Participant Information Form</w:t>
      </w:r>
      <w:r>
        <w:rPr>
          <w:rFonts w:ascii="Times New Roman" w:hAnsi="Times New Roman"/>
        </w:rPr>
        <w:t xml:space="preserve"> (B-5)—To obtain basic demographic information from each focus group participant.</w:t>
      </w:r>
    </w:p>
    <w:p w:rsidR="006C4999" w:rsidRDefault="006C4999" w:rsidP="0067084D">
      <w:pPr>
        <w:pStyle w:val="Normal2"/>
        <w:numPr>
          <w:ilvl w:val="0"/>
          <w:numId w:val="20"/>
        </w:numPr>
        <w:rPr>
          <w:rFonts w:ascii="Times New Roman" w:hAnsi="Times New Roman"/>
        </w:rPr>
      </w:pPr>
      <w:r>
        <w:rPr>
          <w:rFonts w:ascii="Times New Roman" w:hAnsi="Times New Roman"/>
        </w:rPr>
        <w:t>Focus Group Participant Receipt Form (B-6)—To provide documentation of the focus group participant having received their incentive payment.</w:t>
      </w:r>
    </w:p>
    <w:p w:rsidR="006C4999" w:rsidRDefault="006C4999" w:rsidP="006C4999">
      <w:pPr>
        <w:spacing w:line="480" w:lineRule="auto"/>
      </w:pPr>
      <w:r>
        <w:t>Instruments A-1 through A-6 are provided in the separate Appendix A.  Instruments B-1 through B-6 are provided in the separate Appendix B, including Spanish translations identified as Instruments B-1S through B-6S.</w:t>
      </w:r>
    </w:p>
    <w:p w:rsidR="006C4999" w:rsidRPr="00A17A1E" w:rsidRDefault="006C4999" w:rsidP="006C4999">
      <w:pPr>
        <w:rPr>
          <w:iCs/>
        </w:rPr>
      </w:pPr>
    </w:p>
    <w:p w:rsidR="006C4999" w:rsidRPr="009A3085" w:rsidRDefault="006C4999" w:rsidP="006C4999">
      <w:pPr>
        <w:ind w:left="720" w:hanging="720"/>
        <w:rPr>
          <w:b/>
        </w:rPr>
      </w:pPr>
      <w:r w:rsidRPr="008B0444">
        <w:rPr>
          <w:b/>
        </w:rPr>
        <w:t>3.</w:t>
      </w:r>
      <w:r w:rsidRPr="008B0444">
        <w:rPr>
          <w:b/>
        </w:rPr>
        <w:tab/>
      </w:r>
      <w:r w:rsidRPr="009A3085">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9F03F0" w:rsidRDefault="006C4999" w:rsidP="006C4999">
      <w:pPr>
        <w:spacing w:line="480" w:lineRule="auto"/>
      </w:pPr>
      <w:r w:rsidRPr="009F03F0">
        <w:t xml:space="preserve">To ensure that </w:t>
      </w:r>
      <w:r w:rsidRPr="009F03F0">
        <w:rPr>
          <w:rFonts w:eastAsia="Calibri"/>
          <w:color w:val="000000"/>
        </w:rPr>
        <w:t>qualitative</w:t>
      </w:r>
      <w:r w:rsidRPr="009F03F0">
        <w:t xml:space="preserve"> data collection activities produce comparable, complete, and high quality data, site visit transcripts, summaries, and other documents will be coded and analyzed using NVivo qualitative analysis software.  Using NVivo will enhance the ability to ensure inter-coder reliability and to analyze the qualitative data systematically.  </w:t>
      </w:r>
    </w:p>
    <w:p w:rsidR="006C4999" w:rsidRPr="009F03F0" w:rsidRDefault="006C4999" w:rsidP="006C4999">
      <w:pPr>
        <w:spacing w:line="480" w:lineRule="auto"/>
      </w:pPr>
    </w:p>
    <w:p w:rsidR="006C4999" w:rsidRPr="009F03F0" w:rsidRDefault="006C4999" w:rsidP="006C4999">
      <w:pPr>
        <w:spacing w:line="480" w:lineRule="auto"/>
      </w:pPr>
      <w:r w:rsidRPr="009F03F0">
        <w:rPr>
          <w:rFonts w:eastAsia="Calibri"/>
          <w:color w:val="000000"/>
        </w:rPr>
        <w:t>Systematic</w:t>
      </w:r>
      <w:r w:rsidRPr="009F03F0">
        <w:t xml:space="preserve"> analyses of the qualitative data will allow identification of patterns and themes among the various groups of respondents and across the six sites.  For example, the study team will analyze the extent to which respondents see personal barriers or characteristics as contributing to churning, and identify the specific mechanisms by which these may lead to churning.  The team will analyze whether the perspectives on this issue differ among the various stakeholder groups.</w:t>
      </w:r>
    </w:p>
    <w:p w:rsidR="006C4999" w:rsidRPr="00131E2E" w:rsidRDefault="006C4999" w:rsidP="006C4999"/>
    <w:p w:rsidR="006C4999" w:rsidRPr="00603F18"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i/>
        </w:rPr>
      </w:pPr>
      <w:r w:rsidRPr="008B0444">
        <w:rPr>
          <w:b/>
        </w:rPr>
        <w:lastRenderedPageBreak/>
        <w:t>4.</w:t>
      </w:r>
      <w:r w:rsidRPr="008B0444">
        <w:rPr>
          <w:b/>
        </w:rPr>
        <w:tab/>
      </w:r>
      <w:r w:rsidRPr="009A3085">
        <w:rPr>
          <w:b/>
        </w:rPr>
        <w:t>Describe efforts to identify duplication.  Show specifically why any similar information already available cannot be used or modified for use for the purpose described in item 2 above.</w:t>
      </w:r>
    </w:p>
    <w:p w:rsidR="006C4999" w:rsidRDefault="006C4999" w:rsidP="006C4999">
      <w:pPr>
        <w:tabs>
          <w:tab w:val="left" w:pos="-720"/>
          <w:tab w:val="left" w:pos="630"/>
          <w:tab w:val="left" w:pos="720"/>
          <w:tab w:val="left" w:pos="4320"/>
          <w:tab w:val="left" w:pos="5040"/>
          <w:tab w:val="left" w:pos="5760"/>
          <w:tab w:val="left" w:pos="6480"/>
          <w:tab w:val="left" w:pos="7200"/>
          <w:tab w:val="left" w:pos="7920"/>
          <w:tab w:val="left" w:pos="8640"/>
          <w:tab w:val="left" w:pos="9360"/>
        </w:tabs>
        <w:ind w:left="630"/>
      </w:pPr>
    </w:p>
    <w:p w:rsidR="006C4999" w:rsidRDefault="006C4999" w:rsidP="006C4999">
      <w:pPr>
        <w:spacing w:line="480" w:lineRule="auto"/>
      </w:pPr>
      <w:r w:rsidRPr="009F03F0">
        <w:t xml:space="preserve">There is no similar data collection available.  Every effort has been made to avoid duplication. FNS has reviewed USDA reporting requirements, state administrative agency reporting requirements, and special studies by other government and private agencies. FNS solely administers and monitors SNAP benefits. The information required for </w:t>
      </w:r>
      <w:r w:rsidRPr="009F03F0">
        <w:rPr>
          <w:u w:val="single"/>
        </w:rPr>
        <w:t>this study</w:t>
      </w:r>
      <w:r w:rsidRPr="009F03F0">
        <w:t xml:space="preserve"> is not currently reported to State Agencies on a regular basis in a standardized form.  </w:t>
      </w: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2"/>
        </w:rPr>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3B61BA">
        <w:t xml:space="preserve">While existing </w:t>
      </w:r>
      <w:r>
        <w:t xml:space="preserve">research </w:t>
      </w:r>
      <w:r w:rsidRPr="003B61BA">
        <w:t>offer</w:t>
      </w:r>
      <w:r>
        <w:t xml:space="preserve">s some evidence on patterns of SNAP churn, there has been no systematic effort to understand its underlying causes and its costs.  </w:t>
      </w:r>
      <w:r w:rsidRPr="003B61BA">
        <w:t xml:space="preserve"> </w:t>
      </w:r>
      <w:bookmarkStart w:id="0" w:name="_Toc297799363"/>
      <w:bookmarkStart w:id="1" w:name="_Toc297802604"/>
      <w:bookmarkStart w:id="2" w:name="_Toc297809626"/>
      <w:r w:rsidRPr="00EE4C13">
        <w:t>Th</w:t>
      </w:r>
      <w:r>
        <w:t>is</w:t>
      </w:r>
      <w:r w:rsidRPr="00EE4C13">
        <w:t xml:space="preserve"> study will </w:t>
      </w:r>
      <w:r>
        <w:t xml:space="preserve">thus </w:t>
      </w:r>
      <w:r w:rsidRPr="00EE4C13">
        <w:t>fill a key gap in the SNAP literature. The SNAP caseload dynamics literature provides some insight into the extent of churning in the SNAP program. The study will also benefit from information drawn from prior research on state efforts to modernize and streamline application and recertification procedures and to encourage overall program participation, as well as data collected by FNS on current state policies (USDA FNS 2010).</w:t>
      </w:r>
      <w:bookmarkEnd w:id="0"/>
      <w:bookmarkEnd w:id="1"/>
      <w:bookmarkEnd w:id="2"/>
      <w:r w:rsidRPr="00EE4C13">
        <w:t xml:space="preserve"> </w:t>
      </w: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6C4999" w:rsidRPr="006925C8" w:rsidRDefault="006C4999" w:rsidP="006C4999">
      <w:pPr>
        <w:spacing w:line="480" w:lineRule="auto"/>
        <w:rPr>
          <w:b/>
          <w:i/>
        </w:rPr>
      </w:pPr>
      <w:bookmarkStart w:id="3" w:name="_Toc297799364"/>
      <w:bookmarkStart w:id="4" w:name="_Toc297802605"/>
      <w:bookmarkStart w:id="5" w:name="_Toc297809627"/>
      <w:r>
        <w:rPr>
          <w:b/>
          <w:i/>
        </w:rPr>
        <w:t xml:space="preserve">Review of </w:t>
      </w:r>
      <w:r w:rsidRPr="006925C8">
        <w:rPr>
          <w:b/>
          <w:i/>
        </w:rPr>
        <w:t xml:space="preserve">Evidence </w:t>
      </w:r>
      <w:r>
        <w:rPr>
          <w:b/>
          <w:i/>
        </w:rPr>
        <w:t xml:space="preserve">on Rates and Causes of SNAP Churn </w:t>
      </w:r>
    </w:p>
    <w:p w:rsidR="006C4999" w:rsidRDefault="006C4999" w:rsidP="006C4999">
      <w:pPr>
        <w:spacing w:line="480" w:lineRule="auto"/>
      </w:pPr>
      <w:r w:rsidRPr="00EE4C13">
        <w:t xml:space="preserve">Three studies of SNAP caseload dynamics in the 1990s and early 2000s indicate that as many as 20 to 24 percent of exiting cases return to the program in three to four months. Using national survey data from the 2001-2003 Panel of the Survey of Income and Program Participation (SIPP), Cody et al. (2007, p. 63, 82) find that 61 percent of those who began participating in SNAP in the panel period exited within one year. Of those leaving the program, 24 percent re-entered within 4 months. Rangarajan and Gleason (2001, p. 34) found similarly that of those </w:t>
      </w:r>
      <w:r w:rsidRPr="00EE4C13">
        <w:lastRenderedPageBreak/>
        <w:t>leaving food stamps in Illinois in 1997, 22 percent re-entered within 4 months. Richburg-Hayes and Kwakye (2005, p. 38-39) use a slightly different definition of reentry—focusing on the time within which cases that have been off  food stamps for two consecutive months return to the program. Over the 1993-2001 time period analyzed, 23 percent of cases that had been off food stamps for two consecutive months in Cuyahoga County, Ohio, began receiving food stamps within the following three months, compared to 16 percent in Miami-Dade County, 14 percent in Philadelphia County, and 6.5 percent in Los Angeles County.</w:t>
      </w:r>
      <w:bookmarkEnd w:id="3"/>
      <w:bookmarkEnd w:id="4"/>
      <w:bookmarkEnd w:id="5"/>
      <w:r w:rsidRPr="00EE4C13">
        <w:t xml:space="preserve"> </w:t>
      </w:r>
    </w:p>
    <w:p w:rsidR="006C4999" w:rsidRPr="00EE4C13" w:rsidRDefault="006C4999" w:rsidP="006C4999">
      <w:pPr>
        <w:spacing w:line="480" w:lineRule="auto"/>
      </w:pPr>
    </w:p>
    <w:p w:rsidR="006C4999" w:rsidRDefault="006C4999" w:rsidP="006C4999">
      <w:pPr>
        <w:spacing w:line="480" w:lineRule="auto"/>
      </w:pPr>
      <w:bookmarkStart w:id="6" w:name="_Toc297799365"/>
      <w:bookmarkStart w:id="7" w:name="_Toc297809628"/>
      <w:r w:rsidRPr="00EE4C13">
        <w:t>All of the studies found higher rates of churning for children, women, and non-Hispanic Blacks (results varied for Hispanics and other minorities). Additional characteristics examined in some, but not all, of the studies, showed higher rates of churning for TANF recipients (SIPP and Illinois), cases without earnings (SIPP, Miami-Dade County, Los Angeles County), families without a high school graduate, non-citizens, and families with income below 50 percent of poverty (SIPP), and cases in urban areas (Illinois).</w:t>
      </w:r>
      <w:bookmarkEnd w:id="6"/>
      <w:bookmarkEnd w:id="7"/>
      <w:r w:rsidRPr="00EE4C13">
        <w:t xml:space="preserve"> </w:t>
      </w:r>
      <w:bookmarkStart w:id="8" w:name="_Toc297799366"/>
      <w:bookmarkStart w:id="9" w:name="_Toc297802607"/>
      <w:bookmarkStart w:id="10" w:name="_Toc297809629"/>
    </w:p>
    <w:p w:rsidR="006C4999" w:rsidRDefault="006C4999" w:rsidP="006C4999">
      <w:pPr>
        <w:spacing w:line="480" w:lineRule="auto"/>
      </w:pPr>
    </w:p>
    <w:p w:rsidR="006C4999" w:rsidRDefault="006C4999" w:rsidP="006C4999">
      <w:pPr>
        <w:spacing w:line="480" w:lineRule="auto"/>
      </w:pPr>
      <w:r w:rsidRPr="00EE4C13">
        <w:t>Studies that explore the factors discouraging recertification can also shed insight into the causes of churning. A 2004 ERS study of Food Stamp Program (FSP) Access (Bartlett et al. 2004</w:t>
      </w:r>
      <w:r>
        <w:t>, OMB control number 0536-0053</w:t>
      </w:r>
      <w:r w:rsidRPr="00EE4C13">
        <w:t xml:space="preserve">) found that, of families leaving the program at recertification, 38 percent noted difficulties with the recertification process and requirements. </w:t>
      </w:r>
    </w:p>
    <w:p w:rsidR="006C4999" w:rsidRDefault="006C4999" w:rsidP="006C4999">
      <w:pPr>
        <w:spacing w:line="480" w:lineRule="auto"/>
      </w:pPr>
    </w:p>
    <w:p w:rsidR="00052792" w:rsidRDefault="00052792" w:rsidP="006C4999">
      <w:pPr>
        <w:spacing w:line="480" w:lineRule="auto"/>
      </w:pPr>
    </w:p>
    <w:p w:rsidR="00052792" w:rsidRDefault="00052792" w:rsidP="006C4999">
      <w:pPr>
        <w:spacing w:line="480" w:lineRule="auto"/>
      </w:pPr>
    </w:p>
    <w:p w:rsidR="00052792" w:rsidRPr="00EE4C13" w:rsidRDefault="00052792" w:rsidP="006C4999">
      <w:pPr>
        <w:spacing w:line="480" w:lineRule="auto"/>
      </w:pPr>
    </w:p>
    <w:p w:rsidR="006C4999" w:rsidRDefault="006C4999" w:rsidP="006C4999">
      <w:pPr>
        <w:spacing w:line="480" w:lineRule="auto"/>
        <w:rPr>
          <w:b/>
        </w:rPr>
      </w:pPr>
      <w:bookmarkStart w:id="11" w:name="_Toc297799369"/>
      <w:bookmarkStart w:id="12" w:name="_Toc297802610"/>
      <w:bookmarkStart w:id="13" w:name="_Toc297809632"/>
      <w:bookmarkEnd w:id="8"/>
      <w:bookmarkEnd w:id="9"/>
      <w:bookmarkEnd w:id="10"/>
      <w:r>
        <w:rPr>
          <w:b/>
          <w:i/>
        </w:rPr>
        <w:lastRenderedPageBreak/>
        <w:t xml:space="preserve">Review of Evidence on </w:t>
      </w:r>
      <w:r w:rsidRPr="006925C8">
        <w:rPr>
          <w:b/>
          <w:i/>
        </w:rPr>
        <w:t xml:space="preserve">Costs </w:t>
      </w:r>
      <w:r>
        <w:rPr>
          <w:b/>
          <w:i/>
        </w:rPr>
        <w:t xml:space="preserve">of Churn </w:t>
      </w:r>
    </w:p>
    <w:p w:rsidR="006C4999" w:rsidRDefault="006C4999" w:rsidP="006C4999">
      <w:pPr>
        <w:spacing w:line="480" w:lineRule="auto"/>
        <w:rPr>
          <w:b/>
        </w:rPr>
      </w:pPr>
    </w:p>
    <w:p w:rsidR="006C4999" w:rsidRDefault="006C4999" w:rsidP="006C4999">
      <w:pPr>
        <w:spacing w:line="480" w:lineRule="auto"/>
      </w:pPr>
      <w:r w:rsidRPr="00EE4C13">
        <w:t>When an eligible family temporarily ceases SNAP participation, the family experiences costs in the form of lost benefits. The loss can be substantial, relative to family income, and may jeopardize the family’s access to sufficient nutritious food. As noted above, the prior literature on SNAP churning suggests that more disadvantaged groups (such as TANF families, families without earnings, and families below 50 percent of poverty) are most likely to churn, suggesting a substantial impact from the missed months of participation.</w:t>
      </w:r>
      <w:bookmarkEnd w:id="11"/>
      <w:bookmarkEnd w:id="12"/>
      <w:bookmarkEnd w:id="13"/>
    </w:p>
    <w:p w:rsidR="006C4999" w:rsidRPr="00EE4C13" w:rsidRDefault="006C4999" w:rsidP="006C4999">
      <w:pPr>
        <w:spacing w:line="480" w:lineRule="auto"/>
        <w:rPr>
          <w:b/>
          <w:u w:val="single"/>
        </w:rPr>
      </w:pPr>
    </w:p>
    <w:p w:rsidR="006C4999" w:rsidRDefault="006C4999" w:rsidP="006C4999">
      <w:pPr>
        <w:spacing w:line="480" w:lineRule="auto"/>
      </w:pPr>
      <w:bookmarkStart w:id="14" w:name="_Toc297799370"/>
      <w:bookmarkStart w:id="15" w:name="_Toc297802611"/>
      <w:bookmarkStart w:id="16" w:name="_Toc297809633"/>
      <w:r w:rsidRPr="00EE4C13">
        <w:t>If families returning to SNAP are required to follow additional application steps that would not be required if they were simply renewing existing coverage, then the family may experience additional costs in terms of the time necessary to obtain and submit the necessary documentation, and/or the costs associated with additional visits to the SNAP office such as transportation, child care, and forgone wages (Mills, Compton, and Golden 2011).</w:t>
      </w:r>
      <w:bookmarkEnd w:id="14"/>
      <w:bookmarkEnd w:id="15"/>
      <w:bookmarkEnd w:id="16"/>
      <w:r w:rsidRPr="00EE4C13">
        <w:t xml:space="preserve"> </w:t>
      </w:r>
    </w:p>
    <w:p w:rsidR="006C4999" w:rsidRPr="00EE4C13" w:rsidRDefault="006C4999" w:rsidP="006C4999">
      <w:pPr>
        <w:spacing w:line="480" w:lineRule="auto"/>
      </w:pPr>
    </w:p>
    <w:p w:rsidR="006C4999" w:rsidRDefault="006C4999" w:rsidP="006C4999">
      <w:pPr>
        <w:spacing w:line="480" w:lineRule="auto"/>
      </w:pPr>
      <w:bookmarkStart w:id="17" w:name="_Toc297799371"/>
      <w:bookmarkStart w:id="18" w:name="_Toc297802612"/>
      <w:bookmarkStart w:id="19" w:name="_Toc297809634"/>
      <w:r w:rsidRPr="00EE4C13">
        <w:t>Churning also presents costs to the SNAP agency, as re-enrolling families is substantially more time consuming than renewing existing cases (Rosenbaum and Dean 2011</w:t>
      </w:r>
      <w:r>
        <w:t>,</w:t>
      </w:r>
      <w:r w:rsidRPr="00EE4C13">
        <w:t xml:space="preserve"> p</w:t>
      </w:r>
      <w:r>
        <w:t>.</w:t>
      </w:r>
      <w:r w:rsidRPr="00EE4C13">
        <w:t xml:space="preserve"> 58). Certain modernization efforts are specifically geared toward reducing the costs associated with churning—these include “revolving door” waivers that allow staff to reopen a case within 30 days of closure if the closing was as a result of insufficient documentation at recertification and the documentation was subsequently provided (Rowe et al</w:t>
      </w:r>
      <w:r>
        <w:t>.</w:t>
      </w:r>
      <w:r w:rsidRPr="00EE4C13">
        <w:t xml:space="preserve"> 2010</w:t>
      </w:r>
      <w:r>
        <w:t>,</w:t>
      </w:r>
      <w:r w:rsidRPr="00EE4C13">
        <w:t xml:space="preserve"> volume </w:t>
      </w:r>
      <w:r>
        <w:t>I</w:t>
      </w:r>
      <w:r w:rsidRPr="00EE4C13">
        <w:t>, p</w:t>
      </w:r>
      <w:r>
        <w:t>.</w:t>
      </w:r>
      <w:r w:rsidRPr="00EE4C13">
        <w:t xml:space="preserve"> iii-iv).  In reviewing the success of its modernization efforts, </w:t>
      </w:r>
      <w:r>
        <w:t xml:space="preserve">administrators in </w:t>
      </w:r>
      <w:r w:rsidRPr="00EE4C13">
        <w:t xml:space="preserve">Utah observed that there was substantial churning at recertification, with 40 percent of cases closing at recertification for not </w:t>
      </w:r>
      <w:r w:rsidRPr="00EE4C13">
        <w:lastRenderedPageBreak/>
        <w:t xml:space="preserve">completing the process and 90 percent of those reapplying approved. Failure to submit a signature at recertification seemed </w:t>
      </w:r>
      <w:r>
        <w:t xml:space="preserve">to be </w:t>
      </w:r>
      <w:r w:rsidRPr="00EE4C13">
        <w:t>the biggest challenge (Rowe et al</w:t>
      </w:r>
      <w:r>
        <w:t xml:space="preserve">, </w:t>
      </w:r>
      <w:r w:rsidRPr="00EE4C13">
        <w:t>2010</w:t>
      </w:r>
      <w:r>
        <w:t>,</w:t>
      </w:r>
      <w:r w:rsidRPr="00EE4C13">
        <w:t xml:space="preserve"> volume </w:t>
      </w:r>
      <w:r>
        <w:t>II</w:t>
      </w:r>
      <w:r w:rsidRPr="00EE4C13">
        <w:t>, p</w:t>
      </w:r>
      <w:r>
        <w:t>.</w:t>
      </w:r>
      <w:r w:rsidRPr="00EE4C13">
        <w:t xml:space="preserve"> 132).</w:t>
      </w:r>
      <w:bookmarkEnd w:id="17"/>
      <w:bookmarkEnd w:id="18"/>
      <w:bookmarkEnd w:id="19"/>
      <w:r w:rsidRPr="00EE4C13">
        <w:t xml:space="preserve"> </w:t>
      </w:r>
    </w:p>
    <w:p w:rsidR="006C4999" w:rsidRPr="00EE4C13" w:rsidRDefault="006C4999" w:rsidP="006C4999"/>
    <w:p w:rsidR="006C4999" w:rsidRPr="009D278F"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5.</w:t>
      </w:r>
      <w:r w:rsidRPr="008B0444">
        <w:rPr>
          <w:b/>
        </w:rPr>
        <w:tab/>
      </w:r>
      <w:r w:rsidRPr="009A3085">
        <w:rPr>
          <w:b/>
        </w:rPr>
        <w:t>If the collection of information impacts small businesses or other small entities, describe any methods used to minimize burden.</w:t>
      </w:r>
    </w:p>
    <w:p w:rsidR="006C4999" w:rsidRPr="008B0444"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s>
        <w:suppressAutoHyphens/>
        <w:spacing w:line="480" w:lineRule="auto"/>
        <w:rPr>
          <w:spacing w:val="-3"/>
        </w:rPr>
      </w:pPr>
      <w:r w:rsidRPr="0068227C">
        <w:rPr>
          <w:spacing w:val="-3"/>
        </w:rPr>
        <w:t xml:space="preserve">Information being requested or required has been held to the minimum required for the intended use.  </w:t>
      </w:r>
      <w:r>
        <w:rPr>
          <w:spacing w:val="-3"/>
        </w:rPr>
        <w:t xml:space="preserve">Two of the respondent categories relate to small businesses or other small entities.  First, the community-based organizations engaged in SNAP outreach and application assistance will be non-for-profit small businesses, with 12 respondents interviewed (plus two others recruited but not interviewed).  Second, to the extent that any of the SNAP agencies participating in the study are public agencies associated with populations of less than 50,000 (as might occur with a county welfare agency), these would be classified as small entities (small governmental jurisdictions).   Of the six SNAP agencies involved in this data collection, </w:t>
      </w:r>
      <w:r w:rsidRPr="0068227C">
        <w:rPr>
          <w:spacing w:val="-3"/>
        </w:rPr>
        <w:t>FNS estimates that one</w:t>
      </w:r>
      <w:r>
        <w:rPr>
          <w:spacing w:val="-3"/>
        </w:rPr>
        <w:t xml:space="preserve"> will be a </w:t>
      </w:r>
      <w:r w:rsidRPr="0068227C">
        <w:rPr>
          <w:spacing w:val="-3"/>
        </w:rPr>
        <w:t>small entit</w:t>
      </w:r>
      <w:r>
        <w:rPr>
          <w:spacing w:val="-3"/>
        </w:rPr>
        <w:t xml:space="preserve">y, with 7 respondents interviewed (and one other recruited but not interviewed). </w:t>
      </w:r>
      <w:r w:rsidRPr="0068227C">
        <w:rPr>
          <w:spacing w:val="-3"/>
        </w:rPr>
        <w:t xml:space="preserve">  </w:t>
      </w:r>
    </w:p>
    <w:p w:rsidR="006C4999" w:rsidRDefault="006C4999" w:rsidP="006C4999">
      <w:pPr>
        <w:tabs>
          <w:tab w:val="left" w:pos="-720"/>
        </w:tabs>
        <w:suppressAutoHyphens/>
        <w:spacing w:line="480" w:lineRule="auto"/>
        <w:rPr>
          <w:spacing w:val="-3"/>
        </w:rPr>
      </w:pPr>
    </w:p>
    <w:p w:rsidR="006C4999" w:rsidRDefault="006C4999" w:rsidP="006C4999">
      <w:pPr>
        <w:tabs>
          <w:tab w:val="left" w:pos="-720"/>
        </w:tabs>
        <w:suppressAutoHyphens/>
        <w:spacing w:line="480" w:lineRule="auto"/>
        <w:rPr>
          <w:spacing w:val="-3"/>
        </w:rPr>
      </w:pPr>
      <w:r>
        <w:rPr>
          <w:spacing w:val="-3"/>
        </w:rPr>
        <w:t xml:space="preserve">Burden will be minimized for these respondents by restricting the interview length to the minimum required, by conducting these interviews on-site, and by requiring no record-keeping or written responses.  </w:t>
      </w: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9A3085" w:rsidRDefault="006C4999" w:rsidP="006C4999">
      <w:pPr>
        <w:ind w:left="720" w:hanging="720"/>
        <w:rPr>
          <w:b/>
        </w:rPr>
      </w:pPr>
      <w:r w:rsidRPr="008B0444">
        <w:rPr>
          <w:b/>
        </w:rPr>
        <w:t>6.</w:t>
      </w:r>
      <w:r w:rsidRPr="008B0444">
        <w:rPr>
          <w:b/>
        </w:rPr>
        <w:tab/>
      </w:r>
      <w:r w:rsidRPr="009A3085">
        <w:rPr>
          <w:b/>
        </w:rPr>
        <w:t>Describe the consequence to Federal program or policy activities if the collection is not conducted or is conducted less frequently, as well as any technical or legal obstacles to reducing burden.</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6C4999" w:rsidRDefault="006C4999" w:rsidP="006C4999">
      <w:pPr>
        <w:spacing w:after="240" w:line="480" w:lineRule="auto"/>
      </w:pPr>
      <w:r>
        <w:t xml:space="preserve">This is a one-time data collection.  </w:t>
      </w:r>
      <w:r w:rsidRPr="00DB71B0">
        <w:t xml:space="preserve">If the study </w:t>
      </w:r>
      <w:r>
        <w:t xml:space="preserve">information is </w:t>
      </w:r>
      <w:r w:rsidRPr="00DB71B0">
        <w:t>not collected</w:t>
      </w:r>
      <w:r>
        <w:t xml:space="preserve">, those responsible at the federal, state, and local levels for designing and implementing SNAP policies and procedures </w:t>
      </w:r>
      <w:r>
        <w:lastRenderedPageBreak/>
        <w:t xml:space="preserve">will not have the value of this research in making their decisions on matters affecting participant churn.  To the extent that actions may be considered to mitigate the adverse consequences of churn on program participants and administering agencies, the evidence base available for these considerations will be limited.  Additionally, to the extent that program decisions may have unintended consequences on participant churn, the level of understanding about these possible effects will be limited.  </w:t>
      </w:r>
    </w:p>
    <w:p w:rsidR="006C4999" w:rsidRDefault="006C4999" w:rsidP="006C4999">
      <w:pPr>
        <w:spacing w:after="240" w:line="480" w:lineRule="auto"/>
      </w:pPr>
      <w:r>
        <w:t xml:space="preserve">As the proposed collection of quantitative and qualitative information is not on a recurring basis, there is no issue to be addressed regarding the frequency of data collection.  </w:t>
      </w:r>
    </w:p>
    <w:p w:rsidR="006C4999" w:rsidRPr="002F6DBE" w:rsidRDefault="006C4999" w:rsidP="006C4999">
      <w:pPr>
        <w:pStyle w:val="BodyTextIndent"/>
        <w:ind w:hanging="720"/>
        <w:rPr>
          <w:b/>
        </w:rPr>
      </w:pPr>
      <w:r w:rsidRPr="008B0444">
        <w:rPr>
          <w:b/>
        </w:rPr>
        <w:t>7.</w:t>
      </w:r>
      <w:r w:rsidRPr="008B0444">
        <w:rPr>
          <w:b/>
        </w:rPr>
        <w:tab/>
      </w:r>
      <w:r w:rsidRPr="002F6DBE">
        <w:rPr>
          <w:b/>
        </w:rPr>
        <w:t>Explain any special circumstances that would cause an information collecti</w:t>
      </w:r>
      <w:r w:rsidRPr="002F6DBE">
        <w:rPr>
          <w:b/>
        </w:rPr>
        <w:softHyphen/>
        <w:t>on to be con</w:t>
      </w:r>
      <w:r w:rsidRPr="002F6DBE">
        <w:rPr>
          <w:b/>
        </w:rPr>
        <w:softHyphen/>
        <w:t>ducted in a manner:</w:t>
      </w:r>
    </w:p>
    <w:p w:rsidR="006C4999" w:rsidRPr="009A3085" w:rsidRDefault="006C4999" w:rsidP="0067084D">
      <w:pPr>
        <w:numPr>
          <w:ilvl w:val="0"/>
          <w:numId w:val="10"/>
        </w:numPr>
        <w:tabs>
          <w:tab w:val="clear" w:pos="360"/>
        </w:tabs>
        <w:spacing w:after="80"/>
        <w:ind w:left="1170" w:hanging="450"/>
        <w:rPr>
          <w:b/>
        </w:rPr>
      </w:pPr>
      <w:r w:rsidRPr="009A3085">
        <w:rPr>
          <w:b/>
        </w:rPr>
        <w:t>requiring respondents to report informa</w:t>
      </w:r>
      <w:r w:rsidRPr="009A3085">
        <w:rPr>
          <w:b/>
        </w:rPr>
        <w:softHyphen/>
        <w:t>tion to the agency more often than quarterly;</w:t>
      </w:r>
    </w:p>
    <w:p w:rsidR="006C4999" w:rsidRPr="009A3085" w:rsidRDefault="006C4999" w:rsidP="0067084D">
      <w:pPr>
        <w:numPr>
          <w:ilvl w:val="0"/>
          <w:numId w:val="11"/>
        </w:numPr>
        <w:tabs>
          <w:tab w:val="clear" w:pos="360"/>
        </w:tabs>
        <w:spacing w:after="80"/>
        <w:ind w:left="1170" w:hanging="450"/>
        <w:rPr>
          <w:b/>
        </w:rPr>
      </w:pPr>
      <w:r w:rsidRPr="009A3085">
        <w:rPr>
          <w:b/>
        </w:rPr>
        <w:t>requiring respondents to prepare a writ</w:t>
      </w:r>
      <w:r w:rsidRPr="009A3085">
        <w:rPr>
          <w:b/>
        </w:rPr>
        <w:softHyphen/>
        <w:t>ten response to a collection of infor</w:t>
      </w:r>
      <w:r w:rsidRPr="009A3085">
        <w:rPr>
          <w:b/>
        </w:rPr>
        <w:softHyphen/>
        <w:t>ma</w:t>
      </w:r>
      <w:r w:rsidRPr="009A3085">
        <w:rPr>
          <w:b/>
        </w:rPr>
        <w:softHyphen/>
        <w:t>tion in fewer than 30 days after receipt of it;</w:t>
      </w:r>
    </w:p>
    <w:p w:rsidR="006C4999" w:rsidRPr="009A3085" w:rsidRDefault="006C4999" w:rsidP="0067084D">
      <w:pPr>
        <w:numPr>
          <w:ilvl w:val="0"/>
          <w:numId w:val="12"/>
        </w:numPr>
        <w:tabs>
          <w:tab w:val="clear" w:pos="360"/>
        </w:tabs>
        <w:spacing w:after="80"/>
        <w:ind w:left="1170" w:hanging="450"/>
        <w:rPr>
          <w:b/>
        </w:rPr>
      </w:pPr>
      <w:r w:rsidRPr="009A3085">
        <w:rPr>
          <w:b/>
        </w:rPr>
        <w:t>requiring respondents to submit more than an original and two copies of any docu</w:t>
      </w:r>
      <w:r w:rsidRPr="009A3085">
        <w:rPr>
          <w:b/>
        </w:rPr>
        <w:softHyphen/>
        <w:t>ment;</w:t>
      </w:r>
    </w:p>
    <w:p w:rsidR="006C4999" w:rsidRPr="009A3085" w:rsidRDefault="006C4999" w:rsidP="0067084D">
      <w:pPr>
        <w:numPr>
          <w:ilvl w:val="0"/>
          <w:numId w:val="13"/>
        </w:numPr>
        <w:tabs>
          <w:tab w:val="clear" w:pos="360"/>
        </w:tabs>
        <w:spacing w:after="80"/>
        <w:ind w:left="1170" w:hanging="450"/>
        <w:rPr>
          <w:b/>
        </w:rPr>
      </w:pPr>
      <w:r w:rsidRPr="009A3085">
        <w:rPr>
          <w:b/>
        </w:rPr>
        <w:t>requiring respondents to retain re</w:t>
      </w:r>
      <w:r w:rsidRPr="009A3085">
        <w:rPr>
          <w:b/>
        </w:rPr>
        <w:softHyphen/>
        <w:t>cords, other than health, medical, governm</w:t>
      </w:r>
      <w:r w:rsidRPr="009A3085">
        <w:rPr>
          <w:b/>
        </w:rPr>
        <w:softHyphen/>
        <w:t>ent contract, grant-in-aid, or tax records for more than three years;</w:t>
      </w:r>
    </w:p>
    <w:p w:rsidR="006C4999" w:rsidRPr="009A3085" w:rsidRDefault="006C4999" w:rsidP="0067084D">
      <w:pPr>
        <w:numPr>
          <w:ilvl w:val="0"/>
          <w:numId w:val="14"/>
        </w:numPr>
        <w:tabs>
          <w:tab w:val="clear" w:pos="360"/>
        </w:tabs>
        <w:spacing w:after="80"/>
        <w:ind w:left="1170" w:hanging="450"/>
        <w:rPr>
          <w:b/>
        </w:rPr>
      </w:pPr>
      <w:r w:rsidRPr="009A3085">
        <w:rPr>
          <w:b/>
        </w:rPr>
        <w:t>in connection with a statisti</w:t>
      </w:r>
      <w:r w:rsidRPr="009A3085">
        <w:rPr>
          <w:b/>
        </w:rPr>
        <w:softHyphen/>
        <w:t>cal sur</w:t>
      </w:r>
      <w:r w:rsidRPr="009A3085">
        <w:rPr>
          <w:b/>
        </w:rPr>
        <w:softHyphen/>
        <w:t>vey, that is not de</w:t>
      </w:r>
      <w:r w:rsidRPr="009A3085">
        <w:rPr>
          <w:b/>
        </w:rPr>
        <w:softHyphen/>
        <w:t>signed to produce valid and reli</w:t>
      </w:r>
      <w:r w:rsidRPr="009A3085">
        <w:rPr>
          <w:b/>
        </w:rPr>
        <w:softHyphen/>
        <w:t>able results that can be general</w:t>
      </w:r>
      <w:r w:rsidRPr="009A3085">
        <w:rPr>
          <w:b/>
        </w:rPr>
        <w:softHyphen/>
        <w:t>ized to the uni</w:t>
      </w:r>
      <w:r w:rsidRPr="009A3085">
        <w:rPr>
          <w:b/>
        </w:rPr>
        <w:softHyphen/>
        <w:t>verse of study;</w:t>
      </w:r>
    </w:p>
    <w:p w:rsidR="006C4999" w:rsidRPr="009A3085" w:rsidRDefault="006C4999" w:rsidP="0067084D">
      <w:pPr>
        <w:numPr>
          <w:ilvl w:val="0"/>
          <w:numId w:val="15"/>
        </w:numPr>
        <w:tabs>
          <w:tab w:val="clear" w:pos="360"/>
        </w:tabs>
        <w:spacing w:after="80"/>
        <w:ind w:left="1170" w:hanging="450"/>
        <w:rPr>
          <w:b/>
        </w:rPr>
      </w:pPr>
      <w:r w:rsidRPr="009A3085">
        <w:rPr>
          <w:b/>
        </w:rPr>
        <w:t>requiring the use of a statis</w:t>
      </w:r>
      <w:r w:rsidRPr="009A3085">
        <w:rPr>
          <w:b/>
        </w:rPr>
        <w:softHyphen/>
        <w:t>tical data classi</w:t>
      </w:r>
      <w:r w:rsidRPr="009A3085">
        <w:rPr>
          <w:b/>
        </w:rPr>
        <w:softHyphen/>
        <w:t>fication that has not been re</w:t>
      </w:r>
      <w:r w:rsidRPr="009A3085">
        <w:rPr>
          <w:b/>
        </w:rPr>
        <w:softHyphen/>
        <w:t>vie</w:t>
      </w:r>
      <w:r w:rsidRPr="009A3085">
        <w:rPr>
          <w:b/>
        </w:rPr>
        <w:softHyphen/>
        <w:t>wed and approved by OMB;</w:t>
      </w:r>
    </w:p>
    <w:p w:rsidR="006C4999" w:rsidRPr="009A3085" w:rsidRDefault="006C4999" w:rsidP="0067084D">
      <w:pPr>
        <w:numPr>
          <w:ilvl w:val="0"/>
          <w:numId w:val="16"/>
        </w:numPr>
        <w:tabs>
          <w:tab w:val="clear" w:pos="360"/>
        </w:tabs>
        <w:spacing w:after="80"/>
        <w:ind w:left="1170" w:hanging="450"/>
        <w:rPr>
          <w:b/>
        </w:rPr>
      </w:pPr>
      <w:r w:rsidRPr="009A3085">
        <w:rPr>
          <w:b/>
        </w:rPr>
        <w:t>that includes a pledge of confiden</w:t>
      </w:r>
      <w:r w:rsidRPr="009A3085">
        <w:rPr>
          <w:b/>
        </w:rPr>
        <w:softHyphen/>
        <w:t>tiali</w:t>
      </w:r>
      <w:r w:rsidRPr="009A3085">
        <w:rPr>
          <w:b/>
        </w:rPr>
        <w:softHyphen/>
        <w:t>ty that is not supported by au</w:t>
      </w:r>
      <w:r w:rsidRPr="009A3085">
        <w:rPr>
          <w:b/>
        </w:rPr>
        <w:softHyphen/>
        <w:t>thority estab</w:t>
      </w:r>
      <w:r w:rsidRPr="009A3085">
        <w:rPr>
          <w:b/>
        </w:rPr>
        <w:softHyphen/>
        <w:t>lished in statute or regu</w:t>
      </w:r>
      <w:r w:rsidRPr="009A3085">
        <w:rPr>
          <w:b/>
        </w:rPr>
        <w:softHyphen/>
        <w:t>la</w:t>
      </w:r>
      <w:r w:rsidRPr="009A3085">
        <w:rPr>
          <w:b/>
        </w:rPr>
        <w:softHyphen/>
        <w:t>tion, that is not sup</w:t>
      </w:r>
      <w:r w:rsidRPr="009A3085">
        <w:rPr>
          <w:b/>
        </w:rPr>
        <w:softHyphen/>
        <w:t>ported by dis</w:t>
      </w:r>
      <w:r w:rsidRPr="009A3085">
        <w:rPr>
          <w:b/>
        </w:rPr>
        <w:softHyphen/>
        <w:t>closure and data security policies that are consistent with the pledge, or which unneces</w:t>
      </w:r>
      <w:r w:rsidRPr="009A3085">
        <w:rPr>
          <w:b/>
        </w:rPr>
        <w:softHyphen/>
        <w:t>sarily impedes shar</w:t>
      </w:r>
      <w:r w:rsidRPr="009A3085">
        <w:rPr>
          <w:b/>
        </w:rPr>
        <w:softHyphen/>
        <w:t>ing of data with other agencies for com</w:t>
      </w:r>
      <w:r w:rsidRPr="009A3085">
        <w:rPr>
          <w:b/>
        </w:rPr>
        <w:softHyphen/>
        <w:t>patible confiden</w:t>
      </w:r>
      <w:r w:rsidRPr="009A3085">
        <w:rPr>
          <w:b/>
        </w:rPr>
        <w:softHyphen/>
        <w:t>tial use; or</w:t>
      </w:r>
    </w:p>
    <w:p w:rsidR="006C4999" w:rsidRPr="009A3085" w:rsidRDefault="006C4999" w:rsidP="0067084D">
      <w:pPr>
        <w:numPr>
          <w:ilvl w:val="0"/>
          <w:numId w:val="17"/>
        </w:numPr>
        <w:tabs>
          <w:tab w:val="num" w:pos="648"/>
        </w:tabs>
        <w:spacing w:after="80"/>
        <w:ind w:left="1170" w:hanging="450"/>
      </w:pPr>
      <w:r w:rsidRPr="009A3085">
        <w:rPr>
          <w:b/>
        </w:rPr>
        <w:t>requiring respondents to submit propri</w:t>
      </w:r>
      <w:r w:rsidRPr="009A3085">
        <w:rPr>
          <w:b/>
        </w:rPr>
        <w:softHyphen/>
        <w:t>etary trade secret, or other confidential information unless the agency can demon</w:t>
      </w:r>
      <w:r w:rsidRPr="009A3085">
        <w:rPr>
          <w:b/>
        </w:rPr>
        <w:softHyphen/>
        <w:t>strate that it has instituted procedures to protect the information's confidentiality to the extent permit</w:t>
      </w:r>
      <w:r w:rsidRPr="009A3085">
        <w:rPr>
          <w:b/>
        </w:rPr>
        <w:softHyphen/>
        <w:t>ted by law.</w:t>
      </w:r>
    </w:p>
    <w:p w:rsidR="006C4999" w:rsidRPr="008B0444" w:rsidRDefault="006C4999" w:rsidP="006C4999">
      <w:pPr>
        <w:keepLines/>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p>
    <w:p w:rsidR="006C4999" w:rsidRPr="008B0444" w:rsidRDefault="006C4999" w:rsidP="006C4999">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5800DB">
        <w:t>There are no special circumstances.  The collection of information is conducted in a manner consistent with the guidelines in 5 CFR 1320.5</w:t>
      </w: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9A3085" w:rsidRDefault="006C4999" w:rsidP="0067084D">
      <w:pPr>
        <w:numPr>
          <w:ilvl w:val="0"/>
          <w:numId w:val="18"/>
        </w:numPr>
        <w:rPr>
          <w:b/>
        </w:rPr>
      </w:pPr>
      <w:r w:rsidRPr="009A3085">
        <w:rPr>
          <w:b/>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6C4999" w:rsidRPr="009A3085" w:rsidRDefault="006C4999" w:rsidP="006C4999">
      <w:pPr>
        <w:rPr>
          <w:b/>
        </w:rPr>
      </w:pPr>
    </w:p>
    <w:p w:rsidR="006C4999" w:rsidRPr="008B0444"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spacing w:line="480" w:lineRule="auto"/>
      </w:pPr>
      <w:r>
        <w:t xml:space="preserve">In accordance with 5 CFR 1320.8(d), a 60-day notice soliciting comments was placed in the Federal Register.   The notice (entitled “Understanding the Rates, Causes, and Costs of Churning in SNAP”) was published in the </w:t>
      </w:r>
      <w:r w:rsidRPr="002F6DBE">
        <w:t>Federal Register on</w:t>
      </w:r>
      <w:r>
        <w:t xml:space="preserve"> December 22, 2011 (76 FR 79648).  The Food and Nutrition Service (FNS) received one comment which is included in this submission and </w:t>
      </w:r>
      <w:r w:rsidRPr="006F655B">
        <w:t>action taken by the agency in response</w:t>
      </w:r>
      <w:r>
        <w:t>.  FNS’ response is included in Appendix E.</w:t>
      </w:r>
    </w:p>
    <w:p w:rsidR="006C4999" w:rsidRDefault="006C4999" w:rsidP="006C4999"/>
    <w:p w:rsidR="006C4999" w:rsidRDefault="006C4999" w:rsidP="006C4999">
      <w:pPr>
        <w:pStyle w:val="BodyTextIndent2"/>
        <w:spacing w:line="240" w:lineRule="auto"/>
        <w:ind w:left="720"/>
      </w:pPr>
      <w:r w:rsidRPr="005800DB">
        <w:rPr>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r w:rsidRPr="009A3085">
        <w:t xml:space="preserve">. </w:t>
      </w:r>
    </w:p>
    <w:p w:rsidR="006C4999" w:rsidRPr="009A3085" w:rsidRDefault="006C4999" w:rsidP="006C4999">
      <w:pPr>
        <w:pStyle w:val="BodyTextIndent2"/>
        <w:spacing w:line="240" w:lineRule="auto"/>
        <w:ind w:left="720"/>
      </w:pPr>
    </w:p>
    <w:p w:rsidR="006C4999" w:rsidRDefault="006C4999" w:rsidP="006C4999">
      <w:pPr>
        <w:spacing w:line="480" w:lineRule="auto"/>
      </w:pPr>
      <w:r w:rsidRPr="001109C6">
        <w:t xml:space="preserve">The information has been reviewed by Eric Porter </w:t>
      </w:r>
      <w:r>
        <w:t xml:space="preserve">(202-720-3489) </w:t>
      </w:r>
      <w:r w:rsidRPr="001109C6">
        <w:t>of the Methods Branch of USDA’s National Agricultural Statistics Service (NASS), with special reference to the statistical procedures</w:t>
      </w:r>
      <w:r>
        <w:t xml:space="preserve">.  See the NASS comments in </w:t>
      </w:r>
      <w:r w:rsidRPr="00EE0652">
        <w:t>Appendix F</w:t>
      </w:r>
      <w:r>
        <w:rPr>
          <w:b/>
        </w:rPr>
        <w:t>.</w:t>
      </w:r>
      <w:r w:rsidRPr="003B6E5D">
        <w:t xml:space="preserve"> </w:t>
      </w:r>
      <w:r>
        <w:t xml:space="preserve">  </w:t>
      </w:r>
    </w:p>
    <w:p w:rsidR="006C4999" w:rsidRDefault="006C4999" w:rsidP="006C4999">
      <w:pPr>
        <w:spacing w:line="480" w:lineRule="auto"/>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pPr>
    </w:p>
    <w:p w:rsidR="006C4999" w:rsidRPr="00CF3692"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ind w:left="720" w:hanging="720"/>
      </w:pPr>
      <w:r w:rsidRPr="008B0444">
        <w:rPr>
          <w:b/>
        </w:rPr>
        <w:t>9.</w:t>
      </w:r>
      <w:r w:rsidRPr="008B0444">
        <w:rPr>
          <w:b/>
        </w:rPr>
        <w:tab/>
      </w:r>
      <w:r w:rsidRPr="009A3085">
        <w:rPr>
          <w:b/>
        </w:rPr>
        <w:t>Explain any decision to provide any payment or gift to respondents, other than re</w:t>
      </w:r>
      <w:r>
        <w:rPr>
          <w:b/>
        </w:rPr>
        <w:t>m</w:t>
      </w:r>
      <w:r w:rsidRPr="009A3085">
        <w:rPr>
          <w:b/>
        </w:rPr>
        <w:t>u</w:t>
      </w:r>
      <w:r>
        <w:rPr>
          <w:b/>
        </w:rPr>
        <w:t>n</w:t>
      </w:r>
      <w:r w:rsidRPr="009A3085">
        <w:rPr>
          <w:b/>
        </w:rPr>
        <w:t>eration of contractors or grantees.</w:t>
      </w:r>
    </w:p>
    <w:p w:rsidR="006C4999" w:rsidRDefault="006C4999" w:rsidP="006C4999">
      <w:pPr>
        <w:tabs>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spacing w:line="480" w:lineRule="auto"/>
      </w:pPr>
      <w:r>
        <w:t xml:space="preserve">As a token of appreciation, a gift </w:t>
      </w:r>
      <w:r w:rsidRPr="00D929AA">
        <w:t xml:space="preserve">of $30 </w:t>
      </w:r>
      <w:r>
        <w:t xml:space="preserve">will be provided </w:t>
      </w:r>
      <w:r w:rsidRPr="00D929AA">
        <w:t xml:space="preserve">to each focus group participant. In addition, light refreshments </w:t>
      </w:r>
      <w:r>
        <w:t xml:space="preserve">will be offered to the </w:t>
      </w:r>
      <w:r w:rsidRPr="00D929AA">
        <w:t xml:space="preserve">focus group participants. This approach was </w:t>
      </w:r>
      <w:r>
        <w:lastRenderedPageBreak/>
        <w:t xml:space="preserve">effective </w:t>
      </w:r>
      <w:r w:rsidRPr="00D929AA">
        <w:t>in the Urban Institute’s recent study of SNAP Modernization (</w:t>
      </w:r>
      <w:r>
        <w:t>Rowe et al.</w:t>
      </w:r>
      <w:r w:rsidRPr="00D929AA">
        <w:t xml:space="preserve"> 2010), where local agencies and community-based organizations cooperated in recruiting focus group participants for 27 focus groups in 14 sites. The incentive </w:t>
      </w:r>
      <w:r>
        <w:t>gift</w:t>
      </w:r>
      <w:r w:rsidRPr="00D929AA">
        <w:t xml:space="preserve"> will be provided </w:t>
      </w:r>
      <w:r>
        <w:t xml:space="preserve">immediately upon </w:t>
      </w:r>
      <w:r w:rsidRPr="00D929AA">
        <w:t xml:space="preserve">the </w:t>
      </w:r>
      <w:r>
        <w:t xml:space="preserve">completion </w:t>
      </w:r>
      <w:r w:rsidRPr="00D929AA">
        <w:t>of the focus group</w:t>
      </w:r>
      <w:r>
        <w:t xml:space="preserve"> (for those who participate) or following the introductory explanation (for those choosing at that time not to </w:t>
      </w:r>
      <w:r w:rsidRPr="00D929AA">
        <w:t>participate</w:t>
      </w:r>
      <w:r>
        <w:t>).  Those opting out will still receive the incentive so t</w:t>
      </w:r>
      <w:r w:rsidRPr="00D929AA">
        <w:t xml:space="preserve">hat the </w:t>
      </w:r>
      <w:r>
        <w:t>gift</w:t>
      </w:r>
      <w:r w:rsidRPr="00D929AA">
        <w:t xml:space="preserve"> is not a coercion to participate</w:t>
      </w:r>
      <w:r>
        <w:t>, but it will be provided to them outside the room so that others are not encouraged to opt out.</w:t>
      </w:r>
    </w:p>
    <w:p w:rsidR="006C4999" w:rsidRDefault="006C4999" w:rsidP="006C4999">
      <w:pPr>
        <w:spacing w:line="480" w:lineRule="auto"/>
      </w:pPr>
    </w:p>
    <w:p w:rsidR="006C4999" w:rsidRDefault="006C4999" w:rsidP="006C4999">
      <w:pPr>
        <w:spacing w:line="480" w:lineRule="auto"/>
        <w:rPr>
          <w:color w:val="000000"/>
          <w:szCs w:val="20"/>
        </w:rPr>
      </w:pPr>
      <w:r>
        <w:rPr>
          <w:color w:val="000000"/>
          <w:szCs w:val="20"/>
        </w:rPr>
        <w:t>Monetary gifts have been shown to increase overall response rates in differing modes of surveys and focus groups (Singer 2002).  Some focus group participants may incur direct costs for attending the focus group, and consequently might not be able to participate without remuneration.  The $30 is a reasonable amount for any inconvenience and cost associated with participation in a focus group.</w:t>
      </w:r>
    </w:p>
    <w:p w:rsidR="006C4999" w:rsidRPr="008B0444" w:rsidRDefault="006C4999" w:rsidP="006C4999">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8B0444" w:rsidRDefault="006C4999" w:rsidP="006C4999">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10.</w:t>
      </w:r>
      <w:r w:rsidRPr="008B0444">
        <w:rPr>
          <w:b/>
        </w:rPr>
        <w:tab/>
      </w:r>
      <w:r w:rsidRPr="009A3085">
        <w:rPr>
          <w:b/>
        </w:rPr>
        <w:t>Describe any assurance of confidentiality provided to respondents and the basis for the assurance in statute, regulation, or agency policy.</w:t>
      </w:r>
    </w:p>
    <w:p w:rsidR="006C4999" w:rsidRDefault="006C4999" w:rsidP="006C4999">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pStyle w:val="ListBullet4"/>
        <w:numPr>
          <w:ilvl w:val="0"/>
          <w:numId w:val="0"/>
        </w:numPr>
        <w:spacing w:line="480" w:lineRule="auto"/>
        <w:contextualSpacing w:val="0"/>
      </w:pPr>
      <w:r w:rsidRPr="007A07C2">
        <w:t xml:space="preserve">A system of record notice (SORN) titled </w:t>
      </w:r>
      <w:r w:rsidRPr="007A07C2">
        <w:rPr>
          <w:u w:val="single"/>
        </w:rPr>
        <w:t>FNS-8 USDA/FNS Studies and Reports</w:t>
      </w:r>
      <w:r w:rsidRPr="007A07C2">
        <w:t xml:space="preserve"> </w:t>
      </w:r>
      <w:r>
        <w:t>(</w:t>
      </w:r>
      <w:r w:rsidRPr="007A07C2">
        <w:t>Federal Register</w:t>
      </w:r>
      <w:r>
        <w:t>,</w:t>
      </w:r>
      <w:r w:rsidRPr="007A07C2">
        <w:t xml:space="preserve"> </w:t>
      </w:r>
      <w:r>
        <w:t xml:space="preserve">April 25, 1991, </w:t>
      </w:r>
      <w:r w:rsidRPr="008C1625">
        <w:t>56 FR 19078</w:t>
      </w:r>
      <w:r>
        <w:t>) )</w:t>
      </w:r>
      <w:r w:rsidRPr="007A07C2">
        <w:t xml:space="preserve"> discusses the terms of protections that will be provided to respondents.  Participants in this study will be subject to safeguards as provided by the Privacy Act of 1974 (5 USC 552a), which requires the safeguarding of individuals against invasion of privacy. The Privacy Act also provides for the </w:t>
      </w:r>
      <w:r w:rsidR="001D017D">
        <w:t xml:space="preserve">secure </w:t>
      </w:r>
      <w:r w:rsidRPr="007A07C2">
        <w:t>treatment of records</w:t>
      </w:r>
      <w:r w:rsidR="001D017D">
        <w:t>, to the extent permitted by law,</w:t>
      </w:r>
      <w:r w:rsidRPr="007A07C2">
        <w:t xml:space="preserve"> maintained by a Federal agency according to either the individual’s name or some other identifier</w:t>
      </w:r>
    </w:p>
    <w:p w:rsidR="006C4999" w:rsidRDefault="006C4999" w:rsidP="006C4999">
      <w:pPr>
        <w:pStyle w:val="ListBullet4"/>
        <w:numPr>
          <w:ilvl w:val="0"/>
          <w:numId w:val="0"/>
        </w:numPr>
        <w:contextualSpacing w:val="0"/>
      </w:pPr>
    </w:p>
    <w:p w:rsidR="006C4999" w:rsidRPr="00760AA3" w:rsidRDefault="006C4999" w:rsidP="006C4999">
      <w:pPr>
        <w:pStyle w:val="ListBullet4"/>
        <w:numPr>
          <w:ilvl w:val="0"/>
          <w:numId w:val="0"/>
        </w:numPr>
        <w:spacing w:line="480" w:lineRule="auto"/>
        <w:contextualSpacing w:val="0"/>
      </w:pPr>
      <w:r w:rsidRPr="00760AA3">
        <w:lastRenderedPageBreak/>
        <w:t xml:space="preserve">Prior to the start of each interview and focus group session, the researchers will assure the respondents that the information provided will be kept </w:t>
      </w:r>
      <w:r>
        <w:t xml:space="preserve">private.  </w:t>
      </w:r>
      <w:r w:rsidRPr="00760AA3">
        <w:t xml:space="preserve"> Specifically, the respondents will not be quoted by name, and no names will be included in the summary reports to FNS.</w:t>
      </w:r>
      <w:r>
        <w:t xml:space="preserve">  The information will </w:t>
      </w:r>
      <w:r w:rsidRPr="00760AA3">
        <w:t>not be shared with anyone other than the research staff assigned to the study</w:t>
      </w:r>
      <w:r>
        <w:t xml:space="preserve">, all of whom </w:t>
      </w:r>
      <w:r w:rsidRPr="00760AA3">
        <w:t>will be required to sign a confidentiality pledge</w:t>
      </w:r>
      <w:r>
        <w:t xml:space="preserve">.  See Appendix C. </w:t>
      </w:r>
    </w:p>
    <w:p w:rsidR="006C4999" w:rsidRPr="00760AA3" w:rsidRDefault="006C4999" w:rsidP="006C4999">
      <w:pPr>
        <w:pStyle w:val="ListBullet4"/>
        <w:numPr>
          <w:ilvl w:val="0"/>
          <w:numId w:val="0"/>
        </w:numPr>
        <w:spacing w:line="480" w:lineRule="auto"/>
        <w:contextualSpacing w:val="0"/>
      </w:pPr>
    </w:p>
    <w:p w:rsidR="006C4999" w:rsidRDefault="006C4999" w:rsidP="006C4999">
      <w:pPr>
        <w:pStyle w:val="Normal2"/>
        <w:spacing w:line="480" w:lineRule="auto"/>
        <w:ind w:firstLine="0"/>
        <w:jc w:val="both"/>
        <w:rPr>
          <w:rFonts w:ascii="Times New Roman" w:hAnsi="Times New Roman"/>
          <w:sz w:val="24"/>
        </w:rPr>
      </w:pPr>
      <w:r w:rsidRPr="00760AA3">
        <w:rPr>
          <w:rFonts w:ascii="Times New Roman" w:hAnsi="Times New Roman"/>
          <w:sz w:val="24"/>
        </w:rPr>
        <w:t>The following wording is included in the introductory script for the interviews (Appendix A-</w:t>
      </w:r>
      <w:r>
        <w:rPr>
          <w:rFonts w:ascii="Times New Roman" w:hAnsi="Times New Roman"/>
          <w:sz w:val="24"/>
        </w:rPr>
        <w:t>3</w:t>
      </w:r>
      <w:r w:rsidRPr="00760AA3">
        <w:rPr>
          <w:rFonts w:ascii="Times New Roman" w:hAnsi="Times New Roman"/>
          <w:sz w:val="24"/>
        </w:rPr>
        <w:t xml:space="preserve">) and will be read to all interview respondents: </w:t>
      </w:r>
    </w:p>
    <w:p w:rsidR="006C4999" w:rsidRDefault="006C4999" w:rsidP="006C4999">
      <w:pPr>
        <w:pStyle w:val="Normal2"/>
        <w:spacing w:line="240" w:lineRule="auto"/>
        <w:ind w:firstLine="0"/>
        <w:jc w:val="both"/>
        <w:rPr>
          <w:rFonts w:ascii="Times New Roman" w:hAnsi="Times New Roman"/>
          <w:sz w:val="24"/>
        </w:rPr>
      </w:pPr>
    </w:p>
    <w:p w:rsidR="006C4999" w:rsidRPr="00E46583" w:rsidRDefault="006C4999" w:rsidP="006C4999">
      <w:pPr>
        <w:pStyle w:val="Normal2"/>
        <w:spacing w:line="480" w:lineRule="auto"/>
        <w:ind w:left="720" w:firstLine="0"/>
        <w:rPr>
          <w:rFonts w:ascii="Times New Roman" w:hAnsi="Times New Roman"/>
          <w:sz w:val="24"/>
        </w:rPr>
      </w:pPr>
      <w:r>
        <w:rPr>
          <w:rFonts w:ascii="Times New Roman" w:hAnsi="Times New Roman"/>
          <w:sz w:val="24"/>
        </w:rPr>
        <w:t>“</w:t>
      </w:r>
      <w:r w:rsidRPr="00E46583">
        <w:rPr>
          <w:rFonts w:ascii="Times New Roman" w:hAnsi="Times New Roman"/>
          <w:sz w:val="24"/>
        </w:rPr>
        <w:t xml:space="preserve">When we write our reports and discuss our findings, </w:t>
      </w:r>
      <w:r>
        <w:rPr>
          <w:rFonts w:ascii="Times New Roman" w:hAnsi="Times New Roman"/>
          <w:sz w:val="24"/>
        </w:rPr>
        <w:t xml:space="preserve">we will ensure that the </w:t>
      </w:r>
      <w:r w:rsidRPr="00E46583">
        <w:rPr>
          <w:rFonts w:ascii="Times New Roman" w:hAnsi="Times New Roman"/>
          <w:sz w:val="24"/>
        </w:rPr>
        <w:t xml:space="preserve">information from all the people we spoke with </w:t>
      </w:r>
      <w:r>
        <w:rPr>
          <w:rFonts w:ascii="Times New Roman" w:hAnsi="Times New Roman"/>
          <w:sz w:val="24"/>
        </w:rPr>
        <w:t>cannot be traced back to those persons</w:t>
      </w:r>
      <w:r w:rsidRPr="00E46583">
        <w:rPr>
          <w:rFonts w:ascii="Times New Roman" w:hAnsi="Times New Roman"/>
          <w:sz w:val="24"/>
        </w:rPr>
        <w:t>. No individual will be quoted by name.  The goal is to find common themes across all the interviews, not to report the responses of any particular individual.</w:t>
      </w:r>
      <w:r>
        <w:rPr>
          <w:rFonts w:ascii="Times New Roman" w:hAnsi="Times New Roman"/>
          <w:sz w:val="24"/>
        </w:rPr>
        <w:t>”</w:t>
      </w:r>
      <w:r w:rsidRPr="00E46583">
        <w:rPr>
          <w:rFonts w:ascii="Times New Roman" w:hAnsi="Times New Roman"/>
          <w:sz w:val="24"/>
        </w:rPr>
        <w:t xml:space="preserve">  </w:t>
      </w:r>
    </w:p>
    <w:p w:rsidR="006C4999" w:rsidRPr="00760AA3" w:rsidRDefault="006C4999" w:rsidP="006C4999">
      <w:pPr>
        <w:pStyle w:val="Normal2"/>
        <w:spacing w:line="240" w:lineRule="auto"/>
        <w:ind w:firstLine="0"/>
        <w:jc w:val="both"/>
        <w:rPr>
          <w:rFonts w:ascii="Times New Roman" w:hAnsi="Times New Roman"/>
          <w:sz w:val="24"/>
        </w:rPr>
      </w:pPr>
    </w:p>
    <w:p w:rsidR="006C4999" w:rsidRDefault="006C4999" w:rsidP="006C4999">
      <w:pPr>
        <w:pStyle w:val="Normal2"/>
        <w:spacing w:line="480" w:lineRule="auto"/>
        <w:ind w:firstLine="0"/>
        <w:jc w:val="both"/>
        <w:rPr>
          <w:rFonts w:ascii="Times New Roman" w:hAnsi="Times New Roman"/>
          <w:sz w:val="24"/>
        </w:rPr>
      </w:pPr>
      <w:r w:rsidRPr="00760AA3">
        <w:rPr>
          <w:rFonts w:ascii="Times New Roman" w:hAnsi="Times New Roman"/>
          <w:sz w:val="24"/>
        </w:rPr>
        <w:t>Similarly, the following statement is included in the introductory script for the focus groups (Appendix B-</w:t>
      </w:r>
      <w:r>
        <w:rPr>
          <w:rFonts w:ascii="Times New Roman" w:hAnsi="Times New Roman"/>
          <w:sz w:val="24"/>
        </w:rPr>
        <w:t>3</w:t>
      </w:r>
      <w:r w:rsidRPr="00760AA3">
        <w:rPr>
          <w:rFonts w:ascii="Times New Roman" w:hAnsi="Times New Roman"/>
          <w:sz w:val="24"/>
        </w:rPr>
        <w:t xml:space="preserve">), which will be read before the start of each discussion group:  </w:t>
      </w:r>
    </w:p>
    <w:p w:rsidR="006C4999" w:rsidRDefault="006C4999" w:rsidP="006C4999">
      <w:pPr>
        <w:pStyle w:val="Default"/>
        <w:spacing w:line="480" w:lineRule="auto"/>
        <w:ind w:left="720"/>
        <w:rPr>
          <w:rFonts w:ascii="Times New Roman" w:hAnsi="Times New Roman" w:cs="Times New Roman"/>
        </w:rPr>
      </w:pPr>
      <w:r>
        <w:rPr>
          <w:rFonts w:ascii="Times New Roman" w:hAnsi="Times New Roman"/>
        </w:rPr>
        <w:t>“</w:t>
      </w:r>
      <w:r w:rsidRPr="0096070B">
        <w:rPr>
          <w:rFonts w:ascii="Times New Roman" w:hAnsi="Times New Roman"/>
        </w:rPr>
        <w:t xml:space="preserve">Participation in this discussion group is </w:t>
      </w:r>
      <w:r w:rsidRPr="0096070B">
        <w:rPr>
          <w:rFonts w:ascii="Times New Roman" w:hAnsi="Times New Roman"/>
          <w:b/>
          <w:i/>
        </w:rPr>
        <w:t>voluntary</w:t>
      </w:r>
      <w:r w:rsidRPr="0096070B">
        <w:rPr>
          <w:rFonts w:ascii="Times New Roman" w:hAnsi="Times New Roman"/>
        </w:rPr>
        <w:t xml:space="preserve">, which means that you do not have to participate and you can decide not to answer any specific questions. There are </w:t>
      </w:r>
      <w:r w:rsidRPr="0096070B">
        <w:rPr>
          <w:rFonts w:ascii="Times New Roman" w:hAnsi="Times New Roman"/>
          <w:b/>
          <w:i/>
        </w:rPr>
        <w:t>no consequences</w:t>
      </w:r>
      <w:r w:rsidRPr="0096070B">
        <w:rPr>
          <w:rFonts w:ascii="Times New Roman" w:hAnsi="Times New Roman"/>
        </w:rPr>
        <w:t xml:space="preserve"> for choosing not to participate or not to answer any question.</w:t>
      </w:r>
      <w:r>
        <w:rPr>
          <w:rFonts w:ascii="Times New Roman" w:hAnsi="Times New Roman"/>
        </w:rPr>
        <w:t xml:space="preserve"> .  .</w:t>
      </w:r>
      <w:r w:rsidRPr="0096070B">
        <w:rPr>
          <w:rFonts w:ascii="Times New Roman" w:hAnsi="Times New Roman"/>
        </w:rPr>
        <w:t xml:space="preserve">  </w:t>
      </w:r>
      <w:r>
        <w:rPr>
          <w:rFonts w:ascii="Times New Roman" w:hAnsi="Times New Roman"/>
        </w:rPr>
        <w:t>“</w:t>
      </w:r>
    </w:p>
    <w:p w:rsidR="006C4999" w:rsidRDefault="006C4999" w:rsidP="006C4999">
      <w:pPr>
        <w:pStyle w:val="Default"/>
        <w:spacing w:line="480" w:lineRule="auto"/>
        <w:ind w:left="720"/>
        <w:rPr>
          <w:rFonts w:ascii="Times New Roman" w:hAnsi="Times New Roman" w:cs="Times New Roman"/>
        </w:rPr>
      </w:pPr>
    </w:p>
    <w:p w:rsidR="006C4999" w:rsidRDefault="006C4999" w:rsidP="006C4999">
      <w:pPr>
        <w:pStyle w:val="Default"/>
        <w:spacing w:line="480" w:lineRule="auto"/>
        <w:ind w:left="720"/>
        <w:rPr>
          <w:rFonts w:ascii="Times New Roman" w:hAnsi="Times New Roman" w:cs="Times New Roman"/>
        </w:rPr>
      </w:pPr>
      <w:r>
        <w:rPr>
          <w:rFonts w:ascii="Times New Roman" w:hAnsi="Times New Roman"/>
        </w:rPr>
        <w:t>“</w:t>
      </w:r>
      <w:r w:rsidRPr="0096070B">
        <w:rPr>
          <w:rFonts w:ascii="Times New Roman" w:hAnsi="Times New Roman"/>
        </w:rPr>
        <w:t>The</w:t>
      </w:r>
      <w:r>
        <w:rPr>
          <w:rFonts w:ascii="Times New Roman" w:hAnsi="Times New Roman"/>
        </w:rPr>
        <w:t xml:space="preserve"> personal </w:t>
      </w:r>
      <w:r w:rsidRPr="0096070B">
        <w:rPr>
          <w:rFonts w:ascii="Times New Roman" w:hAnsi="Times New Roman"/>
        </w:rPr>
        <w:t>information you provide will be</w:t>
      </w:r>
      <w:r>
        <w:rPr>
          <w:rFonts w:ascii="Times New Roman" w:hAnsi="Times New Roman"/>
        </w:rPr>
        <w:t xml:space="preserve"> </w:t>
      </w:r>
      <w:r w:rsidR="00FE7995">
        <w:rPr>
          <w:rFonts w:ascii="Times New Roman" w:hAnsi="Times New Roman"/>
        </w:rPr>
        <w:t>safeguarded</w:t>
      </w:r>
      <w:r w:rsidR="00E65DB6" w:rsidRPr="00E65DB6">
        <w:rPr>
          <w:rFonts w:ascii="Times New Roman" w:hAnsi="Times New Roman"/>
        </w:rPr>
        <w:t xml:space="preserve"> </w:t>
      </w:r>
      <w:r w:rsidRPr="0096070B">
        <w:rPr>
          <w:rFonts w:ascii="Times New Roman" w:hAnsi="Times New Roman"/>
        </w:rPr>
        <w:t xml:space="preserve">and will not be shared with anyone outside the research staff working on the study, except as otherwise required by law. This includes </w:t>
      </w:r>
      <w:r w:rsidRPr="0096070B">
        <w:rPr>
          <w:rFonts w:ascii="Times New Roman" w:hAnsi="Times New Roman"/>
          <w:b/>
          <w:i/>
        </w:rPr>
        <w:t>anything that can identify you</w:t>
      </w:r>
      <w:r w:rsidRPr="0096070B">
        <w:rPr>
          <w:rFonts w:ascii="Times New Roman" w:hAnsi="Times New Roman"/>
        </w:rPr>
        <w:t xml:space="preserve"> such as your name, address, or telephone number. </w:t>
      </w:r>
      <w:r w:rsidRPr="0096070B">
        <w:rPr>
          <w:rFonts w:ascii="Times New Roman" w:hAnsi="Times New Roman"/>
        </w:rPr>
        <w:lastRenderedPageBreak/>
        <w:t xml:space="preserve">Information is never repeated with the name of a participant in any reports or in any discussions with program staff or FNS. When we write our reports and discuss our findings, information from all the people we speak with is put together and presented so that </w:t>
      </w:r>
      <w:r w:rsidRPr="0096070B">
        <w:rPr>
          <w:rFonts w:ascii="Times New Roman" w:hAnsi="Times New Roman"/>
          <w:b/>
          <w:i/>
        </w:rPr>
        <w:t>no one person can be identified</w:t>
      </w:r>
      <w:r w:rsidRPr="0096070B">
        <w:rPr>
          <w:rFonts w:ascii="Times New Roman" w:hAnsi="Times New Roman"/>
        </w:rPr>
        <w:t xml:space="preserve">. Everyone who works on this project has signed a legal document stating they will not reveal any of your personal information and can be severely penalized if they do.  We also ask that you respect the privacy of others in the group and </w:t>
      </w:r>
      <w:r w:rsidRPr="0096070B">
        <w:rPr>
          <w:rFonts w:ascii="Times New Roman" w:hAnsi="Times New Roman"/>
          <w:b/>
          <w:i/>
        </w:rPr>
        <w:t>not repeat anything you hear</w:t>
      </w:r>
      <w:r w:rsidRPr="0096070B">
        <w:rPr>
          <w:rFonts w:ascii="Times New Roman" w:hAnsi="Times New Roman"/>
        </w:rPr>
        <w:t xml:space="preserve"> in this discussion outside the group.</w:t>
      </w:r>
      <w:r>
        <w:rPr>
          <w:rFonts w:ascii="Times New Roman" w:hAnsi="Times New Roman"/>
        </w:rPr>
        <w:t>”</w:t>
      </w:r>
    </w:p>
    <w:p w:rsidR="006C4999" w:rsidRDefault="006C4999" w:rsidP="006C4999">
      <w:pPr>
        <w:pStyle w:val="Normal2"/>
        <w:spacing w:line="240" w:lineRule="auto"/>
        <w:ind w:firstLine="0"/>
        <w:jc w:val="both"/>
        <w:rPr>
          <w:rFonts w:ascii="Times New Roman" w:hAnsi="Times New Roman"/>
          <w:sz w:val="24"/>
        </w:rPr>
      </w:pPr>
    </w:p>
    <w:p w:rsidR="006C4999" w:rsidRDefault="006C4999" w:rsidP="006C4999">
      <w:pPr>
        <w:pStyle w:val="Normal2"/>
        <w:spacing w:line="480" w:lineRule="auto"/>
        <w:ind w:firstLine="0"/>
        <w:rPr>
          <w:rFonts w:ascii="Times New Roman" w:hAnsi="Times New Roman"/>
          <w:sz w:val="24"/>
        </w:rPr>
      </w:pPr>
      <w:r>
        <w:rPr>
          <w:rFonts w:ascii="Times New Roman" w:hAnsi="Times New Roman"/>
          <w:sz w:val="24"/>
        </w:rPr>
        <w:t>As noted earlier, a</w:t>
      </w:r>
      <w:r w:rsidRPr="00760AA3">
        <w:rPr>
          <w:rFonts w:ascii="Times New Roman" w:hAnsi="Times New Roman"/>
          <w:sz w:val="24"/>
        </w:rPr>
        <w:t>ll researchers will be required to sign a confidentiality pledge, to be distributed for signature at the mandatory interviewer training.  At that training session, the interviewers will be reminded to:</w:t>
      </w:r>
    </w:p>
    <w:p w:rsidR="006C4999" w:rsidRPr="00760AA3" w:rsidRDefault="006C4999" w:rsidP="006C4999">
      <w:pPr>
        <w:pStyle w:val="Normal2"/>
        <w:spacing w:line="240" w:lineRule="auto"/>
        <w:ind w:firstLine="0"/>
        <w:rPr>
          <w:rFonts w:ascii="Times New Roman" w:hAnsi="Times New Roman"/>
          <w:sz w:val="24"/>
        </w:rPr>
      </w:pPr>
    </w:p>
    <w:p w:rsidR="006C4999" w:rsidRPr="00760AA3" w:rsidRDefault="006C4999" w:rsidP="0067084D">
      <w:pPr>
        <w:pStyle w:val="ListBullet4"/>
        <w:numPr>
          <w:ilvl w:val="0"/>
          <w:numId w:val="6"/>
        </w:numPr>
        <w:spacing w:line="480" w:lineRule="auto"/>
        <w:contextualSpacing w:val="0"/>
        <w:jc w:val="both"/>
      </w:pPr>
      <w:r w:rsidRPr="00760AA3">
        <w:t xml:space="preserve">Maintain </w:t>
      </w:r>
      <w:r>
        <w:t>privacy</w:t>
      </w:r>
      <w:r w:rsidRPr="00760AA3">
        <w:t xml:space="preserve"> at site debriefings and wrap-up meetings.</w:t>
      </w:r>
    </w:p>
    <w:p w:rsidR="006C4999" w:rsidRPr="00760AA3" w:rsidRDefault="006C4999" w:rsidP="0067084D">
      <w:pPr>
        <w:pStyle w:val="ListBullet4"/>
        <w:numPr>
          <w:ilvl w:val="0"/>
          <w:numId w:val="6"/>
        </w:numPr>
        <w:spacing w:line="480" w:lineRule="auto"/>
        <w:contextualSpacing w:val="0"/>
        <w:jc w:val="both"/>
      </w:pPr>
      <w:r w:rsidRPr="00760AA3">
        <w:t>Use discretion in public places when discussing interviews or focus groups with other research team members.</w:t>
      </w:r>
    </w:p>
    <w:p w:rsidR="006C4999" w:rsidRDefault="006C4999" w:rsidP="0067084D">
      <w:pPr>
        <w:pStyle w:val="ListBullet4"/>
        <w:numPr>
          <w:ilvl w:val="0"/>
          <w:numId w:val="6"/>
        </w:numPr>
        <w:spacing w:line="480" w:lineRule="auto"/>
        <w:contextualSpacing w:val="0"/>
        <w:jc w:val="both"/>
      </w:pPr>
      <w:r w:rsidRPr="00760AA3">
        <w:t>Secure interview notes and schedules at all times.</w:t>
      </w:r>
    </w:p>
    <w:p w:rsidR="006C4999" w:rsidRDefault="006C4999" w:rsidP="006C4999">
      <w:pPr>
        <w:pStyle w:val="ListBullet4"/>
        <w:numPr>
          <w:ilvl w:val="0"/>
          <w:numId w:val="0"/>
        </w:numPr>
        <w:contextualSpacing w:val="0"/>
        <w:jc w:val="both"/>
      </w:pPr>
    </w:p>
    <w:p w:rsidR="006C4999" w:rsidRDefault="006C4999" w:rsidP="006C4999">
      <w:pPr>
        <w:spacing w:line="480" w:lineRule="auto"/>
      </w:pPr>
      <w:r>
        <w:t>This study is also under the purview of the Urban Institute’s Institutional Review Board (IRB).  See Appendix D.  To receive IRB approval for this study, the data collection effort must adhere to the following principles:</w:t>
      </w:r>
    </w:p>
    <w:p w:rsidR="006C4999" w:rsidRDefault="006C4999" w:rsidP="006C4999"/>
    <w:p w:rsidR="006C4999" w:rsidRDefault="006C4999" w:rsidP="0067084D">
      <w:pPr>
        <w:numPr>
          <w:ilvl w:val="0"/>
          <w:numId w:val="9"/>
        </w:numPr>
        <w:spacing w:line="480" w:lineRule="auto"/>
      </w:pPr>
      <w:r>
        <w:t>Subjects are informed of the nature of the research and how it will be used, and their consent either obtained or explicitly waived, where risks to them are determined to be minimal.</w:t>
      </w:r>
    </w:p>
    <w:p w:rsidR="006C4999" w:rsidRDefault="006C4999" w:rsidP="0067084D">
      <w:pPr>
        <w:numPr>
          <w:ilvl w:val="0"/>
          <w:numId w:val="9"/>
        </w:numPr>
        <w:spacing w:line="480" w:lineRule="auto"/>
      </w:pPr>
      <w:r>
        <w:lastRenderedPageBreak/>
        <w:t>Adequate provision is made to protect the privacy of subjects and to maintain privacy of data, where promised and as appropriate.</w:t>
      </w:r>
    </w:p>
    <w:p w:rsidR="006C4999" w:rsidRDefault="006C4999" w:rsidP="0067084D">
      <w:pPr>
        <w:numPr>
          <w:ilvl w:val="0"/>
          <w:numId w:val="9"/>
        </w:numPr>
        <w:spacing w:line="480" w:lineRule="auto"/>
      </w:pPr>
      <w:r>
        <w:t>Risks to subjects are minimized to the extent possible within research designs.</w:t>
      </w:r>
    </w:p>
    <w:p w:rsidR="006C4999" w:rsidRDefault="006C4999" w:rsidP="0067084D">
      <w:pPr>
        <w:numPr>
          <w:ilvl w:val="0"/>
          <w:numId w:val="9"/>
        </w:numPr>
        <w:spacing w:line="480" w:lineRule="auto"/>
      </w:pPr>
      <w:r>
        <w:t>Risks to subjects (from the research) are reasonable in relation to anticipated benefits (from the research).</w:t>
      </w:r>
    </w:p>
    <w:p w:rsidR="006C4999" w:rsidRDefault="006C4999" w:rsidP="0067084D">
      <w:pPr>
        <w:numPr>
          <w:ilvl w:val="0"/>
          <w:numId w:val="9"/>
        </w:numPr>
        <w:spacing w:line="480" w:lineRule="auto"/>
      </w:pPr>
      <w:r>
        <w:t>The selection of subjects is as equitable as possible (the burdens and benefits of the research are fairly distributed) and particular attention is paid to research involving vulnerable populations and protected health information.</w:t>
      </w:r>
    </w:p>
    <w:p w:rsidR="006C4999" w:rsidRDefault="006C4999" w:rsidP="006C4999">
      <w:r>
        <w:t xml:space="preserve">A copy of the </w:t>
      </w:r>
      <w:r w:rsidRPr="00DD0C15">
        <w:t>IRB approval</w:t>
      </w:r>
      <w:r>
        <w:t xml:space="preserve"> will be available from the Urban Institute.</w:t>
      </w:r>
    </w:p>
    <w:p w:rsidR="006C4999" w:rsidRDefault="006C4999" w:rsidP="006C4999">
      <w:pPr>
        <w:pStyle w:val="ListBullet4"/>
        <w:numPr>
          <w:ilvl w:val="0"/>
          <w:numId w:val="0"/>
        </w:numPr>
        <w:contextualSpacing w:val="0"/>
        <w:jc w:val="both"/>
      </w:pPr>
    </w:p>
    <w:p w:rsidR="006C4999" w:rsidRDefault="006C4999" w:rsidP="006C4999">
      <w:pPr>
        <w:pStyle w:val="BodyTextFirstIndent1"/>
        <w:jc w:val="left"/>
        <w:rPr>
          <w:rFonts w:ascii="Times New Roman" w:hAnsi="Times New Roman"/>
          <w:sz w:val="24"/>
          <w:szCs w:val="24"/>
        </w:rPr>
      </w:pPr>
    </w:p>
    <w:p w:rsidR="006C4999" w:rsidRDefault="006C4999" w:rsidP="006C4999">
      <w:pPr>
        <w:pStyle w:val="BodyTextFirstIndent1"/>
        <w:jc w:val="left"/>
        <w:rPr>
          <w:rFonts w:ascii="Times New Roman" w:hAnsi="Times New Roman"/>
          <w:sz w:val="24"/>
          <w:szCs w:val="24"/>
        </w:rPr>
      </w:pPr>
      <w:r w:rsidRPr="00B563C9">
        <w:rPr>
          <w:rFonts w:ascii="Times New Roman" w:hAnsi="Times New Roman"/>
          <w:sz w:val="24"/>
          <w:szCs w:val="24"/>
        </w:rPr>
        <w:t xml:space="preserve">The Urban Institute </w:t>
      </w:r>
      <w:r>
        <w:rPr>
          <w:rFonts w:ascii="Times New Roman" w:hAnsi="Times New Roman"/>
          <w:sz w:val="24"/>
          <w:szCs w:val="24"/>
        </w:rPr>
        <w:t>operates under rigorous</w:t>
      </w:r>
      <w:r w:rsidRPr="00B563C9">
        <w:rPr>
          <w:rFonts w:ascii="Times New Roman" w:hAnsi="Times New Roman"/>
          <w:sz w:val="24"/>
          <w:szCs w:val="24"/>
        </w:rPr>
        <w:t xml:space="preserve"> procedures regarding the</w:t>
      </w:r>
      <w:r>
        <w:rPr>
          <w:rFonts w:ascii="Times New Roman" w:hAnsi="Times New Roman"/>
          <w:sz w:val="24"/>
          <w:szCs w:val="24"/>
        </w:rPr>
        <w:t xml:space="preserve"> protection of </w:t>
      </w:r>
      <w:r w:rsidR="00FE7995">
        <w:rPr>
          <w:rFonts w:ascii="Times New Roman" w:hAnsi="Times New Roman"/>
          <w:sz w:val="24"/>
          <w:szCs w:val="24"/>
        </w:rPr>
        <w:t>sensitive</w:t>
      </w:r>
      <w:r w:rsidR="001D017D">
        <w:rPr>
          <w:rFonts w:ascii="Times New Roman" w:hAnsi="Times New Roman"/>
          <w:sz w:val="24"/>
          <w:szCs w:val="24"/>
        </w:rPr>
        <w:t xml:space="preserve"> </w:t>
      </w:r>
      <w:r>
        <w:rPr>
          <w:rFonts w:ascii="Times New Roman" w:hAnsi="Times New Roman"/>
          <w:sz w:val="24"/>
          <w:szCs w:val="24"/>
        </w:rPr>
        <w:t xml:space="preserve">data, consistent with its federal-wide assurance of compliance </w:t>
      </w:r>
      <w:r w:rsidRPr="00B563C9">
        <w:rPr>
          <w:rFonts w:ascii="Times New Roman" w:hAnsi="Times New Roman"/>
          <w:sz w:val="24"/>
          <w:szCs w:val="24"/>
        </w:rPr>
        <w:t xml:space="preserve">approved by the Office of Human Research Protections of the U.S. Department of Health and Human Services.  A firewall monitors and evaluates all attempted connections from the Internet to </w:t>
      </w:r>
      <w:r>
        <w:rPr>
          <w:rFonts w:ascii="Times New Roman" w:hAnsi="Times New Roman"/>
          <w:sz w:val="24"/>
          <w:szCs w:val="24"/>
        </w:rPr>
        <w:t xml:space="preserve">the Urban Institute’s </w:t>
      </w:r>
      <w:r w:rsidRPr="00B563C9">
        <w:rPr>
          <w:rFonts w:ascii="Times New Roman" w:hAnsi="Times New Roman"/>
          <w:sz w:val="24"/>
          <w:szCs w:val="24"/>
        </w:rPr>
        <w:t xml:space="preserve">public web servers and </w:t>
      </w:r>
      <w:r>
        <w:rPr>
          <w:rFonts w:ascii="Times New Roman" w:hAnsi="Times New Roman"/>
          <w:sz w:val="24"/>
          <w:szCs w:val="24"/>
        </w:rPr>
        <w:t xml:space="preserve">its </w:t>
      </w:r>
      <w:r w:rsidRPr="00B563C9">
        <w:rPr>
          <w:rFonts w:ascii="Times New Roman" w:hAnsi="Times New Roman"/>
          <w:sz w:val="24"/>
          <w:szCs w:val="24"/>
        </w:rPr>
        <w:t xml:space="preserve">private network. Up-to-date antivirus software runs on </w:t>
      </w:r>
      <w:r>
        <w:rPr>
          <w:rFonts w:ascii="Times New Roman" w:hAnsi="Times New Roman"/>
          <w:sz w:val="24"/>
          <w:szCs w:val="24"/>
        </w:rPr>
        <w:t xml:space="preserve">all </w:t>
      </w:r>
      <w:r w:rsidRPr="00B563C9">
        <w:rPr>
          <w:rFonts w:ascii="Times New Roman" w:hAnsi="Times New Roman"/>
          <w:sz w:val="24"/>
          <w:szCs w:val="24"/>
        </w:rPr>
        <w:t xml:space="preserve">desktop PCs and servers. </w:t>
      </w:r>
      <w:r>
        <w:rPr>
          <w:rFonts w:ascii="Times New Roman" w:hAnsi="Times New Roman"/>
          <w:sz w:val="24"/>
          <w:szCs w:val="24"/>
        </w:rPr>
        <w:t>A</w:t>
      </w:r>
      <w:r w:rsidRPr="00B563C9">
        <w:rPr>
          <w:rFonts w:ascii="Times New Roman" w:hAnsi="Times New Roman"/>
          <w:sz w:val="24"/>
          <w:szCs w:val="24"/>
        </w:rPr>
        <w:t xml:space="preserve"> spam filter manages spam e-mail and checks for potential malware. The Urban Institute </w:t>
      </w:r>
      <w:r>
        <w:rPr>
          <w:rFonts w:ascii="Times New Roman" w:hAnsi="Times New Roman"/>
          <w:sz w:val="24"/>
          <w:szCs w:val="24"/>
        </w:rPr>
        <w:t xml:space="preserve">also </w:t>
      </w:r>
      <w:r w:rsidRPr="00B563C9">
        <w:rPr>
          <w:rFonts w:ascii="Times New Roman" w:hAnsi="Times New Roman"/>
          <w:sz w:val="24"/>
          <w:szCs w:val="24"/>
        </w:rPr>
        <w:t xml:space="preserve">maintains </w:t>
      </w:r>
      <w:r w:rsidR="00FE7995">
        <w:rPr>
          <w:rFonts w:ascii="Times New Roman" w:hAnsi="Times New Roman"/>
          <w:sz w:val="24"/>
          <w:szCs w:val="24"/>
        </w:rPr>
        <w:t xml:space="preserve">sensitive </w:t>
      </w:r>
      <w:r w:rsidRPr="00B563C9">
        <w:rPr>
          <w:rFonts w:ascii="Times New Roman" w:hAnsi="Times New Roman"/>
          <w:sz w:val="24"/>
          <w:szCs w:val="24"/>
        </w:rPr>
        <w:t>disks</w:t>
      </w:r>
      <w:r w:rsidR="001D017D">
        <w:rPr>
          <w:rFonts w:ascii="Times New Roman" w:hAnsi="Times New Roman"/>
          <w:sz w:val="24"/>
          <w:szCs w:val="24"/>
        </w:rPr>
        <w:t xml:space="preserve"> </w:t>
      </w:r>
      <w:r w:rsidRPr="00B563C9">
        <w:rPr>
          <w:rFonts w:ascii="Times New Roman" w:hAnsi="Times New Roman"/>
          <w:sz w:val="24"/>
          <w:szCs w:val="24"/>
        </w:rPr>
        <w:t xml:space="preserve">separate from </w:t>
      </w:r>
      <w:r w:rsidR="00FE7995">
        <w:rPr>
          <w:rFonts w:ascii="Times New Roman" w:hAnsi="Times New Roman"/>
          <w:sz w:val="24"/>
          <w:szCs w:val="24"/>
        </w:rPr>
        <w:t>non-sensitive</w:t>
      </w:r>
      <w:r w:rsidR="001D017D" w:rsidRPr="00B563C9">
        <w:rPr>
          <w:rFonts w:ascii="Times New Roman" w:hAnsi="Times New Roman"/>
          <w:sz w:val="24"/>
          <w:szCs w:val="24"/>
        </w:rPr>
        <w:t xml:space="preserve"> </w:t>
      </w:r>
      <w:r w:rsidRPr="00B563C9">
        <w:rPr>
          <w:rFonts w:ascii="Times New Roman" w:hAnsi="Times New Roman"/>
          <w:sz w:val="24"/>
          <w:szCs w:val="24"/>
        </w:rPr>
        <w:t xml:space="preserve">disks on all its system servers. If </w:t>
      </w:r>
      <w:r w:rsidR="00FE7995">
        <w:rPr>
          <w:rFonts w:ascii="Times New Roman" w:hAnsi="Times New Roman"/>
          <w:sz w:val="24"/>
          <w:szCs w:val="24"/>
        </w:rPr>
        <w:t>sensitive</w:t>
      </w:r>
      <w:r w:rsidR="00FE7995" w:rsidRPr="00B563C9">
        <w:rPr>
          <w:rFonts w:ascii="Times New Roman" w:hAnsi="Times New Roman"/>
          <w:sz w:val="24"/>
          <w:szCs w:val="24"/>
        </w:rPr>
        <w:t xml:space="preserve"> </w:t>
      </w:r>
      <w:r w:rsidRPr="00B563C9">
        <w:rPr>
          <w:rFonts w:ascii="Times New Roman" w:hAnsi="Times New Roman"/>
          <w:sz w:val="24"/>
          <w:szCs w:val="24"/>
        </w:rPr>
        <w:t>data are stored on an individual PC, these data are encrypted or stored on removable storage media. The Institute’s standard encryption software is PGP</w:t>
      </w:r>
      <w:r>
        <w:rPr>
          <w:rFonts w:ascii="Times New Roman" w:hAnsi="Times New Roman"/>
          <w:sz w:val="24"/>
          <w:szCs w:val="24"/>
        </w:rPr>
        <w:t xml:space="preserve">.  </w:t>
      </w:r>
    </w:p>
    <w:p w:rsidR="006C4999" w:rsidRDefault="006C4999" w:rsidP="006C4999">
      <w:pPr>
        <w:pStyle w:val="NoSpacing"/>
        <w:spacing w:line="480" w:lineRule="auto"/>
        <w:ind w:firstLine="360"/>
        <w:rPr>
          <w:rFonts w:ascii="Times New Roman" w:hAnsi="Times New Roman"/>
          <w:sz w:val="24"/>
          <w:szCs w:val="24"/>
        </w:rPr>
      </w:pPr>
    </w:p>
    <w:p w:rsidR="006C4999" w:rsidRPr="007A07C2" w:rsidRDefault="006C4999" w:rsidP="006C4999">
      <w:pPr>
        <w:pStyle w:val="NoSpacing"/>
        <w:spacing w:line="480" w:lineRule="auto"/>
        <w:ind w:firstLine="360"/>
        <w:rPr>
          <w:rFonts w:ascii="Times New Roman" w:hAnsi="Times New Roman"/>
          <w:sz w:val="24"/>
          <w:szCs w:val="24"/>
        </w:rPr>
      </w:pPr>
      <w:r w:rsidRPr="007A07C2">
        <w:rPr>
          <w:rFonts w:ascii="Times New Roman" w:hAnsi="Times New Roman"/>
          <w:sz w:val="24"/>
          <w:szCs w:val="24"/>
        </w:rPr>
        <w:lastRenderedPageBreak/>
        <w:t xml:space="preserve">Arrangements for the appropriate transmission of </w:t>
      </w:r>
      <w:r w:rsidR="00FE7995">
        <w:rPr>
          <w:rFonts w:ascii="Times New Roman" w:hAnsi="Times New Roman"/>
          <w:sz w:val="24"/>
          <w:szCs w:val="24"/>
        </w:rPr>
        <w:t>sensitive</w:t>
      </w:r>
      <w:r w:rsidR="001D017D" w:rsidRPr="007A07C2">
        <w:rPr>
          <w:rFonts w:ascii="Times New Roman" w:hAnsi="Times New Roman"/>
          <w:sz w:val="24"/>
          <w:szCs w:val="24"/>
        </w:rPr>
        <w:t xml:space="preserve"> </w:t>
      </w:r>
      <w:r w:rsidRPr="007A07C2">
        <w:rPr>
          <w:rFonts w:ascii="Times New Roman" w:hAnsi="Times New Roman"/>
          <w:sz w:val="24"/>
          <w:szCs w:val="24"/>
        </w:rPr>
        <w:t xml:space="preserve">data include the following: </w:t>
      </w:r>
    </w:p>
    <w:p w:rsidR="006C4999" w:rsidRPr="007A07C2" w:rsidRDefault="006C4999" w:rsidP="0067084D">
      <w:pPr>
        <w:pStyle w:val="NoSpacing"/>
        <w:numPr>
          <w:ilvl w:val="0"/>
          <w:numId w:val="21"/>
        </w:numPr>
        <w:spacing w:line="480" w:lineRule="auto"/>
        <w:rPr>
          <w:rFonts w:ascii="Times New Roman" w:hAnsi="Times New Roman"/>
          <w:sz w:val="24"/>
          <w:szCs w:val="24"/>
        </w:rPr>
      </w:pPr>
      <w:r w:rsidRPr="007A07C2">
        <w:rPr>
          <w:rFonts w:ascii="Times New Roman" w:hAnsi="Times New Roman"/>
          <w:sz w:val="24"/>
          <w:szCs w:val="24"/>
        </w:rPr>
        <w:t xml:space="preserve">File transfer over secure electronic connections. This means the source system must be a trusted and recognized source for the data, and the means of transfer must be secure, such as an encrypted Internet session or a direct dialup connection to the Urban Institute. </w:t>
      </w:r>
    </w:p>
    <w:p w:rsidR="006C4999" w:rsidRPr="007A07C2" w:rsidRDefault="006C4999" w:rsidP="0067084D">
      <w:pPr>
        <w:pStyle w:val="NoSpacing"/>
        <w:numPr>
          <w:ilvl w:val="0"/>
          <w:numId w:val="21"/>
        </w:numPr>
        <w:spacing w:line="480" w:lineRule="auto"/>
        <w:rPr>
          <w:rFonts w:ascii="Times New Roman" w:hAnsi="Times New Roman"/>
          <w:sz w:val="24"/>
          <w:szCs w:val="24"/>
        </w:rPr>
      </w:pPr>
      <w:r w:rsidRPr="007A07C2">
        <w:rPr>
          <w:rFonts w:ascii="Times New Roman" w:hAnsi="Times New Roman"/>
          <w:sz w:val="24"/>
          <w:szCs w:val="24"/>
        </w:rPr>
        <w:t>Delivery by secure, trackable means, such as FedEx, UPS, or registered US mail.</w:t>
      </w:r>
    </w:p>
    <w:p w:rsidR="006C4999" w:rsidRPr="007A07C2" w:rsidRDefault="006C4999" w:rsidP="0067084D">
      <w:pPr>
        <w:pStyle w:val="NoSpacing"/>
        <w:numPr>
          <w:ilvl w:val="0"/>
          <w:numId w:val="21"/>
        </w:numPr>
        <w:spacing w:line="480" w:lineRule="auto"/>
        <w:rPr>
          <w:rFonts w:ascii="Times New Roman" w:hAnsi="Times New Roman"/>
          <w:sz w:val="24"/>
          <w:szCs w:val="24"/>
        </w:rPr>
      </w:pPr>
      <w:r w:rsidRPr="007A07C2">
        <w:rPr>
          <w:rFonts w:ascii="Times New Roman" w:hAnsi="Times New Roman"/>
          <w:sz w:val="24"/>
          <w:szCs w:val="24"/>
        </w:rPr>
        <w:t xml:space="preserve">Hand delivery by a cleared individual. </w:t>
      </w:r>
    </w:p>
    <w:p w:rsidR="006C4999" w:rsidRDefault="006C4999" w:rsidP="006C4999">
      <w:pPr>
        <w:spacing w:line="480" w:lineRule="auto"/>
      </w:pPr>
    </w:p>
    <w:p w:rsidR="006C4999" w:rsidRPr="007A07C2" w:rsidRDefault="006C4999" w:rsidP="006C4999">
      <w:pPr>
        <w:spacing w:line="480" w:lineRule="auto"/>
      </w:pPr>
      <w:r w:rsidRPr="007A07C2">
        <w:t xml:space="preserve">Once data are received, file protections and access controls are established to ensure that </w:t>
      </w:r>
      <w:r w:rsidR="00FE7995">
        <w:t>sensitive</w:t>
      </w:r>
      <w:r w:rsidR="001D017D" w:rsidRPr="007A07C2">
        <w:t xml:space="preserve"> </w:t>
      </w:r>
      <w:r w:rsidRPr="007A07C2">
        <w:t xml:space="preserve">data are not accessible to anyone who is not explicitly authorized to use them.  All storage media (diskettes, tape cartridges, CDs, internal and external hard drives) that hold </w:t>
      </w:r>
      <w:r w:rsidR="00FE7995">
        <w:t>sensitive</w:t>
      </w:r>
      <w:r w:rsidR="00FE7995" w:rsidRPr="007A07C2">
        <w:t xml:space="preserve"> </w:t>
      </w:r>
      <w:r w:rsidRPr="007A07C2">
        <w:t xml:space="preserve">data are explicitly labeled </w:t>
      </w:r>
      <w:r w:rsidR="00FE7995">
        <w:t>as such</w:t>
      </w:r>
      <w:r w:rsidRPr="007A07C2">
        <w:t xml:space="preserve">. </w:t>
      </w:r>
    </w:p>
    <w:p w:rsidR="006C4999" w:rsidRDefault="006C4999" w:rsidP="006C4999">
      <w:pPr>
        <w:pStyle w:val="ListBullet4"/>
        <w:numPr>
          <w:ilvl w:val="0"/>
          <w:numId w:val="0"/>
        </w:numPr>
        <w:contextualSpacing w:val="0"/>
        <w:jc w:val="both"/>
      </w:pPr>
    </w:p>
    <w:p w:rsidR="006C4999" w:rsidRPr="009A3085" w:rsidRDefault="006C4999" w:rsidP="006C4999">
      <w:pPr>
        <w:ind w:left="720" w:hanging="720"/>
        <w:rPr>
          <w:b/>
        </w:rPr>
      </w:pPr>
      <w:r w:rsidRPr="008B0444">
        <w:rPr>
          <w:b/>
        </w:rPr>
        <w:t>11.</w:t>
      </w:r>
      <w:r w:rsidRPr="008B0444">
        <w:rPr>
          <w:b/>
        </w:rPr>
        <w:tab/>
      </w:r>
      <w:r w:rsidRPr="009A3085">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C4999" w:rsidRPr="008B0444"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6C4999" w:rsidRPr="008B0444" w:rsidRDefault="006C4999" w:rsidP="006C4999">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spacing w:line="480" w:lineRule="auto"/>
      </w:pPr>
      <w:r>
        <w:t xml:space="preserve">There are no questions on any of the data collection instruments regarding race/ethnicity, disability, religious beliefs, sexual attitudes or behavior, or other matters commonly considered as private.  Respondents will not be asked to provide their social security number or to disclose any specific information about their financial circumstances. </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9A3085" w:rsidRDefault="006C4999" w:rsidP="006C4999">
      <w:pPr>
        <w:ind w:left="720" w:hanging="720"/>
        <w:rPr>
          <w:b/>
        </w:rPr>
      </w:pPr>
      <w:r w:rsidRPr="008B0444">
        <w:rPr>
          <w:b/>
        </w:rPr>
        <w:t>12.</w:t>
      </w:r>
      <w:r w:rsidRPr="008B0444">
        <w:rPr>
          <w:b/>
        </w:rPr>
        <w:tab/>
      </w:r>
      <w:r w:rsidRPr="009A3085">
        <w:rPr>
          <w:b/>
        </w:rPr>
        <w:t>Provide estimates of the hour burden of the collection of information.  The statement should:</w:t>
      </w:r>
    </w:p>
    <w:p w:rsidR="006C4999" w:rsidRPr="009A3085" w:rsidRDefault="006C4999" w:rsidP="006C4999">
      <w:pPr>
        <w:rPr>
          <w:b/>
        </w:rPr>
      </w:pPr>
    </w:p>
    <w:p w:rsidR="006C4999" w:rsidRPr="009A3085" w:rsidRDefault="006C4999" w:rsidP="0067084D">
      <w:pPr>
        <w:numPr>
          <w:ilvl w:val="0"/>
          <w:numId w:val="19"/>
        </w:numPr>
        <w:ind w:left="1440"/>
        <w:rPr>
          <w:b/>
        </w:rPr>
      </w:pPr>
      <w:r w:rsidRPr="009A3085">
        <w:rPr>
          <w:b/>
        </w:rPr>
        <w:lastRenderedPageBreak/>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Exhibit A.2 shows estimated burden of the information collection, separately for each instrument and summed for the entire study, by respondent type:  State, Local and Tribal Government; Not-for-Profit Institutions; and Individuals/Households.  The estimates of annualized hour burden are derived as follows.</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5209D1" w:rsidRDefault="00DC2D53">
      <w:pPr>
        <w:spacing w:line="480" w:lineRule="auto"/>
      </w:pPr>
      <w:r w:rsidRPr="00DC2D53">
        <w:t xml:space="preserve">The selection of six states to participate in the study will be based on the following criteria: level of technology used in SNAP administration, practices regarding assignment of certification </w:t>
      </w:r>
      <w:r>
        <w:t xml:space="preserve"> p</w:t>
      </w:r>
      <w:r w:rsidRPr="00DC2D53">
        <w:t xml:space="preserve">eriods and </w:t>
      </w:r>
      <w:r w:rsidR="006C402D">
        <w:t xml:space="preserve">the </w:t>
      </w:r>
      <w:r w:rsidRPr="00DC2D53">
        <w:t xml:space="preserve">use of simplified reporting, waivers received from FNS relevant to recertification, level of coordination of application and recertification procedures with Medicaid, involvement in program outreach of community-based organizations, state versus county administration, the SNAP participation rate (among those eligible), the availability of longitudinal linked </w:t>
      </w:r>
      <w:r>
        <w:t xml:space="preserve"> a</w:t>
      </w:r>
      <w:r w:rsidRPr="00DC2D53">
        <w:t>dministrative data between SNAP benefits and wages, urban/rural caseload composition, and regional location.  The selected states will encompass a range of variation on such characteristics.  Within each participating state</w:t>
      </w:r>
      <w:r w:rsidR="006C402D">
        <w:t xml:space="preserve">, </w:t>
      </w:r>
      <w:r w:rsidRPr="00DC2D53">
        <w:t xml:space="preserve"> a local office will be selected as the site for interviews and focus groups.   </w:t>
      </w:r>
      <w:r w:rsidR="006C4999">
        <w:t>At each of the six sites where on-site data collection is undertaken, interviews will be conducted with (on average) two SNAP administrators, five SNAP caseworkers, and two directors of community-based organizations. The interview guides are shown in Appendices A-4, A-5, and A-6, respectively. Each respondent will be interviewed once, and interviews are assumed to require 60</w:t>
      </w:r>
      <w:r w:rsidR="006C4999" w:rsidRPr="0079471A">
        <w:t xml:space="preserve"> minutes</w:t>
      </w:r>
      <w:r w:rsidR="006C4999">
        <w:t xml:space="preserve">.  This estimated interview length is consistent with the results of the pre-test.  For each type of interview, a common recruitment </w:t>
      </w:r>
      <w:r w:rsidR="006C4999">
        <w:lastRenderedPageBreak/>
        <w:t xml:space="preserve">script (Appendix A-1), reminder script (Appendix A-2), and introductory script (Appendix A-3) will be used, with estimated lengths </w:t>
      </w:r>
      <w:r w:rsidR="006C4999" w:rsidRPr="0079471A">
        <w:t>of 9</w:t>
      </w:r>
      <w:r w:rsidR="006C4999">
        <w:t xml:space="preserve"> minutes, </w:t>
      </w:r>
      <w:r w:rsidR="006C4999" w:rsidRPr="0079471A">
        <w:t>6</w:t>
      </w:r>
      <w:r w:rsidR="006C4999">
        <w:t xml:space="preserve"> minutes, and 5</w:t>
      </w:r>
      <w:r w:rsidR="006C4999" w:rsidRPr="0079471A">
        <w:t xml:space="preserve"> minutes</w:t>
      </w:r>
      <w:r w:rsidR="006C4999">
        <w:t>, respectively.  Over-recruitment is assumed for all three respondent types: 17 percent (2/12) for SNAP administrators, 20 percent (6/30) for SNAP caseworkers, and 25 percent (3/12) for CBO directors.  The burden estimates for introductory scripts and interview guides include the pre-test interviews: two with SNAP administrators, three with SNAP caseworkers, and one with a CBO director.</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Each participating state will be asked to provide a state-wide administrative dataset that contains de-identified case-level data on SNAP participation from January 2010 to the most recent available month.  The time burden for complying with this request is assumed to be 100 hours per state.  </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For one of the participating states, an administrative dataset will be provided containing de-identified case-level data for cases that have churned since January 2010, including linked data on quarterly earnings from unemployment insurance wage records.  This linked data set will be provided by a research institution that has partnered with the state under a prior data sharing agreement. For this research institution, the associated time burden is estimated to be 40 hours.   </w:t>
      </w:r>
    </w:p>
    <w:p w:rsidR="00930061" w:rsidRDefault="00930061"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sectPr w:rsidR="00930061" w:rsidSect="003D3F00">
          <w:pgSz w:w="12240" w:h="15840"/>
          <w:pgMar w:top="1440" w:right="1440" w:bottom="1440" w:left="1440" w:header="720" w:footer="720" w:gutter="0"/>
          <w:cols w:space="720"/>
          <w:docGrid w:linePitch="360"/>
        </w:sectPr>
      </w:pPr>
    </w:p>
    <w:p w:rsidR="006C4999" w:rsidRPr="000851BF"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sz w:val="18"/>
          <w:szCs w:val="18"/>
        </w:rPr>
      </w:pPr>
      <w:r>
        <w:rPr>
          <w:b/>
          <w:u w:val="single"/>
        </w:rPr>
        <w:lastRenderedPageBreak/>
        <w:t>Exhibit A.2: Estimated Burden in Annualized Hours and Costs</w:t>
      </w:r>
    </w:p>
    <w:tbl>
      <w:tblPr>
        <w:tblW w:w="13243" w:type="dxa"/>
        <w:tblInd w:w="95" w:type="dxa"/>
        <w:tblLayout w:type="fixed"/>
        <w:tblLook w:val="04A0"/>
      </w:tblPr>
      <w:tblGrid>
        <w:gridCol w:w="2083"/>
        <w:gridCol w:w="4500"/>
        <w:gridCol w:w="720"/>
        <w:gridCol w:w="540"/>
        <w:gridCol w:w="360"/>
        <w:gridCol w:w="540"/>
        <w:gridCol w:w="630"/>
        <w:gridCol w:w="720"/>
        <w:gridCol w:w="450"/>
        <w:gridCol w:w="450"/>
        <w:gridCol w:w="540"/>
        <w:gridCol w:w="450"/>
        <w:gridCol w:w="450"/>
        <w:gridCol w:w="810"/>
      </w:tblGrid>
      <w:tr w:rsidR="00930061" w:rsidRPr="00930061" w:rsidTr="003D3F00">
        <w:trPr>
          <w:trHeight w:val="315"/>
          <w:tblHeader/>
        </w:trPr>
        <w:tc>
          <w:tcPr>
            <w:tcW w:w="208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30061" w:rsidRPr="00930061" w:rsidRDefault="00930061" w:rsidP="00930061">
            <w:pPr>
              <w:rPr>
                <w:rFonts w:ascii="Calibri" w:hAnsi="Calibri" w:cs="Calibri"/>
                <w:b/>
                <w:bCs/>
                <w:color w:val="000000"/>
              </w:rPr>
            </w:pPr>
            <w:r w:rsidRPr="00930061">
              <w:rPr>
                <w:rFonts w:ascii="Calibri" w:hAnsi="Calibri" w:cs="Calibri"/>
                <w:b/>
                <w:bCs/>
                <w:color w:val="000000"/>
                <w:sz w:val="22"/>
                <w:szCs w:val="22"/>
              </w:rPr>
              <w:t> </w:t>
            </w:r>
          </w:p>
        </w:tc>
        <w:tc>
          <w:tcPr>
            <w:tcW w:w="4500" w:type="dxa"/>
            <w:tcBorders>
              <w:top w:val="single" w:sz="8" w:space="0" w:color="auto"/>
              <w:left w:val="nil"/>
              <w:bottom w:val="single" w:sz="8" w:space="0" w:color="auto"/>
              <w:right w:val="single" w:sz="4" w:space="0" w:color="auto"/>
            </w:tcBorders>
            <w:shd w:val="clear" w:color="auto" w:fill="auto"/>
            <w:noWrap/>
            <w:vAlign w:val="bottom"/>
            <w:hideMark/>
          </w:tcPr>
          <w:p w:rsidR="00930061" w:rsidRPr="00930061" w:rsidRDefault="00930061" w:rsidP="00930061">
            <w:pPr>
              <w:rPr>
                <w:rFonts w:ascii="Calibri" w:hAnsi="Calibri" w:cs="Calibri"/>
                <w:b/>
                <w:bCs/>
                <w:color w:val="000000"/>
              </w:rPr>
            </w:pPr>
            <w:r w:rsidRPr="00930061">
              <w:rPr>
                <w:rFonts w:ascii="Calibri" w:hAnsi="Calibri" w:cs="Calibri"/>
                <w:b/>
                <w:bCs/>
                <w:color w:val="000000"/>
                <w:sz w:val="22"/>
                <w:szCs w:val="22"/>
              </w:rPr>
              <w:t> </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rsidR="00930061" w:rsidRPr="00930061" w:rsidRDefault="00930061" w:rsidP="00930061">
            <w:pPr>
              <w:rPr>
                <w:rFonts w:ascii="Calibri" w:hAnsi="Calibri" w:cs="Calibri"/>
                <w:b/>
                <w:bCs/>
                <w:color w:val="000000"/>
              </w:rPr>
            </w:pPr>
            <w:r w:rsidRPr="00930061">
              <w:rPr>
                <w:rFonts w:ascii="Calibri" w:hAnsi="Calibri" w:cs="Calibri"/>
                <w:b/>
                <w:bCs/>
                <w:color w:val="000000"/>
                <w:sz w:val="22"/>
                <w:szCs w:val="22"/>
              </w:rPr>
              <w:t> </w:t>
            </w:r>
          </w:p>
        </w:tc>
        <w:tc>
          <w:tcPr>
            <w:tcW w:w="2790" w:type="dxa"/>
            <w:gridSpan w:val="5"/>
            <w:tcBorders>
              <w:top w:val="single" w:sz="8" w:space="0" w:color="auto"/>
              <w:left w:val="nil"/>
              <w:bottom w:val="single" w:sz="8" w:space="0" w:color="auto"/>
              <w:right w:val="single" w:sz="4" w:space="0" w:color="auto"/>
            </w:tcBorders>
            <w:shd w:val="clear" w:color="auto" w:fill="auto"/>
            <w:noWrap/>
            <w:vAlign w:val="bottom"/>
            <w:hideMark/>
          </w:tcPr>
          <w:p w:rsidR="00930061" w:rsidRPr="00930061" w:rsidRDefault="00930061" w:rsidP="00930061">
            <w:pPr>
              <w:jc w:val="center"/>
              <w:rPr>
                <w:rFonts w:ascii="Calibri" w:hAnsi="Calibri" w:cs="Calibri"/>
                <w:b/>
                <w:bCs/>
                <w:color w:val="000000"/>
              </w:rPr>
            </w:pPr>
            <w:r w:rsidRPr="00930061">
              <w:rPr>
                <w:rFonts w:ascii="Calibri" w:hAnsi="Calibri" w:cs="Calibri"/>
                <w:b/>
                <w:bCs/>
                <w:color w:val="000000"/>
                <w:sz w:val="22"/>
                <w:szCs w:val="22"/>
              </w:rPr>
              <w:t>Responsive</w:t>
            </w:r>
          </w:p>
        </w:tc>
        <w:tc>
          <w:tcPr>
            <w:tcW w:w="2340" w:type="dxa"/>
            <w:gridSpan w:val="5"/>
            <w:tcBorders>
              <w:top w:val="single" w:sz="8" w:space="0" w:color="auto"/>
              <w:left w:val="nil"/>
              <w:bottom w:val="single" w:sz="8" w:space="0" w:color="auto"/>
              <w:right w:val="single" w:sz="4" w:space="0" w:color="auto"/>
            </w:tcBorders>
            <w:shd w:val="clear" w:color="auto" w:fill="auto"/>
            <w:noWrap/>
            <w:vAlign w:val="bottom"/>
            <w:hideMark/>
          </w:tcPr>
          <w:p w:rsidR="00930061" w:rsidRPr="00930061" w:rsidRDefault="00930061" w:rsidP="00930061">
            <w:pPr>
              <w:jc w:val="center"/>
              <w:rPr>
                <w:rFonts w:ascii="Calibri" w:hAnsi="Calibri" w:cs="Calibri"/>
                <w:b/>
                <w:bCs/>
                <w:color w:val="000000"/>
              </w:rPr>
            </w:pPr>
            <w:r w:rsidRPr="00930061">
              <w:rPr>
                <w:rFonts w:ascii="Calibri" w:hAnsi="Calibri" w:cs="Calibri"/>
                <w:b/>
                <w:bCs/>
                <w:color w:val="000000"/>
                <w:sz w:val="22"/>
                <w:szCs w:val="22"/>
              </w:rPr>
              <w:t>Non-Response</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930061" w:rsidRPr="00930061" w:rsidRDefault="00930061" w:rsidP="00930061">
            <w:pPr>
              <w:rPr>
                <w:rFonts w:ascii="Calibri" w:hAnsi="Calibri" w:cs="Calibri"/>
                <w:b/>
                <w:bCs/>
                <w:color w:val="000000"/>
              </w:rPr>
            </w:pPr>
            <w:r w:rsidRPr="00930061">
              <w:rPr>
                <w:rFonts w:ascii="Calibri" w:hAnsi="Calibri" w:cs="Calibri"/>
                <w:b/>
                <w:bCs/>
                <w:color w:val="000000"/>
                <w:sz w:val="22"/>
                <w:szCs w:val="22"/>
              </w:rPr>
              <w:t> </w:t>
            </w:r>
          </w:p>
        </w:tc>
      </w:tr>
      <w:tr w:rsidR="00930061" w:rsidRPr="00930061" w:rsidTr="003D3F00">
        <w:trPr>
          <w:trHeight w:val="1875"/>
          <w:tblHeader/>
        </w:trPr>
        <w:tc>
          <w:tcPr>
            <w:tcW w:w="2083" w:type="dxa"/>
            <w:tcBorders>
              <w:top w:val="nil"/>
              <w:left w:val="single" w:sz="8" w:space="0" w:color="auto"/>
              <w:bottom w:val="single" w:sz="8" w:space="0" w:color="auto"/>
              <w:right w:val="single" w:sz="4" w:space="0" w:color="auto"/>
            </w:tcBorders>
            <w:shd w:val="clear" w:color="auto" w:fill="auto"/>
            <w:vAlign w:val="center"/>
            <w:hideMark/>
          </w:tcPr>
          <w:p w:rsidR="006E38B9" w:rsidRDefault="00930061">
            <w:pPr>
              <w:rPr>
                <w:rFonts w:ascii="Calibri" w:hAnsi="Calibri" w:cs="Calibri"/>
                <w:b/>
                <w:bCs/>
                <w:color w:val="000000"/>
              </w:rPr>
            </w:pPr>
            <w:r w:rsidRPr="00930061">
              <w:rPr>
                <w:rFonts w:ascii="Calibri" w:hAnsi="Calibri" w:cs="Calibri"/>
                <w:b/>
                <w:bCs/>
                <w:color w:val="000000"/>
                <w:sz w:val="22"/>
                <w:szCs w:val="22"/>
              </w:rPr>
              <w:t>Respondent Type</w:t>
            </w:r>
          </w:p>
        </w:tc>
        <w:tc>
          <w:tcPr>
            <w:tcW w:w="4500" w:type="dxa"/>
            <w:tcBorders>
              <w:top w:val="nil"/>
              <w:left w:val="nil"/>
              <w:bottom w:val="single" w:sz="8" w:space="0" w:color="auto"/>
              <w:right w:val="nil"/>
            </w:tcBorders>
            <w:shd w:val="clear" w:color="auto" w:fill="auto"/>
            <w:vAlign w:val="center"/>
            <w:hideMark/>
          </w:tcPr>
          <w:p w:rsidR="006E38B9" w:rsidRDefault="00930061">
            <w:pPr>
              <w:rPr>
                <w:rFonts w:ascii="Calibri" w:hAnsi="Calibri" w:cs="Calibri"/>
                <w:b/>
                <w:bCs/>
                <w:color w:val="000000"/>
              </w:rPr>
            </w:pPr>
            <w:r w:rsidRPr="00930061">
              <w:rPr>
                <w:rFonts w:ascii="Calibri" w:hAnsi="Calibri" w:cs="Calibri"/>
                <w:b/>
                <w:bCs/>
                <w:color w:val="000000"/>
                <w:sz w:val="22"/>
                <w:szCs w:val="22"/>
              </w:rPr>
              <w:t>Instrument</w:t>
            </w:r>
          </w:p>
        </w:tc>
        <w:tc>
          <w:tcPr>
            <w:tcW w:w="720" w:type="dxa"/>
            <w:tcBorders>
              <w:top w:val="nil"/>
              <w:left w:val="single" w:sz="8" w:space="0" w:color="auto"/>
              <w:bottom w:val="single" w:sz="8" w:space="0" w:color="auto"/>
              <w:right w:val="single" w:sz="8"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Sample Size</w:t>
            </w:r>
          </w:p>
        </w:tc>
        <w:tc>
          <w:tcPr>
            <w:tcW w:w="540" w:type="dxa"/>
            <w:tcBorders>
              <w:top w:val="nil"/>
              <w:left w:val="nil"/>
              <w:bottom w:val="single" w:sz="8" w:space="0" w:color="auto"/>
              <w:right w:val="single" w:sz="4"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Number of Respondents</w:t>
            </w:r>
          </w:p>
        </w:tc>
        <w:tc>
          <w:tcPr>
            <w:tcW w:w="360" w:type="dxa"/>
            <w:tcBorders>
              <w:top w:val="nil"/>
              <w:left w:val="nil"/>
              <w:bottom w:val="single" w:sz="8" w:space="0" w:color="auto"/>
              <w:right w:val="single" w:sz="4"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Freq. of Response (annual)</w:t>
            </w:r>
          </w:p>
        </w:tc>
        <w:tc>
          <w:tcPr>
            <w:tcW w:w="540" w:type="dxa"/>
            <w:tcBorders>
              <w:top w:val="nil"/>
              <w:left w:val="nil"/>
              <w:bottom w:val="single" w:sz="8" w:space="0" w:color="auto"/>
              <w:right w:val="single" w:sz="4"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Total Annual Responses</w:t>
            </w:r>
          </w:p>
        </w:tc>
        <w:tc>
          <w:tcPr>
            <w:tcW w:w="630" w:type="dxa"/>
            <w:tcBorders>
              <w:top w:val="nil"/>
              <w:left w:val="nil"/>
              <w:bottom w:val="single" w:sz="8" w:space="0" w:color="auto"/>
              <w:right w:val="single" w:sz="4"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Avg. Hours per Response</w:t>
            </w:r>
          </w:p>
        </w:tc>
        <w:tc>
          <w:tcPr>
            <w:tcW w:w="720" w:type="dxa"/>
            <w:tcBorders>
              <w:top w:val="nil"/>
              <w:left w:val="nil"/>
              <w:bottom w:val="single" w:sz="8" w:space="0" w:color="auto"/>
              <w:right w:val="single" w:sz="8"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Total Annual Burden</w:t>
            </w:r>
          </w:p>
        </w:tc>
        <w:tc>
          <w:tcPr>
            <w:tcW w:w="450" w:type="dxa"/>
            <w:tcBorders>
              <w:top w:val="nil"/>
              <w:left w:val="nil"/>
              <w:bottom w:val="single" w:sz="8" w:space="0" w:color="auto"/>
              <w:right w:val="single" w:sz="4"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Number of Respondents</w:t>
            </w:r>
          </w:p>
        </w:tc>
        <w:tc>
          <w:tcPr>
            <w:tcW w:w="450" w:type="dxa"/>
            <w:tcBorders>
              <w:top w:val="nil"/>
              <w:left w:val="nil"/>
              <w:bottom w:val="single" w:sz="8" w:space="0" w:color="auto"/>
              <w:right w:val="single" w:sz="4"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Freq. of Response (annual)</w:t>
            </w:r>
          </w:p>
        </w:tc>
        <w:tc>
          <w:tcPr>
            <w:tcW w:w="540" w:type="dxa"/>
            <w:tcBorders>
              <w:top w:val="nil"/>
              <w:left w:val="nil"/>
              <w:bottom w:val="single" w:sz="8" w:space="0" w:color="auto"/>
              <w:right w:val="single" w:sz="4"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Total Annual Responses</w:t>
            </w:r>
          </w:p>
        </w:tc>
        <w:tc>
          <w:tcPr>
            <w:tcW w:w="450" w:type="dxa"/>
            <w:tcBorders>
              <w:top w:val="nil"/>
              <w:left w:val="nil"/>
              <w:bottom w:val="single" w:sz="8" w:space="0" w:color="auto"/>
              <w:right w:val="single" w:sz="4"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Avg. Hours per Response</w:t>
            </w:r>
          </w:p>
        </w:tc>
        <w:tc>
          <w:tcPr>
            <w:tcW w:w="450" w:type="dxa"/>
            <w:tcBorders>
              <w:top w:val="nil"/>
              <w:left w:val="nil"/>
              <w:bottom w:val="single" w:sz="8" w:space="0" w:color="auto"/>
              <w:right w:val="single" w:sz="8" w:space="0" w:color="auto"/>
            </w:tcBorders>
            <w:shd w:val="clear" w:color="auto" w:fill="auto"/>
            <w:textDirection w:val="btLr"/>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Total Annual Burden</w:t>
            </w:r>
          </w:p>
        </w:tc>
        <w:tc>
          <w:tcPr>
            <w:tcW w:w="810" w:type="dxa"/>
            <w:tcBorders>
              <w:top w:val="nil"/>
              <w:left w:val="nil"/>
              <w:bottom w:val="single" w:sz="8" w:space="0" w:color="auto"/>
              <w:right w:val="single" w:sz="8" w:space="0" w:color="auto"/>
            </w:tcBorders>
            <w:shd w:val="clear" w:color="auto" w:fill="auto"/>
            <w:vAlign w:val="center"/>
            <w:hideMark/>
          </w:tcPr>
          <w:p w:rsidR="006E38B9" w:rsidRPr="006E38B9" w:rsidRDefault="006E38B9" w:rsidP="006E38B9">
            <w:pPr>
              <w:jc w:val="center"/>
              <w:rPr>
                <w:rFonts w:ascii="Calibri" w:hAnsi="Calibri" w:cs="Calibri"/>
                <w:b/>
                <w:bCs/>
                <w:color w:val="000000"/>
                <w:sz w:val="20"/>
                <w:szCs w:val="20"/>
              </w:rPr>
            </w:pPr>
            <w:r w:rsidRPr="006E38B9">
              <w:rPr>
                <w:rFonts w:ascii="Calibri" w:hAnsi="Calibri" w:cs="Calibri"/>
                <w:b/>
                <w:bCs/>
                <w:color w:val="000000"/>
                <w:sz w:val="20"/>
                <w:szCs w:val="20"/>
              </w:rPr>
              <w:t>Total Burden Hours</w:t>
            </w:r>
          </w:p>
        </w:tc>
      </w:tr>
      <w:tr w:rsidR="00930061" w:rsidRPr="00930061" w:rsidTr="003D3F00">
        <w:trPr>
          <w:trHeight w:val="315"/>
        </w:trPr>
        <w:tc>
          <w:tcPr>
            <w:tcW w:w="2083" w:type="dxa"/>
            <w:tcBorders>
              <w:top w:val="single" w:sz="4" w:space="0" w:color="auto"/>
              <w:left w:val="single" w:sz="8" w:space="0" w:color="auto"/>
              <w:bottom w:val="nil"/>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single" w:sz="4" w:space="0" w:color="auto"/>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Recruitment script--SNAP administrators (A-1)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16</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14</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14</w:t>
            </w:r>
          </w:p>
        </w:tc>
        <w:tc>
          <w:tcPr>
            <w:tcW w:w="63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0.15</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2.1</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2.1</w:t>
            </w:r>
          </w:p>
        </w:tc>
      </w:tr>
      <w:tr w:rsidR="00420AF4" w:rsidRPr="00930061" w:rsidTr="003D3F00">
        <w:trPr>
          <w:trHeight w:val="315"/>
        </w:trPr>
        <w:tc>
          <w:tcPr>
            <w:tcW w:w="20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nil"/>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Reminder script--SNAP administrators (A-2)</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63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r>
      <w:tr w:rsidR="0066729E"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Introductory script--SNAP administrators (A-3)</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63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0.08</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0.16</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0.2</w:t>
            </w:r>
          </w:p>
        </w:tc>
      </w:tr>
      <w:tr w:rsidR="0066729E"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Interview guide--SNAP administrators (A-4)</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63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2.0</w:t>
            </w:r>
          </w:p>
        </w:tc>
      </w:tr>
      <w:tr w:rsidR="0066729E"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Introductory script--SNAP administrators (A-3)</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14</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63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0.08</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0.96</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1.0</w:t>
            </w:r>
          </w:p>
        </w:tc>
      </w:tr>
      <w:tr w:rsidR="0066729E"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Interview guide--SNAP administrators (A-4)</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14</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63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12.0</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 xml:space="preserve">Recruitment script--SNAP caseworkers (A-1) </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36</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36</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36</w:t>
            </w:r>
          </w:p>
        </w:tc>
        <w:tc>
          <w:tcPr>
            <w:tcW w:w="63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0.15</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5.4</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5.4</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single" w:sz="4" w:space="0" w:color="auto"/>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Reminder script--SNAP caseworkers (A-2)</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36</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c>
          <w:tcPr>
            <w:tcW w:w="63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nil"/>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Introductory script--SNAP caseworkers (A-3)</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630" w:type="dxa"/>
            <w:tcBorders>
              <w:top w:val="nil"/>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0.08</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0.24</w:t>
            </w:r>
          </w:p>
        </w:tc>
        <w:tc>
          <w:tcPr>
            <w:tcW w:w="450" w:type="dxa"/>
            <w:tcBorders>
              <w:top w:val="nil"/>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0.2</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Interview guide--SNAP caseworkers (A-5)</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Introductory script--SNAP caseworkers (A-3)</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36</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0.08</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2.4</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2.4</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Interview guide--SNAP caseworkers (A-5)</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36</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30.0</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State Government</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Administrative data request—agency data staff</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100</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600</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600.0</w:t>
            </w:r>
          </w:p>
        </w:tc>
      </w:tr>
      <w:tr w:rsidR="00930061" w:rsidRPr="00930061" w:rsidTr="003D3F00">
        <w:trPr>
          <w:trHeight w:val="315"/>
        </w:trPr>
        <w:tc>
          <w:tcPr>
            <w:tcW w:w="2083" w:type="dxa"/>
            <w:tcBorders>
              <w:top w:val="nil"/>
              <w:left w:val="single" w:sz="8" w:space="0" w:color="auto"/>
              <w:bottom w:val="nil"/>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Not-for-Profit Institutions</w:t>
            </w:r>
          </w:p>
        </w:tc>
        <w:tc>
          <w:tcPr>
            <w:tcW w:w="4500" w:type="dxa"/>
            <w:tcBorders>
              <w:top w:val="single" w:sz="4" w:space="0" w:color="auto"/>
              <w:left w:val="nil"/>
              <w:bottom w:val="single" w:sz="4" w:space="0" w:color="auto"/>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Recruitment script--CBO directors (A-1)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15</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15</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15</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0.15</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2.25</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nil"/>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2.3</w:t>
            </w:r>
          </w:p>
        </w:tc>
      </w:tr>
      <w:tr w:rsidR="00930061" w:rsidRPr="00930061" w:rsidTr="003D3F00">
        <w:trPr>
          <w:trHeight w:val="315"/>
        </w:trPr>
        <w:tc>
          <w:tcPr>
            <w:tcW w:w="20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Not-for-Profit Institutions</w:t>
            </w:r>
          </w:p>
        </w:tc>
        <w:tc>
          <w:tcPr>
            <w:tcW w:w="4500" w:type="dxa"/>
            <w:tcBorders>
              <w:top w:val="nil"/>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Reminder script--CBO directors (A-2)</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15</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Not-for-Profit Institutions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Introductory script--CBO directors (A-3)</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0.08</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0.08</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Not-for-Profit Institutions</w:t>
            </w:r>
          </w:p>
        </w:tc>
        <w:tc>
          <w:tcPr>
            <w:tcW w:w="4500" w:type="dxa"/>
            <w:tcBorders>
              <w:top w:val="single" w:sz="4" w:space="0" w:color="auto"/>
              <w:left w:val="nil"/>
              <w:bottom w:val="single" w:sz="4" w:space="0" w:color="auto"/>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Interview guide--CBO directors (A-6)</w:t>
            </w:r>
          </w:p>
        </w:tc>
        <w:tc>
          <w:tcPr>
            <w:tcW w:w="7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7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1.0</w:t>
            </w:r>
          </w:p>
        </w:tc>
      </w:tr>
      <w:tr w:rsidR="00930061" w:rsidRPr="00930061" w:rsidTr="003D3F00">
        <w:trPr>
          <w:trHeight w:val="315"/>
        </w:trPr>
        <w:tc>
          <w:tcPr>
            <w:tcW w:w="20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lastRenderedPageBreak/>
              <w:t>Not-for-Profit Institutions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Introductory script--CBO directors (A-3)</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15</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0.08</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0.96</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1.0</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Not-for-Profit Institutions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Interview guide--CBO directors (A-6)</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15</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12.0</w:t>
            </w:r>
          </w:p>
        </w:tc>
      </w:tr>
      <w:tr w:rsidR="00930061" w:rsidRPr="00930061" w:rsidTr="003D3F00">
        <w:trPr>
          <w:trHeight w:val="315"/>
        </w:trPr>
        <w:tc>
          <w:tcPr>
            <w:tcW w:w="2083" w:type="dxa"/>
            <w:tcBorders>
              <w:top w:val="nil"/>
              <w:left w:val="single" w:sz="8" w:space="0" w:color="auto"/>
              <w:bottom w:val="nil"/>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Not-for-Profit Institutions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Administrative data request—research institution data staff</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40</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40</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single" w:sz="4" w:space="0" w:color="auto"/>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40.0</w:t>
            </w:r>
          </w:p>
        </w:tc>
      </w:tr>
      <w:tr w:rsidR="00930061" w:rsidRPr="00930061" w:rsidTr="003D3F00">
        <w:trPr>
          <w:trHeight w:val="315"/>
        </w:trPr>
        <w:tc>
          <w:tcPr>
            <w:tcW w:w="2083" w:type="dxa"/>
            <w:tcBorders>
              <w:top w:val="single" w:sz="4" w:space="0" w:color="auto"/>
              <w:left w:val="single" w:sz="8" w:space="0" w:color="auto"/>
              <w:bottom w:val="nil"/>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single" w:sz="4" w:space="0" w:color="auto"/>
              <w:left w:val="nil"/>
              <w:bottom w:val="single" w:sz="4" w:space="0" w:color="auto"/>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Recruitment script--focus groups (B-1)</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160</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120</w:t>
            </w:r>
          </w:p>
        </w:tc>
        <w:tc>
          <w:tcPr>
            <w:tcW w:w="360" w:type="dxa"/>
            <w:tcBorders>
              <w:top w:val="nil"/>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120</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0.15</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18</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40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40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nil"/>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18.0</w:t>
            </w:r>
          </w:p>
        </w:tc>
      </w:tr>
      <w:tr w:rsidR="00930061" w:rsidRPr="00930061" w:rsidTr="003D3F00">
        <w:trPr>
          <w:trHeight w:val="315"/>
        </w:trPr>
        <w:tc>
          <w:tcPr>
            <w:tcW w:w="20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nil"/>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Reminder script--focus groups (B-2)</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88</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80</w:t>
            </w:r>
          </w:p>
        </w:tc>
        <w:tc>
          <w:tcPr>
            <w:tcW w:w="360" w:type="dxa"/>
            <w:tcBorders>
              <w:top w:val="single" w:sz="4" w:space="0" w:color="auto"/>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80</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8</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8</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8</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8.0</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Introductory script--focus groups (B-3)</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360" w:type="dxa"/>
            <w:tcBorders>
              <w:top w:val="single" w:sz="4" w:space="0" w:color="auto"/>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0.08</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0.24</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0.2</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Focus group guide--SNAP participants (B-4)</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360" w:type="dxa"/>
            <w:tcBorders>
              <w:top w:val="single" w:sz="4" w:space="0" w:color="auto"/>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1.5</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4.5</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4.5</w:t>
            </w:r>
          </w:p>
        </w:tc>
      </w:tr>
      <w:tr w:rsidR="00930061" w:rsidRPr="00930061" w:rsidTr="003D3F00">
        <w:trPr>
          <w:trHeight w:val="315"/>
        </w:trPr>
        <w:tc>
          <w:tcPr>
            <w:tcW w:w="2083" w:type="dxa"/>
            <w:tcBorders>
              <w:top w:val="nil"/>
              <w:left w:val="single" w:sz="8" w:space="0" w:color="auto"/>
              <w:bottom w:val="nil"/>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Focus group participant information form (B-5)</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360" w:type="dxa"/>
            <w:tcBorders>
              <w:top w:val="single" w:sz="4" w:space="0" w:color="auto"/>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0.05</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0.15</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0.2</w:t>
            </w:r>
          </w:p>
        </w:tc>
      </w:tr>
      <w:tr w:rsidR="00930061" w:rsidRPr="00930061" w:rsidTr="003D3F00">
        <w:trPr>
          <w:trHeight w:val="315"/>
        </w:trPr>
        <w:tc>
          <w:tcPr>
            <w:tcW w:w="2083" w:type="dxa"/>
            <w:tcBorders>
              <w:top w:val="single" w:sz="4" w:space="0" w:color="auto"/>
              <w:left w:val="single" w:sz="8" w:space="0" w:color="auto"/>
              <w:bottom w:val="nil"/>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Pre-test Focus group participant  receipt form (B-6)</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360" w:type="dxa"/>
            <w:tcBorders>
              <w:top w:val="single" w:sz="4" w:space="0" w:color="auto"/>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0.02</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0.06</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0.1</w:t>
            </w:r>
          </w:p>
        </w:tc>
      </w:tr>
      <w:tr w:rsidR="00930061" w:rsidRPr="00930061" w:rsidTr="003D3F00">
        <w:trPr>
          <w:trHeight w:val="315"/>
        </w:trPr>
        <w:tc>
          <w:tcPr>
            <w:tcW w:w="20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Introductory script--focus groups (B-3)</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120</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360" w:type="dxa"/>
            <w:tcBorders>
              <w:top w:val="single" w:sz="4" w:space="0" w:color="auto"/>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0.08</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4.8</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4.8</w:t>
            </w:r>
          </w:p>
        </w:tc>
      </w:tr>
      <w:tr w:rsidR="00930061" w:rsidRPr="00930061" w:rsidTr="003D3F00">
        <w:trPr>
          <w:trHeight w:val="315"/>
        </w:trPr>
        <w:tc>
          <w:tcPr>
            <w:tcW w:w="2083" w:type="dxa"/>
            <w:tcBorders>
              <w:top w:val="nil"/>
              <w:left w:val="single" w:sz="8" w:space="0" w:color="auto"/>
              <w:bottom w:val="single" w:sz="4" w:space="0" w:color="auto"/>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Focus group guide--SNAP participants (B-4)</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120</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360" w:type="dxa"/>
            <w:tcBorders>
              <w:top w:val="single" w:sz="4" w:space="0" w:color="auto"/>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1.5</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90</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90.0</w:t>
            </w:r>
          </w:p>
        </w:tc>
      </w:tr>
      <w:tr w:rsidR="00930061" w:rsidRPr="00930061" w:rsidTr="003D3F00">
        <w:trPr>
          <w:trHeight w:val="315"/>
        </w:trPr>
        <w:tc>
          <w:tcPr>
            <w:tcW w:w="2083" w:type="dxa"/>
            <w:tcBorders>
              <w:top w:val="nil"/>
              <w:left w:val="single" w:sz="8" w:space="0" w:color="auto"/>
              <w:bottom w:val="nil"/>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Focus group participant information form (B-5)</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120</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360" w:type="dxa"/>
            <w:tcBorders>
              <w:top w:val="single" w:sz="4" w:space="0" w:color="auto"/>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0.05</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3.0</w:t>
            </w:r>
          </w:p>
        </w:tc>
      </w:tr>
      <w:tr w:rsidR="00930061" w:rsidRPr="00930061" w:rsidTr="003D3F00">
        <w:trPr>
          <w:trHeight w:val="300"/>
        </w:trPr>
        <w:tc>
          <w:tcPr>
            <w:tcW w:w="2083" w:type="dxa"/>
            <w:tcBorders>
              <w:top w:val="single" w:sz="4" w:space="0" w:color="auto"/>
              <w:left w:val="single" w:sz="8" w:space="0" w:color="auto"/>
              <w:bottom w:val="nil"/>
              <w:right w:val="single" w:sz="4" w:space="0" w:color="auto"/>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Individual/Households</w:t>
            </w:r>
          </w:p>
        </w:tc>
        <w:tc>
          <w:tcPr>
            <w:tcW w:w="4500" w:type="dxa"/>
            <w:tcBorders>
              <w:top w:val="single" w:sz="4" w:space="0" w:color="auto"/>
              <w:left w:val="nil"/>
              <w:bottom w:val="nil"/>
              <w:right w:val="nil"/>
            </w:tcBorders>
            <w:shd w:val="clear" w:color="auto" w:fill="auto"/>
            <w:noWrap/>
            <w:vAlign w:val="center"/>
            <w:hideMark/>
          </w:tcPr>
          <w:p w:rsidR="006E38B9" w:rsidRPr="006E38B9" w:rsidRDefault="006E38B9">
            <w:pPr>
              <w:rPr>
                <w:rFonts w:ascii="Calibri" w:hAnsi="Calibri" w:cs="Calibri"/>
                <w:color w:val="000000"/>
                <w:sz w:val="20"/>
                <w:szCs w:val="20"/>
              </w:rPr>
            </w:pPr>
            <w:r w:rsidRPr="006E38B9">
              <w:rPr>
                <w:rFonts w:ascii="Calibri" w:hAnsi="Calibri" w:cs="Calibri"/>
                <w:color w:val="000000"/>
                <w:sz w:val="20"/>
                <w:szCs w:val="20"/>
              </w:rPr>
              <w:t>Focus group participant  receipt form (B-6)</w:t>
            </w:r>
          </w:p>
        </w:tc>
        <w:tc>
          <w:tcPr>
            <w:tcW w:w="720" w:type="dxa"/>
            <w:tcBorders>
              <w:top w:val="single" w:sz="4" w:space="0" w:color="auto"/>
              <w:left w:val="single" w:sz="8" w:space="0" w:color="auto"/>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120</w:t>
            </w:r>
          </w:p>
        </w:tc>
        <w:tc>
          <w:tcPr>
            <w:tcW w:w="54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360" w:type="dxa"/>
            <w:tcBorders>
              <w:top w:val="single" w:sz="4" w:space="0" w:color="auto"/>
              <w:left w:val="single" w:sz="4" w:space="0" w:color="auto"/>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63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0.02</w:t>
            </w:r>
          </w:p>
        </w:tc>
        <w:tc>
          <w:tcPr>
            <w:tcW w:w="72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c>
          <w:tcPr>
            <w:tcW w:w="45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450" w:type="dxa"/>
            <w:tcBorders>
              <w:top w:val="nil"/>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w:t>
            </w:r>
          </w:p>
        </w:tc>
        <w:tc>
          <w:tcPr>
            <w:tcW w:w="540" w:type="dxa"/>
            <w:tcBorders>
              <w:top w:val="single" w:sz="4" w:space="0" w:color="auto"/>
              <w:left w:val="nil"/>
              <w:bottom w:val="nil"/>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60</w:t>
            </w:r>
          </w:p>
        </w:tc>
        <w:tc>
          <w:tcPr>
            <w:tcW w:w="450" w:type="dxa"/>
            <w:tcBorders>
              <w:top w:val="single" w:sz="8" w:space="0" w:color="auto"/>
              <w:left w:val="nil"/>
              <w:bottom w:val="single" w:sz="4" w:space="0" w:color="auto"/>
              <w:right w:val="single" w:sz="4"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45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0</w:t>
            </w:r>
          </w:p>
        </w:tc>
        <w:tc>
          <w:tcPr>
            <w:tcW w:w="810" w:type="dxa"/>
            <w:tcBorders>
              <w:top w:val="single" w:sz="4" w:space="0" w:color="auto"/>
              <w:left w:val="nil"/>
              <w:bottom w:val="nil"/>
              <w:right w:val="single" w:sz="8" w:space="0" w:color="auto"/>
            </w:tcBorders>
            <w:shd w:val="clear" w:color="auto" w:fill="auto"/>
            <w:vAlign w:val="bottom"/>
            <w:hideMark/>
          </w:tcPr>
          <w:p w:rsidR="006E38B9" w:rsidRPr="006E38B9" w:rsidRDefault="006E38B9" w:rsidP="006E38B9">
            <w:pPr>
              <w:rPr>
                <w:rFonts w:ascii="Calibri" w:hAnsi="Calibri" w:cs="Calibri"/>
                <w:color w:val="000000"/>
                <w:sz w:val="20"/>
                <w:szCs w:val="20"/>
              </w:rPr>
            </w:pPr>
            <w:r w:rsidRPr="006E38B9">
              <w:rPr>
                <w:rFonts w:ascii="Calibri" w:hAnsi="Calibri" w:cs="Calibri"/>
                <w:color w:val="000000"/>
                <w:sz w:val="20"/>
                <w:szCs w:val="20"/>
              </w:rPr>
              <w:t>1.2</w:t>
            </w:r>
          </w:p>
        </w:tc>
      </w:tr>
      <w:tr w:rsidR="00930061" w:rsidRPr="00930061" w:rsidTr="003D3F00">
        <w:trPr>
          <w:trHeight w:val="315"/>
        </w:trPr>
        <w:tc>
          <w:tcPr>
            <w:tcW w:w="208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E38B9" w:rsidRPr="006E38B9" w:rsidRDefault="006E38B9">
            <w:pPr>
              <w:rPr>
                <w:rFonts w:ascii="Calibri" w:hAnsi="Calibri" w:cs="Calibri"/>
                <w:b/>
                <w:bCs/>
                <w:color w:val="000000"/>
                <w:sz w:val="20"/>
                <w:szCs w:val="20"/>
              </w:rPr>
            </w:pPr>
            <w:r w:rsidRPr="006E38B9">
              <w:rPr>
                <w:rFonts w:ascii="Calibri" w:hAnsi="Calibri" w:cs="Calibri"/>
                <w:b/>
                <w:bCs/>
                <w:color w:val="000000"/>
                <w:sz w:val="20"/>
                <w:szCs w:val="20"/>
              </w:rPr>
              <w:t>Total (unduplicated counts)</w:t>
            </w:r>
          </w:p>
        </w:tc>
        <w:tc>
          <w:tcPr>
            <w:tcW w:w="4500" w:type="dxa"/>
            <w:tcBorders>
              <w:top w:val="single" w:sz="4" w:space="0" w:color="auto"/>
              <w:left w:val="nil"/>
              <w:bottom w:val="single" w:sz="8" w:space="0" w:color="auto"/>
              <w:right w:val="nil"/>
            </w:tcBorders>
            <w:shd w:val="clear" w:color="auto" w:fill="auto"/>
            <w:noWrap/>
            <w:vAlign w:val="center"/>
            <w:hideMark/>
          </w:tcPr>
          <w:p w:rsidR="006E38B9" w:rsidRPr="006E38B9" w:rsidRDefault="006E38B9">
            <w:pPr>
              <w:rPr>
                <w:rFonts w:ascii="Calibri" w:hAnsi="Calibri" w:cs="Calibri"/>
                <w:b/>
                <w:bCs/>
                <w:color w:val="000000"/>
                <w:sz w:val="20"/>
                <w:szCs w:val="20"/>
              </w:rPr>
            </w:pPr>
            <w:r w:rsidRPr="006E38B9">
              <w:rPr>
                <w:rFonts w:ascii="Calibri" w:hAnsi="Calibri" w:cs="Calibri"/>
                <w:b/>
                <w:bCs/>
                <w:color w:val="000000"/>
                <w:sz w:val="20"/>
                <w:szCs w:val="20"/>
              </w:rPr>
              <w:t> </w:t>
            </w:r>
          </w:p>
        </w:tc>
        <w:tc>
          <w:tcPr>
            <w:tcW w:w="72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201</w:t>
            </w:r>
          </w:p>
        </w:tc>
        <w:tc>
          <w:tcPr>
            <w:tcW w:w="540" w:type="dxa"/>
            <w:tcBorders>
              <w:top w:val="single" w:sz="4" w:space="0" w:color="auto"/>
              <w:left w:val="nil"/>
              <w:bottom w:val="single" w:sz="8" w:space="0" w:color="auto"/>
              <w:right w:val="single" w:sz="8"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201</w:t>
            </w:r>
          </w:p>
        </w:tc>
        <w:tc>
          <w:tcPr>
            <w:tcW w:w="360" w:type="dxa"/>
            <w:tcBorders>
              <w:top w:val="single" w:sz="4" w:space="0" w:color="auto"/>
              <w:left w:val="nil"/>
              <w:bottom w:val="single" w:sz="8" w:space="0" w:color="auto"/>
              <w:right w:val="single" w:sz="8"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1</w:t>
            </w:r>
          </w:p>
        </w:tc>
        <w:tc>
          <w:tcPr>
            <w:tcW w:w="540" w:type="dxa"/>
            <w:tcBorders>
              <w:top w:val="single" w:sz="4" w:space="0" w:color="auto"/>
              <w:left w:val="nil"/>
              <w:bottom w:val="single" w:sz="8" w:space="0" w:color="auto"/>
              <w:right w:val="single" w:sz="8"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698</w:t>
            </w:r>
          </w:p>
        </w:tc>
        <w:tc>
          <w:tcPr>
            <w:tcW w:w="630" w:type="dxa"/>
            <w:tcBorders>
              <w:top w:val="single" w:sz="4" w:space="0" w:color="auto"/>
              <w:left w:val="nil"/>
              <w:bottom w:val="single" w:sz="8" w:space="0" w:color="auto"/>
              <w:right w:val="single" w:sz="8"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1.22</w:t>
            </w:r>
          </w:p>
        </w:tc>
        <w:tc>
          <w:tcPr>
            <w:tcW w:w="720" w:type="dxa"/>
            <w:tcBorders>
              <w:top w:val="single" w:sz="4" w:space="0" w:color="auto"/>
              <w:left w:val="nil"/>
              <w:bottom w:val="single" w:sz="8" w:space="0" w:color="auto"/>
              <w:right w:val="single" w:sz="8"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849.9</w:t>
            </w:r>
          </w:p>
        </w:tc>
        <w:tc>
          <w:tcPr>
            <w:tcW w:w="450" w:type="dxa"/>
            <w:tcBorders>
              <w:top w:val="single" w:sz="4" w:space="0" w:color="auto"/>
              <w:left w:val="nil"/>
              <w:bottom w:val="single" w:sz="8" w:space="0" w:color="auto"/>
              <w:right w:val="single" w:sz="4"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71</w:t>
            </w:r>
          </w:p>
        </w:tc>
        <w:tc>
          <w:tcPr>
            <w:tcW w:w="450" w:type="dxa"/>
            <w:tcBorders>
              <w:top w:val="nil"/>
              <w:left w:val="single" w:sz="8" w:space="0" w:color="auto"/>
              <w:bottom w:val="single" w:sz="8" w:space="0" w:color="auto"/>
              <w:right w:val="single" w:sz="4"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1</w:t>
            </w:r>
          </w:p>
        </w:tc>
        <w:tc>
          <w:tcPr>
            <w:tcW w:w="540"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321</w:t>
            </w:r>
          </w:p>
        </w:tc>
        <w:tc>
          <w:tcPr>
            <w:tcW w:w="450" w:type="dxa"/>
            <w:tcBorders>
              <w:top w:val="nil"/>
              <w:left w:val="single" w:sz="8" w:space="0" w:color="auto"/>
              <w:bottom w:val="single" w:sz="8" w:space="0" w:color="auto"/>
              <w:right w:val="single" w:sz="4"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0</w:t>
            </w:r>
          </w:p>
        </w:tc>
        <w:tc>
          <w:tcPr>
            <w:tcW w:w="450"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0</w:t>
            </w:r>
          </w:p>
        </w:tc>
        <w:tc>
          <w:tcPr>
            <w:tcW w:w="810" w:type="dxa"/>
            <w:tcBorders>
              <w:top w:val="single" w:sz="4" w:space="0" w:color="auto"/>
              <w:left w:val="nil"/>
              <w:bottom w:val="single" w:sz="8" w:space="0" w:color="auto"/>
              <w:right w:val="single" w:sz="8" w:space="0" w:color="auto"/>
            </w:tcBorders>
            <w:shd w:val="clear" w:color="auto" w:fill="auto"/>
            <w:vAlign w:val="bottom"/>
            <w:hideMark/>
          </w:tcPr>
          <w:p w:rsidR="006E38B9" w:rsidRPr="006E38B9" w:rsidRDefault="006E38B9" w:rsidP="006E38B9">
            <w:pPr>
              <w:rPr>
                <w:rFonts w:ascii="Calibri" w:hAnsi="Calibri" w:cs="Calibri"/>
                <w:b/>
                <w:bCs/>
                <w:color w:val="000000"/>
                <w:sz w:val="20"/>
                <w:szCs w:val="20"/>
              </w:rPr>
            </w:pPr>
            <w:r w:rsidRPr="006E38B9">
              <w:rPr>
                <w:rFonts w:ascii="Calibri" w:hAnsi="Calibri" w:cs="Calibri"/>
                <w:b/>
                <w:bCs/>
                <w:color w:val="000000"/>
                <w:sz w:val="20"/>
                <w:szCs w:val="20"/>
              </w:rPr>
              <w:t>849.9</w:t>
            </w:r>
          </w:p>
        </w:tc>
      </w:tr>
    </w:tbl>
    <w:p w:rsidR="00930061" w:rsidRDefault="00930061"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sectPr w:rsidR="00930061" w:rsidSect="00694B55">
          <w:pgSz w:w="15840" w:h="12240" w:orient="landscape"/>
          <w:pgMar w:top="1440" w:right="1440" w:bottom="1440" w:left="1440" w:header="720" w:footer="720" w:gutter="0"/>
          <w:cols w:space="720"/>
          <w:docGrid w:linePitch="360"/>
        </w:sectPr>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D87C3F">
        <w:lastRenderedPageBreak/>
        <w:t>At each site, two focus groups will be conducted with SNAP participants.  Each group is assumed to include five participants. The focus group guide is shown in Appendix B-4.  The participants will be recruited by telephone. An assumed 120 recruitment calls will be required, each taking 9 minutes (Appendix B-1).  Those who agree to participate will receive a reminder call in advance of the scheduled date, each taking 6 minutes (Appendix B-2).  The focus group</w:t>
      </w:r>
      <w:r>
        <w:t xml:space="preserve"> sessions</w:t>
      </w:r>
      <w:r w:rsidRPr="00D87C3F">
        <w:t xml:space="preserve"> will </w:t>
      </w:r>
      <w:r>
        <w:t>last 90</w:t>
      </w:r>
      <w:r w:rsidRPr="00D87C3F">
        <w:t xml:space="preserve"> minutes, </w:t>
      </w:r>
      <w:r>
        <w:t>preceded by a 5-minute</w:t>
      </w:r>
      <w:r w:rsidRPr="00D87C3F">
        <w:t xml:space="preserve"> introductory script (Appendix B-3).  All focus group attendees will complete a participant information form, requiring 3 minutes (Appendix B-5)</w:t>
      </w:r>
      <w:r>
        <w:t>, and a participant receipt form, requiring 1 minute (Appendix B-6)</w:t>
      </w:r>
      <w:r w:rsidRPr="00D87C3F">
        <w:t xml:space="preserve">.  </w:t>
      </w:r>
      <w:r>
        <w:t xml:space="preserve">The burden estimates for the introductory script and focus group guide include pre-test interviews with 3 SNAP participants. </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6C4999" w:rsidRPr="00022A83"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The total (unduplicated) number of respondents, including the pre-test, is 201.  The total number of responses is 698.   The estimated annualized hour burden is 849.95 hours.  There is no record-keeping burden associated with any of these information collection activities.</w:t>
      </w:r>
    </w:p>
    <w:p w:rsidR="006C4999" w:rsidRPr="005340E7" w:rsidRDefault="006C4999" w:rsidP="006C4999">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18"/>
          <w:szCs w:val="18"/>
        </w:rPr>
      </w:pPr>
    </w:p>
    <w:p w:rsidR="006C4999" w:rsidRPr="00916CAA" w:rsidRDefault="006C4999" w:rsidP="006C4999">
      <w:pPr>
        <w:pStyle w:val="ListParagraph"/>
      </w:pPr>
      <w:r w:rsidRPr="00916CAA">
        <w:t>Provide estimates of annualized cost to respondents for the hour burdens for collections of information, identifying and using appropriate wage rate categories</w:t>
      </w:r>
      <w:r>
        <w:t>.</w:t>
      </w:r>
    </w:p>
    <w:p w:rsidR="006C4999" w:rsidRPr="00FB21CC" w:rsidRDefault="006C4999" w:rsidP="006C4999">
      <w:pPr>
        <w:spacing w:after="240" w:line="480" w:lineRule="auto"/>
      </w:pPr>
      <w:r>
        <w:t>The two right-most columns of Exhibit A-2 show hourly wage rate and annualized cost to respondents (burden hours multiplied by the wage rate) for each data collection instrument. For SNAP administrators, and directors of CBOs, the assumed hourly wage rate ($30.43) is the mean hourly wage for “Social and Community Service Managers”, based on the most recent data (May 2011) from the Bureau of Labor Statistics (</w:t>
      </w:r>
      <w:hyperlink r:id="rId13" w:history="1">
        <w:r w:rsidRPr="00146160">
          <w:rPr>
            <w:rStyle w:val="Hyperlink"/>
          </w:rPr>
          <w:t>http://www.bls.gov/oes/current/oes119151.htm</w:t>
        </w:r>
      </w:hyperlink>
      <w:r>
        <w:t xml:space="preserve">). Workers in this occupational category (11-9151) are classified as having the following responsibilities: </w:t>
      </w:r>
      <w:r w:rsidRPr="00FB21CC">
        <w:t xml:space="preserve">“Plan, direct, or coordinate the activities of a social service program or </w:t>
      </w:r>
      <w:r w:rsidRPr="00FB21CC">
        <w:lastRenderedPageBreak/>
        <w:t>community outreach organization. Oversee the program or organization's budget and policies regarding participant involvement, program requirements, and benefits.</w:t>
      </w:r>
      <w:r w:rsidRPr="00FB21CC">
        <w:rPr>
          <w:rFonts w:ascii="Tahoma" w:hAnsi="Tahoma" w:cs="Tahoma"/>
          <w:sz w:val="20"/>
          <w:szCs w:val="20"/>
        </w:rPr>
        <w:t xml:space="preserve"> </w:t>
      </w:r>
      <w:r w:rsidRPr="00FB21CC">
        <w:t>Work may involve directing social workers, counselors, or probation officers.”</w:t>
      </w:r>
    </w:p>
    <w:p w:rsidR="006C4999" w:rsidRDefault="006C4999" w:rsidP="006C4999">
      <w:pPr>
        <w:spacing w:line="480" w:lineRule="auto"/>
      </w:pPr>
      <w:r>
        <w:t>For SNAP caseworkers the assumed hourly wage rate ($19.95) is the mean hourly wage for “Eligibility Interviewers, Government Programs”, based on the most recent data (May 2011) from the Bureau of Labor Statistics (</w:t>
      </w:r>
      <w:hyperlink r:id="rId14" w:history="1">
        <w:r w:rsidRPr="008820C4">
          <w:rPr>
            <w:rStyle w:val="Hyperlink"/>
          </w:rPr>
          <w:t>http://www.bls.gov/oes/current/oes434061.htm</w:t>
        </w:r>
      </w:hyperlink>
      <w:r>
        <w:t xml:space="preserve">).  Workers in this occupational category (43-4061) are classified as having the following </w:t>
      </w:r>
      <w:r w:rsidRPr="00FB21CC">
        <w:t>responsibilities:  “Determine eligibility of persons applying to receive assistance from government programs and agency resources, such as welfare, unemployment benefits, social security, and public housing.”</w:t>
      </w:r>
    </w:p>
    <w:p w:rsidR="006C4999" w:rsidRDefault="006C4999" w:rsidP="006C4999">
      <w:pPr>
        <w:spacing w:after="240" w:line="480" w:lineRule="auto"/>
      </w:pPr>
    </w:p>
    <w:p w:rsidR="006C4999" w:rsidRPr="00484D47" w:rsidRDefault="006C4999" w:rsidP="006C4999">
      <w:pPr>
        <w:spacing w:after="240" w:line="480" w:lineRule="auto"/>
        <w:rPr>
          <w:color w:val="333333"/>
        </w:rPr>
      </w:pPr>
      <w:r>
        <w:t>For the data staff from state agencies and research institutions the assumed wage rate ($36.54) is the mean hourly wage for “Computer Programmers”, based on the most recent data (May 2011) from the Bureau of Labor Statistics (</w:t>
      </w:r>
      <w:hyperlink r:id="rId15" w:history="1">
        <w:r w:rsidRPr="00ED35CA">
          <w:rPr>
            <w:rStyle w:val="Hyperlink"/>
          </w:rPr>
          <w:t>http://www.bls.gov/oes/current/oes151131.htm</w:t>
        </w:r>
      </w:hyperlink>
      <w:r>
        <w:t xml:space="preserve">).  Workers in this occupational category (15-1131) are classified as having the following </w:t>
      </w:r>
      <w:r w:rsidRPr="00FB21CC">
        <w:t xml:space="preserve">responsibilities: </w:t>
      </w:r>
      <w:r>
        <w:t>“</w:t>
      </w:r>
      <w:r w:rsidRPr="00484D47">
        <w:rPr>
          <w:color w:val="333333"/>
        </w:rPr>
        <w:t>Create, modify, and test the code, forms, and script that allow computer applications to run. Work from specifications drawn up by software developers or other individuals. May</w:t>
      </w:r>
      <w:r>
        <w:rPr>
          <w:color w:val="333333"/>
        </w:rPr>
        <w:t xml:space="preserve"> </w:t>
      </w:r>
      <w:r w:rsidRPr="00484D47">
        <w:rPr>
          <w:color w:val="333333"/>
        </w:rPr>
        <w:t>assist software developers by analyzing user needs and designing software solutions. May develop and write computer programs to store, locate, and retrieve specific documents, data, and information.</w:t>
      </w:r>
      <w:r>
        <w:rPr>
          <w:color w:val="333333"/>
        </w:rPr>
        <w:t>”</w:t>
      </w:r>
    </w:p>
    <w:p w:rsidR="006C4999" w:rsidRPr="00FB21CC" w:rsidRDefault="006C4999" w:rsidP="006C4999">
      <w:pPr>
        <w:spacing w:after="240" w:line="480" w:lineRule="auto"/>
      </w:pPr>
      <w:r w:rsidRPr="00FB21CC">
        <w:t xml:space="preserve">For the focus group participants, the assumed hourly wage rate ($14.40) equates to annual earnings of $29,952 for a worker employed full-time year-round.  This earnings amount corresponds to 130 percent of the 2012 federal poverty income guideline for a household of four </w:t>
      </w:r>
      <w:r w:rsidRPr="00FB21CC">
        <w:lastRenderedPageBreak/>
        <w:t xml:space="preserve">persons, the gross income standard for SNAP eligibility for a household of this size. (For reference, this assumed wage rate is somewhat less than twice the federal minimum wage of $7.25 per hour.)  </w:t>
      </w:r>
    </w:p>
    <w:p w:rsidR="006C4999" w:rsidRDefault="006C4999" w:rsidP="006C4999">
      <w:pPr>
        <w:spacing w:after="240" w:line="480" w:lineRule="auto"/>
      </w:pPr>
      <w:r w:rsidRPr="00FB21CC">
        <w:t>The estimated total annualized cost burden to respondents is $</w:t>
      </w:r>
      <w:r>
        <w:t>27,231.</w:t>
      </w:r>
      <w:r w:rsidRPr="00FB21CC">
        <w:t xml:space="preserve">  </w:t>
      </w:r>
    </w:p>
    <w:p w:rsidR="006C4999" w:rsidRDefault="006C4999" w:rsidP="006C4999">
      <w:pPr>
        <w:spacing w:after="240"/>
        <w:ind w:left="720" w:hanging="720"/>
        <w:rPr>
          <w:b/>
        </w:rPr>
      </w:pPr>
      <w:r>
        <w:rPr>
          <w:b/>
        </w:rPr>
        <w:t>13.</w:t>
      </w:r>
      <w:r>
        <w:rPr>
          <w:b/>
        </w:rPr>
        <w:tab/>
      </w:r>
      <w:r w:rsidRPr="009A3085">
        <w:rPr>
          <w:b/>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6C4999" w:rsidRPr="002E10D0" w:rsidRDefault="006C4999" w:rsidP="006C4999">
      <w:pPr>
        <w:spacing w:after="240" w:line="480" w:lineRule="auto"/>
      </w:pPr>
      <w:r w:rsidRPr="002E10D0">
        <w:t>There are no capital/start-up or ongoing operation/maintenance costs associated with this information collection.</w:t>
      </w:r>
    </w:p>
    <w:p w:rsidR="006C4999" w:rsidRPr="009A3085" w:rsidRDefault="006C4999" w:rsidP="006C4999">
      <w:pPr>
        <w:ind w:left="720" w:hanging="720"/>
        <w:rPr>
          <w:b/>
        </w:rPr>
      </w:pPr>
      <w:r w:rsidRPr="00FB21CC">
        <w:t xml:space="preserve"> </w:t>
      </w:r>
      <w:r w:rsidRPr="008B0444">
        <w:rPr>
          <w:b/>
        </w:rPr>
        <w:t>14.</w:t>
      </w:r>
      <w:r w:rsidRPr="008B0444">
        <w:rPr>
          <w:b/>
        </w:rPr>
        <w:tab/>
      </w:r>
      <w:r w:rsidRPr="009A3085">
        <w:rPr>
          <w:b/>
        </w:rPr>
        <w:t>Provide estimates of annualized cost to the Federal government</w:t>
      </w:r>
      <w:r w:rsidRPr="009A3085">
        <w:t xml:space="preserve">.  </w:t>
      </w:r>
      <w:r w:rsidRPr="009A3085">
        <w:rPr>
          <w:b/>
        </w:rPr>
        <w:t>Also, provide a description of the method used to estimate cost and any other expense that would not have been incurred without this collection of information.</w:t>
      </w:r>
    </w:p>
    <w:p w:rsidR="006C4999" w:rsidRPr="008B0444"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6C4999" w:rsidRPr="00C27D81"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916CAA">
        <w:t xml:space="preserve">The total cost to the federal government of implementing the data collection activity, including the costs of analyzing, evaluating, summarizing, and reporting on the collected information, is $780,785. This is the amount of the contract award to the Urban Institute for a 36-month period of performance (8/23/11 to 8/22/14).  </w:t>
      </w:r>
      <w:r>
        <w:t>The corresponding annualized cost is $260,262.</w:t>
      </w:r>
    </w:p>
    <w:p w:rsidR="006C4999" w:rsidRDefault="006C4999" w:rsidP="006C4999">
      <w:pPr>
        <w:pStyle w:val="Level1"/>
        <w:tabs>
          <w:tab w:val="clear" w:pos="720"/>
          <w:tab w:val="clear" w:pos="780"/>
          <w:tab w:val="left" w:pos="900"/>
        </w:tabs>
        <w:spacing w:before="120" w:after="120" w:line="480" w:lineRule="auto"/>
        <w:ind w:left="0" w:firstLine="0"/>
        <w:outlineLvl w:val="9"/>
      </w:pPr>
      <w:r>
        <w:t xml:space="preserve">In addition, Federal staff time to direct the work is estimated at roughly 50 hours per year for a GS-15 Supervisory Program Analyst ($61.28 per hour -- $3,064) and 100 hours per year for a GS-13 Social Science Research Analyst ($42.66 per hour -- $4,266) The annualized federal salary cost of the data collection is thus $7,330.  This includes: </w:t>
      </w:r>
    </w:p>
    <w:p w:rsidR="006C4999" w:rsidRPr="002E10D0" w:rsidRDefault="006C4999" w:rsidP="0067084D">
      <w:pPr>
        <w:pStyle w:val="Level1"/>
        <w:numPr>
          <w:ilvl w:val="0"/>
          <w:numId w:val="17"/>
        </w:numPr>
        <w:tabs>
          <w:tab w:val="clear" w:pos="780"/>
          <w:tab w:val="left" w:pos="900"/>
        </w:tabs>
        <w:spacing w:before="120" w:after="120" w:line="480" w:lineRule="auto"/>
        <w:outlineLvl w:val="9"/>
      </w:pPr>
      <w:r w:rsidRPr="002E10D0">
        <w:t>Employee labor and materials for collecting the information;</w:t>
      </w:r>
    </w:p>
    <w:p w:rsidR="006C4999" w:rsidRPr="002E10D0" w:rsidRDefault="006C4999" w:rsidP="0067084D">
      <w:pPr>
        <w:pStyle w:val="Level1"/>
        <w:numPr>
          <w:ilvl w:val="0"/>
          <w:numId w:val="17"/>
        </w:numPr>
        <w:tabs>
          <w:tab w:val="clear" w:pos="780"/>
          <w:tab w:val="left" w:pos="900"/>
        </w:tabs>
        <w:spacing w:before="120" w:after="120" w:line="480" w:lineRule="auto"/>
        <w:outlineLvl w:val="9"/>
      </w:pPr>
      <w:r w:rsidRPr="002E10D0">
        <w:t xml:space="preserve">Employee labor and materials for analyzing, evaluating, summarizing, and/or reporting </w:t>
      </w:r>
      <w:r w:rsidRPr="002E10D0">
        <w:lastRenderedPageBreak/>
        <w:t>on the collected information;</w:t>
      </w:r>
    </w:p>
    <w:p w:rsidR="006C4999" w:rsidRPr="002E10D0" w:rsidRDefault="006C4999" w:rsidP="0067084D">
      <w:pPr>
        <w:pStyle w:val="Level1"/>
        <w:numPr>
          <w:ilvl w:val="0"/>
          <w:numId w:val="17"/>
        </w:numPr>
        <w:tabs>
          <w:tab w:val="clear" w:pos="780"/>
          <w:tab w:val="left" w:pos="900"/>
        </w:tabs>
        <w:spacing w:before="120" w:after="120" w:line="480" w:lineRule="auto"/>
        <w:outlineLvl w:val="9"/>
      </w:pPr>
      <w:r w:rsidRPr="002E10D0">
        <w:t xml:space="preserve">Employee labor and materials for developing, printing, storing forms;  </w:t>
      </w:r>
    </w:p>
    <w:p w:rsidR="006C4999" w:rsidRPr="002E10D0" w:rsidRDefault="006C4999" w:rsidP="0067084D">
      <w:pPr>
        <w:pStyle w:val="Level1"/>
        <w:numPr>
          <w:ilvl w:val="0"/>
          <w:numId w:val="17"/>
        </w:numPr>
        <w:tabs>
          <w:tab w:val="clear" w:pos="780"/>
          <w:tab w:val="left" w:pos="900"/>
        </w:tabs>
        <w:spacing w:before="120" w:after="120" w:line="480" w:lineRule="auto"/>
        <w:outlineLvl w:val="9"/>
      </w:pPr>
      <w:r w:rsidRPr="002E10D0">
        <w:t xml:space="preserve">Employee labor and materials for developing computer systems, screens, or reports to support the collection; and </w:t>
      </w:r>
    </w:p>
    <w:p w:rsidR="006C4999" w:rsidRPr="002E10D0" w:rsidRDefault="006C4999" w:rsidP="0067084D">
      <w:pPr>
        <w:pStyle w:val="Level1"/>
        <w:numPr>
          <w:ilvl w:val="0"/>
          <w:numId w:val="17"/>
        </w:numPr>
        <w:tabs>
          <w:tab w:val="clear" w:pos="780"/>
          <w:tab w:val="left" w:pos="900"/>
        </w:tabs>
        <w:spacing w:before="120" w:after="120" w:line="480" w:lineRule="auto"/>
        <w:outlineLvl w:val="9"/>
      </w:pPr>
      <w:r w:rsidRPr="002E10D0">
        <w:t>Employee travel costs.</w:t>
      </w:r>
    </w:p>
    <w:p w:rsidR="006C4999" w:rsidRDefault="006C4999" w:rsidP="006C4999">
      <w:pPr>
        <w:pStyle w:val="Level1"/>
        <w:tabs>
          <w:tab w:val="clear" w:pos="720"/>
          <w:tab w:val="clear" w:pos="780"/>
          <w:tab w:val="left" w:pos="900"/>
        </w:tabs>
        <w:spacing w:before="120" w:after="120" w:line="480" w:lineRule="auto"/>
        <w:ind w:left="360" w:firstLine="0"/>
        <w:outlineLvl w:val="9"/>
      </w:pPr>
      <w:r w:rsidRPr="002E10D0">
        <w:t>The total annualized cost to the federal government, combining contractor costs and federal staff salary costs, is $267,592.</w:t>
      </w:r>
    </w:p>
    <w:p w:rsidR="006C4999" w:rsidRPr="002E10D0" w:rsidRDefault="006C4999" w:rsidP="006C4999">
      <w:pPr>
        <w:pStyle w:val="Level1"/>
        <w:tabs>
          <w:tab w:val="clear" w:pos="720"/>
          <w:tab w:val="clear" w:pos="780"/>
          <w:tab w:val="left" w:pos="900"/>
        </w:tabs>
        <w:spacing w:before="120" w:after="120" w:line="480" w:lineRule="auto"/>
        <w:ind w:left="360" w:firstLine="0"/>
        <w:outlineLvl w:val="9"/>
      </w:pPr>
    </w:p>
    <w:p w:rsidR="006C4999" w:rsidRPr="00C27D81" w:rsidDel="00916CAA"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C4999" w:rsidRPr="009A3085" w:rsidRDefault="006C4999" w:rsidP="006C4999">
      <w:pPr>
        <w:ind w:left="720" w:hanging="720"/>
        <w:rPr>
          <w:b/>
        </w:rPr>
      </w:pPr>
      <w:r w:rsidRPr="008B0444">
        <w:rPr>
          <w:b/>
        </w:rPr>
        <w:t xml:space="preserve">15.  </w:t>
      </w:r>
      <w:r w:rsidRPr="008B0444">
        <w:rPr>
          <w:b/>
        </w:rPr>
        <w:tab/>
      </w:r>
      <w:r w:rsidRPr="009A3085">
        <w:rPr>
          <w:b/>
        </w:rPr>
        <w:t>Explain the reasons for any program changes or adjustments reported in Items 13 or 14 of the OMB Form 83-1.</w:t>
      </w:r>
    </w:p>
    <w:p w:rsidR="006C4999" w:rsidRPr="008B0444" w:rsidRDefault="006C4999" w:rsidP="006C499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pPr>
    </w:p>
    <w:p w:rsidR="006C4999" w:rsidRPr="008B0444"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0D356D">
        <w:t xml:space="preserve">This is a new information collection effort that will add </w:t>
      </w:r>
      <w:r>
        <w:t>849.95</w:t>
      </w:r>
      <w:r w:rsidRPr="000D356D">
        <w:t xml:space="preserve"> burden hours to the OMB inventory as a result of program changes. </w:t>
      </w:r>
    </w:p>
    <w:p w:rsidR="006C4999" w:rsidRPr="009A3085" w:rsidRDefault="006C4999" w:rsidP="006C4999">
      <w:pPr>
        <w:ind w:left="720" w:hanging="720"/>
      </w:pPr>
      <w:r w:rsidRPr="008B0444">
        <w:rPr>
          <w:b/>
        </w:rPr>
        <w:t xml:space="preserve">16.  </w:t>
      </w:r>
      <w:r w:rsidRPr="008B0444">
        <w:rPr>
          <w:b/>
        </w:rPr>
        <w:tab/>
      </w:r>
      <w:r w:rsidRPr="009A3085">
        <w:rPr>
          <w:b/>
        </w:rPr>
        <w:t>For collections of information whose results are planned to be published, outline plans for tabulation and publication.</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4D12" w:rsidRDefault="00624D12" w:rsidP="00624D12">
      <w:r>
        <w:t>The calendar schedule for the data collection activities is as follows:</w:t>
      </w:r>
    </w:p>
    <w:p w:rsidR="00624D12" w:rsidRDefault="00624D12" w:rsidP="00624D12">
      <w:pPr>
        <w:ind w:left="720"/>
      </w:pPr>
    </w:p>
    <w:p w:rsidR="00624D12" w:rsidRDefault="00624D12" w:rsidP="00624D12">
      <w:pPr>
        <w:numPr>
          <w:ilvl w:val="0"/>
          <w:numId w:val="24"/>
        </w:numPr>
        <w:ind w:left="1440"/>
      </w:pPr>
      <w:r>
        <w:t>The instrument pre-test has taken place during March-April 2012.</w:t>
      </w:r>
    </w:p>
    <w:p w:rsidR="00624D12" w:rsidRDefault="00624D12" w:rsidP="00624D12">
      <w:pPr>
        <w:ind w:left="720"/>
        <w:rPr>
          <w:rFonts w:eastAsiaTheme="minorHAnsi"/>
        </w:rPr>
      </w:pPr>
    </w:p>
    <w:p w:rsidR="00624D12" w:rsidRDefault="00624D12" w:rsidP="00624D12">
      <w:pPr>
        <w:numPr>
          <w:ilvl w:val="0"/>
          <w:numId w:val="25"/>
        </w:numPr>
        <w:ind w:left="1440"/>
      </w:pPr>
      <w:r>
        <w:t xml:space="preserve">The administrative data files from the six participating states will be assembled by February 2013.  </w:t>
      </w:r>
    </w:p>
    <w:p w:rsidR="00624D12" w:rsidRDefault="00624D12" w:rsidP="00624D12">
      <w:pPr>
        <w:ind w:left="1440"/>
        <w:rPr>
          <w:rFonts w:eastAsiaTheme="minorHAnsi"/>
        </w:rPr>
      </w:pPr>
    </w:p>
    <w:p w:rsidR="00624D12" w:rsidRDefault="00624D12" w:rsidP="00624D12">
      <w:pPr>
        <w:numPr>
          <w:ilvl w:val="0"/>
          <w:numId w:val="25"/>
        </w:numPr>
        <w:ind w:left="1440"/>
      </w:pPr>
      <w:r>
        <w:t>Interviews and focus group activities will be conducted during January-May 2013, including recruitment calls, reminder calls, and the interviews and focus group sessions.</w:t>
      </w:r>
    </w:p>
    <w:p w:rsidR="00624D12" w:rsidRDefault="00624D12" w:rsidP="00624D12"/>
    <w:p w:rsidR="00624D12" w:rsidRDefault="00624D12" w:rsidP="00624D12">
      <w:pPr>
        <w:ind w:left="720"/>
        <w:rPr>
          <w:rFonts w:eastAsiaTheme="minorHAnsi"/>
        </w:rPr>
      </w:pPr>
    </w:p>
    <w:p w:rsidR="00624D12" w:rsidRDefault="00624D12" w:rsidP="00624D12">
      <w:pPr>
        <w:spacing w:line="480" w:lineRule="auto"/>
      </w:pPr>
      <w:r>
        <w:lastRenderedPageBreak/>
        <w:t>Findings from analysis of the information assembled through administrative data collection and on-site interviews and focus groups will be presented by the research contractor in a series of final deliverables, as follows:</w:t>
      </w:r>
    </w:p>
    <w:p w:rsidR="00624D12" w:rsidRDefault="00624D12" w:rsidP="00624D12">
      <w:pPr>
        <w:numPr>
          <w:ilvl w:val="0"/>
          <w:numId w:val="26"/>
        </w:numPr>
        <w:ind w:left="1440"/>
      </w:pPr>
      <w:r>
        <w:t>The draft final report will be submitted in April 2014.</w:t>
      </w:r>
    </w:p>
    <w:p w:rsidR="00624D12" w:rsidRDefault="00624D12" w:rsidP="00624D12">
      <w:pPr>
        <w:ind w:left="720"/>
        <w:rPr>
          <w:rFonts w:eastAsiaTheme="minorHAnsi"/>
        </w:rPr>
      </w:pPr>
    </w:p>
    <w:p w:rsidR="00624D12" w:rsidRDefault="00624D12" w:rsidP="00624D12">
      <w:pPr>
        <w:numPr>
          <w:ilvl w:val="0"/>
          <w:numId w:val="26"/>
        </w:numPr>
        <w:ind w:left="1440"/>
      </w:pPr>
      <w:r>
        <w:t>A briefing at FNS will be conducted in May 2014.</w:t>
      </w:r>
    </w:p>
    <w:p w:rsidR="00624D12" w:rsidRDefault="00624D12" w:rsidP="00624D12">
      <w:pPr>
        <w:ind w:left="720"/>
        <w:rPr>
          <w:rFonts w:eastAsiaTheme="minorHAnsi"/>
        </w:rPr>
      </w:pPr>
    </w:p>
    <w:p w:rsidR="00624D12" w:rsidRDefault="00624D12" w:rsidP="00624D12">
      <w:pPr>
        <w:numPr>
          <w:ilvl w:val="0"/>
          <w:numId w:val="26"/>
        </w:numPr>
        <w:ind w:left="1440"/>
      </w:pPr>
      <w:r>
        <w:t>The final report will be submitted in September 2014.</w:t>
      </w:r>
    </w:p>
    <w:p w:rsidR="00624D12" w:rsidRPr="00624D12" w:rsidRDefault="00624D12" w:rsidP="00624D12">
      <w:pPr>
        <w:ind w:left="720" w:hanging="360"/>
        <w:rPr>
          <w:rFonts w:eastAsia="Calibri"/>
        </w:rPr>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The final report will synthesize the quantitative and qualitative research.  It will </w:t>
      </w:r>
      <w:r w:rsidRPr="00D929AA">
        <w:t>include an executive summary</w:t>
      </w:r>
      <w:r>
        <w:t xml:space="preserve"> and sections devoted to study </w:t>
      </w:r>
      <w:r w:rsidRPr="00D929AA">
        <w:t xml:space="preserve">background, research questions, methods, major findings, and conclusions. </w:t>
      </w:r>
      <w:r>
        <w:t>A</w:t>
      </w:r>
      <w:r w:rsidRPr="00D929AA">
        <w:t xml:space="preserve">ppendices will </w:t>
      </w:r>
      <w:r>
        <w:t>present technical details on site selection, data collection, and data analysis.</w:t>
      </w:r>
      <w:r w:rsidRPr="00D929AA">
        <w:t xml:space="preserve"> </w:t>
      </w:r>
      <w:r>
        <w:t xml:space="preserve"> This report may be publically disseminated under the SNAP Studies series, posted online by FNS’ Office of Research and Analysis (</w:t>
      </w:r>
      <w:hyperlink r:id="rId16" w:history="1">
        <w:r w:rsidRPr="000E5DE2">
          <w:rPr>
            <w:rStyle w:val="Hyperlink"/>
          </w:rPr>
          <w:t>http://www.fns.usda.gov/Ora/menu/Published/SNAP/SNAP.htm</w:t>
        </w:r>
      </w:hyperlink>
      <w:r>
        <w:t xml:space="preserve">). </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The findings will also be presented in research briefs posted on the Urban Institute’s external website (</w:t>
      </w:r>
      <w:hyperlink r:id="rId17" w:history="1">
        <w:r w:rsidRPr="000E5DE2">
          <w:rPr>
            <w:rStyle w:val="Hyperlink"/>
          </w:rPr>
          <w:t>www.urban.org</w:t>
        </w:r>
      </w:hyperlink>
      <w:r>
        <w:t>) and will likely be submitted for publication in peer-reviewed professional journals such as the Journal of Policy Analysis and Management (</w:t>
      </w:r>
      <w:hyperlink r:id="rId18" w:history="1">
        <w:r w:rsidRPr="000E5DE2">
          <w:rPr>
            <w:rStyle w:val="Hyperlink"/>
          </w:rPr>
          <w:t>http://onlinelibrary.wiley.com/journal/10.1002/(ISSN)1520-6688)</w:t>
        </w:r>
      </w:hyperlink>
      <w:r>
        <w:t xml:space="preserve">.   </w:t>
      </w:r>
    </w:p>
    <w:p w:rsidR="006C4999" w:rsidRDefault="006C4999" w:rsidP="006C499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9A3085" w:rsidRDefault="006C4999" w:rsidP="006C4999">
      <w:pPr>
        <w:ind w:left="720" w:hanging="720"/>
      </w:pPr>
      <w:r w:rsidRPr="008B0444">
        <w:rPr>
          <w:b/>
        </w:rPr>
        <w:t>17.</w:t>
      </w:r>
      <w:r w:rsidRPr="008B0444">
        <w:rPr>
          <w:b/>
        </w:rPr>
        <w:tab/>
      </w:r>
      <w:r w:rsidRPr="009A3085">
        <w:rPr>
          <w:b/>
        </w:rPr>
        <w:t>If seeking approval to not display the expiration date for OMB approval of the information collection, explain the reasons that display would be inappropriate.</w:t>
      </w:r>
    </w:p>
    <w:p w:rsidR="006C4999" w:rsidRPr="008B0444"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8B0444"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t xml:space="preserve">The OMB expiration date will be displayed on all data collection </w:t>
      </w:r>
      <w:r>
        <w:t>materials.</w:t>
      </w: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8B0444"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C4999" w:rsidRPr="009A3085" w:rsidRDefault="006C4999" w:rsidP="006C4999">
      <w:pPr>
        <w:ind w:left="720" w:hanging="720"/>
      </w:pPr>
      <w:r w:rsidRPr="008B0444">
        <w:rPr>
          <w:b/>
        </w:rPr>
        <w:t>18.</w:t>
      </w:r>
      <w:r w:rsidRPr="008B0444">
        <w:rPr>
          <w:b/>
        </w:rPr>
        <w:tab/>
      </w:r>
      <w:r w:rsidRPr="009A3085">
        <w:rPr>
          <w:b/>
        </w:rPr>
        <w:t>Explain each exception to the certification statement identified in Item 19 "Certification for Paperwork Reduction Act."</w:t>
      </w:r>
    </w:p>
    <w:p w:rsidR="006C4999" w:rsidRPr="009A3085" w:rsidRDefault="006C4999" w:rsidP="006C4999"/>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There are no exceptions to the certification.</w:t>
      </w: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br w:type="page"/>
      </w:r>
      <w:r>
        <w:rPr>
          <w:b/>
        </w:rPr>
        <w:t>REFERENCES</w:t>
      </w: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rPr>
          <w:rStyle w:val="Hyperlink"/>
        </w:rPr>
      </w:pPr>
      <w:r w:rsidRPr="00451ADC">
        <w:t xml:space="preserve">Bartlett, Susan, Nancy Burstein, and William Hamilton, with assistance from Ryan Kling. 2004. </w:t>
      </w:r>
      <w:r w:rsidRPr="00451ADC">
        <w:rPr>
          <w:i/>
        </w:rPr>
        <w:t>Food Stamps Program Access Study, Final</w:t>
      </w:r>
      <w:r w:rsidRPr="00451ADC">
        <w:t xml:space="preserve"> </w:t>
      </w:r>
      <w:r w:rsidRPr="00451ADC">
        <w:rPr>
          <w:i/>
        </w:rPr>
        <w:t>Report</w:t>
      </w:r>
      <w:r w:rsidRPr="00451ADC">
        <w:t xml:space="preserve">. Report submitted to the United States Department of Agriculture, Economic Research Service. Bethesda, MD: Abt Associates Inc. </w:t>
      </w:r>
      <w:hyperlink r:id="rId19" w:history="1">
        <w:r w:rsidRPr="00451ADC">
          <w:rPr>
            <w:rStyle w:val="Hyperlink"/>
          </w:rPr>
          <w:t>http://www.ers.usda.gov/publications/efan03013/efan03013-3</w:t>
        </w:r>
      </w:hyperlink>
      <w:r>
        <w:rPr>
          <w:rStyle w:val="Hyperlink"/>
        </w:rPr>
        <w:t>.</w:t>
      </w:r>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rPr>
          <w:rStyle w:val="Hyperlink"/>
        </w:rPr>
      </w:pPr>
      <w:r>
        <w:t>C</w:t>
      </w:r>
      <w:r w:rsidRPr="00451ADC">
        <w:t xml:space="preserve">ancian, Maria. 2010. “Building an Integrated Data System to Support the Management and Evaluation of Services for TANF-Eligible Families in Wisconsin.” Paper presented at the </w:t>
      </w:r>
      <w:r w:rsidRPr="00451ADC">
        <w:rPr>
          <w:color w:val="000000"/>
        </w:rPr>
        <w:t>National Association of Welfare Research and Statistics</w:t>
      </w:r>
      <w:r w:rsidRPr="00451ADC">
        <w:t xml:space="preserve"> (NAWRS) Conference, Los Angeles, September 26-28. </w:t>
      </w:r>
      <w:hyperlink r:id="rId20" w:history="1">
        <w:r w:rsidRPr="00451ADC">
          <w:rPr>
            <w:rStyle w:val="Hyperlink"/>
          </w:rPr>
          <w:t>http://www.nawrs.org/LA2010/Papers/m2c3.pdf</w:t>
        </w:r>
      </w:hyperlink>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rPr>
          <w:rStyle w:val="Hyperlink"/>
        </w:rPr>
      </w:pPr>
      <w:r w:rsidRPr="00451ADC">
        <w:t xml:space="preserve">Cody, Scott, Laura Castner, James Mabli, and Julie Sykes. 2007. </w:t>
      </w:r>
      <w:r w:rsidRPr="00451ADC">
        <w:rPr>
          <w:i/>
        </w:rPr>
        <w:t xml:space="preserve">Dynamics of Food Stamp Program Participation, 2001-2003. </w:t>
      </w:r>
      <w:r w:rsidRPr="00451ADC">
        <w:t xml:space="preserve">Report submitted to the United States Department of Agriculture, Food and Nutrition Service. Washington, D.C. Mathematica Policy Research, Inc. </w:t>
      </w:r>
      <w:hyperlink r:id="rId21" w:history="1">
        <w:r w:rsidRPr="00451ADC">
          <w:rPr>
            <w:rStyle w:val="Hyperlink"/>
          </w:rPr>
          <w:t>http://www.fns.usda.gov/ora/MENU/Published/snap/FILES/Participation/Dynamics2001-2003.pdf</w:t>
        </w:r>
      </w:hyperlink>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rPr>
          <w:rStyle w:val="Hyperlink"/>
        </w:rPr>
      </w:pPr>
      <w:r w:rsidRPr="00451ADC">
        <w:t xml:space="preserve">Cole, Nancy. 2003. </w:t>
      </w:r>
      <w:r w:rsidRPr="00451ADC">
        <w:rPr>
          <w:i/>
        </w:rPr>
        <w:t>Feasibility and Accuracy of Record Linkage to Estimate Multiple Program Participation: Volume I, Record Linkage Issues and Results of the Survey of Food Assistance Information Systems</w:t>
      </w:r>
      <w:r w:rsidRPr="00451ADC">
        <w:t xml:space="preserve">. Report submitted to the United States Department of Agriculture, Economic Research Service. Bethesda, MD: Abt Associates Inc. </w:t>
      </w:r>
      <w:hyperlink r:id="rId22" w:history="1">
        <w:r w:rsidRPr="00451ADC">
          <w:rPr>
            <w:rStyle w:val="Hyperlink"/>
          </w:rPr>
          <w:t>http://www.ers.usda.gov/publications/efan03008/efan03008-1/efan03008-1.pdf</w:t>
        </w:r>
      </w:hyperlink>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rPr>
          <w:rStyle w:val="Hyperlink"/>
        </w:rPr>
      </w:pPr>
      <w:r w:rsidRPr="00451ADC">
        <w:t xml:space="preserve">Food and Nutrition Services. 2010. “Supplemental Nutrition Assistance Program: State Options Report.” </w:t>
      </w:r>
      <w:hyperlink r:id="rId23" w:history="1">
        <w:r w:rsidRPr="00451ADC">
          <w:rPr>
            <w:rStyle w:val="Hyperlink"/>
          </w:rPr>
          <w:t>http://www.fns.usda.gov/snap/rules/Memo/Support/State_Options/9-State_Options.pdf</w:t>
        </w:r>
      </w:hyperlink>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rPr>
          <w:rStyle w:val="Hyperlink"/>
        </w:rPr>
      </w:pPr>
      <w:r w:rsidRPr="00451ADC">
        <w:t xml:space="preserve">Kirlin, John A. and Michael Wiseman.  2010. “Joint Contributions of SNAP and Unemployment Insurance to the Social Safety Net:  A Data Linkage Project.” Paper presented at the Association for Public Data Users (APDU) Annual Conference, Washington, DC, September 20-21, 2010.  </w:t>
      </w:r>
      <w:hyperlink r:id="rId24" w:history="1">
        <w:r w:rsidRPr="00451ADC">
          <w:rPr>
            <w:rStyle w:val="Hyperlink"/>
          </w:rPr>
          <w:t>www.apdu.org/conference/2010/Kirlin_SNAP-UI_APDU0921.ppt</w:t>
        </w:r>
      </w:hyperlink>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rPr>
          <w:rStyle w:val="Hyperlink"/>
        </w:rPr>
      </w:pPr>
      <w:r w:rsidRPr="00E662F6">
        <w:rPr>
          <w:rStyle w:val="Hyperlink"/>
          <w:color w:val="auto"/>
          <w:u w:val="none"/>
        </w:rPr>
        <w:t xml:space="preserve">Mills, Gregory, Jessica F. Compton and Olivia Golden.  2011. </w:t>
      </w:r>
      <w:r w:rsidRPr="00E662F6">
        <w:rPr>
          <w:rStyle w:val="Hyperlink"/>
          <w:i/>
          <w:color w:val="auto"/>
          <w:u w:val="none"/>
        </w:rPr>
        <w:t>Assessing the Evidence about Work Support Benefits and Low-Income Families.  Rationale for a Demonstration and Evaluation.</w:t>
      </w:r>
      <w:r w:rsidRPr="00E662F6">
        <w:rPr>
          <w:rStyle w:val="Hyperlink"/>
          <w:color w:val="auto"/>
          <w:u w:val="none"/>
        </w:rPr>
        <w:t xml:space="preserve">  </w:t>
      </w:r>
      <w:r w:rsidRPr="00E662F6">
        <w:t xml:space="preserve">Washington, DC: The Urban Institute. </w:t>
      </w:r>
      <w:hyperlink r:id="rId25" w:history="1">
        <w:r w:rsidRPr="00451ADC">
          <w:rPr>
            <w:rStyle w:val="Hyperlink"/>
          </w:rPr>
          <w:t>http://www.urban.org/publications/412303.html</w:t>
        </w:r>
      </w:hyperlink>
    </w:p>
    <w:p w:rsidR="006C4999"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rPr>
          <w:rStyle w:val="Hyperlink"/>
        </w:rPr>
      </w:pPr>
      <w:r w:rsidRPr="00451ADC">
        <w:t xml:space="preserve">National Center for Benefits Outreach and Enrollment. 2010. </w:t>
      </w:r>
      <w:r w:rsidRPr="00451ADC">
        <w:rPr>
          <w:i/>
        </w:rPr>
        <w:t>Deputizing Community-Based Organizations</w:t>
      </w:r>
      <w:r w:rsidRPr="00451ADC">
        <w:t>. Washington, DC: National Center for Benefits and Outreach Enrollment.</w:t>
      </w:r>
      <w:r>
        <w:t xml:space="preserve"> </w:t>
      </w:r>
      <w:hyperlink r:id="rId26" w:history="1">
        <w:r w:rsidRPr="00451ADC">
          <w:rPr>
            <w:rStyle w:val="Hyperlink"/>
          </w:rPr>
          <w:t>http://www.centerforbenefits.org/NCBOEIssueBrief(Deputization).pdf</w:t>
        </w:r>
      </w:hyperlink>
    </w:p>
    <w:p w:rsidR="006C4999" w:rsidRPr="00451ADC" w:rsidRDefault="006C4999" w:rsidP="006C49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pPr>
      <w:r w:rsidRPr="00451ADC">
        <w:t xml:space="preserve">Rangarajan, Anu and Philip M. Gleason. 2001. “Food Stamp Leavers in Illinois: How Are They Doing Two Years Later?” Princeton, NJ: Mathematica Policy Research, Inc.  </w:t>
      </w:r>
      <w:hyperlink r:id="rId27" w:history="1">
        <w:r w:rsidRPr="00451ADC">
          <w:rPr>
            <w:rStyle w:val="Hyperlink"/>
          </w:rPr>
          <w:t>http://www.mathematica-mpr.com/PDFs/foodstampleave.pdf</w:t>
        </w:r>
      </w:hyperlink>
    </w:p>
    <w:p w:rsidR="006C4999" w:rsidRPr="00451ADC" w:rsidRDefault="006C4999" w:rsidP="006C4999">
      <w:pPr>
        <w:pStyle w:val="NoSpacing"/>
        <w:keepNext/>
        <w:ind w:left="720" w:hanging="720"/>
        <w:rPr>
          <w:rFonts w:ascii="Times New Roman" w:hAnsi="Times New Roman"/>
          <w:sz w:val="24"/>
          <w:szCs w:val="24"/>
        </w:rPr>
      </w:pPr>
      <w:r w:rsidRPr="00451ADC">
        <w:rPr>
          <w:rFonts w:ascii="Times New Roman" w:hAnsi="Times New Roman"/>
          <w:sz w:val="24"/>
          <w:szCs w:val="24"/>
        </w:rPr>
        <w:t xml:space="preserve">Ribar, David and Christopher A. Swann. 2011. “Applying for and Staying on the Supplemental Nutrition Assistance Program in South Carolina.” Greensboro, NC: University of North Carolina-Greensboro. </w:t>
      </w:r>
      <w:hyperlink r:id="rId28" w:history="1">
        <w:r w:rsidRPr="00451ADC">
          <w:rPr>
            <w:rStyle w:val="Hyperlink"/>
            <w:rFonts w:ascii="Times New Roman" w:hAnsi="Times New Roman"/>
            <w:sz w:val="24"/>
            <w:szCs w:val="24"/>
          </w:rPr>
          <w:t>http://ddr.nal.usda.gov/bitstream/10113/47445/1/CAT31077457.pdf</w:t>
        </w:r>
      </w:hyperlink>
    </w:p>
    <w:p w:rsidR="006C4999" w:rsidRPr="00451ADC" w:rsidRDefault="006C4999" w:rsidP="006C4999">
      <w:pPr>
        <w:pStyle w:val="NoSpacing"/>
        <w:keepNext/>
        <w:ind w:left="720" w:hanging="720"/>
        <w:rPr>
          <w:rFonts w:ascii="Times New Roman" w:hAnsi="Times New Roman"/>
          <w:sz w:val="24"/>
          <w:szCs w:val="24"/>
        </w:rPr>
      </w:pPr>
    </w:p>
    <w:p w:rsidR="006C4999" w:rsidRPr="00451ADC" w:rsidRDefault="006C4999" w:rsidP="006C4999">
      <w:pPr>
        <w:pStyle w:val="NoSpacing"/>
        <w:keepNext/>
        <w:ind w:left="720" w:hanging="720"/>
        <w:rPr>
          <w:rFonts w:ascii="Times New Roman" w:hAnsi="Times New Roman"/>
          <w:sz w:val="24"/>
          <w:szCs w:val="24"/>
        </w:rPr>
      </w:pPr>
      <w:r w:rsidRPr="00451ADC">
        <w:rPr>
          <w:rFonts w:ascii="Times New Roman" w:hAnsi="Times New Roman"/>
          <w:sz w:val="24"/>
          <w:szCs w:val="24"/>
        </w:rPr>
        <w:t xml:space="preserve">Ribar, David C., Marilyn Edelhoch, and Qiduan Liu. 2006.  </w:t>
      </w:r>
      <w:r w:rsidRPr="00451ADC">
        <w:rPr>
          <w:rFonts w:ascii="Times New Roman" w:hAnsi="Times New Roman"/>
          <w:i/>
          <w:sz w:val="24"/>
          <w:szCs w:val="24"/>
        </w:rPr>
        <w:t xml:space="preserve">Well-Being Outcomes Among Food Stamp Leavers.  </w:t>
      </w:r>
      <w:r w:rsidRPr="00451ADC">
        <w:rPr>
          <w:rFonts w:ascii="Times New Roman" w:hAnsi="Times New Roman"/>
          <w:sz w:val="24"/>
          <w:szCs w:val="24"/>
        </w:rPr>
        <w:t>Report submitted to the United States Department of Agriculture, Economic Research Service. Washington, DC: The George Washington University and the South Carolina Department of Social Services.</w:t>
      </w:r>
      <w:r w:rsidRPr="00451ADC">
        <w:rPr>
          <w:rFonts w:ascii="Times New Roman" w:hAnsi="Times New Roman"/>
          <w:i/>
          <w:sz w:val="24"/>
          <w:szCs w:val="24"/>
        </w:rPr>
        <w:t xml:space="preserve"> </w:t>
      </w:r>
      <w:hyperlink r:id="rId29" w:history="1">
        <w:r w:rsidRPr="00451ADC">
          <w:rPr>
            <w:rStyle w:val="Hyperlink"/>
            <w:rFonts w:ascii="Times New Roman" w:hAnsi="Times New Roman"/>
            <w:sz w:val="24"/>
            <w:szCs w:val="24"/>
          </w:rPr>
          <w:t>http://ddr.nal.usda.gov/dspace/bitstream/10113/32798/1/CAT31012188.pdf</w:t>
        </w:r>
      </w:hyperlink>
    </w:p>
    <w:p w:rsidR="006C4999" w:rsidRPr="00451ADC" w:rsidRDefault="006C4999" w:rsidP="006C4999">
      <w:pPr>
        <w:pStyle w:val="NoSpacing"/>
        <w:keepNext/>
        <w:rPr>
          <w:rFonts w:ascii="Times New Roman" w:hAnsi="Times New Roman"/>
          <w:sz w:val="24"/>
          <w:szCs w:val="24"/>
        </w:rPr>
      </w:pPr>
    </w:p>
    <w:p w:rsidR="006C4999" w:rsidRPr="00451ADC" w:rsidRDefault="006C4999" w:rsidP="006C4999">
      <w:pPr>
        <w:keepNext/>
        <w:autoSpaceDE w:val="0"/>
        <w:autoSpaceDN w:val="0"/>
        <w:adjustRightInd w:val="0"/>
        <w:ind w:left="720" w:hanging="720"/>
      </w:pPr>
      <w:r w:rsidRPr="00451ADC">
        <w:t xml:space="preserve">Richburg-Hayes, Lashawn and Isaac Kwakye. 2005. </w:t>
      </w:r>
      <w:r w:rsidRPr="00451ADC">
        <w:rPr>
          <w:bCs/>
        </w:rPr>
        <w:t xml:space="preserve">Food Stamp Caseload Dynamics: A Study in Four Big Cities: A Technical Report.”  </w:t>
      </w:r>
      <w:r w:rsidRPr="00451ADC">
        <w:t xml:space="preserve">New York, NY: MDRC.  </w:t>
      </w:r>
      <w:hyperlink r:id="rId30" w:history="1">
        <w:r w:rsidRPr="00451ADC">
          <w:rPr>
            <w:rStyle w:val="Hyperlink"/>
          </w:rPr>
          <w:t>http://www.mdrc.org/publications/420/full.pdf</w:t>
        </w:r>
      </w:hyperlink>
    </w:p>
    <w:p w:rsidR="006C4999" w:rsidRPr="00451ADC" w:rsidRDefault="006C4999" w:rsidP="006C4999">
      <w:pPr>
        <w:keepNext/>
        <w:autoSpaceDE w:val="0"/>
        <w:autoSpaceDN w:val="0"/>
        <w:adjustRightInd w:val="0"/>
        <w:ind w:left="720" w:hanging="720"/>
      </w:pPr>
    </w:p>
    <w:p w:rsidR="006C4999" w:rsidRPr="00451ADC" w:rsidRDefault="006C4999" w:rsidP="006C4999">
      <w:pPr>
        <w:keepNext/>
        <w:autoSpaceDE w:val="0"/>
        <w:autoSpaceDN w:val="0"/>
        <w:adjustRightInd w:val="0"/>
        <w:ind w:left="720" w:hanging="720"/>
      </w:pPr>
      <w:r w:rsidRPr="00451ADC">
        <w:t xml:space="preserve">Rosenbaum, Dottie and Stacy Dean.  2011. “Improving the Delivery of Key Work Supports: Policy &amp; Practice Opportunities at a Critical Moment.”  Washington, DC: The Center on Budget and Policy Priorities.  </w:t>
      </w:r>
      <w:hyperlink r:id="rId31" w:history="1">
        <w:r w:rsidRPr="00451ADC">
          <w:rPr>
            <w:rStyle w:val="Hyperlink"/>
          </w:rPr>
          <w:t>http://www.cbpp.org/files/2-24-11fa.pdf</w:t>
        </w:r>
      </w:hyperlink>
    </w:p>
    <w:p w:rsidR="006C4999" w:rsidRPr="00451ADC" w:rsidRDefault="006C4999" w:rsidP="006C4999">
      <w:pPr>
        <w:pStyle w:val="NoSpacing"/>
        <w:keepNext/>
        <w:rPr>
          <w:rFonts w:ascii="Times New Roman" w:hAnsi="Times New Roman"/>
          <w:sz w:val="24"/>
          <w:szCs w:val="24"/>
        </w:rPr>
      </w:pPr>
    </w:p>
    <w:p w:rsidR="006C4999" w:rsidRPr="00451ADC" w:rsidRDefault="006C4999" w:rsidP="006C4999">
      <w:pPr>
        <w:pStyle w:val="NoSpacing"/>
        <w:keepNext/>
        <w:rPr>
          <w:rFonts w:ascii="Times New Roman" w:hAnsi="Times New Roman"/>
          <w:sz w:val="24"/>
          <w:szCs w:val="24"/>
        </w:rPr>
      </w:pPr>
      <w:r w:rsidRPr="00451ADC">
        <w:rPr>
          <w:rFonts w:ascii="Times New Roman" w:hAnsi="Times New Roman"/>
          <w:sz w:val="24"/>
          <w:szCs w:val="24"/>
        </w:rPr>
        <w:t>Rowe, Gretchen, Sam Hall,</w:t>
      </w:r>
      <w:r w:rsidRPr="00451ADC">
        <w:rPr>
          <w:rFonts w:ascii="Times New Roman" w:hAnsi="Times New Roman"/>
          <w:i/>
          <w:iCs/>
          <w:sz w:val="24"/>
          <w:szCs w:val="24"/>
        </w:rPr>
        <w:t xml:space="preserve"> </w:t>
      </w:r>
      <w:r w:rsidRPr="00451ADC">
        <w:rPr>
          <w:rFonts w:ascii="Times New Roman" w:hAnsi="Times New Roman"/>
          <w:sz w:val="24"/>
          <w:szCs w:val="24"/>
        </w:rPr>
        <w:t>Carolyn O’Brien, Nancy Pindus, and Robin Koralek. 2010.</w:t>
      </w:r>
    </w:p>
    <w:p w:rsidR="006C4999" w:rsidRPr="00451ADC" w:rsidRDefault="006C4999" w:rsidP="006C4999">
      <w:pPr>
        <w:pStyle w:val="NoSpacing"/>
        <w:keepNext/>
        <w:ind w:left="720"/>
        <w:rPr>
          <w:rFonts w:ascii="Times New Roman" w:hAnsi="Times New Roman"/>
          <w:sz w:val="24"/>
          <w:szCs w:val="24"/>
        </w:rPr>
      </w:pPr>
      <w:r w:rsidRPr="00451ADC">
        <w:rPr>
          <w:rFonts w:ascii="Times New Roman" w:hAnsi="Times New Roman"/>
          <w:i/>
          <w:iCs/>
          <w:sz w:val="24"/>
          <w:szCs w:val="24"/>
        </w:rPr>
        <w:t>Enhancing Supplemental Nutrition Assistance Program (SNAP) Certification: SNAP Modernization Efforts: Interim Report - Volume 1</w:t>
      </w:r>
      <w:r w:rsidRPr="00451ADC">
        <w:rPr>
          <w:rFonts w:ascii="Times New Roman" w:hAnsi="Times New Roman"/>
          <w:sz w:val="24"/>
          <w:szCs w:val="24"/>
        </w:rPr>
        <w:t xml:space="preserve">.  Report submitted to the United States Department of Agriculture, Food and Nutrition Service. Washington, DC: The Urban Institute. </w:t>
      </w:r>
      <w:hyperlink r:id="rId32" w:history="1">
        <w:r w:rsidRPr="00451ADC">
          <w:rPr>
            <w:rStyle w:val="Hyperlink"/>
            <w:rFonts w:ascii="Times New Roman" w:hAnsi="Times New Roman"/>
            <w:sz w:val="24"/>
            <w:szCs w:val="24"/>
          </w:rPr>
          <w:t>http://www.urban.org/publications/1001378.html</w:t>
        </w:r>
      </w:hyperlink>
    </w:p>
    <w:p w:rsidR="006C4999" w:rsidRPr="00451ADC" w:rsidRDefault="006C4999" w:rsidP="006C4999">
      <w:pPr>
        <w:pStyle w:val="NoSpacing"/>
        <w:keepNext/>
        <w:rPr>
          <w:rFonts w:ascii="Times New Roman" w:hAnsi="Times New Roman"/>
          <w:sz w:val="24"/>
          <w:szCs w:val="24"/>
        </w:rPr>
      </w:pPr>
    </w:p>
    <w:p w:rsidR="006C4999" w:rsidRDefault="006C4999" w:rsidP="006C4999">
      <w:pPr>
        <w:pStyle w:val="FootnoteText"/>
        <w:ind w:left="720" w:hanging="720"/>
      </w:pPr>
      <w:r>
        <w:t xml:space="preserve">Singer, Eleanor (2002). “The Use of Incentives to Reduce Nonresponse in Household Surveys.” In </w:t>
      </w:r>
      <w:r>
        <w:rPr>
          <w:i/>
        </w:rPr>
        <w:t>Survey Nonresponse,</w:t>
      </w:r>
      <w:r>
        <w:t xml:space="preserve"> eds. Robert M. Groves, Dan A. Dillmon, John L. Eltinge, and Roderick J.A. Little. p. 163-77.</w:t>
      </w:r>
    </w:p>
    <w:p w:rsidR="006C4999" w:rsidRPr="00451ADC" w:rsidRDefault="006C4999" w:rsidP="006C4999">
      <w:pPr>
        <w:pStyle w:val="NoSpacing"/>
        <w:keepNext/>
        <w:rPr>
          <w:rFonts w:ascii="Times New Roman" w:hAnsi="Times New Roman"/>
          <w:sz w:val="24"/>
          <w:szCs w:val="24"/>
        </w:rPr>
      </w:pPr>
    </w:p>
    <w:p w:rsidR="006C4999" w:rsidRPr="00451ADC" w:rsidRDefault="006C4999" w:rsidP="006C4999">
      <w:pPr>
        <w:pStyle w:val="NoSpacing"/>
        <w:keepNext/>
        <w:rPr>
          <w:rFonts w:ascii="Times New Roman" w:hAnsi="Times New Roman"/>
          <w:sz w:val="24"/>
          <w:szCs w:val="24"/>
        </w:rPr>
      </w:pPr>
      <w:r w:rsidRPr="00451ADC">
        <w:rPr>
          <w:rFonts w:ascii="Times New Roman" w:hAnsi="Times New Roman"/>
          <w:sz w:val="24"/>
          <w:szCs w:val="24"/>
        </w:rPr>
        <w:t xml:space="preserve">Washington State Department of Social and Health Services.  2011. “Questions Answered </w:t>
      </w:r>
    </w:p>
    <w:p w:rsidR="006C4999" w:rsidRPr="00451ADC" w:rsidRDefault="006C4999" w:rsidP="006C4999">
      <w:pPr>
        <w:pStyle w:val="NoSpacing"/>
        <w:keepNext/>
        <w:ind w:left="720"/>
        <w:rPr>
          <w:rStyle w:val="Hyperlink"/>
          <w:rFonts w:ascii="Times New Roman" w:hAnsi="Times New Roman"/>
          <w:sz w:val="24"/>
          <w:szCs w:val="24"/>
        </w:rPr>
      </w:pPr>
      <w:r w:rsidRPr="00451ADC">
        <w:rPr>
          <w:rFonts w:ascii="Times New Roman" w:hAnsi="Times New Roman"/>
          <w:sz w:val="24"/>
          <w:szCs w:val="24"/>
        </w:rPr>
        <w:t xml:space="preserve">about DSHS Client Data.” </w:t>
      </w:r>
      <w:hyperlink r:id="rId33" w:history="1">
        <w:r w:rsidRPr="00451ADC">
          <w:rPr>
            <w:rStyle w:val="Hyperlink"/>
            <w:rFonts w:ascii="Times New Roman" w:hAnsi="Times New Roman"/>
            <w:sz w:val="24"/>
            <w:szCs w:val="24"/>
          </w:rPr>
          <w:t>http://www.dshs.wa.gov/pdf/ms/rda/clientdata/doc/faq.pdf</w:t>
        </w:r>
      </w:hyperlink>
    </w:p>
    <w:p w:rsidR="003A01DB" w:rsidRDefault="003A01DB"/>
    <w:sectPr w:rsidR="003A01DB" w:rsidSect="00694B5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DC2" w:rsidRDefault="003C3DC2" w:rsidP="006C4999">
      <w:r>
        <w:separator/>
      </w:r>
    </w:p>
  </w:endnote>
  <w:endnote w:type="continuationSeparator" w:id="0">
    <w:p w:rsidR="003C3DC2" w:rsidRDefault="003C3DC2" w:rsidP="006C49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00" w:rsidRDefault="00E65DB6" w:rsidP="005D6FEB">
    <w:pPr>
      <w:pStyle w:val="Footer"/>
      <w:framePr w:wrap="around" w:vAnchor="text" w:hAnchor="margin" w:xAlign="right" w:y="1"/>
      <w:rPr>
        <w:rStyle w:val="PageNumber"/>
      </w:rPr>
    </w:pPr>
    <w:r>
      <w:rPr>
        <w:rStyle w:val="PageNumber"/>
      </w:rPr>
      <w:fldChar w:fldCharType="begin"/>
    </w:r>
    <w:r w:rsidR="003D3F00">
      <w:rPr>
        <w:rStyle w:val="PageNumber"/>
      </w:rPr>
      <w:instrText xml:space="preserve">PAGE  </w:instrText>
    </w:r>
    <w:r>
      <w:rPr>
        <w:rStyle w:val="PageNumber"/>
      </w:rPr>
      <w:fldChar w:fldCharType="end"/>
    </w:r>
  </w:p>
  <w:p w:rsidR="003D3F00" w:rsidRDefault="003D3F00" w:rsidP="005D6F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7322"/>
      <w:docPartObj>
        <w:docPartGallery w:val="Page Numbers (Bottom of Page)"/>
        <w:docPartUnique/>
      </w:docPartObj>
    </w:sdtPr>
    <w:sdtContent>
      <w:p w:rsidR="003D3F00" w:rsidRDefault="00E65DB6">
        <w:pPr>
          <w:pStyle w:val="Footer"/>
          <w:jc w:val="center"/>
        </w:pPr>
        <w:fldSimple w:instr=" PAGE   \* MERGEFORMAT ">
          <w:r w:rsidR="00E40418">
            <w:rPr>
              <w:noProof/>
            </w:rPr>
            <w:t>24</w:t>
          </w:r>
        </w:fldSimple>
      </w:p>
    </w:sdtContent>
  </w:sdt>
  <w:p w:rsidR="003D3F00" w:rsidRPr="00BB4559" w:rsidRDefault="003D3F00" w:rsidP="005D6F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DC2" w:rsidRDefault="003C3DC2" w:rsidP="006C4999">
      <w:r>
        <w:separator/>
      </w:r>
    </w:p>
  </w:footnote>
  <w:footnote w:type="continuationSeparator" w:id="0">
    <w:p w:rsidR="003C3DC2" w:rsidRDefault="003C3DC2" w:rsidP="006C4999">
      <w:r>
        <w:continuationSeparator/>
      </w:r>
    </w:p>
  </w:footnote>
  <w:footnote w:id="1">
    <w:p w:rsidR="003D3F00" w:rsidRPr="00E45ED0" w:rsidRDefault="003D3F00" w:rsidP="006C4999">
      <w:pPr>
        <w:pStyle w:val="FootnoteText"/>
        <w:rPr>
          <w:sz w:val="20"/>
          <w:szCs w:val="20"/>
        </w:rPr>
      </w:pPr>
      <w:r>
        <w:rPr>
          <w:rStyle w:val="FootnoteReference"/>
        </w:rPr>
        <w:footnoteRef/>
      </w:r>
      <w:r>
        <w:t xml:space="preserve"> </w:t>
      </w:r>
      <w:r w:rsidRPr="00E45ED0">
        <w:rPr>
          <w:sz w:val="20"/>
          <w:szCs w:val="20"/>
        </w:rPr>
        <w:t>Other complex situations may arise where benefit issuance to a household is delayed upon approval of its recertification, due to delays in the agency acting on the case’s expiring certification period.  This would not be counted as churn, even though there is arguably a loss of benefits, as the household could not access its benefits for some number of days or weeks.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00" w:rsidRDefault="003D3F00">
    <w:pPr>
      <w:pStyle w:val="Header"/>
      <w:jc w:val="center"/>
    </w:pPr>
  </w:p>
  <w:p w:rsidR="003D3F00" w:rsidRDefault="003D3F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0461F0C"/>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16F2F86"/>
    <w:multiLevelType w:val="hybridMultilevel"/>
    <w:tmpl w:val="DE9CA374"/>
    <w:lvl w:ilvl="0" w:tplc="016C0252">
      <w:start w:val="1"/>
      <w:numFmt w:val="decimal"/>
      <w:pStyle w:val="Question"/>
      <w:lvlText w:val="%1."/>
      <w:lvlJc w:val="left"/>
      <w:pPr>
        <w:tabs>
          <w:tab w:val="num" w:pos="720"/>
        </w:tabs>
        <w:ind w:left="720" w:hanging="360"/>
      </w:pPr>
    </w:lvl>
    <w:lvl w:ilvl="1" w:tplc="4BC2B27A" w:tentative="1">
      <w:start w:val="1"/>
      <w:numFmt w:val="lowerLetter"/>
      <w:lvlText w:val="%2."/>
      <w:lvlJc w:val="left"/>
      <w:pPr>
        <w:tabs>
          <w:tab w:val="num" w:pos="1440"/>
        </w:tabs>
        <w:ind w:left="1440" w:hanging="360"/>
      </w:pPr>
    </w:lvl>
    <w:lvl w:ilvl="2" w:tplc="85BC16D4" w:tentative="1">
      <w:start w:val="1"/>
      <w:numFmt w:val="lowerRoman"/>
      <w:lvlText w:val="%3."/>
      <w:lvlJc w:val="right"/>
      <w:pPr>
        <w:tabs>
          <w:tab w:val="num" w:pos="2160"/>
        </w:tabs>
        <w:ind w:left="2160" w:hanging="180"/>
      </w:pPr>
    </w:lvl>
    <w:lvl w:ilvl="3" w:tplc="04AEE28A" w:tentative="1">
      <w:start w:val="1"/>
      <w:numFmt w:val="decimal"/>
      <w:lvlText w:val="%4."/>
      <w:lvlJc w:val="left"/>
      <w:pPr>
        <w:tabs>
          <w:tab w:val="num" w:pos="2880"/>
        </w:tabs>
        <w:ind w:left="2880" w:hanging="360"/>
      </w:pPr>
    </w:lvl>
    <w:lvl w:ilvl="4" w:tplc="622464F2" w:tentative="1">
      <w:start w:val="1"/>
      <w:numFmt w:val="lowerLetter"/>
      <w:lvlText w:val="%5."/>
      <w:lvlJc w:val="left"/>
      <w:pPr>
        <w:tabs>
          <w:tab w:val="num" w:pos="3600"/>
        </w:tabs>
        <w:ind w:left="3600" w:hanging="360"/>
      </w:pPr>
    </w:lvl>
    <w:lvl w:ilvl="5" w:tplc="35961B9A" w:tentative="1">
      <w:start w:val="1"/>
      <w:numFmt w:val="lowerRoman"/>
      <w:lvlText w:val="%6."/>
      <w:lvlJc w:val="right"/>
      <w:pPr>
        <w:tabs>
          <w:tab w:val="num" w:pos="4320"/>
        </w:tabs>
        <w:ind w:left="4320" w:hanging="180"/>
      </w:pPr>
    </w:lvl>
    <w:lvl w:ilvl="6" w:tplc="54580516" w:tentative="1">
      <w:start w:val="1"/>
      <w:numFmt w:val="decimal"/>
      <w:lvlText w:val="%7."/>
      <w:lvlJc w:val="left"/>
      <w:pPr>
        <w:tabs>
          <w:tab w:val="num" w:pos="5040"/>
        </w:tabs>
        <w:ind w:left="5040" w:hanging="360"/>
      </w:pPr>
    </w:lvl>
    <w:lvl w:ilvl="7" w:tplc="58E6CB46" w:tentative="1">
      <w:start w:val="1"/>
      <w:numFmt w:val="lowerLetter"/>
      <w:lvlText w:val="%8."/>
      <w:lvlJc w:val="left"/>
      <w:pPr>
        <w:tabs>
          <w:tab w:val="num" w:pos="5760"/>
        </w:tabs>
        <w:ind w:left="5760" w:hanging="360"/>
      </w:pPr>
    </w:lvl>
    <w:lvl w:ilvl="8" w:tplc="E3D6440C" w:tentative="1">
      <w:start w:val="1"/>
      <w:numFmt w:val="lowerRoman"/>
      <w:lvlText w:val="%9."/>
      <w:lvlJc w:val="right"/>
      <w:pPr>
        <w:tabs>
          <w:tab w:val="num" w:pos="6480"/>
        </w:tabs>
        <w:ind w:left="6480" w:hanging="180"/>
      </w:pPr>
    </w:lvl>
  </w:abstractNum>
  <w:abstractNum w:abstractNumId="2">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3">
    <w:nsid w:val="1E317FD3"/>
    <w:multiLevelType w:val="hybridMultilevel"/>
    <w:tmpl w:val="D8A48E9C"/>
    <w:lvl w:ilvl="0" w:tplc="0409000F">
      <w:start w:val="1"/>
      <w:numFmt w:val="bullet"/>
      <w:pStyle w:val="Bulleted"/>
      <w:lvlText w:val=""/>
      <w:lvlJc w:val="left"/>
      <w:pPr>
        <w:tabs>
          <w:tab w:val="num" w:pos="504"/>
        </w:tabs>
        <w:ind w:left="360"/>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cs="Wingdings" w:hint="default"/>
      </w:rPr>
    </w:lvl>
    <w:lvl w:ilvl="3" w:tplc="0409000F" w:tentative="1">
      <w:start w:val="1"/>
      <w:numFmt w:val="bullet"/>
      <w:lvlText w:val=""/>
      <w:lvlJc w:val="left"/>
      <w:pPr>
        <w:tabs>
          <w:tab w:val="num" w:pos="2880"/>
        </w:tabs>
        <w:ind w:left="2880" w:hanging="360"/>
      </w:pPr>
      <w:rPr>
        <w:rFonts w:ascii="Symbol" w:hAnsi="Symbol" w:cs="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cs="Wingdings" w:hint="default"/>
      </w:rPr>
    </w:lvl>
    <w:lvl w:ilvl="6" w:tplc="0409000F" w:tentative="1">
      <w:start w:val="1"/>
      <w:numFmt w:val="bullet"/>
      <w:lvlText w:val=""/>
      <w:lvlJc w:val="left"/>
      <w:pPr>
        <w:tabs>
          <w:tab w:val="num" w:pos="5040"/>
        </w:tabs>
        <w:ind w:left="5040" w:hanging="360"/>
      </w:pPr>
      <w:rPr>
        <w:rFonts w:ascii="Symbol" w:hAnsi="Symbol" w:cs="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0285442"/>
    <w:multiLevelType w:val="hybridMultilevel"/>
    <w:tmpl w:val="5734EFA2"/>
    <w:lvl w:ilvl="0" w:tplc="8436AC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B4B219E"/>
    <w:multiLevelType w:val="hybridMultilevel"/>
    <w:tmpl w:val="2DC2C10E"/>
    <w:lvl w:ilvl="0" w:tplc="04090019">
      <w:start w:val="1"/>
      <w:numFmt w:val="bullet"/>
      <w:pStyle w:val="bullets"/>
      <w:lvlText w:val="■"/>
      <w:lvlJc w:val="left"/>
      <w:pPr>
        <w:tabs>
          <w:tab w:val="num" w:pos="720"/>
        </w:tabs>
        <w:ind w:left="720" w:hanging="360"/>
      </w:pPr>
      <w:rPr>
        <w:rFonts w:ascii="Times New Roman" w:hAnsi="Times New Roman" w:cs="Times New Roman" w:hint="default"/>
      </w:rPr>
    </w:lvl>
    <w:lvl w:ilvl="1" w:tplc="04090019">
      <w:start w:val="1"/>
      <w:numFmt w:val="bullet"/>
      <w:pStyle w:val="a2colbul"/>
      <w:lvlText w:val="■"/>
      <w:lvlJc w:val="left"/>
      <w:pPr>
        <w:tabs>
          <w:tab w:val="num" w:pos="1440"/>
        </w:tabs>
        <w:ind w:left="1440" w:hanging="360"/>
      </w:pPr>
      <w:rPr>
        <w:rFonts w:ascii="Times New Roman" w:hAnsi="Times New Roman" w:cs="Times New Roman"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tentative="1">
      <w:start w:val="1"/>
      <w:numFmt w:val="bullet"/>
      <w:lvlText w:val=""/>
      <w:lvlJc w:val="left"/>
      <w:pPr>
        <w:tabs>
          <w:tab w:val="num" w:pos="2880"/>
        </w:tabs>
        <w:ind w:left="2880" w:hanging="360"/>
      </w:pPr>
      <w:rPr>
        <w:rFonts w:ascii="Symbol" w:hAnsi="Symbol" w:cs="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cs="Wingdings" w:hint="default"/>
      </w:rPr>
    </w:lvl>
    <w:lvl w:ilvl="6" w:tplc="0409000F" w:tentative="1">
      <w:start w:val="1"/>
      <w:numFmt w:val="bullet"/>
      <w:lvlText w:val=""/>
      <w:lvlJc w:val="left"/>
      <w:pPr>
        <w:tabs>
          <w:tab w:val="num" w:pos="5040"/>
        </w:tabs>
        <w:ind w:left="5040" w:hanging="360"/>
      </w:pPr>
      <w:rPr>
        <w:rFonts w:ascii="Symbol" w:hAnsi="Symbol" w:cs="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24416F3"/>
    <w:multiLevelType w:val="hybridMultilevel"/>
    <w:tmpl w:val="5658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14A486E"/>
    <w:multiLevelType w:val="hybridMultilevel"/>
    <w:tmpl w:val="B3AA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4">
    <w:nsid w:val="57BB6D01"/>
    <w:multiLevelType w:val="hybridMultilevel"/>
    <w:tmpl w:val="36EA189A"/>
    <w:lvl w:ilvl="0" w:tplc="B7523670">
      <w:start w:val="1"/>
      <w:numFmt w:val="bullet"/>
      <w:lvlText w:val=""/>
      <w:lvlJc w:val="left"/>
      <w:pPr>
        <w:ind w:left="720" w:hanging="360"/>
      </w:pPr>
      <w:rPr>
        <w:rFonts w:ascii="Symbol" w:hAnsi="Symbol" w:hint="default"/>
      </w:rPr>
    </w:lvl>
    <w:lvl w:ilvl="1" w:tplc="D9F8A472" w:tentative="1">
      <w:start w:val="1"/>
      <w:numFmt w:val="bullet"/>
      <w:lvlText w:val="o"/>
      <w:lvlJc w:val="left"/>
      <w:pPr>
        <w:ind w:left="1440" w:hanging="360"/>
      </w:pPr>
      <w:rPr>
        <w:rFonts w:ascii="Courier New" w:hAnsi="Courier New" w:cs="Courier New" w:hint="default"/>
      </w:rPr>
    </w:lvl>
    <w:lvl w:ilvl="2" w:tplc="3CCA880A" w:tentative="1">
      <w:start w:val="1"/>
      <w:numFmt w:val="bullet"/>
      <w:lvlText w:val=""/>
      <w:lvlJc w:val="left"/>
      <w:pPr>
        <w:ind w:left="2160" w:hanging="360"/>
      </w:pPr>
      <w:rPr>
        <w:rFonts w:ascii="Wingdings" w:hAnsi="Wingdings" w:hint="default"/>
      </w:rPr>
    </w:lvl>
    <w:lvl w:ilvl="3" w:tplc="91001C4C" w:tentative="1">
      <w:start w:val="1"/>
      <w:numFmt w:val="bullet"/>
      <w:lvlText w:val=""/>
      <w:lvlJc w:val="left"/>
      <w:pPr>
        <w:ind w:left="2880" w:hanging="360"/>
      </w:pPr>
      <w:rPr>
        <w:rFonts w:ascii="Symbol" w:hAnsi="Symbol" w:hint="default"/>
      </w:rPr>
    </w:lvl>
    <w:lvl w:ilvl="4" w:tplc="FE92DF52" w:tentative="1">
      <w:start w:val="1"/>
      <w:numFmt w:val="bullet"/>
      <w:lvlText w:val="o"/>
      <w:lvlJc w:val="left"/>
      <w:pPr>
        <w:ind w:left="3600" w:hanging="360"/>
      </w:pPr>
      <w:rPr>
        <w:rFonts w:ascii="Courier New" w:hAnsi="Courier New" w:cs="Courier New" w:hint="default"/>
      </w:rPr>
    </w:lvl>
    <w:lvl w:ilvl="5" w:tplc="ED8EE974" w:tentative="1">
      <w:start w:val="1"/>
      <w:numFmt w:val="bullet"/>
      <w:lvlText w:val=""/>
      <w:lvlJc w:val="left"/>
      <w:pPr>
        <w:ind w:left="4320" w:hanging="360"/>
      </w:pPr>
      <w:rPr>
        <w:rFonts w:ascii="Wingdings" w:hAnsi="Wingdings" w:hint="default"/>
      </w:rPr>
    </w:lvl>
    <w:lvl w:ilvl="6" w:tplc="C28271F8" w:tentative="1">
      <w:start w:val="1"/>
      <w:numFmt w:val="bullet"/>
      <w:lvlText w:val=""/>
      <w:lvlJc w:val="left"/>
      <w:pPr>
        <w:ind w:left="5040" w:hanging="360"/>
      </w:pPr>
      <w:rPr>
        <w:rFonts w:ascii="Symbol" w:hAnsi="Symbol" w:hint="default"/>
      </w:rPr>
    </w:lvl>
    <w:lvl w:ilvl="7" w:tplc="B9987AC8" w:tentative="1">
      <w:start w:val="1"/>
      <w:numFmt w:val="bullet"/>
      <w:lvlText w:val="o"/>
      <w:lvlJc w:val="left"/>
      <w:pPr>
        <w:ind w:left="5760" w:hanging="360"/>
      </w:pPr>
      <w:rPr>
        <w:rFonts w:ascii="Courier New" w:hAnsi="Courier New" w:cs="Courier New" w:hint="default"/>
      </w:rPr>
    </w:lvl>
    <w:lvl w:ilvl="8" w:tplc="AEC08F90" w:tentative="1">
      <w:start w:val="1"/>
      <w:numFmt w:val="bullet"/>
      <w:lvlText w:val=""/>
      <w:lvlJc w:val="left"/>
      <w:pPr>
        <w:ind w:left="6480" w:hanging="360"/>
      </w:pPr>
      <w:rPr>
        <w:rFonts w:ascii="Wingdings" w:hAnsi="Wingdings" w:hint="default"/>
      </w:rPr>
    </w:lvl>
  </w:abstractNum>
  <w:abstractNum w:abstractNumId="15">
    <w:nsid w:val="5B923AC1"/>
    <w:multiLevelType w:val="hybridMultilevel"/>
    <w:tmpl w:val="527E14BA"/>
    <w:lvl w:ilvl="0" w:tplc="04090001">
      <w:start w:val="1"/>
      <w:numFmt w:val="decimal"/>
      <w:pStyle w:val="Head2Numbered"/>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6">
    <w:nsid w:val="625528F6"/>
    <w:multiLevelType w:val="hybridMultilevel"/>
    <w:tmpl w:val="5AEEB068"/>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660469DC"/>
    <w:multiLevelType w:val="singleLevel"/>
    <w:tmpl w:val="FDC2B0B2"/>
    <w:lvl w:ilvl="0">
      <w:start w:val="1"/>
      <w:numFmt w:val="bullet"/>
      <w:pStyle w:val="ListParagraph"/>
      <w:lvlText w:val=""/>
      <w:lvlJc w:val="left"/>
      <w:pPr>
        <w:ind w:left="720" w:hanging="360"/>
      </w:pPr>
      <w:rPr>
        <w:rFonts w:ascii="Symbol" w:hAnsi="Symbol" w:hint="default"/>
      </w:rPr>
    </w:lvl>
  </w:abstractNum>
  <w:abstractNum w:abstractNumId="18">
    <w:nsid w:val="6D106077"/>
    <w:multiLevelType w:val="hybridMultilevel"/>
    <w:tmpl w:val="060445C8"/>
    <w:lvl w:ilvl="0" w:tplc="4CB8AA7C">
      <w:start w:val="1"/>
      <w:numFmt w:val="bullet"/>
      <w:lvlText w:val=""/>
      <w:lvlJc w:val="left"/>
      <w:pPr>
        <w:ind w:left="720" w:hanging="360"/>
      </w:pPr>
      <w:rPr>
        <w:rFonts w:ascii="Symbol" w:hAnsi="Symbol" w:hint="default"/>
      </w:rPr>
    </w:lvl>
    <w:lvl w:ilvl="1" w:tplc="C360AE02" w:tentative="1">
      <w:start w:val="1"/>
      <w:numFmt w:val="bullet"/>
      <w:lvlText w:val="o"/>
      <w:lvlJc w:val="left"/>
      <w:pPr>
        <w:ind w:left="1440" w:hanging="360"/>
      </w:pPr>
      <w:rPr>
        <w:rFonts w:ascii="Courier New" w:hAnsi="Courier New" w:cs="Courier New" w:hint="default"/>
      </w:rPr>
    </w:lvl>
    <w:lvl w:ilvl="2" w:tplc="1592D4CE" w:tentative="1">
      <w:start w:val="1"/>
      <w:numFmt w:val="bullet"/>
      <w:lvlText w:val=""/>
      <w:lvlJc w:val="left"/>
      <w:pPr>
        <w:ind w:left="2160" w:hanging="360"/>
      </w:pPr>
      <w:rPr>
        <w:rFonts w:ascii="Wingdings" w:hAnsi="Wingdings" w:hint="default"/>
      </w:rPr>
    </w:lvl>
    <w:lvl w:ilvl="3" w:tplc="900A6624" w:tentative="1">
      <w:start w:val="1"/>
      <w:numFmt w:val="bullet"/>
      <w:lvlText w:val=""/>
      <w:lvlJc w:val="left"/>
      <w:pPr>
        <w:ind w:left="2880" w:hanging="360"/>
      </w:pPr>
      <w:rPr>
        <w:rFonts w:ascii="Symbol" w:hAnsi="Symbol" w:hint="default"/>
      </w:rPr>
    </w:lvl>
    <w:lvl w:ilvl="4" w:tplc="0AA6D62A" w:tentative="1">
      <w:start w:val="1"/>
      <w:numFmt w:val="bullet"/>
      <w:lvlText w:val="o"/>
      <w:lvlJc w:val="left"/>
      <w:pPr>
        <w:ind w:left="3600" w:hanging="360"/>
      </w:pPr>
      <w:rPr>
        <w:rFonts w:ascii="Courier New" w:hAnsi="Courier New" w:cs="Courier New" w:hint="default"/>
      </w:rPr>
    </w:lvl>
    <w:lvl w:ilvl="5" w:tplc="C980EB2C" w:tentative="1">
      <w:start w:val="1"/>
      <w:numFmt w:val="bullet"/>
      <w:lvlText w:val=""/>
      <w:lvlJc w:val="left"/>
      <w:pPr>
        <w:ind w:left="4320" w:hanging="360"/>
      </w:pPr>
      <w:rPr>
        <w:rFonts w:ascii="Wingdings" w:hAnsi="Wingdings" w:hint="default"/>
      </w:rPr>
    </w:lvl>
    <w:lvl w:ilvl="6" w:tplc="B536552A" w:tentative="1">
      <w:start w:val="1"/>
      <w:numFmt w:val="bullet"/>
      <w:lvlText w:val=""/>
      <w:lvlJc w:val="left"/>
      <w:pPr>
        <w:ind w:left="5040" w:hanging="360"/>
      </w:pPr>
      <w:rPr>
        <w:rFonts w:ascii="Symbol" w:hAnsi="Symbol" w:hint="default"/>
      </w:rPr>
    </w:lvl>
    <w:lvl w:ilvl="7" w:tplc="A844CDF6" w:tentative="1">
      <w:start w:val="1"/>
      <w:numFmt w:val="bullet"/>
      <w:lvlText w:val="o"/>
      <w:lvlJc w:val="left"/>
      <w:pPr>
        <w:ind w:left="5760" w:hanging="360"/>
      </w:pPr>
      <w:rPr>
        <w:rFonts w:ascii="Courier New" w:hAnsi="Courier New" w:cs="Courier New" w:hint="default"/>
      </w:rPr>
    </w:lvl>
    <w:lvl w:ilvl="8" w:tplc="F72E62EA" w:tentative="1">
      <w:start w:val="1"/>
      <w:numFmt w:val="bullet"/>
      <w:lvlText w:val=""/>
      <w:lvlJc w:val="left"/>
      <w:pPr>
        <w:ind w:left="6480" w:hanging="360"/>
      </w:pPr>
      <w:rPr>
        <w:rFonts w:ascii="Wingdings" w:hAnsi="Wingdings" w:hint="default"/>
      </w:rPr>
    </w:lvl>
  </w:abstractNum>
  <w:abstractNum w:abstractNumId="19">
    <w:nsid w:val="6DD30717"/>
    <w:multiLevelType w:val="hybridMultilevel"/>
    <w:tmpl w:val="7582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D720B"/>
    <w:multiLevelType w:val="hybridMultilevel"/>
    <w:tmpl w:val="B310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1"/>
  </w:num>
  <w:num w:numId="4">
    <w:abstractNumId w:val="15"/>
  </w:num>
  <w:num w:numId="5">
    <w:abstractNumId w:val="0"/>
  </w:num>
  <w:num w:numId="6">
    <w:abstractNumId w:val="14"/>
  </w:num>
  <w:num w:numId="7">
    <w:abstractNumId w:val="16"/>
  </w:num>
  <w:num w:numId="8">
    <w:abstractNumId w:val="18"/>
  </w:num>
  <w:num w:numId="9">
    <w:abstractNumId w:val="4"/>
  </w:num>
  <w:num w:numId="10">
    <w:abstractNumId w:val="9"/>
  </w:num>
  <w:num w:numId="11">
    <w:abstractNumId w:val="8"/>
  </w:num>
  <w:num w:numId="12">
    <w:abstractNumId w:val="22"/>
  </w:num>
  <w:num w:numId="13">
    <w:abstractNumId w:val="21"/>
  </w:num>
  <w:num w:numId="14">
    <w:abstractNumId w:val="11"/>
  </w:num>
  <w:num w:numId="15">
    <w:abstractNumId w:val="5"/>
  </w:num>
  <w:num w:numId="16">
    <w:abstractNumId w:val="10"/>
  </w:num>
  <w:num w:numId="17">
    <w:abstractNumId w:val="13"/>
  </w:num>
  <w:num w:numId="18">
    <w:abstractNumId w:val="2"/>
  </w:num>
  <w:num w:numId="19">
    <w:abstractNumId w:val="17"/>
  </w:num>
  <w:num w:numId="20">
    <w:abstractNumId w:val="19"/>
  </w:num>
  <w:num w:numId="21">
    <w:abstractNumId w:val="7"/>
  </w:num>
  <w:num w:numId="22">
    <w:abstractNumId w:val="12"/>
  </w:num>
  <w:num w:numId="23">
    <w:abstractNumId w:val="2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6C4999"/>
    <w:rsid w:val="00011E4C"/>
    <w:rsid w:val="00052792"/>
    <w:rsid w:val="000B4076"/>
    <w:rsid w:val="000F1225"/>
    <w:rsid w:val="0011192D"/>
    <w:rsid w:val="00133CB9"/>
    <w:rsid w:val="00135EF8"/>
    <w:rsid w:val="001D017D"/>
    <w:rsid w:val="00251610"/>
    <w:rsid w:val="002C6D32"/>
    <w:rsid w:val="00302155"/>
    <w:rsid w:val="003940A6"/>
    <w:rsid w:val="003A01DB"/>
    <w:rsid w:val="003C3DC2"/>
    <w:rsid w:val="003D3F00"/>
    <w:rsid w:val="003E4FD4"/>
    <w:rsid w:val="00420AF4"/>
    <w:rsid w:val="0048679F"/>
    <w:rsid w:val="004F43D5"/>
    <w:rsid w:val="005209D1"/>
    <w:rsid w:val="005937F5"/>
    <w:rsid w:val="005D0797"/>
    <w:rsid w:val="005D6FEB"/>
    <w:rsid w:val="00624D12"/>
    <w:rsid w:val="00637E6A"/>
    <w:rsid w:val="0066729E"/>
    <w:rsid w:val="0067084D"/>
    <w:rsid w:val="00694B55"/>
    <w:rsid w:val="006C402D"/>
    <w:rsid w:val="006C4999"/>
    <w:rsid w:val="006E38B9"/>
    <w:rsid w:val="00742769"/>
    <w:rsid w:val="0074782A"/>
    <w:rsid w:val="007B2B45"/>
    <w:rsid w:val="008237D5"/>
    <w:rsid w:val="00853F4B"/>
    <w:rsid w:val="00925538"/>
    <w:rsid w:val="00930061"/>
    <w:rsid w:val="009E59C1"/>
    <w:rsid w:val="00A648DC"/>
    <w:rsid w:val="00A77333"/>
    <w:rsid w:val="00A97A8F"/>
    <w:rsid w:val="00B06C2C"/>
    <w:rsid w:val="00B53085"/>
    <w:rsid w:val="00B8787F"/>
    <w:rsid w:val="00BB43F6"/>
    <w:rsid w:val="00C115E3"/>
    <w:rsid w:val="00C80E4E"/>
    <w:rsid w:val="00CC1512"/>
    <w:rsid w:val="00D25C63"/>
    <w:rsid w:val="00DC2D53"/>
    <w:rsid w:val="00DE45CA"/>
    <w:rsid w:val="00E0720B"/>
    <w:rsid w:val="00E40418"/>
    <w:rsid w:val="00E6234E"/>
    <w:rsid w:val="00E65DB6"/>
    <w:rsid w:val="00E86F9B"/>
    <w:rsid w:val="00F20C59"/>
    <w:rsid w:val="00FE7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99"/>
    <w:pPr>
      <w:spacing w:after="0" w:line="240" w:lineRule="auto"/>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6C4999"/>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6C4999"/>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6C4999"/>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6C4999"/>
    <w:pPr>
      <w:keepNext/>
      <w:widowControl w:val="0"/>
      <w:autoSpaceDE w:val="0"/>
      <w:autoSpaceDN w:val="0"/>
      <w:adjustRightInd w:val="0"/>
      <w:spacing w:line="480" w:lineRule="auto"/>
      <w:ind w:left="720"/>
      <w:outlineLvl w:val="3"/>
    </w:pPr>
    <w:rPr>
      <w:rFonts w:ascii="Arial" w:hAnsi="Arial"/>
      <w:b/>
      <w:bCs/>
      <w:sz w:val="28"/>
      <w:szCs w:val="28"/>
    </w:rPr>
  </w:style>
  <w:style w:type="paragraph" w:styleId="Heading5">
    <w:name w:val="heading 5"/>
    <w:basedOn w:val="Normal"/>
    <w:next w:val="Normal"/>
    <w:link w:val="Heading5Char"/>
    <w:qFormat/>
    <w:rsid w:val="006C4999"/>
    <w:pPr>
      <w:keepNext/>
      <w:widowControl w:val="0"/>
      <w:autoSpaceDE w:val="0"/>
      <w:autoSpaceDN w:val="0"/>
      <w:adjustRightInd w:val="0"/>
      <w:spacing w:line="480" w:lineRule="auto"/>
      <w:ind w:left="720" w:firstLine="720"/>
      <w:outlineLvl w:val="4"/>
    </w:pPr>
    <w:rPr>
      <w:rFonts w:ascii="Arial" w:hAnsi="Arial"/>
      <w:b/>
      <w:bCs/>
    </w:rPr>
  </w:style>
  <w:style w:type="paragraph" w:styleId="Heading6">
    <w:name w:val="heading 6"/>
    <w:basedOn w:val="Normal"/>
    <w:next w:val="Normal"/>
    <w:link w:val="Heading6Char"/>
    <w:qFormat/>
    <w:rsid w:val="006C4999"/>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6C4999"/>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6C4999"/>
    <w:rPr>
      <w:rFonts w:ascii="Cambria" w:eastAsia="Times New Roman" w:hAnsi="Cambria" w:cs="Cambria"/>
      <w:b/>
      <w:bCs/>
      <w:i/>
      <w:iCs/>
      <w:sz w:val="28"/>
      <w:szCs w:val="28"/>
    </w:rPr>
  </w:style>
  <w:style w:type="character" w:customStyle="1" w:styleId="Heading3Char">
    <w:name w:val="Heading 3 Char"/>
    <w:basedOn w:val="DefaultParagraphFont"/>
    <w:link w:val="Heading3"/>
    <w:rsid w:val="006C4999"/>
    <w:rPr>
      <w:rFonts w:ascii="Cambria" w:eastAsia="Times New Roman" w:hAnsi="Cambria" w:cs="Cambria"/>
      <w:b/>
      <w:bCs/>
      <w:sz w:val="26"/>
      <w:szCs w:val="26"/>
    </w:rPr>
  </w:style>
  <w:style w:type="character" w:customStyle="1" w:styleId="Heading4Char">
    <w:name w:val="Heading 4 Char"/>
    <w:basedOn w:val="DefaultParagraphFont"/>
    <w:link w:val="Heading4"/>
    <w:rsid w:val="006C4999"/>
    <w:rPr>
      <w:rFonts w:ascii="Arial" w:eastAsia="Times New Roman" w:hAnsi="Arial" w:cs="Times New Roman"/>
      <w:b/>
      <w:bCs/>
      <w:sz w:val="28"/>
      <w:szCs w:val="28"/>
    </w:rPr>
  </w:style>
  <w:style w:type="character" w:customStyle="1" w:styleId="Heading5Char">
    <w:name w:val="Heading 5 Char"/>
    <w:basedOn w:val="DefaultParagraphFont"/>
    <w:link w:val="Heading5"/>
    <w:rsid w:val="006C4999"/>
    <w:rPr>
      <w:rFonts w:ascii="Arial" w:eastAsia="Times New Roman" w:hAnsi="Arial" w:cs="Times New Roman"/>
      <w:b/>
      <w:bCs/>
      <w:sz w:val="24"/>
      <w:szCs w:val="24"/>
    </w:rPr>
  </w:style>
  <w:style w:type="character" w:customStyle="1" w:styleId="Heading6Char">
    <w:name w:val="Heading 6 Char"/>
    <w:basedOn w:val="DefaultParagraphFont"/>
    <w:link w:val="Heading6"/>
    <w:rsid w:val="006C4999"/>
    <w:rPr>
      <w:rFonts w:ascii="Calibri" w:eastAsia="Times New Roman" w:hAnsi="Calibri" w:cs="Calibri"/>
      <w:b/>
      <w:bCs/>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6C4999"/>
    <w:pPr>
      <w:spacing w:after="160"/>
      <w:ind w:firstLine="720"/>
    </w:pPr>
    <w:rPr>
      <w:sz w:val="22"/>
      <w:szCs w:val="22"/>
    </w:rPr>
  </w:style>
  <w:style w:type="paragraph" w:customStyle="1" w:styleId="objective">
    <w:name w:val="objective"/>
    <w:basedOn w:val="Normal"/>
    <w:rsid w:val="006C4999"/>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semiHidden/>
    <w:rsid w:val="006C4999"/>
    <w:rPr>
      <w:sz w:val="20"/>
      <w:szCs w:val="2"/>
    </w:rPr>
  </w:style>
  <w:style w:type="character" w:customStyle="1" w:styleId="BalloonTextChar">
    <w:name w:val="Balloon Text Char"/>
    <w:basedOn w:val="DefaultParagraphFont"/>
    <w:link w:val="BalloonText"/>
    <w:semiHidden/>
    <w:rsid w:val="006C4999"/>
    <w:rPr>
      <w:rFonts w:ascii="Times New Roman" w:eastAsia="Times New Roman" w:hAnsi="Times New Roman" w:cs="Times New Roman"/>
      <w:sz w:val="20"/>
      <w:szCs w:val="2"/>
    </w:rPr>
  </w:style>
  <w:style w:type="paragraph" w:styleId="BodyText2">
    <w:name w:val="Body Text 2"/>
    <w:basedOn w:val="Normal"/>
    <w:link w:val="BodyText2Char"/>
    <w:rsid w:val="006C49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basedOn w:val="DefaultParagraphFont"/>
    <w:link w:val="BodyText2"/>
    <w:rsid w:val="006C4999"/>
    <w:rPr>
      <w:rFonts w:ascii="Times New Roman" w:eastAsia="Times New Roman" w:hAnsi="Times New Roman" w:cs="Times New Roman"/>
      <w:sz w:val="24"/>
      <w:szCs w:val="24"/>
    </w:rPr>
  </w:style>
  <w:style w:type="paragraph" w:customStyle="1" w:styleId="SL-FlLftSgl">
    <w:name w:val="SL-Fl Lft Sgl"/>
    <w:rsid w:val="006C4999"/>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6C4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6C4999"/>
    <w:rPr>
      <w:rFonts w:ascii="Courier New" w:eastAsia="Times New Roman" w:hAnsi="Courier New" w:cs="Courier New"/>
      <w:sz w:val="24"/>
      <w:szCs w:val="24"/>
    </w:rPr>
  </w:style>
  <w:style w:type="paragraph" w:customStyle="1" w:styleId="E1-Equation">
    <w:name w:val="E1-Equation"/>
    <w:rsid w:val="006C4999"/>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uiPriority w:val="99"/>
    <w:rsid w:val="006C4999"/>
    <w:rPr>
      <w:sz w:val="16"/>
      <w:szCs w:val="16"/>
    </w:rPr>
  </w:style>
  <w:style w:type="paragraph" w:styleId="CommentText">
    <w:name w:val="annotation text"/>
    <w:basedOn w:val="Normal"/>
    <w:link w:val="CommentTextChar"/>
    <w:rsid w:val="006C4999"/>
  </w:style>
  <w:style w:type="character" w:customStyle="1" w:styleId="CommentTextChar">
    <w:name w:val="Comment Text Char"/>
    <w:basedOn w:val="DefaultParagraphFont"/>
    <w:link w:val="CommentText"/>
    <w:rsid w:val="006C499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6C4999"/>
    <w:rPr>
      <w:b/>
      <w:bCs/>
    </w:rPr>
  </w:style>
  <w:style w:type="character" w:customStyle="1" w:styleId="CommentSubjectChar">
    <w:name w:val="Comment Subject Char"/>
    <w:basedOn w:val="CommentTextChar"/>
    <w:link w:val="CommentSubject"/>
    <w:rsid w:val="006C4999"/>
    <w:rPr>
      <w:b/>
      <w:bCs/>
    </w:rPr>
  </w:style>
  <w:style w:type="character" w:styleId="PageNumber">
    <w:name w:val="page number"/>
    <w:basedOn w:val="DefaultParagraphFont"/>
    <w:rsid w:val="006C4999"/>
  </w:style>
  <w:style w:type="paragraph" w:styleId="NormalWeb">
    <w:name w:val="Normal (Web)"/>
    <w:basedOn w:val="Normal"/>
    <w:uiPriority w:val="99"/>
    <w:rsid w:val="006C4999"/>
    <w:pPr>
      <w:spacing w:before="100" w:beforeAutospacing="1" w:after="100" w:afterAutospacing="1"/>
    </w:pPr>
    <w:rPr>
      <w:color w:val="000000"/>
    </w:rPr>
  </w:style>
  <w:style w:type="paragraph" w:styleId="FootnoteText">
    <w:name w:val="footnote text"/>
    <w:aliases w:val="F1"/>
    <w:basedOn w:val="Normal"/>
    <w:link w:val="FootnoteTextChar"/>
    <w:uiPriority w:val="99"/>
    <w:rsid w:val="006C4999"/>
  </w:style>
  <w:style w:type="character" w:customStyle="1" w:styleId="FootnoteTextChar">
    <w:name w:val="Footnote Text Char"/>
    <w:aliases w:val="F1 Char"/>
    <w:basedOn w:val="DefaultParagraphFont"/>
    <w:link w:val="FootnoteText"/>
    <w:uiPriority w:val="99"/>
    <w:rsid w:val="006C4999"/>
    <w:rPr>
      <w:rFonts w:ascii="Times New Roman" w:eastAsia="Times New Roman" w:hAnsi="Times New Roman" w:cs="Times New Roman"/>
      <w:sz w:val="24"/>
      <w:szCs w:val="24"/>
    </w:rPr>
  </w:style>
  <w:style w:type="character" w:styleId="FootnoteReference">
    <w:name w:val="footnote reference"/>
    <w:uiPriority w:val="99"/>
    <w:rsid w:val="006C4999"/>
    <w:rPr>
      <w:vertAlign w:val="superscript"/>
    </w:rPr>
  </w:style>
  <w:style w:type="paragraph" w:customStyle="1" w:styleId="Level1">
    <w:name w:val="Level 1"/>
    <w:basedOn w:val="Normal"/>
    <w:uiPriority w:val="99"/>
    <w:rsid w:val="006C4999"/>
    <w:pPr>
      <w:widowControl w:val="0"/>
      <w:tabs>
        <w:tab w:val="num" w:pos="720"/>
        <w:tab w:val="num" w:pos="780"/>
      </w:tabs>
      <w:autoSpaceDE w:val="0"/>
      <w:autoSpaceDN w:val="0"/>
      <w:adjustRightInd w:val="0"/>
      <w:ind w:left="780" w:hanging="720"/>
      <w:outlineLvl w:val="0"/>
    </w:pPr>
  </w:style>
  <w:style w:type="paragraph" w:customStyle="1" w:styleId="a">
    <w:name w:val="_"/>
    <w:basedOn w:val="Normal"/>
    <w:link w:val="Char"/>
    <w:rsid w:val="006C4999"/>
    <w:pPr>
      <w:widowControl w:val="0"/>
      <w:autoSpaceDE w:val="0"/>
      <w:autoSpaceDN w:val="0"/>
      <w:adjustRightInd w:val="0"/>
      <w:ind w:left="720" w:hanging="720"/>
    </w:pPr>
  </w:style>
  <w:style w:type="character" w:customStyle="1" w:styleId="Char">
    <w:name w:val="_ Char"/>
    <w:link w:val="a"/>
    <w:rsid w:val="006C4999"/>
    <w:rPr>
      <w:rFonts w:ascii="Times New Roman" w:eastAsia="Times New Roman" w:hAnsi="Times New Roman" w:cs="Times New Roman"/>
      <w:sz w:val="24"/>
      <w:szCs w:val="24"/>
    </w:rPr>
  </w:style>
  <w:style w:type="character" w:styleId="Hyperlink">
    <w:name w:val="Hyperlink"/>
    <w:uiPriority w:val="99"/>
    <w:rsid w:val="006C4999"/>
    <w:rPr>
      <w:color w:val="0000FF"/>
      <w:u w:val="single"/>
    </w:rPr>
  </w:style>
  <w:style w:type="paragraph" w:styleId="PlainText">
    <w:name w:val="Plain Text"/>
    <w:basedOn w:val="Normal"/>
    <w:link w:val="PlainTextChar"/>
    <w:uiPriority w:val="99"/>
    <w:rsid w:val="006C4999"/>
    <w:rPr>
      <w:rFonts w:ascii="Courier New" w:hAnsi="Courier New" w:cs="Courier New"/>
    </w:rPr>
  </w:style>
  <w:style w:type="character" w:customStyle="1" w:styleId="PlainTextChar">
    <w:name w:val="Plain Text Char"/>
    <w:basedOn w:val="DefaultParagraphFont"/>
    <w:link w:val="PlainText"/>
    <w:uiPriority w:val="99"/>
    <w:rsid w:val="006C4999"/>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6C4999"/>
    <w:rPr>
      <w:sz w:val="24"/>
      <w:szCs w:val="24"/>
      <w:lang w:val="en-US" w:eastAsia="en-US"/>
    </w:rPr>
  </w:style>
  <w:style w:type="paragraph" w:styleId="Header">
    <w:name w:val="header"/>
    <w:basedOn w:val="Normal"/>
    <w:link w:val="HeaderChar1"/>
    <w:uiPriority w:val="99"/>
    <w:rsid w:val="006C4999"/>
    <w:pPr>
      <w:tabs>
        <w:tab w:val="center" w:pos="4320"/>
        <w:tab w:val="right" w:pos="8640"/>
      </w:tabs>
    </w:pPr>
  </w:style>
  <w:style w:type="character" w:customStyle="1" w:styleId="HeaderChar">
    <w:name w:val="Header Char"/>
    <w:basedOn w:val="DefaultParagraphFont"/>
    <w:link w:val="Header"/>
    <w:uiPriority w:val="99"/>
    <w:rsid w:val="006C4999"/>
    <w:rPr>
      <w:rFonts w:ascii="Times New Roman" w:eastAsia="Times New Roman" w:hAnsi="Times New Roman" w:cs="Times New Roman"/>
      <w:sz w:val="24"/>
      <w:szCs w:val="24"/>
    </w:rPr>
  </w:style>
  <w:style w:type="character" w:customStyle="1" w:styleId="HeaderChar1">
    <w:name w:val="Header Char1"/>
    <w:link w:val="Header"/>
    <w:rsid w:val="006C4999"/>
    <w:rPr>
      <w:rFonts w:ascii="Times New Roman" w:eastAsia="Times New Roman" w:hAnsi="Times New Roman" w:cs="Times New Roman"/>
      <w:sz w:val="24"/>
      <w:szCs w:val="24"/>
    </w:rPr>
  </w:style>
  <w:style w:type="paragraph" w:styleId="Footer">
    <w:name w:val="footer"/>
    <w:basedOn w:val="Normal"/>
    <w:link w:val="FooterChar"/>
    <w:uiPriority w:val="99"/>
    <w:rsid w:val="006C4999"/>
    <w:pPr>
      <w:tabs>
        <w:tab w:val="center" w:pos="4320"/>
        <w:tab w:val="right" w:pos="8640"/>
      </w:tabs>
    </w:pPr>
  </w:style>
  <w:style w:type="character" w:customStyle="1" w:styleId="FooterChar">
    <w:name w:val="Footer Char"/>
    <w:basedOn w:val="DefaultParagraphFont"/>
    <w:link w:val="Footer"/>
    <w:uiPriority w:val="99"/>
    <w:rsid w:val="006C4999"/>
    <w:rPr>
      <w:rFonts w:ascii="Times New Roman" w:eastAsia="Times New Roman" w:hAnsi="Times New Roman" w:cs="Times New Roman"/>
      <w:sz w:val="24"/>
      <w:szCs w:val="24"/>
    </w:rPr>
  </w:style>
  <w:style w:type="paragraph" w:styleId="BodyTextIndent2">
    <w:name w:val="Body Text Indent 2"/>
    <w:basedOn w:val="Normal"/>
    <w:link w:val="BodyTextIndent2Char"/>
    <w:rsid w:val="006C4999"/>
    <w:pPr>
      <w:spacing w:after="120" w:line="480" w:lineRule="auto"/>
      <w:ind w:left="360"/>
    </w:pPr>
  </w:style>
  <w:style w:type="character" w:customStyle="1" w:styleId="BodyTextIndent2Char">
    <w:name w:val="Body Text Indent 2 Char"/>
    <w:basedOn w:val="DefaultParagraphFont"/>
    <w:link w:val="BodyTextIndent2"/>
    <w:rsid w:val="006C4999"/>
    <w:rPr>
      <w:rFonts w:ascii="Times New Roman" w:eastAsia="Times New Roman" w:hAnsi="Times New Roman" w:cs="Times New Roman"/>
      <w:sz w:val="24"/>
      <w:szCs w:val="24"/>
    </w:rPr>
  </w:style>
  <w:style w:type="paragraph" w:customStyle="1" w:styleId="level10">
    <w:name w:val="level1"/>
    <w:basedOn w:val="Normal"/>
    <w:rsid w:val="006C4999"/>
    <w:pPr>
      <w:spacing w:before="100" w:beforeAutospacing="1" w:after="100" w:afterAutospacing="1"/>
    </w:pPr>
  </w:style>
  <w:style w:type="paragraph" w:customStyle="1" w:styleId="Quicka">
    <w:name w:val="Quick a."/>
    <w:basedOn w:val="Normal"/>
    <w:rsid w:val="006C4999"/>
    <w:pPr>
      <w:widowControl w:val="0"/>
    </w:pPr>
  </w:style>
  <w:style w:type="paragraph" w:customStyle="1" w:styleId="Quick1">
    <w:name w:val="Quick 1."/>
    <w:basedOn w:val="Normal"/>
    <w:rsid w:val="006C4999"/>
    <w:pPr>
      <w:widowControl w:val="0"/>
    </w:pPr>
  </w:style>
  <w:style w:type="paragraph" w:customStyle="1" w:styleId="N2-2ndBullet">
    <w:name w:val="N2-2nd Bullet"/>
    <w:basedOn w:val="Normal"/>
    <w:rsid w:val="006C4999"/>
    <w:pPr>
      <w:tabs>
        <w:tab w:val="num" w:pos="-72"/>
        <w:tab w:val="left" w:pos="1728"/>
      </w:tabs>
      <w:spacing w:after="240" w:line="240" w:lineRule="atLeast"/>
      <w:ind w:left="1656" w:hanging="576"/>
      <w:jc w:val="both"/>
    </w:pPr>
  </w:style>
  <w:style w:type="paragraph" w:customStyle="1" w:styleId="C1-CtrBoldHd">
    <w:name w:val="C1-Ctr BoldHd"/>
    <w:rsid w:val="006C4999"/>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6C4999"/>
    <w:rPr>
      <w:b/>
      <w:bCs/>
      <w:sz w:val="20"/>
      <w:szCs w:val="20"/>
    </w:rPr>
  </w:style>
  <w:style w:type="character" w:customStyle="1" w:styleId="label-2">
    <w:name w:val="label-2"/>
    <w:rsid w:val="006C4999"/>
    <w:rPr>
      <w:b/>
      <w:bCs/>
      <w:sz w:val="20"/>
      <w:szCs w:val="20"/>
    </w:rPr>
  </w:style>
  <w:style w:type="character" w:customStyle="1" w:styleId="label-3">
    <w:name w:val="label-3"/>
    <w:rsid w:val="006C4999"/>
    <w:rPr>
      <w:b/>
      <w:bCs/>
      <w:sz w:val="20"/>
      <w:szCs w:val="20"/>
    </w:rPr>
  </w:style>
  <w:style w:type="character" w:customStyle="1" w:styleId="label-4">
    <w:name w:val="label-4"/>
    <w:rsid w:val="006C4999"/>
    <w:rPr>
      <w:b/>
      <w:bCs/>
      <w:sz w:val="20"/>
      <w:szCs w:val="20"/>
    </w:rPr>
  </w:style>
  <w:style w:type="character" w:customStyle="1" w:styleId="label-5">
    <w:name w:val="label-5"/>
    <w:rsid w:val="006C4999"/>
    <w:rPr>
      <w:b/>
      <w:bCs/>
      <w:sz w:val="20"/>
      <w:szCs w:val="20"/>
    </w:rPr>
  </w:style>
  <w:style w:type="character" w:customStyle="1" w:styleId="labelhead-1">
    <w:name w:val="labelhead-1"/>
    <w:rsid w:val="006C4999"/>
    <w:rPr>
      <w:sz w:val="20"/>
      <w:szCs w:val="20"/>
    </w:rPr>
  </w:style>
  <w:style w:type="paragraph" w:customStyle="1" w:styleId="C2-CtrSglSp">
    <w:name w:val="C2-Ctr Sgl Sp"/>
    <w:rsid w:val="006C4999"/>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6C4999"/>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uiPriority w:val="39"/>
    <w:qFormat/>
    <w:rsid w:val="006C4999"/>
    <w:pPr>
      <w:tabs>
        <w:tab w:val="right" w:leader="dot" w:pos="9360"/>
      </w:tabs>
      <w:spacing w:line="240" w:lineRule="atLeast"/>
    </w:pPr>
    <w:rPr>
      <w:b/>
      <w:caps/>
    </w:rPr>
  </w:style>
  <w:style w:type="paragraph" w:styleId="TOC2">
    <w:name w:val="toc 2"/>
    <w:basedOn w:val="Normal"/>
    <w:autoRedefine/>
    <w:uiPriority w:val="39"/>
    <w:semiHidden/>
    <w:qFormat/>
    <w:rsid w:val="006C4999"/>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C4999"/>
    <w:pPr>
      <w:jc w:val="center"/>
    </w:pPr>
    <w:rPr>
      <w:caps w:val="0"/>
    </w:rPr>
  </w:style>
  <w:style w:type="paragraph" w:styleId="E-mailSignature">
    <w:name w:val="E-mail Signature"/>
    <w:basedOn w:val="Normal"/>
    <w:link w:val="E-mailSignatureChar"/>
    <w:rsid w:val="006C4999"/>
  </w:style>
  <w:style w:type="character" w:customStyle="1" w:styleId="E-mailSignatureChar">
    <w:name w:val="E-mail Signature Char"/>
    <w:basedOn w:val="DefaultParagraphFont"/>
    <w:link w:val="E-mailSignature"/>
    <w:rsid w:val="006C4999"/>
    <w:rPr>
      <w:rFonts w:ascii="Times New Roman" w:eastAsia="Times New Roman" w:hAnsi="Times New Roman" w:cs="Times New Roman"/>
      <w:sz w:val="24"/>
      <w:szCs w:val="24"/>
    </w:rPr>
  </w:style>
  <w:style w:type="paragraph" w:customStyle="1" w:styleId="Bulleted">
    <w:name w:val="Bulleted"/>
    <w:basedOn w:val="Normal"/>
    <w:autoRedefine/>
    <w:rsid w:val="006C4999"/>
    <w:pPr>
      <w:numPr>
        <w:numId w:val="1"/>
      </w:numPr>
      <w:tabs>
        <w:tab w:val="clear" w:pos="504"/>
        <w:tab w:val="num" w:pos="600"/>
      </w:tabs>
      <w:ind w:left="600" w:hanging="360"/>
    </w:pPr>
  </w:style>
  <w:style w:type="character" w:customStyle="1" w:styleId="bibrecord-highlight">
    <w:name w:val="bibrecord-highlight"/>
    <w:basedOn w:val="DefaultParagraphFont"/>
    <w:rsid w:val="006C4999"/>
  </w:style>
  <w:style w:type="paragraph" w:styleId="ListBullet">
    <w:name w:val="List Bullet"/>
    <w:basedOn w:val="Normal"/>
    <w:autoRedefine/>
    <w:rsid w:val="006C4999"/>
    <w:pPr>
      <w:tabs>
        <w:tab w:val="num" w:pos="864"/>
      </w:tabs>
      <w:ind w:left="360" w:hanging="288"/>
    </w:pPr>
  </w:style>
  <w:style w:type="paragraph" w:customStyle="1" w:styleId="abodytext">
    <w:name w:val="a_body text"/>
    <w:basedOn w:val="Normal"/>
    <w:rsid w:val="006C4999"/>
    <w:pPr>
      <w:spacing w:before="120" w:after="120" w:line="360" w:lineRule="auto"/>
      <w:ind w:firstLine="720"/>
    </w:pPr>
  </w:style>
  <w:style w:type="paragraph" w:customStyle="1" w:styleId="aaftertextindent">
    <w:name w:val="a_after text indent"/>
    <w:basedOn w:val="Normal"/>
    <w:rsid w:val="006C4999"/>
    <w:pPr>
      <w:spacing w:before="240" w:after="120" w:line="360" w:lineRule="auto"/>
      <w:ind w:firstLine="720"/>
    </w:pPr>
  </w:style>
  <w:style w:type="paragraph" w:customStyle="1" w:styleId="TableTitle">
    <w:name w:val="Table Title"/>
    <w:basedOn w:val="Normal"/>
    <w:rsid w:val="006C4999"/>
    <w:pPr>
      <w:keepNext/>
      <w:keepLines/>
      <w:spacing w:after="120"/>
      <w:ind w:left="1440" w:hanging="1440"/>
    </w:pPr>
    <w:rPr>
      <w:rFonts w:ascii="Arial" w:hAnsi="Arial" w:cs="Arial"/>
      <w:b/>
      <w:bCs/>
      <w:sz w:val="22"/>
      <w:szCs w:val="22"/>
    </w:rPr>
  </w:style>
  <w:style w:type="paragraph" w:customStyle="1" w:styleId="aaftertext">
    <w:name w:val="a_after text"/>
    <w:basedOn w:val="Normal"/>
    <w:rsid w:val="006C4999"/>
    <w:pPr>
      <w:spacing w:before="240" w:after="120" w:line="360" w:lineRule="auto"/>
    </w:pPr>
  </w:style>
  <w:style w:type="character" w:styleId="Strong">
    <w:name w:val="Strong"/>
    <w:uiPriority w:val="22"/>
    <w:qFormat/>
    <w:rsid w:val="006C4999"/>
    <w:rPr>
      <w:b/>
      <w:bCs/>
    </w:rPr>
  </w:style>
  <w:style w:type="paragraph" w:customStyle="1" w:styleId="TableTitleContinued">
    <w:name w:val="Table Title Continued"/>
    <w:basedOn w:val="TableTitle"/>
    <w:rsid w:val="006C4999"/>
    <w:pPr>
      <w:ind w:left="1152" w:hanging="1152"/>
    </w:pPr>
  </w:style>
  <w:style w:type="paragraph" w:customStyle="1" w:styleId="bullets">
    <w:name w:val="bullets"/>
    <w:aliases w:val="bu"/>
    <w:basedOn w:val="Normal"/>
    <w:rsid w:val="006C4999"/>
    <w:pPr>
      <w:numPr>
        <w:numId w:val="2"/>
      </w:numPr>
    </w:pPr>
    <w:rPr>
      <w:rFonts w:eastAsia="SimSun"/>
    </w:rPr>
  </w:style>
  <w:style w:type="paragraph" w:customStyle="1" w:styleId="a2colbul">
    <w:name w:val="a2col_bul"/>
    <w:basedOn w:val="Normal"/>
    <w:rsid w:val="006C4999"/>
    <w:pPr>
      <w:numPr>
        <w:ilvl w:val="1"/>
        <w:numId w:val="2"/>
      </w:numPr>
      <w:tabs>
        <w:tab w:val="clear" w:pos="1440"/>
      </w:tabs>
      <w:spacing w:after="60" w:line="240" w:lineRule="exact"/>
      <w:ind w:left="260" w:hanging="274"/>
    </w:pPr>
    <w:rPr>
      <w:rFonts w:eastAsia="SimSun"/>
    </w:rPr>
  </w:style>
  <w:style w:type="character" w:customStyle="1" w:styleId="CharChar">
    <w:name w:val="Char Char"/>
    <w:rsid w:val="006C4999"/>
    <w:rPr>
      <w:rFonts w:eastAsia="SimSun"/>
      <w:lang w:val="en-US" w:eastAsia="en-US"/>
    </w:rPr>
  </w:style>
  <w:style w:type="paragraph" w:customStyle="1" w:styleId="biblio">
    <w:name w:val="biblio"/>
    <w:basedOn w:val="Normal"/>
    <w:rsid w:val="006C4999"/>
    <w:pPr>
      <w:keepLines/>
      <w:spacing w:after="240"/>
      <w:ind w:left="720" w:hanging="720"/>
    </w:pPr>
  </w:style>
  <w:style w:type="paragraph" w:styleId="DocumentMap">
    <w:name w:val="Document Map"/>
    <w:basedOn w:val="Normal"/>
    <w:link w:val="DocumentMapChar"/>
    <w:rsid w:val="006C4999"/>
    <w:rPr>
      <w:rFonts w:ascii="Tahoma" w:hAnsi="Tahoma" w:cs="Tahoma"/>
      <w:sz w:val="16"/>
      <w:szCs w:val="16"/>
    </w:rPr>
  </w:style>
  <w:style w:type="character" w:customStyle="1" w:styleId="DocumentMapChar">
    <w:name w:val="Document Map Char"/>
    <w:basedOn w:val="DefaultParagraphFont"/>
    <w:link w:val="DocumentMap"/>
    <w:rsid w:val="006C4999"/>
    <w:rPr>
      <w:rFonts w:ascii="Tahoma" w:eastAsia="Times New Roman" w:hAnsi="Tahoma" w:cs="Tahoma"/>
      <w:sz w:val="16"/>
      <w:szCs w:val="16"/>
    </w:rPr>
  </w:style>
  <w:style w:type="character" w:styleId="FollowedHyperlink">
    <w:name w:val="FollowedHyperlink"/>
    <w:rsid w:val="006C4999"/>
    <w:rPr>
      <w:color w:val="800080"/>
      <w:u w:val="single"/>
    </w:rPr>
  </w:style>
  <w:style w:type="character" w:customStyle="1" w:styleId="ChristineCrossland">
    <w:name w:val="Christine Crossland"/>
    <w:semiHidden/>
    <w:rsid w:val="006C4999"/>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rPr>
  </w:style>
  <w:style w:type="paragraph" w:styleId="BodyText">
    <w:name w:val="Body Text"/>
    <w:basedOn w:val="Normal"/>
    <w:link w:val="BodyTextChar"/>
    <w:rsid w:val="006C4999"/>
    <w:pPr>
      <w:widowControl w:val="0"/>
      <w:autoSpaceDE w:val="0"/>
      <w:autoSpaceDN w:val="0"/>
      <w:adjustRightInd w:val="0"/>
      <w:spacing w:after="120"/>
    </w:pPr>
  </w:style>
  <w:style w:type="character" w:customStyle="1" w:styleId="BodyTextChar">
    <w:name w:val="Body Text Char"/>
    <w:basedOn w:val="DefaultParagraphFont"/>
    <w:link w:val="BodyText"/>
    <w:rsid w:val="006C4999"/>
    <w:rPr>
      <w:rFonts w:ascii="Times New Roman" w:eastAsia="Times New Roman" w:hAnsi="Times New Roman" w:cs="Times New Roman"/>
      <w:sz w:val="24"/>
      <w:szCs w:val="24"/>
    </w:rPr>
  </w:style>
  <w:style w:type="paragraph" w:styleId="EnvelopeReturn">
    <w:name w:val="envelope return"/>
    <w:basedOn w:val="Normal"/>
    <w:rsid w:val="006C4999"/>
    <w:rPr>
      <w:sz w:val="20"/>
      <w:szCs w:val="20"/>
    </w:rPr>
  </w:style>
  <w:style w:type="paragraph" w:styleId="BlockText">
    <w:name w:val="Block Text"/>
    <w:basedOn w:val="Normal"/>
    <w:rsid w:val="006C4999"/>
    <w:pPr>
      <w:ind w:left="113" w:right="113"/>
    </w:pPr>
  </w:style>
  <w:style w:type="paragraph" w:styleId="BodyTextIndent">
    <w:name w:val="Body Text Indent"/>
    <w:basedOn w:val="Normal"/>
    <w:link w:val="BodyTextIndentChar"/>
    <w:rsid w:val="006C4999"/>
    <w:pPr>
      <w:widowControl w:val="0"/>
      <w:autoSpaceDE w:val="0"/>
      <w:autoSpaceDN w:val="0"/>
      <w:adjustRightInd w:val="0"/>
      <w:spacing w:after="240"/>
      <w:ind w:left="720"/>
    </w:pPr>
  </w:style>
  <w:style w:type="character" w:customStyle="1" w:styleId="BodyTextIndentChar">
    <w:name w:val="Body Text Indent Char"/>
    <w:basedOn w:val="DefaultParagraphFont"/>
    <w:link w:val="BodyTextIndent"/>
    <w:rsid w:val="006C4999"/>
    <w:rPr>
      <w:rFonts w:ascii="Times New Roman" w:eastAsia="Times New Roman" w:hAnsi="Times New Roman" w:cs="Times New Roman"/>
      <w:sz w:val="24"/>
      <w:szCs w:val="24"/>
    </w:rPr>
  </w:style>
  <w:style w:type="paragraph" w:styleId="BodyText3">
    <w:name w:val="Body Text 3"/>
    <w:basedOn w:val="Normal"/>
    <w:link w:val="BodyText3Char"/>
    <w:rsid w:val="006C4999"/>
    <w:pPr>
      <w:widowControl w:val="0"/>
      <w:autoSpaceDE w:val="0"/>
      <w:autoSpaceDN w:val="0"/>
      <w:adjustRightInd w:val="0"/>
      <w:spacing w:line="480" w:lineRule="auto"/>
      <w:ind w:left="720"/>
    </w:pPr>
    <w:rPr>
      <w:rFonts w:ascii="Arial" w:hAnsi="Arial"/>
      <w:b/>
      <w:bCs/>
      <w:sz w:val="28"/>
      <w:szCs w:val="28"/>
    </w:rPr>
  </w:style>
  <w:style w:type="character" w:customStyle="1" w:styleId="BodyText3Char">
    <w:name w:val="Body Text 3 Char"/>
    <w:basedOn w:val="DefaultParagraphFont"/>
    <w:link w:val="BodyText3"/>
    <w:rsid w:val="006C4999"/>
    <w:rPr>
      <w:rFonts w:ascii="Arial" w:eastAsia="Times New Roman" w:hAnsi="Arial" w:cs="Times New Roman"/>
      <w:b/>
      <w:bCs/>
      <w:sz w:val="28"/>
      <w:szCs w:val="28"/>
    </w:rPr>
  </w:style>
  <w:style w:type="character" w:styleId="EndnoteReference">
    <w:name w:val="endnote reference"/>
    <w:rsid w:val="006C4999"/>
    <w:rPr>
      <w:vertAlign w:val="superscript"/>
    </w:rPr>
  </w:style>
  <w:style w:type="paragraph" w:styleId="EndnoteText">
    <w:name w:val="endnote text"/>
    <w:basedOn w:val="Normal"/>
    <w:link w:val="EndnoteTextChar"/>
    <w:rsid w:val="006C4999"/>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6C4999"/>
    <w:rPr>
      <w:rFonts w:ascii="Times New Roman" w:eastAsia="Times New Roman" w:hAnsi="Times New Roman" w:cs="Times New Roman"/>
      <w:sz w:val="20"/>
      <w:szCs w:val="20"/>
    </w:rPr>
  </w:style>
  <w:style w:type="character" w:styleId="LineNumber">
    <w:name w:val="line number"/>
    <w:rsid w:val="006C4999"/>
  </w:style>
  <w:style w:type="paragraph" w:styleId="Title">
    <w:name w:val="Title"/>
    <w:basedOn w:val="Heading1"/>
    <w:link w:val="TitleChar"/>
    <w:qFormat/>
    <w:rsid w:val="006C4999"/>
    <w:pPr>
      <w:keepNext w:val="0"/>
      <w:widowControl w:val="0"/>
      <w:tabs>
        <w:tab w:val="clear" w:pos="1152"/>
      </w:tabs>
      <w:autoSpaceDE w:val="0"/>
      <w:autoSpaceDN w:val="0"/>
      <w:adjustRightInd w:val="0"/>
      <w:spacing w:line="240" w:lineRule="auto"/>
      <w:ind w:left="0" w:firstLine="0"/>
      <w:jc w:val="center"/>
    </w:pPr>
    <w:rPr>
      <w:rFonts w:ascii="Arial" w:hAnsi="Arial" w:cs="Times New Roman"/>
      <w:kern w:val="0"/>
      <w:sz w:val="44"/>
      <w:szCs w:val="44"/>
      <w:lang w:val="en-CA"/>
    </w:rPr>
  </w:style>
  <w:style w:type="character" w:customStyle="1" w:styleId="TitleChar">
    <w:name w:val="Title Char"/>
    <w:basedOn w:val="DefaultParagraphFont"/>
    <w:link w:val="Title"/>
    <w:rsid w:val="006C4999"/>
    <w:rPr>
      <w:rFonts w:ascii="Arial" w:eastAsia="Times New Roman" w:hAnsi="Arial" w:cs="Times New Roman"/>
      <w:b/>
      <w:bCs/>
      <w:sz w:val="44"/>
      <w:szCs w:val="44"/>
      <w:lang w:val="en-CA"/>
    </w:rPr>
  </w:style>
  <w:style w:type="paragraph" w:styleId="TOC3">
    <w:name w:val="toc 3"/>
    <w:basedOn w:val="Normal"/>
    <w:next w:val="Normal"/>
    <w:autoRedefine/>
    <w:qFormat/>
    <w:rsid w:val="006C4999"/>
    <w:pPr>
      <w:widowControl w:val="0"/>
      <w:autoSpaceDE w:val="0"/>
      <w:autoSpaceDN w:val="0"/>
      <w:adjustRightInd w:val="0"/>
      <w:ind w:left="400"/>
    </w:pPr>
  </w:style>
  <w:style w:type="paragraph" w:customStyle="1" w:styleId="Footnote">
    <w:name w:val="Footnote"/>
    <w:rsid w:val="006C4999"/>
    <w:pPr>
      <w:spacing w:after="0" w:line="240" w:lineRule="auto"/>
    </w:pPr>
    <w:rPr>
      <w:rFonts w:ascii="Times New Roman" w:eastAsia="Times New Roman" w:hAnsi="Times New Roman" w:cs="Times New Roman"/>
      <w:sz w:val="20"/>
      <w:szCs w:val="20"/>
    </w:rPr>
  </w:style>
  <w:style w:type="paragraph" w:customStyle="1" w:styleId="Question">
    <w:name w:val="Question"/>
    <w:basedOn w:val="Normal"/>
    <w:rsid w:val="006C4999"/>
    <w:pPr>
      <w:keepNext/>
      <w:widowControl w:val="0"/>
      <w:numPr>
        <w:numId w:val="3"/>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6C499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6C4999"/>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6C4999"/>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6C4999"/>
    <w:pPr>
      <w:spacing w:before="240" w:after="240" w:line="240" w:lineRule="auto"/>
    </w:pPr>
    <w:rPr>
      <w:rFonts w:ascii="Times New Roman" w:eastAsia="Times New Roman" w:hAnsi="Times New Roman" w:cs="Times New Roman"/>
      <w:sz w:val="24"/>
      <w:szCs w:val="24"/>
    </w:rPr>
  </w:style>
  <w:style w:type="paragraph" w:customStyle="1" w:styleId="Column">
    <w:name w:val="Column"/>
    <w:rsid w:val="006C4999"/>
    <w:pPr>
      <w:tabs>
        <w:tab w:val="right" w:leader="dot" w:pos="9360"/>
      </w:tabs>
      <w:spacing w:after="120" w:line="240" w:lineRule="auto"/>
      <w:ind w:left="5040"/>
    </w:pPr>
    <w:rPr>
      <w:rFonts w:ascii="Times New Roman" w:eastAsia="Times New Roman" w:hAnsi="Times New Roman" w:cs="Times New Roman"/>
      <w:sz w:val="24"/>
      <w:szCs w:val="24"/>
    </w:rPr>
  </w:style>
  <w:style w:type="paragraph" w:customStyle="1" w:styleId="StyleColumnBottomSinglesolidlineAuto15ptLinewidth">
    <w:name w:val="Style Column + Bottom: (Single solid line Auto  1.5 pt Line width)"/>
    <w:basedOn w:val="Column"/>
    <w:rsid w:val="006C4999"/>
  </w:style>
  <w:style w:type="paragraph" w:customStyle="1" w:styleId="Subquestion">
    <w:name w:val="Subquestion"/>
    <w:basedOn w:val="Response-NoLetter"/>
    <w:rsid w:val="006C4999"/>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6C4999"/>
    <w:pPr>
      <w:tabs>
        <w:tab w:val="clear" w:pos="720"/>
        <w:tab w:val="clear" w:pos="5832"/>
        <w:tab w:val="right" w:leader="dot" w:pos="9360"/>
      </w:tabs>
      <w:ind w:left="4320"/>
    </w:pPr>
  </w:style>
  <w:style w:type="paragraph" w:styleId="ListParagraph">
    <w:name w:val="List Paragraph"/>
    <w:basedOn w:val="Normal"/>
    <w:autoRedefine/>
    <w:uiPriority w:val="99"/>
    <w:qFormat/>
    <w:rsid w:val="006C4999"/>
    <w:pPr>
      <w:keepNext/>
      <w:keepLines/>
      <w:widowControl w:val="0"/>
      <w:numPr>
        <w:numId w:val="1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76" w:lineRule="auto"/>
    </w:pPr>
    <w:rPr>
      <w:rFonts w:eastAsia="Calibri"/>
      <w:b/>
      <w:bCs/>
    </w:rPr>
  </w:style>
  <w:style w:type="paragraph" w:customStyle="1" w:styleId="StyleAfter12pt">
    <w:name w:val="Style After:  12 pt"/>
    <w:basedOn w:val="Normal"/>
    <w:rsid w:val="006C4999"/>
    <w:pPr>
      <w:spacing w:after="120"/>
      <w:jc w:val="both"/>
    </w:pPr>
    <w:rPr>
      <w:szCs w:val="20"/>
    </w:rPr>
  </w:style>
  <w:style w:type="paragraph" w:customStyle="1" w:styleId="aind">
    <w:name w:val="a_ind"/>
    <w:basedOn w:val="Normal"/>
    <w:rsid w:val="006C4999"/>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6C4999"/>
    <w:pPr>
      <w:keepNext/>
      <w:keepLines/>
      <w:spacing w:before="360" w:after="120"/>
      <w:ind w:left="720" w:hanging="720"/>
    </w:pPr>
    <w:rPr>
      <w:rFonts w:ascii="Verdana" w:eastAsia="Calibri" w:hAnsi="Verdana"/>
      <w:b/>
      <w:sz w:val="20"/>
      <w:szCs w:val="20"/>
    </w:rPr>
  </w:style>
  <w:style w:type="paragraph" w:customStyle="1" w:styleId="Default">
    <w:name w:val="Default"/>
    <w:rsid w:val="006C4999"/>
    <w:pPr>
      <w:autoSpaceDE w:val="0"/>
      <w:autoSpaceDN w:val="0"/>
      <w:adjustRightInd w:val="0"/>
      <w:spacing w:after="0" w:line="240" w:lineRule="auto"/>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6C4999"/>
    <w:rPr>
      <w:rFonts w:ascii="Calibri" w:eastAsia="Calibri" w:hAnsi="Calibri"/>
    </w:rPr>
  </w:style>
  <w:style w:type="paragraph" w:customStyle="1" w:styleId="BodyTextFirstIndent1">
    <w:name w:val="Body Text First Indent 1"/>
    <w:basedOn w:val="Normal"/>
    <w:link w:val="BodyTextFirstIndent1Char"/>
    <w:qFormat/>
    <w:rsid w:val="006C4999"/>
    <w:pPr>
      <w:spacing w:line="480" w:lineRule="auto"/>
      <w:ind w:firstLine="360"/>
      <w:jc w:val="both"/>
    </w:pPr>
    <w:rPr>
      <w:rFonts w:ascii="Calibri" w:eastAsia="Calibri" w:hAnsi="Calibri" w:cstheme="minorBidi"/>
      <w:sz w:val="22"/>
      <w:szCs w:val="22"/>
    </w:rPr>
  </w:style>
  <w:style w:type="character" w:customStyle="1" w:styleId="1">
    <w:name w:val="1"/>
    <w:aliases w:val="2,3"/>
    <w:rsid w:val="006C4999"/>
  </w:style>
  <w:style w:type="paragraph" w:styleId="NoSpacing">
    <w:name w:val="No Spacing"/>
    <w:uiPriority w:val="1"/>
    <w:qFormat/>
    <w:rsid w:val="006C4999"/>
    <w:pPr>
      <w:spacing w:after="0" w:line="240" w:lineRule="auto"/>
    </w:pPr>
    <w:rPr>
      <w:rFonts w:ascii="Calibri" w:eastAsia="Calibri" w:hAnsi="Calibri" w:cs="Times New Roman"/>
    </w:rPr>
  </w:style>
  <w:style w:type="paragraph" w:customStyle="1" w:styleId="CT-ContractInformation">
    <w:name w:val="CT-Contract Information"/>
    <w:rsid w:val="006C4999"/>
    <w:pPr>
      <w:tabs>
        <w:tab w:val="left" w:pos="1958"/>
      </w:tabs>
      <w:spacing w:after="0" w:line="240" w:lineRule="exact"/>
    </w:pPr>
    <w:rPr>
      <w:rFonts w:ascii="Times New Roman" w:eastAsia="Times New Roman" w:hAnsi="Times New Roman" w:cs="Times New Roman"/>
      <w:vanish/>
      <w:szCs w:val="20"/>
    </w:rPr>
  </w:style>
  <w:style w:type="character" w:customStyle="1" w:styleId="EmailStyle24">
    <w:name w:val="EmailStyle24"/>
    <w:semiHidden/>
    <w:rsid w:val="006C4999"/>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6C4999"/>
    <w:pPr>
      <w:spacing w:before="120" w:line="240" w:lineRule="exact"/>
    </w:pPr>
    <w:rPr>
      <w:rFonts w:ascii="CG Times" w:hAnsi="CG Times"/>
      <w:i/>
      <w:sz w:val="22"/>
      <w:szCs w:val="22"/>
    </w:rPr>
  </w:style>
  <w:style w:type="character" w:customStyle="1" w:styleId="ListingNameChar">
    <w:name w:val="Listing_Name Char"/>
    <w:rsid w:val="006C4999"/>
    <w:rPr>
      <w:rFonts w:ascii="CG Times" w:hAnsi="CG Times"/>
      <w:i/>
      <w:noProof w:val="0"/>
      <w:sz w:val="22"/>
      <w:szCs w:val="22"/>
      <w:lang w:val="en-US" w:eastAsia="en-US" w:bidi="ar-SA"/>
    </w:rPr>
  </w:style>
  <w:style w:type="table" w:styleId="TableGrid">
    <w:name w:val="Table Grid"/>
    <w:basedOn w:val="TableNormal"/>
    <w:rsid w:val="006C49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6C4999"/>
    <w:pPr>
      <w:keepNext/>
      <w:widowControl/>
      <w:numPr>
        <w:numId w:val="4"/>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6C4999"/>
    <w:rPr>
      <w:rFonts w:ascii="Times New Roman" w:eastAsia="Times New Roman" w:hAnsi="Times New Roman" w:cs="Times New Roman"/>
      <w:b/>
      <w:bCs/>
      <w:sz w:val="28"/>
      <w:szCs w:val="28"/>
    </w:rPr>
  </w:style>
  <w:style w:type="paragraph" w:styleId="List">
    <w:name w:val="List"/>
    <w:basedOn w:val="Normal"/>
    <w:rsid w:val="006C4999"/>
    <w:pPr>
      <w:widowControl w:val="0"/>
      <w:autoSpaceDE w:val="0"/>
      <w:autoSpaceDN w:val="0"/>
      <w:adjustRightInd w:val="0"/>
      <w:ind w:left="360" w:hanging="360"/>
    </w:pPr>
    <w:rPr>
      <w:rFonts w:ascii="CG Times" w:hAnsi="CG Times"/>
    </w:rPr>
  </w:style>
  <w:style w:type="character" w:customStyle="1" w:styleId="voice">
    <w:name w:val="voice"/>
    <w:rsid w:val="006C4999"/>
  </w:style>
  <w:style w:type="character" w:customStyle="1" w:styleId="smallp21">
    <w:name w:val="smallp21"/>
    <w:rsid w:val="006C4999"/>
    <w:rPr>
      <w:i w:val="0"/>
      <w:iCs w:val="0"/>
    </w:rPr>
  </w:style>
  <w:style w:type="character" w:styleId="Emphasis">
    <w:name w:val="Emphasis"/>
    <w:qFormat/>
    <w:rsid w:val="006C4999"/>
    <w:rPr>
      <w:i/>
      <w:iCs/>
    </w:rPr>
  </w:style>
  <w:style w:type="paragraph" w:customStyle="1" w:styleId="r-pubs-pres">
    <w:name w:val="r-pubs-pres"/>
    <w:basedOn w:val="Normal"/>
    <w:rsid w:val="006C4999"/>
    <w:pPr>
      <w:spacing w:before="100" w:beforeAutospacing="1" w:after="100" w:afterAutospacing="1"/>
    </w:pPr>
  </w:style>
  <w:style w:type="paragraph" w:customStyle="1" w:styleId="ParagraphIndented">
    <w:name w:val="Paragraph Indented"/>
    <w:basedOn w:val="Normal"/>
    <w:next w:val="Normal"/>
    <w:link w:val="ParagraphIndentedChar1"/>
    <w:rsid w:val="006C4999"/>
    <w:pPr>
      <w:spacing w:after="240"/>
      <w:ind w:firstLine="720"/>
    </w:pPr>
  </w:style>
  <w:style w:type="character" w:customStyle="1" w:styleId="ParagraphIndentedChar1">
    <w:name w:val="Paragraph Indented Char1"/>
    <w:link w:val="ParagraphIndented"/>
    <w:rsid w:val="006C4999"/>
    <w:rPr>
      <w:rFonts w:ascii="Times New Roman" w:eastAsia="Times New Roman" w:hAnsi="Times New Roman" w:cs="Times New Roman"/>
      <w:sz w:val="24"/>
      <w:szCs w:val="24"/>
    </w:rPr>
  </w:style>
  <w:style w:type="paragraph" w:customStyle="1" w:styleId="ReferenceCitation">
    <w:name w:val="Reference Citation"/>
    <w:basedOn w:val="Normal"/>
    <w:rsid w:val="006C4999"/>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6C4999"/>
    <w:pPr>
      <w:spacing w:after="0" w:line="240" w:lineRule="auto"/>
    </w:pPr>
    <w:rPr>
      <w:rFonts w:ascii="CG Times" w:eastAsia="Times New Roman" w:hAnsi="CG Times" w:cs="Times New Roman"/>
      <w:sz w:val="24"/>
      <w:szCs w:val="24"/>
    </w:rPr>
  </w:style>
  <w:style w:type="paragraph" w:customStyle="1" w:styleId="Reference">
    <w:name w:val="Reference"/>
    <w:basedOn w:val="Normal"/>
    <w:qFormat/>
    <w:rsid w:val="006C4999"/>
    <w:pPr>
      <w:widowControl w:val="0"/>
      <w:spacing w:after="240"/>
      <w:ind w:left="360" w:hanging="360"/>
    </w:pPr>
  </w:style>
  <w:style w:type="paragraph" w:customStyle="1" w:styleId="Biblio0">
    <w:name w:val="Biblio"/>
    <w:basedOn w:val="Normal"/>
    <w:rsid w:val="006C4999"/>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6C4999"/>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Normal2">
    <w:name w:val="Normal 2"/>
    <w:basedOn w:val="Normal"/>
    <w:link w:val="Normal2Char"/>
    <w:rsid w:val="006C4999"/>
    <w:pPr>
      <w:spacing w:line="360" w:lineRule="auto"/>
      <w:ind w:firstLine="720"/>
    </w:pPr>
    <w:rPr>
      <w:rFonts w:ascii="Arial" w:hAnsi="Arial"/>
      <w:bCs/>
      <w:sz w:val="22"/>
    </w:rPr>
  </w:style>
  <w:style w:type="character" w:customStyle="1" w:styleId="Normal2Char">
    <w:name w:val="Normal 2 Char"/>
    <w:link w:val="Normal2"/>
    <w:rsid w:val="006C4999"/>
    <w:rPr>
      <w:rFonts w:ascii="Arial" w:eastAsia="Times New Roman" w:hAnsi="Arial" w:cs="Times New Roman"/>
      <w:bCs/>
      <w:szCs w:val="24"/>
    </w:rPr>
  </w:style>
  <w:style w:type="paragraph" w:customStyle="1" w:styleId="Heading21">
    <w:name w:val="Heading 2.1"/>
    <w:basedOn w:val="Normal"/>
    <w:rsid w:val="006C4999"/>
    <w:pPr>
      <w:keepNext/>
      <w:spacing w:before="120" w:after="120" w:line="288" w:lineRule="auto"/>
      <w:outlineLvl w:val="3"/>
    </w:pPr>
    <w:rPr>
      <w:rFonts w:ascii="Arial" w:hAnsi="Arial"/>
      <w:b/>
      <w:szCs w:val="20"/>
    </w:rPr>
  </w:style>
  <w:style w:type="paragraph" w:styleId="ListBullet4">
    <w:name w:val="List Bullet 4"/>
    <w:basedOn w:val="Normal"/>
    <w:rsid w:val="006C4999"/>
    <w:pPr>
      <w:numPr>
        <w:numId w:val="5"/>
      </w:numPr>
      <w:contextualSpacing/>
    </w:pPr>
  </w:style>
  <w:style w:type="paragraph" w:styleId="BodyTextIndent3">
    <w:name w:val="Body Text Indent 3"/>
    <w:basedOn w:val="Normal"/>
    <w:link w:val="BodyTextIndent3Char"/>
    <w:rsid w:val="006C4999"/>
    <w:pPr>
      <w:spacing w:after="120"/>
      <w:ind w:left="360"/>
    </w:pPr>
    <w:rPr>
      <w:sz w:val="16"/>
      <w:szCs w:val="16"/>
    </w:rPr>
  </w:style>
  <w:style w:type="character" w:customStyle="1" w:styleId="BodyTextIndent3Char">
    <w:name w:val="Body Text Indent 3 Char"/>
    <w:basedOn w:val="DefaultParagraphFont"/>
    <w:link w:val="BodyTextIndent3"/>
    <w:rsid w:val="006C4999"/>
    <w:rPr>
      <w:rFonts w:ascii="Times New Roman" w:eastAsia="Times New Roman" w:hAnsi="Times New Roman" w:cs="Times New Roman"/>
      <w:sz w:val="16"/>
      <w:szCs w:val="16"/>
    </w:rPr>
  </w:style>
  <w:style w:type="paragraph" w:customStyle="1" w:styleId="paragraphlast">
    <w:name w:val="paragraphlast"/>
    <w:basedOn w:val="Normal"/>
    <w:rsid w:val="006C4999"/>
    <w:pPr>
      <w:spacing w:after="240" w:line="480" w:lineRule="auto"/>
      <w:ind w:firstLine="432"/>
      <w:jc w:val="both"/>
    </w:pPr>
    <w:rPr>
      <w:rFonts w:ascii="Garamond" w:eastAsia="Calibri" w:hAnsi="Garamond"/>
    </w:rPr>
  </w:style>
</w:styles>
</file>

<file path=word/webSettings.xml><?xml version="1.0" encoding="utf-8"?>
<w:webSettings xmlns:r="http://schemas.openxmlformats.org/officeDocument/2006/relationships" xmlns:w="http://schemas.openxmlformats.org/wordprocessingml/2006/main">
  <w:divs>
    <w:div w:id="448165720">
      <w:bodyDiv w:val="1"/>
      <w:marLeft w:val="0"/>
      <w:marRight w:val="0"/>
      <w:marTop w:val="0"/>
      <w:marBottom w:val="0"/>
      <w:divBdr>
        <w:top w:val="none" w:sz="0" w:space="0" w:color="auto"/>
        <w:left w:val="none" w:sz="0" w:space="0" w:color="auto"/>
        <w:bottom w:val="none" w:sz="0" w:space="0" w:color="auto"/>
        <w:right w:val="none" w:sz="0" w:space="0" w:color="auto"/>
      </w:divBdr>
    </w:div>
    <w:div w:id="1073505598">
      <w:bodyDiv w:val="1"/>
      <w:marLeft w:val="0"/>
      <w:marRight w:val="0"/>
      <w:marTop w:val="0"/>
      <w:marBottom w:val="0"/>
      <w:divBdr>
        <w:top w:val="none" w:sz="0" w:space="0" w:color="auto"/>
        <w:left w:val="none" w:sz="0" w:space="0" w:color="auto"/>
        <w:bottom w:val="none" w:sz="0" w:space="0" w:color="auto"/>
        <w:right w:val="none" w:sz="0" w:space="0" w:color="auto"/>
      </w:divBdr>
    </w:div>
    <w:div w:id="1153521707">
      <w:bodyDiv w:val="1"/>
      <w:marLeft w:val="0"/>
      <w:marRight w:val="0"/>
      <w:marTop w:val="0"/>
      <w:marBottom w:val="0"/>
      <w:divBdr>
        <w:top w:val="none" w:sz="0" w:space="0" w:color="auto"/>
        <w:left w:val="none" w:sz="0" w:space="0" w:color="auto"/>
        <w:bottom w:val="none" w:sz="0" w:space="0" w:color="auto"/>
        <w:right w:val="none" w:sz="0" w:space="0" w:color="auto"/>
      </w:divBdr>
    </w:div>
    <w:div w:id="174930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ls.gov/oes/current/oes119151.htm" TargetMode="External"/><Relationship Id="rId18" Type="http://schemas.openxmlformats.org/officeDocument/2006/relationships/hyperlink" Target="http://onlinelibrary.wiley.com/journal/10.1002/(ISSN)1520-6688)" TargetMode="External"/><Relationship Id="rId26" Type="http://schemas.openxmlformats.org/officeDocument/2006/relationships/hyperlink" Target="http://www.centerforbenefits.org/NCBOEIssueBrief(Deputization).pdf" TargetMode="External"/><Relationship Id="rId3" Type="http://schemas.openxmlformats.org/officeDocument/2006/relationships/styles" Target="styles.xml"/><Relationship Id="rId21" Type="http://schemas.openxmlformats.org/officeDocument/2006/relationships/hyperlink" Target="http://www.fns.usda.gov/ora/MENU/Published/snap/FILES/Participation/Dynamics2001-2003.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urban.org" TargetMode="External"/><Relationship Id="rId25" Type="http://schemas.openxmlformats.org/officeDocument/2006/relationships/hyperlink" Target="http://www.urban.org/publications/412303.html" TargetMode="External"/><Relationship Id="rId33" Type="http://schemas.openxmlformats.org/officeDocument/2006/relationships/hyperlink" Target="http://www.dshs.wa.gov/pdf/ms/rda/clientdata/doc/faq.pdf" TargetMode="External"/><Relationship Id="rId2" Type="http://schemas.openxmlformats.org/officeDocument/2006/relationships/numbering" Target="numbering.xml"/><Relationship Id="rId16" Type="http://schemas.openxmlformats.org/officeDocument/2006/relationships/hyperlink" Target="http://www.fns.usda.gov/Ora/menu/Published/SNAP/SNAP.htm" TargetMode="External"/><Relationship Id="rId20" Type="http://schemas.openxmlformats.org/officeDocument/2006/relationships/hyperlink" Target="http://www.nawrs.org/LA2010/Papers/m2c3.pdf" TargetMode="External"/><Relationship Id="rId29" Type="http://schemas.openxmlformats.org/officeDocument/2006/relationships/hyperlink" Target="http://ddr.nal.usda.gov/dspace/bitstream/10113/32798/1/CAT310121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pdu.org/conference/2010/Kirlin_SNAP-UI_APDU0921.ppt" TargetMode="External"/><Relationship Id="rId32" Type="http://schemas.openxmlformats.org/officeDocument/2006/relationships/hyperlink" Target="http://www.urban.org/publications/1001378.html" TargetMode="External"/><Relationship Id="rId5" Type="http://schemas.openxmlformats.org/officeDocument/2006/relationships/webSettings" Target="webSettings.xml"/><Relationship Id="rId15" Type="http://schemas.openxmlformats.org/officeDocument/2006/relationships/hyperlink" Target="http://www.bls.gov/oes/current/oes151131.htm" TargetMode="External"/><Relationship Id="rId23" Type="http://schemas.openxmlformats.org/officeDocument/2006/relationships/hyperlink" Target="http://www.fns.usda.gov/snap/rules/Memo/Support/State_Options/9-State_Options.pdf" TargetMode="External"/><Relationship Id="rId28" Type="http://schemas.openxmlformats.org/officeDocument/2006/relationships/hyperlink" Target="http://ddr.nal.usda.gov/bitstream/10113/47445/1/CAT31077457.pdf" TargetMode="External"/><Relationship Id="rId10" Type="http://schemas.openxmlformats.org/officeDocument/2006/relationships/footer" Target="footer1.xml"/><Relationship Id="rId19" Type="http://schemas.openxmlformats.org/officeDocument/2006/relationships/hyperlink" Target="http://www.ers.usda.gov/publications/efan03013/efan03013-3" TargetMode="External"/><Relationship Id="rId31" Type="http://schemas.openxmlformats.org/officeDocument/2006/relationships/hyperlink" Target="http://www.cbpp.org/files/2-24-11fa.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ls.gov/oes/current/oes434061.htm" TargetMode="External"/><Relationship Id="rId22" Type="http://schemas.openxmlformats.org/officeDocument/2006/relationships/hyperlink" Target="http://www.ers.usda.gov/publications/efan03008/efan03008-1/efan03008-1.pdf" TargetMode="External"/><Relationship Id="rId27" Type="http://schemas.openxmlformats.org/officeDocument/2006/relationships/hyperlink" Target="http://www.mathematica-mpr.com/PDFs/foodstampleave.pdf" TargetMode="External"/><Relationship Id="rId30" Type="http://schemas.openxmlformats.org/officeDocument/2006/relationships/hyperlink" Target="http://www.mdrc.org/publications/420/full.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7D3F4-4C0E-41E8-8448-C2CD133D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8182</Words>
  <Characters>46641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smalaiyandi</cp:lastModifiedBy>
  <cp:revision>3</cp:revision>
  <cp:lastPrinted>2012-11-06T17:50:00Z</cp:lastPrinted>
  <dcterms:created xsi:type="dcterms:W3CDTF">2013-02-07T17:34:00Z</dcterms:created>
  <dcterms:modified xsi:type="dcterms:W3CDTF">2013-02-07T17:35:00Z</dcterms:modified>
</cp:coreProperties>
</file>