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19" w:rsidRDefault="004B2652" w:rsidP="00421B58">
      <w:pPr>
        <w:framePr w:hSpace="180" w:wrap="around" w:vAnchor="text" w:hAnchor="page" w:x="4033" w:y="-869"/>
      </w:pPr>
      <w:r>
        <w:t xml:space="preserve"> </w:t>
      </w:r>
    </w:p>
    <w:p w:rsidR="00996619" w:rsidRDefault="007F47A1">
      <w:pPr>
        <w:framePr w:hSpace="180" w:wrap="around" w:vAnchor="text" w:hAnchor="page" w:x="2161" w:y="-1004"/>
      </w:pPr>
      <w:r>
        <w:rPr>
          <w:noProof/>
        </w:rPr>
        <w:drawing>
          <wp:inline distT="0" distB="0" distL="0" distR="0" wp14:anchorId="4BEC7D6F" wp14:editId="4A94E217">
            <wp:extent cx="762000" cy="523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Univers" w:hAnsi="Univers"/>
              <w:b/>
              <w:sz w:val="18"/>
            </w:rPr>
            <w:t>United States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Nutrition          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Univers" w:hAnsi="Univers"/>
              <w:sz w:val="16"/>
            </w:rPr>
            <w:t>Alexandria</w:t>
          </w:r>
        </w:smartTag>
        <w:r>
          <w:rPr>
            <w:rFonts w:ascii="Univers" w:hAnsi="Univers"/>
            <w:sz w:val="16"/>
          </w:rPr>
          <w:t xml:space="preserve">, </w:t>
        </w:r>
        <w:smartTag w:uri="urn:schemas-microsoft-com:office:smarttags" w:element="State">
          <w:r>
            <w:rPr>
              <w:rFonts w:ascii="Univers" w:hAnsi="Univers"/>
              <w:sz w:val="16"/>
            </w:rPr>
            <w:t>VA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>
      <w:pPr>
        <w:ind w:left="270"/>
        <w:rPr>
          <w:rFonts w:ascii="Univers" w:hAnsi="Univers"/>
          <w:sz w:val="24"/>
          <w:szCs w:val="24"/>
        </w:rPr>
      </w:pPr>
    </w:p>
    <w:p w:rsidR="00996619" w:rsidRPr="004B2652" w:rsidRDefault="00901A84" w:rsidP="00901A84">
      <w:pPr>
        <w:tabs>
          <w:tab w:val="left" w:pos="2160"/>
        </w:tabs>
        <w:jc w:val="center"/>
        <w:rPr>
          <w:sz w:val="24"/>
          <w:szCs w:val="24"/>
        </w:rPr>
      </w:pPr>
      <w:r w:rsidRPr="000A3C27">
        <w:rPr>
          <w:sz w:val="24"/>
          <w:szCs w:val="24"/>
        </w:rPr>
        <w:tab/>
      </w:r>
      <w:r w:rsidRPr="000A3C27">
        <w:rPr>
          <w:sz w:val="24"/>
          <w:szCs w:val="24"/>
        </w:rPr>
        <w:tab/>
      </w:r>
      <w:r w:rsidR="00171533">
        <w:rPr>
          <w:sz w:val="24"/>
          <w:szCs w:val="24"/>
        </w:rPr>
        <w:tab/>
      </w:r>
      <w:r w:rsidR="00171533">
        <w:rPr>
          <w:sz w:val="24"/>
          <w:szCs w:val="24"/>
        </w:rPr>
        <w:tab/>
      </w:r>
      <w:r w:rsidR="00171533">
        <w:rPr>
          <w:sz w:val="24"/>
          <w:szCs w:val="24"/>
        </w:rPr>
        <w:tab/>
      </w:r>
      <w:r w:rsidR="004B2652">
        <w:rPr>
          <w:sz w:val="24"/>
          <w:szCs w:val="24"/>
        </w:rPr>
        <w:t>April 17</w:t>
      </w:r>
      <w:r w:rsidR="00171533" w:rsidRPr="004B2652">
        <w:rPr>
          <w:sz w:val="24"/>
          <w:szCs w:val="24"/>
        </w:rPr>
        <w:t>, 2015</w:t>
      </w:r>
    </w:p>
    <w:p w:rsidR="00EC53EA" w:rsidRPr="004B2652" w:rsidRDefault="008927A5" w:rsidP="00EC53EA">
      <w:pPr>
        <w:tabs>
          <w:tab w:val="left" w:pos="216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132080</wp:posOffset>
                </wp:positionV>
                <wp:extent cx="5461635" cy="24479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635" cy="2447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533D" w:rsidRPr="004B2652" w:rsidRDefault="0004533D" w:rsidP="00BF03F3">
                            <w:pPr>
                              <w:tabs>
                                <w:tab w:val="right" w:pos="1080"/>
                                <w:tab w:val="left" w:pos="144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E556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AE556D">
                              <w:rPr>
                                <w:sz w:val="24"/>
                                <w:szCs w:val="24"/>
                              </w:rPr>
                              <w:t>TO: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4B2652">
                              <w:rPr>
                                <w:sz w:val="24"/>
                                <w:szCs w:val="24"/>
                              </w:rPr>
                              <w:t>Julie Wise</w:t>
                            </w:r>
                          </w:p>
                          <w:p w:rsidR="0004533D" w:rsidRPr="004B2652" w:rsidRDefault="0004533D" w:rsidP="00BF03F3">
                            <w:pPr>
                              <w:tabs>
                                <w:tab w:val="right" w:pos="10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4B265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4B2652">
                              <w:rPr>
                                <w:sz w:val="24"/>
                                <w:szCs w:val="24"/>
                              </w:rPr>
                              <w:tab/>
                              <w:t>OMB Desk Officer</w:t>
                            </w:r>
                          </w:p>
                          <w:p w:rsidR="0004533D" w:rsidRPr="004B2652" w:rsidRDefault="0004533D" w:rsidP="00AE556D">
                            <w:pPr>
                              <w:tabs>
                                <w:tab w:val="right" w:pos="1080"/>
                                <w:tab w:val="left" w:pos="126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4B265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4533D" w:rsidRPr="004B2652" w:rsidRDefault="0004533D" w:rsidP="00BF03F3">
                            <w:pPr>
                              <w:tabs>
                                <w:tab w:val="right" w:pos="1080"/>
                                <w:tab w:val="left" w:pos="144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4B2652">
                              <w:rPr>
                                <w:sz w:val="24"/>
                                <w:szCs w:val="24"/>
                              </w:rPr>
                              <w:tab/>
                              <w:t>THROUGH:</w:t>
                            </w:r>
                            <w:r w:rsidRPr="004B265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4074E" w:rsidRPr="004B2652">
                              <w:rPr>
                                <w:sz w:val="24"/>
                                <w:szCs w:val="24"/>
                              </w:rPr>
                              <w:t>Rachelle Ragland-Greene</w:t>
                            </w:r>
                          </w:p>
                          <w:p w:rsidR="0004533D" w:rsidRPr="004B2652" w:rsidRDefault="0004533D" w:rsidP="00BF03F3">
                            <w:pPr>
                              <w:tabs>
                                <w:tab w:val="right" w:pos="1080"/>
                                <w:tab w:val="left" w:pos="144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4B265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4B265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4074E" w:rsidRPr="004B2652">
                              <w:rPr>
                                <w:sz w:val="24"/>
                                <w:szCs w:val="24"/>
                              </w:rPr>
                              <w:t>FNS Information Collection Officer</w:t>
                            </w:r>
                            <w:r w:rsidRPr="004B2652">
                              <w:rPr>
                                <w:sz w:val="24"/>
                                <w:szCs w:val="24"/>
                              </w:rPr>
                              <w:t>, Planning and Regulatory Affairs</w:t>
                            </w:r>
                          </w:p>
                          <w:p w:rsidR="0004533D" w:rsidRPr="004B2652" w:rsidRDefault="0004533D" w:rsidP="00BF03F3">
                            <w:pPr>
                              <w:tabs>
                                <w:tab w:val="right" w:pos="1080"/>
                                <w:tab w:val="left" w:pos="144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4B265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4B2652">
                              <w:rPr>
                                <w:sz w:val="24"/>
                                <w:szCs w:val="24"/>
                              </w:rPr>
                              <w:tab/>
                              <w:t>Food and Nutrition Service</w:t>
                            </w:r>
                          </w:p>
                          <w:p w:rsidR="0004533D" w:rsidRPr="004B2652" w:rsidRDefault="0004533D" w:rsidP="00BF03F3">
                            <w:pPr>
                              <w:tabs>
                                <w:tab w:val="right" w:pos="1080"/>
                                <w:tab w:val="left" w:pos="144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4533D" w:rsidRPr="004B2652" w:rsidRDefault="0004533D" w:rsidP="00F141C2">
                            <w:pPr>
                              <w:tabs>
                                <w:tab w:val="right" w:pos="1080"/>
                                <w:tab w:val="left" w:pos="1440"/>
                                <w:tab w:val="left" w:pos="153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4B2652"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4B2652">
                              <w:rPr>
                                <w:sz w:val="24"/>
                                <w:szCs w:val="24"/>
                              </w:rPr>
                              <w:tab/>
                              <w:t>FROM:</w:t>
                            </w:r>
                            <w:r w:rsidRPr="004B2652">
                              <w:rPr>
                                <w:sz w:val="24"/>
                                <w:szCs w:val="24"/>
                              </w:rPr>
                              <w:tab/>
                              <w:t>Lael Lubing</w:t>
                            </w:r>
                          </w:p>
                          <w:p w:rsidR="0004533D" w:rsidRDefault="0004533D" w:rsidP="00F141C2">
                            <w:pPr>
                              <w:tabs>
                                <w:tab w:val="right" w:pos="1080"/>
                                <w:tab w:val="left" w:pos="1440"/>
                                <w:tab w:val="left" w:pos="153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4B265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4B2652">
                              <w:rPr>
                                <w:sz w:val="24"/>
                                <w:szCs w:val="24"/>
                              </w:rPr>
                              <w:tab/>
                              <w:t>Director, Grants and Fiscal Policy Division</w:t>
                            </w:r>
                          </w:p>
                          <w:p w:rsidR="0004533D" w:rsidRDefault="0004533D" w:rsidP="00F141C2">
                            <w:pPr>
                              <w:tabs>
                                <w:tab w:val="right" w:pos="1080"/>
                                <w:tab w:val="left" w:pos="1440"/>
                                <w:tab w:val="left" w:pos="153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Food and Nutrition Service</w:t>
                            </w:r>
                          </w:p>
                          <w:p w:rsidR="0004533D" w:rsidRPr="00AE556D" w:rsidRDefault="0004533D" w:rsidP="00F141C2">
                            <w:pPr>
                              <w:tabs>
                                <w:tab w:val="right" w:pos="1080"/>
                                <w:tab w:val="left" w:pos="1440"/>
                                <w:tab w:val="left" w:pos="153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45pt;margin-top:10.4pt;width:430.05pt;height:19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yEtQIAALo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" filled="f" stroked="f">
                <v:textbox>
                  <w:txbxContent>
                    <w:p w:rsidR="0004533D" w:rsidRPr="004B2652" w:rsidRDefault="0004533D" w:rsidP="00BF03F3">
                      <w:pPr>
                        <w:tabs>
                          <w:tab w:val="right" w:pos="1080"/>
                          <w:tab w:val="left" w:pos="1440"/>
                        </w:tabs>
                        <w:rPr>
                          <w:sz w:val="24"/>
                          <w:szCs w:val="24"/>
                        </w:rPr>
                      </w:pPr>
                      <w:r w:rsidRPr="00AE556D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</w:t>
                      </w:r>
                      <w:r w:rsidRPr="00AE556D">
                        <w:rPr>
                          <w:sz w:val="24"/>
                          <w:szCs w:val="24"/>
                        </w:rPr>
                        <w:t>TO: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4B2652">
                        <w:rPr>
                          <w:sz w:val="24"/>
                          <w:szCs w:val="24"/>
                        </w:rPr>
                        <w:t>Julie Wise</w:t>
                      </w:r>
                    </w:p>
                    <w:p w:rsidR="0004533D" w:rsidRPr="004B2652" w:rsidRDefault="0004533D" w:rsidP="00BF03F3">
                      <w:pPr>
                        <w:tabs>
                          <w:tab w:val="right" w:pos="1080"/>
                        </w:tabs>
                        <w:rPr>
                          <w:sz w:val="24"/>
                          <w:szCs w:val="24"/>
                        </w:rPr>
                      </w:pPr>
                      <w:r w:rsidRPr="004B2652">
                        <w:rPr>
                          <w:sz w:val="24"/>
                          <w:szCs w:val="24"/>
                        </w:rPr>
                        <w:tab/>
                      </w:r>
                      <w:r w:rsidRPr="004B2652">
                        <w:rPr>
                          <w:sz w:val="24"/>
                          <w:szCs w:val="24"/>
                        </w:rPr>
                        <w:tab/>
                        <w:t>OMB Desk Officer</w:t>
                      </w:r>
                    </w:p>
                    <w:p w:rsidR="0004533D" w:rsidRPr="004B2652" w:rsidRDefault="0004533D" w:rsidP="00AE556D">
                      <w:pPr>
                        <w:tabs>
                          <w:tab w:val="right" w:pos="1080"/>
                          <w:tab w:val="left" w:pos="1260"/>
                        </w:tabs>
                        <w:rPr>
                          <w:sz w:val="24"/>
                          <w:szCs w:val="24"/>
                        </w:rPr>
                      </w:pPr>
                      <w:r w:rsidRPr="004B2652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04533D" w:rsidRPr="004B2652" w:rsidRDefault="0004533D" w:rsidP="00BF03F3">
                      <w:pPr>
                        <w:tabs>
                          <w:tab w:val="right" w:pos="1080"/>
                          <w:tab w:val="left" w:pos="1440"/>
                        </w:tabs>
                        <w:rPr>
                          <w:sz w:val="24"/>
                          <w:szCs w:val="24"/>
                        </w:rPr>
                      </w:pPr>
                      <w:r w:rsidRPr="004B2652">
                        <w:rPr>
                          <w:sz w:val="24"/>
                          <w:szCs w:val="24"/>
                        </w:rPr>
                        <w:tab/>
                        <w:t>THROUGH:</w:t>
                      </w:r>
                      <w:r w:rsidRPr="004B2652">
                        <w:rPr>
                          <w:sz w:val="24"/>
                          <w:szCs w:val="24"/>
                        </w:rPr>
                        <w:tab/>
                      </w:r>
                      <w:r w:rsidR="0064074E" w:rsidRPr="004B2652">
                        <w:rPr>
                          <w:sz w:val="24"/>
                          <w:szCs w:val="24"/>
                        </w:rPr>
                        <w:t>Rachelle Ragland-Greene</w:t>
                      </w:r>
                    </w:p>
                    <w:p w:rsidR="0004533D" w:rsidRPr="004B2652" w:rsidRDefault="0004533D" w:rsidP="00BF03F3">
                      <w:pPr>
                        <w:tabs>
                          <w:tab w:val="right" w:pos="1080"/>
                          <w:tab w:val="left" w:pos="1440"/>
                        </w:tabs>
                        <w:rPr>
                          <w:sz w:val="24"/>
                          <w:szCs w:val="24"/>
                        </w:rPr>
                      </w:pPr>
                      <w:r w:rsidRPr="004B2652">
                        <w:rPr>
                          <w:sz w:val="24"/>
                          <w:szCs w:val="24"/>
                        </w:rPr>
                        <w:tab/>
                      </w:r>
                      <w:r w:rsidRPr="004B2652">
                        <w:rPr>
                          <w:sz w:val="24"/>
                          <w:szCs w:val="24"/>
                        </w:rPr>
                        <w:tab/>
                      </w:r>
                      <w:r w:rsidR="0064074E" w:rsidRPr="004B2652">
                        <w:rPr>
                          <w:sz w:val="24"/>
                          <w:szCs w:val="24"/>
                        </w:rPr>
                        <w:t>FNS Information Collection Officer</w:t>
                      </w:r>
                      <w:r w:rsidRPr="004B2652">
                        <w:rPr>
                          <w:sz w:val="24"/>
                          <w:szCs w:val="24"/>
                        </w:rPr>
                        <w:t>, Planning and Regulatory Affairs</w:t>
                      </w:r>
                    </w:p>
                    <w:p w:rsidR="0004533D" w:rsidRPr="004B2652" w:rsidRDefault="0004533D" w:rsidP="00BF03F3">
                      <w:pPr>
                        <w:tabs>
                          <w:tab w:val="right" w:pos="1080"/>
                          <w:tab w:val="left" w:pos="1440"/>
                        </w:tabs>
                        <w:rPr>
                          <w:sz w:val="24"/>
                          <w:szCs w:val="24"/>
                        </w:rPr>
                      </w:pPr>
                      <w:r w:rsidRPr="004B2652">
                        <w:rPr>
                          <w:sz w:val="24"/>
                          <w:szCs w:val="24"/>
                        </w:rPr>
                        <w:tab/>
                      </w:r>
                      <w:r w:rsidRPr="004B2652">
                        <w:rPr>
                          <w:sz w:val="24"/>
                          <w:szCs w:val="24"/>
                        </w:rPr>
                        <w:tab/>
                        <w:t>Food and Nutrition Service</w:t>
                      </w:r>
                    </w:p>
                    <w:p w:rsidR="0004533D" w:rsidRPr="004B2652" w:rsidRDefault="0004533D" w:rsidP="00BF03F3">
                      <w:pPr>
                        <w:tabs>
                          <w:tab w:val="right" w:pos="1080"/>
                          <w:tab w:val="left" w:pos="1440"/>
                        </w:tabs>
                        <w:rPr>
                          <w:sz w:val="24"/>
                          <w:szCs w:val="24"/>
                        </w:rPr>
                      </w:pPr>
                    </w:p>
                    <w:p w:rsidR="0004533D" w:rsidRPr="004B2652" w:rsidRDefault="0004533D" w:rsidP="00F141C2">
                      <w:pPr>
                        <w:tabs>
                          <w:tab w:val="right" w:pos="1080"/>
                          <w:tab w:val="left" w:pos="1440"/>
                          <w:tab w:val="left" w:pos="1530"/>
                        </w:tabs>
                        <w:rPr>
                          <w:sz w:val="24"/>
                          <w:szCs w:val="24"/>
                        </w:rPr>
                      </w:pPr>
                      <w:r w:rsidRPr="004B2652"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Pr="004B2652">
                        <w:rPr>
                          <w:sz w:val="24"/>
                          <w:szCs w:val="24"/>
                        </w:rPr>
                        <w:tab/>
                        <w:t>FROM:</w:t>
                      </w:r>
                      <w:r w:rsidRPr="004B2652">
                        <w:rPr>
                          <w:sz w:val="24"/>
                          <w:szCs w:val="24"/>
                        </w:rPr>
                        <w:tab/>
                        <w:t>Lael Lubing</w:t>
                      </w:r>
                    </w:p>
                    <w:p w:rsidR="0004533D" w:rsidRDefault="0004533D" w:rsidP="00F141C2">
                      <w:pPr>
                        <w:tabs>
                          <w:tab w:val="right" w:pos="1080"/>
                          <w:tab w:val="left" w:pos="1440"/>
                          <w:tab w:val="left" w:pos="1530"/>
                        </w:tabs>
                        <w:rPr>
                          <w:sz w:val="24"/>
                          <w:szCs w:val="24"/>
                        </w:rPr>
                      </w:pPr>
                      <w:r w:rsidRPr="004B2652">
                        <w:rPr>
                          <w:sz w:val="24"/>
                          <w:szCs w:val="24"/>
                        </w:rPr>
                        <w:tab/>
                      </w:r>
                      <w:r w:rsidRPr="004B2652">
                        <w:rPr>
                          <w:sz w:val="24"/>
                          <w:szCs w:val="24"/>
                        </w:rPr>
                        <w:tab/>
                        <w:t>Director, Grants and Fiscal Policy Division</w:t>
                      </w:r>
                    </w:p>
                    <w:p w:rsidR="0004533D" w:rsidRDefault="0004533D" w:rsidP="00F141C2">
                      <w:pPr>
                        <w:tabs>
                          <w:tab w:val="right" w:pos="1080"/>
                          <w:tab w:val="left" w:pos="1440"/>
                          <w:tab w:val="left" w:pos="153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Food and Nutrition Service</w:t>
                      </w:r>
                    </w:p>
                    <w:p w:rsidR="0004533D" w:rsidRPr="00AE556D" w:rsidRDefault="0004533D" w:rsidP="00F141C2">
                      <w:pPr>
                        <w:tabs>
                          <w:tab w:val="right" w:pos="1080"/>
                          <w:tab w:val="left" w:pos="1440"/>
                          <w:tab w:val="left" w:pos="153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E556D" w:rsidRPr="004B2652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4B2652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4B2652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4B2652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4B2652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4B2652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4B2652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4B2652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4B2652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4B2652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F141C2" w:rsidRPr="004B2652" w:rsidRDefault="00F141C2" w:rsidP="00BF03F3">
      <w:pPr>
        <w:tabs>
          <w:tab w:val="right" w:pos="1080"/>
          <w:tab w:val="left" w:pos="1260"/>
        </w:tabs>
        <w:rPr>
          <w:sz w:val="24"/>
          <w:szCs w:val="24"/>
        </w:rPr>
      </w:pPr>
    </w:p>
    <w:p w:rsidR="00BF03F3" w:rsidRPr="004B2652" w:rsidRDefault="00F141C2" w:rsidP="00421B58">
      <w:pPr>
        <w:tabs>
          <w:tab w:val="right" w:pos="1080"/>
          <w:tab w:val="left" w:pos="1260"/>
        </w:tabs>
        <w:rPr>
          <w:sz w:val="24"/>
          <w:szCs w:val="24"/>
        </w:rPr>
      </w:pPr>
      <w:r w:rsidRPr="004B2652">
        <w:rPr>
          <w:sz w:val="24"/>
          <w:szCs w:val="24"/>
        </w:rPr>
        <w:t xml:space="preserve">     SUBJECT:  </w:t>
      </w:r>
      <w:r w:rsidR="00421B58" w:rsidRPr="004B2652">
        <w:rPr>
          <w:sz w:val="24"/>
          <w:szCs w:val="24"/>
        </w:rPr>
        <w:t xml:space="preserve"> </w:t>
      </w:r>
      <w:r w:rsidR="00BF03F3" w:rsidRPr="004B2652">
        <w:rPr>
          <w:sz w:val="24"/>
          <w:szCs w:val="24"/>
        </w:rPr>
        <w:t xml:space="preserve">Request </w:t>
      </w:r>
      <w:r w:rsidR="00AD73D0" w:rsidRPr="004B2652">
        <w:rPr>
          <w:sz w:val="24"/>
          <w:szCs w:val="24"/>
        </w:rPr>
        <w:t xml:space="preserve">for Approval to Add Grant to </w:t>
      </w:r>
      <w:bookmarkStart w:id="0" w:name="OLE_LINK1"/>
      <w:bookmarkStart w:id="1" w:name="OLE_LINK2"/>
      <w:r w:rsidR="00BF03F3" w:rsidRPr="004B2652">
        <w:rPr>
          <w:sz w:val="24"/>
          <w:szCs w:val="24"/>
        </w:rPr>
        <w:t>OMB Docket #0584-0512</w:t>
      </w:r>
      <w:bookmarkEnd w:id="0"/>
      <w:bookmarkEnd w:id="1"/>
    </w:p>
    <w:p w:rsidR="000A3C27" w:rsidRPr="004B2652" w:rsidRDefault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445E5" w:rsidRPr="004B2652" w:rsidRDefault="000445E5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A3C27" w:rsidRPr="004B2652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  <w:r w:rsidRPr="004B2652">
        <w:rPr>
          <w:sz w:val="24"/>
          <w:szCs w:val="24"/>
        </w:rPr>
        <w:t>The Uniform Grant Application for Non-Entitl</w:t>
      </w:r>
      <w:r w:rsidR="006F4F0A" w:rsidRPr="004B2652">
        <w:rPr>
          <w:sz w:val="24"/>
          <w:szCs w:val="24"/>
        </w:rPr>
        <w:t xml:space="preserve">ement Discretionary Grants, OMB Number 0584-0512 </w:t>
      </w:r>
      <w:r w:rsidRPr="004B2652">
        <w:rPr>
          <w:sz w:val="24"/>
          <w:szCs w:val="24"/>
        </w:rPr>
        <w:t xml:space="preserve">allows </w:t>
      </w:r>
      <w:r w:rsidR="00AD73D0" w:rsidRPr="004B2652">
        <w:rPr>
          <w:sz w:val="24"/>
          <w:szCs w:val="24"/>
        </w:rPr>
        <w:t xml:space="preserve">the Food and Nutrition Service </w:t>
      </w:r>
      <w:r w:rsidRPr="004B2652">
        <w:rPr>
          <w:sz w:val="24"/>
          <w:szCs w:val="24"/>
        </w:rPr>
        <w:t xml:space="preserve">to add programs to the list of approved programs that use this generic clearance process periodically, provided that approval is obtained in advance.  </w:t>
      </w:r>
    </w:p>
    <w:p w:rsidR="000A3C27" w:rsidRPr="004B2652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  <w:bookmarkStart w:id="2" w:name="_GoBack"/>
      <w:bookmarkEnd w:id="2"/>
    </w:p>
    <w:p w:rsidR="00443DF1" w:rsidRPr="004B2652" w:rsidRDefault="000A3C27" w:rsidP="00AD73D0">
      <w:pPr>
        <w:rPr>
          <w:sz w:val="24"/>
          <w:szCs w:val="24"/>
        </w:rPr>
      </w:pPr>
      <w:r w:rsidRPr="004B2652">
        <w:rPr>
          <w:sz w:val="24"/>
          <w:szCs w:val="24"/>
        </w:rPr>
        <w:t xml:space="preserve">The Food and Nutrition Service (FNS) is requesting OMB approval to add the </w:t>
      </w:r>
      <w:r w:rsidR="00F8193E" w:rsidRPr="004B2652">
        <w:rPr>
          <w:sz w:val="24"/>
          <w:szCs w:val="24"/>
        </w:rPr>
        <w:t>grant</w:t>
      </w:r>
      <w:r w:rsidRPr="004B2652">
        <w:rPr>
          <w:sz w:val="24"/>
          <w:szCs w:val="24"/>
        </w:rPr>
        <w:t xml:space="preserve"> </w:t>
      </w:r>
      <w:r w:rsidR="00F8193E" w:rsidRPr="004B2652">
        <w:rPr>
          <w:sz w:val="24"/>
          <w:szCs w:val="24"/>
        </w:rPr>
        <w:t>information collection</w:t>
      </w:r>
      <w:r w:rsidR="00D60E44" w:rsidRPr="004B2652">
        <w:rPr>
          <w:sz w:val="24"/>
          <w:szCs w:val="24"/>
        </w:rPr>
        <w:t>,</w:t>
      </w:r>
      <w:r w:rsidR="00F8193E" w:rsidRPr="004B2652">
        <w:rPr>
          <w:sz w:val="24"/>
          <w:szCs w:val="24"/>
        </w:rPr>
        <w:t xml:space="preserve"> </w:t>
      </w:r>
      <w:r w:rsidR="0021210D" w:rsidRPr="004B2652">
        <w:rPr>
          <w:sz w:val="24"/>
          <w:szCs w:val="24"/>
        </w:rPr>
        <w:t>Process and Technology Improvement Grants</w:t>
      </w:r>
      <w:r w:rsidR="00D60E44" w:rsidRPr="004B2652">
        <w:rPr>
          <w:sz w:val="24"/>
          <w:szCs w:val="24"/>
        </w:rPr>
        <w:t>,</w:t>
      </w:r>
      <w:r w:rsidR="00171533" w:rsidRPr="004B2652">
        <w:rPr>
          <w:sz w:val="24"/>
          <w:szCs w:val="24"/>
        </w:rPr>
        <w:t xml:space="preserve"> </w:t>
      </w:r>
      <w:r w:rsidRPr="004B2652">
        <w:rPr>
          <w:sz w:val="24"/>
          <w:szCs w:val="24"/>
        </w:rPr>
        <w:t xml:space="preserve">to the list of approved </w:t>
      </w:r>
      <w:r w:rsidR="00B2782B" w:rsidRPr="004B2652">
        <w:rPr>
          <w:sz w:val="24"/>
          <w:szCs w:val="24"/>
        </w:rPr>
        <w:t>grants</w:t>
      </w:r>
      <w:r w:rsidRPr="004B2652">
        <w:rPr>
          <w:sz w:val="24"/>
          <w:szCs w:val="24"/>
        </w:rPr>
        <w:t xml:space="preserve">. </w:t>
      </w:r>
      <w:r w:rsidR="00AD73D0" w:rsidRPr="004B2652">
        <w:rPr>
          <w:sz w:val="24"/>
          <w:szCs w:val="24"/>
        </w:rPr>
        <w:t xml:space="preserve"> </w:t>
      </w:r>
    </w:p>
    <w:p w:rsidR="00443DF1" w:rsidRPr="004B2652" w:rsidRDefault="00443DF1" w:rsidP="00AD73D0">
      <w:pPr>
        <w:rPr>
          <w:sz w:val="24"/>
          <w:szCs w:val="24"/>
        </w:rPr>
      </w:pPr>
    </w:p>
    <w:p w:rsidR="000A3C27" w:rsidRPr="004B2652" w:rsidRDefault="000A3C27" w:rsidP="00AD73D0">
      <w:pPr>
        <w:rPr>
          <w:sz w:val="24"/>
          <w:szCs w:val="24"/>
        </w:rPr>
      </w:pPr>
      <w:r w:rsidRPr="004B2652">
        <w:rPr>
          <w:sz w:val="24"/>
          <w:szCs w:val="24"/>
        </w:rPr>
        <w:t xml:space="preserve">FNS intends to award </w:t>
      </w:r>
      <w:r w:rsidR="00296AA6" w:rsidRPr="004B2652">
        <w:rPr>
          <w:sz w:val="24"/>
          <w:szCs w:val="24"/>
        </w:rPr>
        <w:t xml:space="preserve">grants to State agencies to </w:t>
      </w:r>
      <w:r w:rsidR="00B81AD3" w:rsidRPr="004B2652">
        <w:rPr>
          <w:sz w:val="24"/>
          <w:szCs w:val="24"/>
        </w:rPr>
        <w:t xml:space="preserve">fund projects to develop and implement SNAP application and eligibility determination systems or measures to improve access to SNAP benefits by eligible applicants. </w:t>
      </w:r>
      <w:r w:rsidR="00443DF1" w:rsidRPr="004B2652">
        <w:rPr>
          <w:sz w:val="24"/>
          <w:szCs w:val="24"/>
        </w:rPr>
        <w:t xml:space="preserve">In addition, FNS intends to award grants to Business-not-for-profit </w:t>
      </w:r>
      <w:r w:rsidR="00B81AD3" w:rsidRPr="004B2652">
        <w:rPr>
          <w:sz w:val="24"/>
          <w:szCs w:val="24"/>
        </w:rPr>
        <w:t xml:space="preserve">entities </w:t>
      </w:r>
      <w:r w:rsidR="00443DF1" w:rsidRPr="004B2652">
        <w:rPr>
          <w:sz w:val="24"/>
          <w:szCs w:val="24"/>
        </w:rPr>
        <w:t xml:space="preserve">such as community-based or faith-based organizations, food banks, or other emergency feeding organizations.  </w:t>
      </w:r>
      <w:r w:rsidRPr="004B2652">
        <w:rPr>
          <w:sz w:val="24"/>
          <w:szCs w:val="24"/>
        </w:rPr>
        <w:t xml:space="preserve">We are requesting to use </w:t>
      </w:r>
      <w:r w:rsidR="004B2652" w:rsidRPr="004B2652">
        <w:rPr>
          <w:sz w:val="24"/>
          <w:szCs w:val="24"/>
        </w:rPr>
        <w:t>1,526</w:t>
      </w:r>
      <w:r w:rsidR="00171533" w:rsidRPr="004B2652">
        <w:rPr>
          <w:sz w:val="24"/>
          <w:szCs w:val="24"/>
        </w:rPr>
        <w:t xml:space="preserve"> </w:t>
      </w:r>
      <w:r w:rsidRPr="004B2652">
        <w:rPr>
          <w:sz w:val="24"/>
          <w:szCs w:val="24"/>
        </w:rPr>
        <w:t xml:space="preserve">hours </w:t>
      </w:r>
      <w:r w:rsidR="003D774A" w:rsidRPr="004B2652">
        <w:rPr>
          <w:sz w:val="24"/>
          <w:szCs w:val="24"/>
        </w:rPr>
        <w:t>o</w:t>
      </w:r>
      <w:r w:rsidR="00A340C2" w:rsidRPr="004B2652">
        <w:rPr>
          <w:sz w:val="24"/>
          <w:szCs w:val="24"/>
        </w:rPr>
        <w:t xml:space="preserve">f the currently approved </w:t>
      </w:r>
      <w:r w:rsidR="004B2652" w:rsidRPr="004B2652">
        <w:rPr>
          <w:sz w:val="24"/>
          <w:szCs w:val="24"/>
        </w:rPr>
        <w:t>807</w:t>
      </w:r>
      <w:r w:rsidR="00171533" w:rsidRPr="004B2652">
        <w:rPr>
          <w:sz w:val="24"/>
          <w:szCs w:val="24"/>
        </w:rPr>
        <w:t xml:space="preserve"> </w:t>
      </w:r>
      <w:r w:rsidRPr="004B2652">
        <w:rPr>
          <w:sz w:val="24"/>
          <w:szCs w:val="24"/>
        </w:rPr>
        <w:t>hours for State</w:t>
      </w:r>
      <w:r w:rsidR="00A340C2" w:rsidRPr="004B2652">
        <w:rPr>
          <w:sz w:val="24"/>
          <w:szCs w:val="24"/>
        </w:rPr>
        <w:t xml:space="preserve"> agencie</w:t>
      </w:r>
      <w:r w:rsidRPr="004B2652">
        <w:rPr>
          <w:sz w:val="24"/>
          <w:szCs w:val="24"/>
        </w:rPr>
        <w:t>s to respond to the Request for Applications</w:t>
      </w:r>
      <w:r w:rsidR="00461BE0" w:rsidRPr="004B2652">
        <w:rPr>
          <w:sz w:val="24"/>
          <w:szCs w:val="24"/>
        </w:rPr>
        <w:t xml:space="preserve"> to operate these grants</w:t>
      </w:r>
      <w:r w:rsidR="00443DF1" w:rsidRPr="004B2652">
        <w:rPr>
          <w:sz w:val="24"/>
          <w:szCs w:val="24"/>
        </w:rPr>
        <w:t xml:space="preserve"> and </w:t>
      </w:r>
      <w:r w:rsidR="004B2652" w:rsidRPr="004B2652">
        <w:rPr>
          <w:sz w:val="24"/>
          <w:szCs w:val="24"/>
        </w:rPr>
        <w:t>719</w:t>
      </w:r>
      <w:r w:rsidR="00443DF1" w:rsidRPr="004B2652">
        <w:rPr>
          <w:sz w:val="24"/>
          <w:szCs w:val="24"/>
        </w:rPr>
        <w:t xml:space="preserve"> burden hours for Business</w:t>
      </w:r>
      <w:r w:rsidRPr="004B2652">
        <w:rPr>
          <w:sz w:val="24"/>
          <w:szCs w:val="24"/>
        </w:rPr>
        <w:t xml:space="preserve">.  </w:t>
      </w:r>
    </w:p>
    <w:p w:rsidR="00972B7A" w:rsidRPr="004B2652" w:rsidRDefault="00972B7A" w:rsidP="00AD73D0">
      <w:pPr>
        <w:rPr>
          <w:sz w:val="24"/>
          <w:szCs w:val="24"/>
        </w:rPr>
      </w:pPr>
    </w:p>
    <w:p w:rsidR="000445E5" w:rsidRPr="004B2652" w:rsidRDefault="000445E5" w:rsidP="00AD73D0">
      <w:pPr>
        <w:rPr>
          <w:sz w:val="24"/>
          <w:szCs w:val="24"/>
        </w:rPr>
      </w:pPr>
    </w:p>
    <w:tbl>
      <w:tblPr>
        <w:tblW w:w="7746" w:type="dxa"/>
        <w:jc w:val="center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1167"/>
        <w:gridCol w:w="1140"/>
        <w:gridCol w:w="1109"/>
        <w:gridCol w:w="1754"/>
        <w:gridCol w:w="1409"/>
      </w:tblGrid>
      <w:tr w:rsidR="00443DF1" w:rsidRPr="008927A5" w:rsidTr="00443DF1">
        <w:trPr>
          <w:trHeight w:val="600"/>
          <w:jc w:val="center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DF1" w:rsidRPr="008927A5" w:rsidRDefault="00443DF1" w:rsidP="00CF2463">
            <w:pPr>
              <w:rPr>
                <w:b/>
                <w:bCs/>
              </w:rPr>
            </w:pPr>
            <w:r w:rsidRPr="008927A5">
              <w:rPr>
                <w:b/>
                <w:bCs/>
              </w:rPr>
              <w:t>Respondent Type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DF1" w:rsidRPr="008927A5" w:rsidRDefault="00443DF1" w:rsidP="00CF2463">
            <w:pPr>
              <w:rPr>
                <w:rFonts w:eastAsia="Calibri"/>
                <w:b/>
                <w:bCs/>
              </w:rPr>
            </w:pPr>
            <w:r w:rsidRPr="008927A5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DF1" w:rsidRPr="008927A5" w:rsidRDefault="00443DF1" w:rsidP="00CF2463">
            <w:pPr>
              <w:rPr>
                <w:rFonts w:eastAsia="Calibri"/>
                <w:b/>
                <w:bCs/>
              </w:rPr>
            </w:pPr>
            <w:r w:rsidRPr="008927A5">
              <w:rPr>
                <w:b/>
                <w:bCs/>
              </w:rPr>
              <w:t>Approved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DF1" w:rsidRPr="008927A5" w:rsidRDefault="00443DF1" w:rsidP="00CF2463">
            <w:pPr>
              <w:rPr>
                <w:rFonts w:eastAsia="Calibri"/>
                <w:b/>
                <w:bCs/>
              </w:rPr>
            </w:pPr>
            <w:r w:rsidRPr="008927A5">
              <w:rPr>
                <w:b/>
                <w:bCs/>
              </w:rPr>
              <w:t>Currently Available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DF1" w:rsidRPr="008927A5" w:rsidRDefault="00443DF1" w:rsidP="00CF2463">
            <w:pPr>
              <w:rPr>
                <w:rFonts w:eastAsia="Calibri"/>
                <w:b/>
                <w:bCs/>
              </w:rPr>
            </w:pPr>
            <w:r w:rsidRPr="008927A5">
              <w:rPr>
                <w:b/>
                <w:bCs/>
              </w:rPr>
              <w:t>Requested for use with this IC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DF1" w:rsidRPr="008927A5" w:rsidRDefault="00443DF1" w:rsidP="00CF2463">
            <w:pPr>
              <w:rPr>
                <w:rFonts w:eastAsia="Calibri"/>
                <w:b/>
                <w:bCs/>
              </w:rPr>
            </w:pPr>
            <w:r w:rsidRPr="008927A5">
              <w:rPr>
                <w:b/>
                <w:bCs/>
              </w:rPr>
              <w:t>Difference (Remaining)</w:t>
            </w:r>
          </w:p>
        </w:tc>
      </w:tr>
      <w:tr w:rsidR="00885A0E" w:rsidRPr="008927A5" w:rsidTr="00953849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85A0E" w:rsidRPr="008927A5" w:rsidRDefault="00885A0E" w:rsidP="00CF2463">
            <w:pPr>
              <w:rPr>
                <w:b/>
                <w:bCs/>
              </w:rPr>
            </w:pPr>
            <w:r w:rsidRPr="008927A5">
              <w:rPr>
                <w:b/>
                <w:bCs/>
              </w:rPr>
              <w:t>State, Local and Tribal Government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5A0E" w:rsidRPr="008927A5" w:rsidRDefault="00885A0E" w:rsidP="00CF2463">
            <w:pPr>
              <w:rPr>
                <w:rFonts w:eastAsia="Calibri"/>
                <w:b/>
                <w:bCs/>
              </w:rPr>
            </w:pPr>
            <w:r w:rsidRPr="008927A5">
              <w:rPr>
                <w:b/>
                <w:bCs/>
              </w:rPr>
              <w:t>Responses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A0E" w:rsidRPr="008927A5" w:rsidRDefault="00885A0E">
            <w:pPr>
              <w:jc w:val="center"/>
              <w:rPr>
                <w:rFonts w:eastAsiaTheme="minorHAnsi"/>
              </w:rPr>
            </w:pPr>
            <w:r w:rsidRPr="008927A5">
              <w:t>4,761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A0E" w:rsidRPr="008927A5" w:rsidRDefault="00885A0E">
            <w:pPr>
              <w:jc w:val="center"/>
              <w:rPr>
                <w:rFonts w:eastAsiaTheme="minorHAnsi"/>
              </w:rPr>
            </w:pPr>
            <w:r w:rsidRPr="008927A5">
              <w:rPr>
                <w:rFonts w:eastAsia="Calibri"/>
              </w:rPr>
              <w:t>2,033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A0E" w:rsidRPr="008927A5" w:rsidRDefault="004B2652">
            <w:pPr>
              <w:jc w:val="center"/>
              <w:rPr>
                <w:rFonts w:eastAsiaTheme="minorHAnsi"/>
              </w:rPr>
            </w:pPr>
            <w:r w:rsidRPr="008927A5">
              <w:rPr>
                <w:rFonts w:eastAsiaTheme="minorHAnsi"/>
              </w:rPr>
              <w:t>141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A0E" w:rsidRPr="008927A5" w:rsidRDefault="004B2652">
            <w:pPr>
              <w:jc w:val="center"/>
              <w:rPr>
                <w:rFonts w:eastAsiaTheme="minorHAnsi"/>
              </w:rPr>
            </w:pPr>
            <w:r w:rsidRPr="008927A5">
              <w:rPr>
                <w:rFonts w:eastAsiaTheme="minorHAnsi"/>
              </w:rPr>
              <w:t>1,892</w:t>
            </w:r>
          </w:p>
        </w:tc>
      </w:tr>
      <w:tr w:rsidR="00885A0E" w:rsidRPr="008927A5" w:rsidTr="00953849">
        <w:trPr>
          <w:trHeight w:val="300"/>
          <w:jc w:val="center"/>
        </w:trPr>
        <w:tc>
          <w:tcPr>
            <w:tcW w:w="11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5A0E" w:rsidRPr="008927A5" w:rsidRDefault="00885A0E" w:rsidP="00CF2463">
            <w:pPr>
              <w:rPr>
                <w:b/>
                <w:bCs/>
              </w:rPr>
            </w:pP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5A0E" w:rsidRPr="008927A5" w:rsidRDefault="00885A0E" w:rsidP="00CF2463">
            <w:pPr>
              <w:rPr>
                <w:rFonts w:eastAsia="Calibri"/>
                <w:b/>
                <w:bCs/>
              </w:rPr>
            </w:pPr>
            <w:r w:rsidRPr="008927A5">
              <w:rPr>
                <w:b/>
                <w:bCs/>
              </w:rPr>
              <w:t>Hours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A0E" w:rsidRPr="008927A5" w:rsidRDefault="00885A0E">
            <w:pPr>
              <w:jc w:val="center"/>
              <w:rPr>
                <w:rFonts w:eastAsiaTheme="minorHAnsi"/>
              </w:rPr>
            </w:pPr>
            <w:r w:rsidRPr="008927A5">
              <w:t>123,903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A0E" w:rsidRPr="008927A5" w:rsidRDefault="00885A0E">
            <w:pPr>
              <w:jc w:val="center"/>
              <w:rPr>
                <w:rFonts w:eastAsiaTheme="minorHAnsi"/>
              </w:rPr>
            </w:pPr>
            <w:r w:rsidRPr="008927A5">
              <w:rPr>
                <w:rFonts w:eastAsia="Calibri"/>
              </w:rPr>
              <w:t>85,746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A0E" w:rsidRPr="008927A5" w:rsidRDefault="004B2652">
            <w:pPr>
              <w:jc w:val="center"/>
              <w:rPr>
                <w:rFonts w:eastAsiaTheme="minorHAnsi"/>
              </w:rPr>
            </w:pPr>
            <w:r w:rsidRPr="008927A5">
              <w:rPr>
                <w:rFonts w:eastAsiaTheme="minorHAnsi"/>
              </w:rPr>
              <w:t>807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A0E" w:rsidRPr="008927A5" w:rsidRDefault="004B2652">
            <w:pPr>
              <w:jc w:val="center"/>
              <w:rPr>
                <w:rFonts w:eastAsiaTheme="minorHAnsi"/>
              </w:rPr>
            </w:pPr>
            <w:r w:rsidRPr="008927A5">
              <w:rPr>
                <w:rFonts w:eastAsiaTheme="minorHAnsi"/>
              </w:rPr>
              <w:t>84,939</w:t>
            </w:r>
          </w:p>
        </w:tc>
      </w:tr>
    </w:tbl>
    <w:p w:rsidR="00972B7A" w:rsidRPr="008927A5" w:rsidRDefault="00972B7A" w:rsidP="00AD73D0"/>
    <w:tbl>
      <w:tblPr>
        <w:tblW w:w="7746" w:type="dxa"/>
        <w:jc w:val="center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1167"/>
        <w:gridCol w:w="1140"/>
        <w:gridCol w:w="1109"/>
        <w:gridCol w:w="1754"/>
        <w:gridCol w:w="1409"/>
      </w:tblGrid>
      <w:tr w:rsidR="00443DF1" w:rsidRPr="008927A5" w:rsidTr="00443DF1">
        <w:trPr>
          <w:trHeight w:val="600"/>
          <w:jc w:val="center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DF1" w:rsidRPr="008927A5" w:rsidRDefault="00443DF1" w:rsidP="0077717B">
            <w:pPr>
              <w:rPr>
                <w:b/>
                <w:bCs/>
              </w:rPr>
            </w:pPr>
            <w:r w:rsidRPr="008927A5">
              <w:rPr>
                <w:b/>
                <w:bCs/>
              </w:rPr>
              <w:t>Respondent Type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DF1" w:rsidRPr="008927A5" w:rsidRDefault="00443DF1" w:rsidP="0077717B">
            <w:pPr>
              <w:rPr>
                <w:rFonts w:eastAsia="Calibri"/>
                <w:b/>
                <w:bCs/>
              </w:rPr>
            </w:pPr>
            <w:r w:rsidRPr="008927A5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DF1" w:rsidRPr="008927A5" w:rsidRDefault="00443DF1" w:rsidP="0077717B">
            <w:pPr>
              <w:rPr>
                <w:rFonts w:eastAsia="Calibri"/>
                <w:b/>
                <w:bCs/>
              </w:rPr>
            </w:pPr>
            <w:r w:rsidRPr="008927A5">
              <w:rPr>
                <w:b/>
                <w:bCs/>
              </w:rPr>
              <w:t>Approved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DF1" w:rsidRPr="008927A5" w:rsidRDefault="00443DF1" w:rsidP="0077717B">
            <w:pPr>
              <w:rPr>
                <w:rFonts w:eastAsia="Calibri"/>
                <w:b/>
                <w:bCs/>
              </w:rPr>
            </w:pPr>
            <w:r w:rsidRPr="008927A5">
              <w:rPr>
                <w:b/>
                <w:bCs/>
              </w:rPr>
              <w:t>Currently Available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DF1" w:rsidRPr="008927A5" w:rsidRDefault="00443DF1" w:rsidP="0077717B">
            <w:pPr>
              <w:rPr>
                <w:rFonts w:eastAsia="Calibri"/>
                <w:b/>
                <w:bCs/>
              </w:rPr>
            </w:pPr>
            <w:r w:rsidRPr="008927A5">
              <w:rPr>
                <w:b/>
                <w:bCs/>
              </w:rPr>
              <w:t>Requested for use with this IC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DF1" w:rsidRPr="008927A5" w:rsidRDefault="00443DF1" w:rsidP="0077717B">
            <w:pPr>
              <w:rPr>
                <w:rFonts w:eastAsia="Calibri"/>
                <w:b/>
                <w:bCs/>
              </w:rPr>
            </w:pPr>
            <w:r w:rsidRPr="008927A5">
              <w:rPr>
                <w:b/>
                <w:bCs/>
              </w:rPr>
              <w:t>Difference (Remaining)</w:t>
            </w:r>
          </w:p>
        </w:tc>
      </w:tr>
      <w:tr w:rsidR="00885A0E" w:rsidRPr="008927A5" w:rsidTr="00E266EF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85A0E" w:rsidRPr="008927A5" w:rsidRDefault="00885A0E" w:rsidP="0077717B">
            <w:pPr>
              <w:rPr>
                <w:b/>
                <w:bCs/>
              </w:rPr>
            </w:pPr>
            <w:r w:rsidRPr="008927A5">
              <w:rPr>
                <w:b/>
                <w:bCs/>
              </w:rPr>
              <w:t>Business-not for-profit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5A0E" w:rsidRPr="008927A5" w:rsidRDefault="00885A0E" w:rsidP="0077717B">
            <w:pPr>
              <w:rPr>
                <w:rFonts w:eastAsia="Calibri"/>
                <w:b/>
                <w:bCs/>
              </w:rPr>
            </w:pPr>
            <w:r w:rsidRPr="008927A5">
              <w:rPr>
                <w:b/>
                <w:bCs/>
              </w:rPr>
              <w:t>Responses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A0E" w:rsidRPr="008927A5" w:rsidRDefault="00885A0E" w:rsidP="0077717B">
            <w:pPr>
              <w:jc w:val="center"/>
              <w:rPr>
                <w:rFonts w:eastAsiaTheme="minorHAnsi"/>
              </w:rPr>
            </w:pPr>
            <w:r w:rsidRPr="008927A5">
              <w:t>4,761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A0E" w:rsidRPr="008927A5" w:rsidRDefault="004B2652" w:rsidP="0077717B">
            <w:pPr>
              <w:jc w:val="center"/>
              <w:rPr>
                <w:rFonts w:eastAsiaTheme="minorHAnsi"/>
              </w:rPr>
            </w:pPr>
            <w:r w:rsidRPr="008927A5">
              <w:rPr>
                <w:rFonts w:eastAsiaTheme="minorHAnsi"/>
              </w:rPr>
              <w:t>1,892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A0E" w:rsidRPr="008927A5" w:rsidRDefault="004B2652" w:rsidP="0077717B">
            <w:pPr>
              <w:jc w:val="center"/>
              <w:rPr>
                <w:rFonts w:eastAsiaTheme="minorHAnsi"/>
              </w:rPr>
            </w:pPr>
            <w:r w:rsidRPr="008927A5">
              <w:rPr>
                <w:rFonts w:eastAsiaTheme="minorHAnsi"/>
              </w:rPr>
              <w:t>87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A0E" w:rsidRPr="008927A5" w:rsidRDefault="004B2652" w:rsidP="0077717B">
            <w:pPr>
              <w:jc w:val="center"/>
              <w:rPr>
                <w:rFonts w:eastAsiaTheme="minorHAnsi"/>
              </w:rPr>
            </w:pPr>
            <w:r w:rsidRPr="008927A5">
              <w:rPr>
                <w:rFonts w:eastAsiaTheme="minorHAnsi"/>
              </w:rPr>
              <w:t>1,805</w:t>
            </w:r>
          </w:p>
        </w:tc>
      </w:tr>
      <w:tr w:rsidR="00885A0E" w:rsidRPr="008927A5" w:rsidTr="00E266EF">
        <w:trPr>
          <w:trHeight w:val="300"/>
          <w:jc w:val="center"/>
        </w:trPr>
        <w:tc>
          <w:tcPr>
            <w:tcW w:w="11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5A0E" w:rsidRPr="008927A5" w:rsidRDefault="00885A0E" w:rsidP="0077717B">
            <w:pPr>
              <w:rPr>
                <w:b/>
                <w:bCs/>
              </w:rPr>
            </w:pP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5A0E" w:rsidRPr="008927A5" w:rsidRDefault="00885A0E" w:rsidP="0077717B">
            <w:pPr>
              <w:rPr>
                <w:rFonts w:eastAsia="Calibri"/>
                <w:b/>
                <w:bCs/>
              </w:rPr>
            </w:pPr>
            <w:r w:rsidRPr="008927A5">
              <w:rPr>
                <w:b/>
                <w:bCs/>
              </w:rPr>
              <w:t>Hours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A0E" w:rsidRPr="008927A5" w:rsidRDefault="00885A0E" w:rsidP="0077717B">
            <w:pPr>
              <w:jc w:val="center"/>
              <w:rPr>
                <w:rFonts w:eastAsiaTheme="minorHAnsi"/>
              </w:rPr>
            </w:pPr>
            <w:r w:rsidRPr="008927A5">
              <w:t>123,903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A0E" w:rsidRPr="008927A5" w:rsidRDefault="004B2652" w:rsidP="0077717B">
            <w:pPr>
              <w:jc w:val="center"/>
              <w:rPr>
                <w:rFonts w:eastAsiaTheme="minorHAnsi"/>
              </w:rPr>
            </w:pPr>
            <w:r w:rsidRPr="008927A5">
              <w:rPr>
                <w:rFonts w:eastAsiaTheme="minorHAnsi"/>
              </w:rPr>
              <w:t>84,939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A0E" w:rsidRPr="008927A5" w:rsidRDefault="004B2652" w:rsidP="0077717B">
            <w:pPr>
              <w:jc w:val="center"/>
              <w:rPr>
                <w:rFonts w:eastAsiaTheme="minorHAnsi"/>
              </w:rPr>
            </w:pPr>
            <w:r w:rsidRPr="008927A5">
              <w:rPr>
                <w:rFonts w:eastAsiaTheme="minorHAnsi"/>
              </w:rPr>
              <w:t>719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A0E" w:rsidRPr="008927A5" w:rsidRDefault="004B2652" w:rsidP="0077717B">
            <w:pPr>
              <w:jc w:val="center"/>
              <w:rPr>
                <w:rFonts w:eastAsiaTheme="minorHAnsi"/>
              </w:rPr>
            </w:pPr>
            <w:r w:rsidRPr="008927A5">
              <w:rPr>
                <w:rFonts w:eastAsiaTheme="minorHAnsi"/>
              </w:rPr>
              <w:t>84,220</w:t>
            </w:r>
          </w:p>
        </w:tc>
      </w:tr>
    </w:tbl>
    <w:p w:rsidR="000A3C27" w:rsidRPr="004B2652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996619" w:rsidRDefault="00E50E95" w:rsidP="00885A0E">
      <w:pPr>
        <w:tabs>
          <w:tab w:val="left" w:pos="360"/>
          <w:tab w:val="left" w:pos="1440"/>
          <w:tab w:val="left" w:pos="3960"/>
        </w:tabs>
      </w:pPr>
      <w:r w:rsidRPr="004B2652">
        <w:rPr>
          <w:sz w:val="24"/>
          <w:szCs w:val="24"/>
        </w:rPr>
        <w:t>If you have any questions or require any additional informatio</w:t>
      </w:r>
      <w:r w:rsidR="00972B7A" w:rsidRPr="004B2652">
        <w:rPr>
          <w:sz w:val="24"/>
          <w:szCs w:val="24"/>
        </w:rPr>
        <w:t xml:space="preserve">n, please give me a call on </w:t>
      </w:r>
      <w:r w:rsidR="00972B7A" w:rsidRPr="004B2652">
        <w:rPr>
          <w:iCs/>
          <w:sz w:val="24"/>
          <w:szCs w:val="24"/>
        </w:rPr>
        <w:t>703.</w:t>
      </w:r>
      <w:r w:rsidR="0064074E" w:rsidRPr="004B2652">
        <w:rPr>
          <w:iCs/>
          <w:sz w:val="24"/>
          <w:szCs w:val="24"/>
        </w:rPr>
        <w:t>305</w:t>
      </w:r>
      <w:r w:rsidR="0064074E">
        <w:rPr>
          <w:iCs/>
          <w:sz w:val="24"/>
          <w:szCs w:val="24"/>
        </w:rPr>
        <w:t>-2586</w:t>
      </w:r>
      <w:r w:rsidRPr="00972B7A">
        <w:rPr>
          <w:sz w:val="24"/>
          <w:szCs w:val="24"/>
        </w:rPr>
        <w:t>.</w:t>
      </w:r>
    </w:p>
    <w:sectPr w:rsidR="00996619" w:rsidSect="00302AA0">
      <w:footerReference w:type="default" r:id="rId9"/>
      <w:pgSz w:w="12240" w:h="15840" w:code="1"/>
      <w:pgMar w:top="1440" w:right="1440" w:bottom="360" w:left="180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F8A" w:rsidRDefault="006D7F8A">
      <w:r>
        <w:separator/>
      </w:r>
    </w:p>
  </w:endnote>
  <w:endnote w:type="continuationSeparator" w:id="0">
    <w:p w:rsidR="006D7F8A" w:rsidRDefault="006D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33D" w:rsidRDefault="0004533D">
    <w:pPr>
      <w:pStyle w:val="Footer"/>
      <w:rPr>
        <w:rFonts w:ascii="Univers" w:hAnsi="Univers"/>
        <w:sz w:val="16"/>
      </w:rPr>
    </w:pPr>
    <w:r>
      <w:t xml:space="preserve">                         </w:t>
    </w:r>
    <w:r>
      <w:rPr>
        <w:rFonts w:ascii="Univers" w:hAnsi="Univers"/>
        <w:sz w:val="16"/>
      </w:rPr>
      <w:t xml:space="preserve"> AN EQUAL OPPORTUNITY EMPLOYER</w:t>
    </w:r>
  </w:p>
  <w:p w:rsidR="0004533D" w:rsidRDefault="0004533D">
    <w:pPr>
      <w:pStyle w:val="Footer"/>
      <w:rPr>
        <w:rFonts w:ascii="Univers" w:hAnsi="Univers"/>
        <w:sz w:val="16"/>
      </w:rPr>
    </w:pPr>
  </w:p>
  <w:p w:rsidR="0004533D" w:rsidRDefault="00045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F8A" w:rsidRDefault="006D7F8A">
      <w:r>
        <w:separator/>
      </w:r>
    </w:p>
  </w:footnote>
  <w:footnote w:type="continuationSeparator" w:id="0">
    <w:p w:rsidR="006D7F8A" w:rsidRDefault="006D7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90"/>
    <w:rsid w:val="000445E5"/>
    <w:rsid w:val="0004533D"/>
    <w:rsid w:val="000A3C27"/>
    <w:rsid w:val="000C069B"/>
    <w:rsid w:val="00102913"/>
    <w:rsid w:val="00105015"/>
    <w:rsid w:val="0010535F"/>
    <w:rsid w:val="001316E3"/>
    <w:rsid w:val="0014556C"/>
    <w:rsid w:val="00171533"/>
    <w:rsid w:val="00181485"/>
    <w:rsid w:val="001A799E"/>
    <w:rsid w:val="001E62D8"/>
    <w:rsid w:val="00204339"/>
    <w:rsid w:val="0021210D"/>
    <w:rsid w:val="00296AA6"/>
    <w:rsid w:val="002A0C21"/>
    <w:rsid w:val="002B02EE"/>
    <w:rsid w:val="002C064D"/>
    <w:rsid w:val="00302AA0"/>
    <w:rsid w:val="003050C7"/>
    <w:rsid w:val="00344992"/>
    <w:rsid w:val="00354105"/>
    <w:rsid w:val="00381D81"/>
    <w:rsid w:val="003D774A"/>
    <w:rsid w:val="003E1E3B"/>
    <w:rsid w:val="003E67C7"/>
    <w:rsid w:val="003F0388"/>
    <w:rsid w:val="00421B58"/>
    <w:rsid w:val="0042663D"/>
    <w:rsid w:val="00443DF1"/>
    <w:rsid w:val="00461BE0"/>
    <w:rsid w:val="0047734F"/>
    <w:rsid w:val="00493BD4"/>
    <w:rsid w:val="004B2652"/>
    <w:rsid w:val="004B7744"/>
    <w:rsid w:val="004C0C8E"/>
    <w:rsid w:val="005265B3"/>
    <w:rsid w:val="0055012A"/>
    <w:rsid w:val="005612CA"/>
    <w:rsid w:val="00571819"/>
    <w:rsid w:val="005A5489"/>
    <w:rsid w:val="005C2C11"/>
    <w:rsid w:val="005D355F"/>
    <w:rsid w:val="0064074E"/>
    <w:rsid w:val="0064481C"/>
    <w:rsid w:val="00653AF1"/>
    <w:rsid w:val="006D7F8A"/>
    <w:rsid w:val="006F4F0A"/>
    <w:rsid w:val="00753C29"/>
    <w:rsid w:val="007F47A1"/>
    <w:rsid w:val="00885A0E"/>
    <w:rsid w:val="008927A5"/>
    <w:rsid w:val="008A6B1E"/>
    <w:rsid w:val="008E01FC"/>
    <w:rsid w:val="00901A84"/>
    <w:rsid w:val="0096569F"/>
    <w:rsid w:val="00972B7A"/>
    <w:rsid w:val="00996619"/>
    <w:rsid w:val="009B3390"/>
    <w:rsid w:val="009B671C"/>
    <w:rsid w:val="00A33F5C"/>
    <w:rsid w:val="00A340C2"/>
    <w:rsid w:val="00A47A28"/>
    <w:rsid w:val="00A843FD"/>
    <w:rsid w:val="00A9581D"/>
    <w:rsid w:val="00AB22A0"/>
    <w:rsid w:val="00AC1521"/>
    <w:rsid w:val="00AC1BAE"/>
    <w:rsid w:val="00AD73D0"/>
    <w:rsid w:val="00AE556D"/>
    <w:rsid w:val="00B06243"/>
    <w:rsid w:val="00B2782B"/>
    <w:rsid w:val="00B71701"/>
    <w:rsid w:val="00B7198F"/>
    <w:rsid w:val="00B7611C"/>
    <w:rsid w:val="00B81AD3"/>
    <w:rsid w:val="00B973DD"/>
    <w:rsid w:val="00BD37D1"/>
    <w:rsid w:val="00BD757F"/>
    <w:rsid w:val="00BE61A3"/>
    <w:rsid w:val="00BF03F3"/>
    <w:rsid w:val="00C43F29"/>
    <w:rsid w:val="00C44C72"/>
    <w:rsid w:val="00CC21D1"/>
    <w:rsid w:val="00CF2463"/>
    <w:rsid w:val="00D31EE7"/>
    <w:rsid w:val="00D5688D"/>
    <w:rsid w:val="00D60E44"/>
    <w:rsid w:val="00D638B7"/>
    <w:rsid w:val="00E243BF"/>
    <w:rsid w:val="00E50E95"/>
    <w:rsid w:val="00E87060"/>
    <w:rsid w:val="00EC53EA"/>
    <w:rsid w:val="00EE1446"/>
    <w:rsid w:val="00F141C2"/>
    <w:rsid w:val="00F8193E"/>
    <w:rsid w:val="00F84AD5"/>
    <w:rsid w:val="00F94C10"/>
    <w:rsid w:val="00FC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443DF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43DF1"/>
  </w:style>
  <w:style w:type="character" w:customStyle="1" w:styleId="CommentTextChar">
    <w:name w:val="Comment Text Char"/>
    <w:basedOn w:val="DefaultParagraphFont"/>
    <w:link w:val="CommentText"/>
    <w:semiHidden/>
    <w:rsid w:val="00443DF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43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43D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443DF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43DF1"/>
  </w:style>
  <w:style w:type="character" w:customStyle="1" w:styleId="CommentTextChar">
    <w:name w:val="Comment Text Char"/>
    <w:basedOn w:val="DefaultParagraphFont"/>
    <w:link w:val="CommentText"/>
    <w:semiHidden/>
    <w:rsid w:val="00443DF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43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43D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9021E-9F69-416A-8BBA-324403DE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FCS LETTERHEAD</vt:lpstr>
    </vt:vector>
  </TitlesOfParts>
  <Manager>PAM WASHINGTON</Manager>
  <Company>USDA FSC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FCS LETTERHEAD</dc:title>
  <dc:subject>FORMAL LETTERHEAD</dc:subject>
  <dc:creator>USDA</dc:creator>
  <cp:keywords>LETTERHEAD</cp:keywords>
  <cp:lastModifiedBy>Lynnette Thomas</cp:lastModifiedBy>
  <cp:revision>2</cp:revision>
  <cp:lastPrinted>2009-05-07T17:58:00Z</cp:lastPrinted>
  <dcterms:created xsi:type="dcterms:W3CDTF">2015-04-17T15:53:00Z</dcterms:created>
  <dcterms:modified xsi:type="dcterms:W3CDTF">2015-04-17T15:53:00Z</dcterms:modified>
  <cp:category>LETTERHEAD</cp:category>
</cp:coreProperties>
</file>