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327223">
      <w:pPr>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A81FA2" w:rsidRPr="00A81FA2" w:rsidRDefault="00F444BC" w:rsidP="00A81FA2">
      <w:pPr>
        <w:jc w:val="center"/>
        <w:rPr>
          <w:rFonts w:ascii="Times New Roman" w:hAnsi="Times New Roman"/>
          <w:b/>
          <w:i/>
          <w:sz w:val="24"/>
          <w:szCs w:val="24"/>
        </w:rPr>
      </w:pPr>
      <w:r>
        <w:rPr>
          <w:rFonts w:ascii="Times New Roman" w:hAnsi="Times New Roman"/>
          <w:b/>
          <w:sz w:val="24"/>
          <w:szCs w:val="24"/>
        </w:rPr>
        <w:t>Professional Standards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6538F5">
      <w:pPr>
        <w:jc w:val="center"/>
        <w:rPr>
          <w:rFonts w:ascii="Times New Roman" w:hAnsi="Times New Roman"/>
          <w:b/>
          <w:sz w:val="24"/>
          <w:szCs w:val="24"/>
        </w:rPr>
      </w:pPr>
      <w:r w:rsidRPr="00EB7F1B">
        <w:rPr>
          <w:rFonts w:ascii="Times New Roman" w:hAnsi="Times New Roman"/>
          <w:b/>
          <w:sz w:val="24"/>
          <w:szCs w:val="24"/>
        </w:rPr>
        <w:t xml:space="preserve">Non-Entitlement </w:t>
      </w:r>
      <w:r w:rsidR="00ED4265">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BD00E3" w:rsidRPr="00BD00E3" w:rsidRDefault="00A81FA2" w:rsidP="00362A0D">
      <w:pPr>
        <w:spacing w:line="480" w:lineRule="auto"/>
        <w:ind w:left="360"/>
        <w:rPr>
          <w:rFonts w:ascii="Times New Roman" w:hAnsi="Times New Roman"/>
          <w:sz w:val="24"/>
          <w:szCs w:val="24"/>
          <w:lang w:bidi="ar-SA"/>
        </w:rPr>
      </w:pPr>
      <w:r w:rsidRPr="00A81FA2">
        <w:rPr>
          <w:rFonts w:ascii="Times New Roman" w:hAnsi="Times New Roman"/>
          <w:sz w:val="24"/>
          <w:szCs w:val="24"/>
        </w:rPr>
        <w:t>The United States Department of Agriculture Food and Nutrition Service (hereafter USDA FNS) is responsible for providing nutritious meals to children through the National School Lunch Program (NSLP) and the School Breakfast Program (SBP), among others, and for monitoring compliance with 2010’s Healthy, Hunger-Free Kids Act (HHFKA)</w:t>
      </w:r>
      <w:r w:rsidR="00BD00E3" w:rsidRPr="00BD00E3">
        <w:rPr>
          <w:rFonts w:ascii="Times New Roman" w:hAnsi="Times New Roman"/>
          <w:sz w:val="24"/>
          <w:szCs w:val="24"/>
          <w:lang w:bidi="ar-SA"/>
        </w:rPr>
        <w:t xml:space="preserve">, Section 306 (Public Law 111-296  42 USC) directed </w:t>
      </w:r>
      <w:r w:rsidR="00F46007">
        <w:rPr>
          <w:rFonts w:ascii="Times New Roman" w:hAnsi="Times New Roman"/>
          <w:sz w:val="24"/>
          <w:szCs w:val="24"/>
          <w:lang w:bidi="ar-SA"/>
        </w:rPr>
        <w:t>USDA</w:t>
      </w:r>
      <w:r w:rsidR="00BD00E3" w:rsidRPr="00BD00E3">
        <w:rPr>
          <w:rFonts w:ascii="Times New Roman" w:hAnsi="Times New Roman"/>
          <w:sz w:val="24"/>
          <w:szCs w:val="24"/>
          <w:lang w:bidi="ar-SA"/>
        </w:rPr>
        <w:t xml:space="preserve"> to establish minimum national professional standards for all school nutrition employees who manage and operate the National School Lunch and School Breakfast Programs. Establishing professional standards will ensure that school nutrition personnel have the knowledge and training necessary to perform their duties and responsibilities effectively.</w:t>
      </w:r>
    </w:p>
    <w:p w:rsidR="00FD238E" w:rsidRPr="00A81FA2" w:rsidRDefault="00A81FA2" w:rsidP="00362A0D">
      <w:pPr>
        <w:pStyle w:val="NoSpacing"/>
        <w:spacing w:line="480" w:lineRule="auto"/>
        <w:ind w:left="360"/>
        <w:rPr>
          <w:rFonts w:ascii="Times New Roman" w:hAnsi="Times New Roman"/>
          <w:i/>
          <w:sz w:val="24"/>
          <w:szCs w:val="24"/>
          <w:highlight w:val="yellow"/>
        </w:rPr>
      </w:pPr>
      <w:r w:rsidRPr="00A81FA2">
        <w:rPr>
          <w:rFonts w:ascii="Times New Roman" w:hAnsi="Times New Roman"/>
          <w:sz w:val="24"/>
          <w:szCs w:val="24"/>
        </w:rPr>
        <w:t xml:space="preserve">The purpose of this announcement, therefore, is to describe the new opportunity and solicit proposals to support these aims. </w:t>
      </w:r>
      <w:r w:rsidR="00FD238E" w:rsidRPr="00EB7F1B">
        <w:rPr>
          <w:rFonts w:ascii="Times New Roman" w:hAnsi="Times New Roman"/>
          <w:sz w:val="24"/>
          <w:szCs w:val="24"/>
        </w:rPr>
        <w:t xml:space="preserve">In order to select the most appropriate grantees, a </w:t>
      </w:r>
      <w:r w:rsidR="00FD238E" w:rsidRPr="00EB7F1B">
        <w:rPr>
          <w:rFonts w:ascii="Times New Roman" w:hAnsi="Times New Roman"/>
          <w:sz w:val="24"/>
          <w:szCs w:val="24"/>
        </w:rPr>
        <w:lastRenderedPageBreak/>
        <w:t>competitive request for applications is necessary</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r w:rsidR="00F46007" w:rsidRPr="00F46007">
        <w:rPr>
          <w:rFonts w:ascii="Times New Roman" w:eastAsia="Calibri" w:hAnsi="Times New Roman"/>
          <w:sz w:val="24"/>
          <w:szCs w:val="24"/>
        </w:rPr>
        <w:t xml:space="preserve"> </w:t>
      </w:r>
      <w:r w:rsidR="00F46007" w:rsidRPr="003861BD">
        <w:rPr>
          <w:rFonts w:ascii="Times New Roman" w:eastAsia="Calibri" w:hAnsi="Times New Roman"/>
          <w:sz w:val="24"/>
          <w:szCs w:val="24"/>
        </w:rPr>
        <w:t>Grant funds will be made available on a competitive basis, subject to availability of federal funds</w:t>
      </w:r>
      <w:r w:rsidR="00362A0D">
        <w:rPr>
          <w:rFonts w:ascii="Times New Roman" w:eastAsia="Calibri" w:hAnsi="Times New Roman"/>
          <w:sz w:val="24"/>
          <w:szCs w:val="24"/>
        </w:rPr>
        <w:t xml:space="preserve">.  </w:t>
      </w:r>
      <w:r w:rsidR="00FD238E" w:rsidRPr="00EB7F1B">
        <w:rPr>
          <w:rFonts w:ascii="Times New Roman" w:hAnsi="Times New Roman"/>
          <w:sz w:val="24"/>
          <w:szCs w:val="24"/>
        </w:rPr>
        <w:t>FNS will post the Request for Ap</w:t>
      </w:r>
      <w:r w:rsidR="00BD00E3">
        <w:rPr>
          <w:rFonts w:ascii="Times New Roman" w:hAnsi="Times New Roman"/>
          <w:sz w:val="24"/>
          <w:szCs w:val="24"/>
        </w:rPr>
        <w:t xml:space="preserve">plication (RFA) package for Professional Standards </w:t>
      </w:r>
      <w:r w:rsidR="00FD238E" w:rsidRPr="00A81FA2">
        <w:rPr>
          <w:rFonts w:ascii="Times New Roman" w:hAnsi="Times New Roman"/>
          <w:sz w:val="24"/>
          <w:szCs w:val="24"/>
        </w:rPr>
        <w:t xml:space="preserve">on its website on or about </w:t>
      </w:r>
      <w:r w:rsidR="00B65574">
        <w:rPr>
          <w:rFonts w:ascii="Times New Roman" w:hAnsi="Times New Roman"/>
          <w:sz w:val="24"/>
          <w:szCs w:val="24"/>
        </w:rPr>
        <w:t>March 1, 2015</w:t>
      </w:r>
      <w:r w:rsidR="00BD00E3">
        <w:rPr>
          <w:rFonts w:ascii="Times New Roman" w:hAnsi="Times New Roman"/>
          <w:sz w:val="24"/>
          <w:szCs w:val="24"/>
        </w:rPr>
        <w:t xml:space="preserve"> </w:t>
      </w:r>
      <w:r w:rsidR="00FD238E" w:rsidRPr="00EB7F1B">
        <w:rPr>
          <w:rFonts w:ascii="Times New Roman" w:hAnsi="Times New Roman"/>
          <w:sz w:val="24"/>
          <w:szCs w:val="24"/>
        </w:rPr>
        <w:t xml:space="preserve">at </w:t>
      </w:r>
      <w:hyperlink r:id="rId9" w:history="1">
        <w:r w:rsidR="002B6BB8" w:rsidRPr="00EB7F1B">
          <w:rPr>
            <w:rStyle w:val="Hyperlink"/>
            <w:rFonts w:ascii="Times New Roman" w:hAnsi="Times New Roman"/>
            <w:sz w:val="24"/>
            <w:szCs w:val="24"/>
          </w:rPr>
          <w:t>http://www.fns.usda.gov/cnd</w:t>
        </w:r>
      </w:hyperlink>
      <w:r w:rsidR="002B6BB8" w:rsidRPr="00EB7F1B">
        <w:rPr>
          <w:rFonts w:ascii="Times New Roman" w:hAnsi="Times New Roman"/>
          <w:sz w:val="24"/>
          <w:szCs w:val="24"/>
        </w:rPr>
        <w:t xml:space="preserve"> </w:t>
      </w:r>
      <w:r w:rsidR="00FD238E" w:rsidRPr="00EB7F1B">
        <w:rPr>
          <w:rFonts w:ascii="Times New Roman" w:hAnsi="Times New Roman"/>
          <w:sz w:val="24"/>
          <w:szCs w:val="24"/>
        </w:rPr>
        <w:t xml:space="preserve"> and on </w:t>
      </w:r>
      <w:hyperlink r:id="rId10" w:history="1">
        <w:r w:rsidR="00FD238E" w:rsidRPr="00EB7F1B">
          <w:rPr>
            <w:rStyle w:val="Hyperlink"/>
            <w:rFonts w:ascii="Times New Roman" w:hAnsi="Times New Roman"/>
            <w:sz w:val="24"/>
            <w:szCs w:val="24"/>
          </w:rPr>
          <w:t>www.grants.gov</w:t>
        </w:r>
      </w:hyperlink>
      <w:r w:rsidR="00FD238E"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Pr="00EB7F1B">
        <w:rPr>
          <w:rFonts w:ascii="Times New Roman" w:hAnsi="Times New Roman"/>
          <w:sz w:val="24"/>
          <w:szCs w:val="24"/>
        </w:rPr>
        <w:t xml:space="preserve"> year</w:t>
      </w:r>
      <w:r w:rsidR="005542EC">
        <w:rPr>
          <w:rFonts w:ascii="Times New Roman" w:hAnsi="Times New Roman"/>
          <w:sz w:val="24"/>
          <w:szCs w:val="24"/>
        </w:rPr>
        <w:t xml:space="preserve"> </w:t>
      </w:r>
      <w:r w:rsidR="005542EC" w:rsidRPr="00A81FA2">
        <w:rPr>
          <w:rFonts w:ascii="Times New Roman" w:hAnsi="Times New Roman"/>
          <w:sz w:val="24"/>
          <w:szCs w:val="24"/>
        </w:rPr>
        <w:t>201</w:t>
      </w:r>
      <w:r w:rsidR="00A02733">
        <w:rPr>
          <w:rFonts w:ascii="Times New Roman" w:hAnsi="Times New Roman"/>
          <w:sz w:val="24"/>
          <w:szCs w:val="24"/>
        </w:rPr>
        <w:t>5</w:t>
      </w:r>
      <w:r w:rsidRPr="00EB7F1B">
        <w:rPr>
          <w:rFonts w:ascii="Times New Roman" w:hAnsi="Times New Roman"/>
          <w:sz w:val="24"/>
          <w:szCs w:val="24"/>
        </w:rPr>
        <w:t xml:space="preserve">. </w:t>
      </w:r>
    </w:p>
    <w:p w:rsidR="00D90888" w:rsidRPr="00E82143" w:rsidRDefault="00327223" w:rsidP="00D90888">
      <w:pPr>
        <w:spacing w:after="0" w:line="24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1" w:history="1">
        <w:r w:rsidR="00D90888" w:rsidRPr="00FF6D2D">
          <w:rPr>
            <w:rStyle w:val="Hyperlink"/>
            <w:rFonts w:ascii="Times New Roman" w:hAnsi="Times New Roman"/>
            <w:sz w:val="24"/>
            <w:szCs w:val="24"/>
          </w:rPr>
          <w:t>http://www.grants.gov/web/grants/forms.html</w:t>
        </w:r>
      </w:hyperlink>
      <w:r w:rsidR="00D90888" w:rsidRPr="00E82143">
        <w:rPr>
          <w:rFonts w:ascii="Times New Roman" w:hAnsi="Times New Roman"/>
          <w:sz w:val="24"/>
          <w:szCs w:val="24"/>
        </w:rPr>
        <w:t>.</w:t>
      </w:r>
    </w:p>
    <w:p w:rsidR="00327223" w:rsidRPr="00EB7F1B" w:rsidRDefault="00327223" w:rsidP="00327223">
      <w:pPr>
        <w:spacing w:line="480" w:lineRule="auto"/>
        <w:ind w:left="360"/>
        <w:rPr>
          <w:rFonts w:ascii="Times New Roman" w:hAnsi="Times New Roman"/>
          <w:sz w:val="24"/>
          <w:szCs w:val="24"/>
        </w:rPr>
      </w:pPr>
    </w:p>
    <w:p w:rsidR="00A81FA2" w:rsidRDefault="00A81FA2" w:rsidP="00A81FA2">
      <w:pPr>
        <w:numPr>
          <w:ilvl w:val="0"/>
          <w:numId w:val="5"/>
        </w:numPr>
        <w:spacing w:line="480" w:lineRule="auto"/>
        <w:rPr>
          <w:rFonts w:ascii="Times New Roman" w:hAnsi="Times New Roman"/>
          <w:sz w:val="24"/>
          <w:szCs w:val="24"/>
        </w:rPr>
      </w:pPr>
      <w:r w:rsidRPr="00A81FA2">
        <w:rPr>
          <w:rFonts w:ascii="Times New Roman" w:hAnsi="Times New Roman"/>
          <w:sz w:val="24"/>
          <w:szCs w:val="24"/>
        </w:rPr>
        <w:t xml:space="preserve">(B) Research and Related Forms:  R&amp;R Family </w:t>
      </w:r>
    </w:p>
    <w:p w:rsidR="00A81FA2" w:rsidRDefault="00A81FA2" w:rsidP="00A81FA2">
      <w:pPr>
        <w:pStyle w:val="ListParagraph"/>
        <w:numPr>
          <w:ilvl w:val="0"/>
          <w:numId w:val="7"/>
        </w:numPr>
        <w:spacing w:line="480" w:lineRule="auto"/>
        <w:rPr>
          <w:rFonts w:ascii="Times New Roman" w:hAnsi="Times New Roman"/>
          <w:sz w:val="24"/>
          <w:szCs w:val="24"/>
        </w:rPr>
      </w:pPr>
      <w:r w:rsidRPr="00A81FA2">
        <w:rPr>
          <w:rFonts w:ascii="Times New Roman" w:hAnsi="Times New Roman"/>
          <w:sz w:val="24"/>
          <w:szCs w:val="24"/>
        </w:rPr>
        <w:t>Research</w:t>
      </w:r>
      <w:r>
        <w:rPr>
          <w:rFonts w:ascii="Times New Roman" w:hAnsi="Times New Roman"/>
          <w:sz w:val="24"/>
          <w:szCs w:val="24"/>
        </w:rPr>
        <w:t xml:space="preserve"> &amp; Related Application (SF-424)</w:t>
      </w:r>
    </w:p>
    <w:p w:rsidR="00A81FA2" w:rsidRDefault="00A81FA2" w:rsidP="00A81FA2">
      <w:pPr>
        <w:pStyle w:val="ListParagraph"/>
        <w:numPr>
          <w:ilvl w:val="0"/>
          <w:numId w:val="7"/>
        </w:numPr>
        <w:spacing w:line="480" w:lineRule="auto"/>
        <w:rPr>
          <w:rFonts w:ascii="Times New Roman" w:hAnsi="Times New Roman"/>
          <w:sz w:val="24"/>
          <w:szCs w:val="24"/>
        </w:rPr>
      </w:pPr>
      <w:r w:rsidRPr="00A81FA2">
        <w:rPr>
          <w:rFonts w:ascii="Times New Roman" w:hAnsi="Times New Roman"/>
          <w:sz w:val="24"/>
          <w:szCs w:val="24"/>
        </w:rPr>
        <w:t>Assurance for Non-Construction Programs (SF-424B)</w:t>
      </w:r>
    </w:p>
    <w:p w:rsidR="00A81FA2" w:rsidRPr="00A81FA2" w:rsidRDefault="00A81FA2" w:rsidP="00A81FA2">
      <w:pPr>
        <w:pStyle w:val="ListParagraph"/>
        <w:numPr>
          <w:ilvl w:val="0"/>
          <w:numId w:val="7"/>
        </w:numPr>
        <w:spacing w:line="480" w:lineRule="auto"/>
        <w:rPr>
          <w:rFonts w:ascii="Times New Roman" w:hAnsi="Times New Roman"/>
          <w:sz w:val="24"/>
          <w:szCs w:val="24"/>
        </w:rPr>
      </w:pPr>
      <w:r w:rsidRPr="00A81FA2">
        <w:rPr>
          <w:rFonts w:ascii="Times New Roman" w:hAnsi="Times New Roman"/>
          <w:sz w:val="24"/>
          <w:szCs w:val="24"/>
        </w:rPr>
        <w:t xml:space="preserve">R&amp;R </w:t>
      </w:r>
      <w:proofErr w:type="spellStart"/>
      <w:r w:rsidRPr="00A81FA2">
        <w:rPr>
          <w:rFonts w:ascii="Times New Roman" w:hAnsi="Times New Roman"/>
          <w:sz w:val="24"/>
          <w:szCs w:val="24"/>
        </w:rPr>
        <w:t>FedNonFed</w:t>
      </w:r>
      <w:proofErr w:type="spellEnd"/>
      <w:r w:rsidRPr="00A81FA2">
        <w:rPr>
          <w:rFonts w:ascii="Times New Roman" w:hAnsi="Times New Roman"/>
          <w:sz w:val="24"/>
          <w:szCs w:val="24"/>
        </w:rPr>
        <w:t xml:space="preserve"> Budget; [R&amp;R Sub-award Budget Attachment(s)Form, if applicable]</w:t>
      </w:r>
    </w:p>
    <w:p w:rsidR="00765EC5" w:rsidRPr="00EB7F1B" w:rsidRDefault="00765EC5" w:rsidP="00765EC5">
      <w:pPr>
        <w:spacing w:after="0" w:line="240" w:lineRule="auto"/>
        <w:ind w:left="720"/>
        <w:rPr>
          <w:rFonts w:ascii="Times New Roman" w:hAnsi="Times New Roman"/>
          <w:sz w:val="24"/>
          <w:szCs w:val="24"/>
        </w:rPr>
      </w:pPr>
    </w:p>
    <w:p w:rsidR="00327223" w:rsidRPr="00EB7F1B" w:rsidRDefault="00327223" w:rsidP="00765EC5">
      <w:pPr>
        <w:numPr>
          <w:ilvl w:val="0"/>
          <w:numId w:val="5"/>
        </w:numPr>
        <w:spacing w:after="0" w:line="480" w:lineRule="auto"/>
        <w:rPr>
          <w:rFonts w:ascii="Times New Roman" w:hAnsi="Times New Roman"/>
          <w:sz w:val="24"/>
          <w:szCs w:val="24"/>
        </w:rPr>
      </w:pPr>
      <w:r w:rsidRPr="00EB7F1B">
        <w:rPr>
          <w:rFonts w:ascii="Times New Roman" w:hAnsi="Times New Roman"/>
          <w:sz w:val="24"/>
          <w:szCs w:val="24"/>
        </w:rPr>
        <w:lastRenderedPageBreak/>
        <w:t>SF LLL (Disclosure of Lobbying Activities)</w:t>
      </w:r>
    </w:p>
    <w:p w:rsidR="00327223" w:rsidRDefault="00273055" w:rsidP="00765EC5">
      <w:pPr>
        <w:spacing w:line="240" w:lineRule="auto"/>
        <w:ind w:left="720"/>
        <w:rPr>
          <w:rFonts w:ascii="Times New Roman" w:hAnsi="Times New Roman"/>
          <w:sz w:val="24"/>
          <w:szCs w:val="24"/>
        </w:rPr>
      </w:pPr>
      <w:r w:rsidRPr="00EB7F1B">
        <w:rPr>
          <w:rFonts w:ascii="Times New Roman" w:hAnsi="Times New Roman"/>
        </w:rPr>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2"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E15157" w:rsidRDefault="00E15157" w:rsidP="00765EC5">
      <w:pPr>
        <w:spacing w:line="240" w:lineRule="auto"/>
        <w:ind w:left="720"/>
        <w:rPr>
          <w:rFonts w:ascii="Times New Roman" w:hAnsi="Times New Roman"/>
          <w:sz w:val="24"/>
          <w:szCs w:val="24"/>
        </w:rPr>
      </w:pPr>
    </w:p>
    <w:p w:rsidR="00E15157" w:rsidRDefault="00E15157" w:rsidP="00E15157">
      <w:pPr>
        <w:spacing w:after="0" w:line="240" w:lineRule="auto"/>
        <w:ind w:left="360" w:hanging="360"/>
        <w:rPr>
          <w:rFonts w:ascii="Times New Roman" w:hAnsi="Times New Roman"/>
          <w:sz w:val="24"/>
          <w:szCs w:val="24"/>
        </w:rPr>
      </w:pPr>
      <w:r w:rsidRPr="00DC1747">
        <w:rPr>
          <w:rFonts w:ascii="Times New Roman" w:hAnsi="Times New Roman"/>
          <w:sz w:val="24"/>
          <w:szCs w:val="24"/>
        </w:rPr>
        <w:t>In addition, the applicant must submit the following Departmental Forms:</w:t>
      </w:r>
    </w:p>
    <w:p w:rsidR="004F17AF" w:rsidRDefault="004F17AF" w:rsidP="00E15157">
      <w:pPr>
        <w:spacing w:after="0" w:line="240" w:lineRule="auto"/>
        <w:ind w:left="360" w:hanging="360"/>
        <w:rPr>
          <w:rFonts w:ascii="Times New Roman" w:hAnsi="Times New Roman"/>
          <w:sz w:val="24"/>
          <w:szCs w:val="24"/>
        </w:rPr>
      </w:pPr>
    </w:p>
    <w:p w:rsidR="004F17AF" w:rsidRDefault="004F17AF" w:rsidP="00E15157">
      <w:pPr>
        <w:spacing w:after="0" w:line="240" w:lineRule="auto"/>
        <w:ind w:left="360" w:hanging="360"/>
        <w:rPr>
          <w:rFonts w:ascii="Times New Roman" w:hAnsi="Times New Roman"/>
          <w:sz w:val="24"/>
          <w:szCs w:val="24"/>
        </w:rPr>
      </w:pPr>
      <w:r>
        <w:rPr>
          <w:rFonts w:ascii="Times New Roman" w:hAnsi="Times New Roman"/>
          <w:sz w:val="24"/>
          <w:szCs w:val="24"/>
        </w:rPr>
        <w:t>In lieu of submitting AD-1047 and 1048, users will adhere to the Terms and Conditions to follow these regulations.</w:t>
      </w:r>
    </w:p>
    <w:p w:rsidR="00E15157" w:rsidRDefault="00E15157" w:rsidP="00E15157">
      <w:pPr>
        <w:spacing w:after="0" w:line="240" w:lineRule="auto"/>
        <w:ind w:left="360" w:hanging="360"/>
        <w:rPr>
          <w:rFonts w:ascii="Times New Roman" w:hAnsi="Times New Roman"/>
          <w:sz w:val="24"/>
          <w:szCs w:val="24"/>
        </w:rPr>
      </w:pPr>
    </w:p>
    <w:p w:rsidR="00E15157" w:rsidRDefault="00E15157" w:rsidP="00E15157">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AD-1047 Certification Regarding Debarment, Suspension</w:t>
      </w:r>
    </w:p>
    <w:p w:rsidR="00E15157" w:rsidRDefault="00E15157" w:rsidP="00E15157">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AD-1048 Certification Regarding Debarment, Suspension, Ineligibility and Voluntary Exclusion-Lower Tier Covered Transactions</w:t>
      </w:r>
    </w:p>
    <w:p w:rsidR="00E15157" w:rsidRPr="000B3E87" w:rsidRDefault="00E15157" w:rsidP="00E15157">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AD-1049 Certificate Regarding Drug Free Workplace Requirements Alternative 1  (Note that there is a version of this form for Individuals: AD-1050 and a version for State Agencies:  AD-1052)</w:t>
      </w:r>
    </w:p>
    <w:p w:rsidR="00E15157" w:rsidRPr="00DC1747" w:rsidRDefault="00E15157" w:rsidP="00E15157">
      <w:pPr>
        <w:rPr>
          <w:rFonts w:ascii="Times New Roman" w:hAnsi="Times New Roman"/>
          <w:sz w:val="24"/>
          <w:szCs w:val="24"/>
        </w:rPr>
      </w:pPr>
      <w:r w:rsidRPr="00DC1747">
        <w:rPr>
          <w:rFonts w:ascii="Times New Roman" w:hAnsi="Times New Roman"/>
          <w:sz w:val="24"/>
          <w:szCs w:val="24"/>
        </w:rPr>
        <w:t>The</w:t>
      </w:r>
      <w:r>
        <w:rPr>
          <w:rFonts w:ascii="Times New Roman" w:hAnsi="Times New Roman"/>
          <w:sz w:val="24"/>
          <w:szCs w:val="24"/>
        </w:rPr>
        <w:t>se</w:t>
      </w:r>
      <w:r w:rsidRPr="00DC1747">
        <w:rPr>
          <w:rFonts w:ascii="Times New Roman" w:hAnsi="Times New Roman"/>
          <w:sz w:val="24"/>
          <w:szCs w:val="24"/>
        </w:rPr>
        <w:t xml:space="preserve"> forms are at the USDA Forms site:  </w:t>
      </w:r>
      <w:hyperlink r:id="rId13"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rsidR="00E15157" w:rsidRDefault="00E15157" w:rsidP="00765EC5">
      <w:pPr>
        <w:spacing w:line="240" w:lineRule="auto"/>
        <w:ind w:left="720"/>
        <w:rPr>
          <w:rFonts w:ascii="Times New Roman" w:hAnsi="Times New Roman"/>
          <w:sz w:val="24"/>
          <w:szCs w:val="24"/>
        </w:rPr>
      </w:pPr>
    </w:p>
    <w:p w:rsidR="00703879" w:rsidRPr="00EB7F1B" w:rsidRDefault="00703879" w:rsidP="00703879">
      <w:pPr>
        <w:spacing w:after="0" w:line="24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w:t>
      </w:r>
      <w:r w:rsidRPr="00EB7F1B">
        <w:rPr>
          <w:rFonts w:ascii="Times New Roman" w:hAnsi="Times New Roman"/>
          <w:sz w:val="24"/>
          <w:szCs w:val="24"/>
        </w:rPr>
        <w:lastRenderedPageBreak/>
        <w:t xml:space="preserve">application from the </w:t>
      </w:r>
      <w:hyperlink r:id="rId14"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5"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6"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to </w:t>
      </w:r>
      <w:r w:rsidR="00572AAF">
        <w:rPr>
          <w:rFonts w:ascii="Times New Roman" w:hAnsi="Times New Roman"/>
          <w:sz w:val="24"/>
          <w:szCs w:val="24"/>
        </w:rPr>
        <w:t>State agencies</w:t>
      </w:r>
      <w:r w:rsidR="00A81FA2">
        <w:rPr>
          <w:rFonts w:ascii="Times New Roman" w:hAnsi="Times New Roman"/>
          <w:sz w:val="24"/>
          <w:szCs w:val="24"/>
        </w:rPr>
        <w:t>.</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327223" w:rsidRPr="00EB7F1B" w:rsidRDefault="00327223" w:rsidP="003B354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seek minimal information that will be critical in selecting the most promising grantees.  This includes information of applicant’s existing infrastructure and security policies to perform program objectives.  The consequence for not collecting the information is the inability to establish which proposal meets program objectives while adhering to data privacy per the </w:t>
      </w:r>
      <w:r w:rsidR="003B3541" w:rsidRPr="00A81FA2">
        <w:rPr>
          <w:rFonts w:ascii="Times New Roman" w:hAnsi="Times New Roman"/>
          <w:sz w:val="24"/>
          <w:szCs w:val="24"/>
        </w:rPr>
        <w:t>Healthy, Hunger-Free Kids Act (HHFKA)</w:t>
      </w:r>
      <w:r w:rsidR="0047584E">
        <w:rPr>
          <w:rFonts w:ascii="Times New Roman" w:hAnsi="Times New Roman"/>
          <w:sz w:val="24"/>
          <w:szCs w:val="24"/>
        </w:rPr>
        <w:t xml:space="preserve"> </w:t>
      </w:r>
      <w:r w:rsidR="003B3541" w:rsidRPr="00BD00E3">
        <w:rPr>
          <w:rFonts w:ascii="Times New Roman" w:hAnsi="Times New Roman"/>
          <w:sz w:val="24"/>
          <w:szCs w:val="24"/>
          <w:lang w:bidi="ar-SA"/>
        </w:rPr>
        <w:t>of 2010, Section 306</w:t>
      </w:r>
      <w:r w:rsidR="003B3541">
        <w:rPr>
          <w:rFonts w:ascii="Times New Roman" w:hAnsi="Times New Roman"/>
          <w:sz w:val="24"/>
          <w:szCs w:val="24"/>
        </w:rPr>
        <w:t>.</w:t>
      </w: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lastRenderedPageBreak/>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ED59DA" w:rsidRDefault="00327223" w:rsidP="00ED59DA">
      <w:pPr>
        <w:spacing w:line="480" w:lineRule="auto"/>
        <w:ind w:left="360"/>
        <w:rPr>
          <w:rFonts w:ascii="Times New Roman" w:hAnsi="Times New Roman"/>
          <w:b/>
          <w:bCs/>
          <w:sz w:val="24"/>
          <w:szCs w:val="24"/>
        </w:rPr>
      </w:pPr>
      <w:r w:rsidRPr="00EB7F1B">
        <w:rPr>
          <w:rFonts w:ascii="Times New Roman" w:hAnsi="Times New Roman"/>
          <w:b/>
          <w:bCs/>
          <w:sz w:val="24"/>
          <w:szCs w:val="24"/>
        </w:rPr>
        <w:lastRenderedPageBreak/>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27223" w:rsidRPr="00EB7F1B" w:rsidRDefault="00327223" w:rsidP="00A66B2A">
      <w:pPr>
        <w:spacing w:after="0" w:line="240" w:lineRule="auto"/>
        <w:rPr>
          <w:rFonts w:ascii="Times New Roman" w:hAnsi="Times New Roman"/>
          <w:sz w:val="24"/>
          <w:szCs w:val="24"/>
        </w:rPr>
      </w:pPr>
    </w:p>
    <w:p w:rsidR="00ED4265" w:rsidRPr="00ED4265" w:rsidRDefault="00ED4265" w:rsidP="00ED4265">
      <w:pPr>
        <w:spacing w:after="0" w:line="480" w:lineRule="auto"/>
        <w:ind w:left="360"/>
        <w:rPr>
          <w:rFonts w:ascii="Times New Roman" w:hAnsi="Times New Roman"/>
          <w:sz w:val="24"/>
          <w:szCs w:val="24"/>
        </w:rPr>
      </w:pPr>
      <w:r w:rsidRPr="00ED4265">
        <w:rPr>
          <w:rFonts w:ascii="Times New Roman" w:hAnsi="Times New Roman"/>
          <w:sz w:val="24"/>
          <w:szCs w:val="24"/>
        </w:rPr>
        <w:t xml:space="preserve">A 60-day notice was published in the Federal Register on July 27, 2012, (Volume 77, </w:t>
      </w:r>
    </w:p>
    <w:p w:rsidR="00ED4265" w:rsidRDefault="00ED4265" w:rsidP="00ED4265">
      <w:pPr>
        <w:spacing w:after="0" w:line="480" w:lineRule="auto"/>
        <w:ind w:left="360"/>
        <w:rPr>
          <w:rFonts w:ascii="Times New Roman" w:hAnsi="Times New Roman"/>
          <w:sz w:val="24"/>
          <w:szCs w:val="24"/>
        </w:rPr>
      </w:pPr>
      <w:r w:rsidRPr="00ED4265">
        <w:rPr>
          <w:rFonts w:ascii="Times New Roman" w:hAnsi="Times New Roman"/>
          <w:sz w:val="24"/>
          <w:szCs w:val="24"/>
        </w:rPr>
        <w:t>Number 145, page 44210-44212) soliciting comments on FNS’s intent to request Office of Management and Budget (OMB) approval for a uniform gr</w:t>
      </w:r>
      <w:r>
        <w:rPr>
          <w:rFonts w:ascii="Times New Roman" w:hAnsi="Times New Roman"/>
          <w:sz w:val="24"/>
          <w:szCs w:val="24"/>
        </w:rPr>
        <w:t xml:space="preserve">ant application package for FNS </w:t>
      </w:r>
      <w:r w:rsidRPr="00ED4265">
        <w:rPr>
          <w:rFonts w:ascii="Times New Roman" w:hAnsi="Times New Roman"/>
          <w:sz w:val="24"/>
          <w:szCs w:val="24"/>
        </w:rPr>
        <w:t>discretionary grant programs that is a revision of the pr</w:t>
      </w:r>
      <w:r>
        <w:rPr>
          <w:rFonts w:ascii="Times New Roman" w:hAnsi="Times New Roman"/>
          <w:sz w:val="24"/>
          <w:szCs w:val="24"/>
        </w:rPr>
        <w:t>eviously approved package.  FNS</w:t>
      </w:r>
      <w:r w:rsidRPr="00ED4265">
        <w:rPr>
          <w:rFonts w:ascii="Times New Roman" w:hAnsi="Times New Roman"/>
          <w:sz w:val="24"/>
          <w:szCs w:val="24"/>
        </w:rPr>
        <w:t xml:space="preserve"> received one public comment in response to the Federal Register notice regarding where</w:t>
      </w:r>
      <w:r>
        <w:rPr>
          <w:rFonts w:ascii="Times New Roman" w:hAnsi="Times New Roman"/>
          <w:sz w:val="24"/>
          <w:szCs w:val="24"/>
        </w:rPr>
        <w:t xml:space="preserve"> </w:t>
      </w:r>
      <w:r w:rsidRPr="00ED4265">
        <w:rPr>
          <w:rFonts w:ascii="Times New Roman" w:hAnsi="Times New Roman"/>
          <w:sz w:val="24"/>
          <w:szCs w:val="24"/>
        </w:rPr>
        <w:t>online details on FNS grant recipients, grant purpose,</w:t>
      </w:r>
      <w:r>
        <w:rPr>
          <w:rFonts w:ascii="Times New Roman" w:hAnsi="Times New Roman"/>
          <w:sz w:val="24"/>
          <w:szCs w:val="24"/>
        </w:rPr>
        <w:t xml:space="preserve"> accomplishments and period of </w:t>
      </w:r>
      <w:r w:rsidRPr="00ED4265">
        <w:rPr>
          <w:rFonts w:ascii="Times New Roman" w:hAnsi="Times New Roman"/>
          <w:sz w:val="24"/>
          <w:szCs w:val="24"/>
        </w:rPr>
        <w:t>performance were located by requested by the writer.  FNS pre</w:t>
      </w:r>
      <w:r>
        <w:rPr>
          <w:rFonts w:ascii="Times New Roman" w:hAnsi="Times New Roman"/>
          <w:sz w:val="24"/>
          <w:szCs w:val="24"/>
        </w:rPr>
        <w:t xml:space="preserve">pared a written response to </w:t>
      </w:r>
      <w:r w:rsidRPr="00ED4265">
        <w:rPr>
          <w:rFonts w:ascii="Times New Roman" w:hAnsi="Times New Roman"/>
          <w:sz w:val="24"/>
          <w:szCs w:val="24"/>
        </w:rPr>
        <w:t>the commenting party.</w:t>
      </w:r>
    </w:p>
    <w:p w:rsidR="00ED4265" w:rsidRDefault="00ED4265" w:rsidP="00ED4265">
      <w:pPr>
        <w:spacing w:after="0" w:line="480" w:lineRule="auto"/>
        <w:ind w:left="360"/>
        <w:rPr>
          <w:rFonts w:ascii="Times New Roman" w:hAnsi="Times New Roman"/>
          <w:sz w:val="24"/>
          <w:szCs w:val="24"/>
        </w:rPr>
      </w:pPr>
    </w:p>
    <w:p w:rsidR="00327223" w:rsidRPr="00EB7F1B" w:rsidRDefault="00327223" w:rsidP="00ED4265">
      <w:pPr>
        <w:spacing w:after="0" w:line="480" w:lineRule="auto"/>
        <w:ind w:left="360"/>
        <w:rPr>
          <w:rFonts w:ascii="Times New Roman" w:hAnsi="Times New Roman"/>
          <w:sz w:val="24"/>
          <w:szCs w:val="24"/>
        </w:rPr>
      </w:pPr>
      <w:r w:rsidRPr="00362A0D">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lastRenderedPageBreak/>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w:t>
      </w:r>
      <w:r w:rsidRPr="00EB7F1B">
        <w:rPr>
          <w:rFonts w:ascii="Times New Roman" w:hAnsi="Times New Roman"/>
          <w:sz w:val="24"/>
          <w:szCs w:val="24"/>
        </w:rPr>
        <w:lastRenderedPageBreak/>
        <w:t xml:space="preserve">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w:t>
      </w:r>
      <w:proofErr w:type="spellStart"/>
      <w:r w:rsidR="008E0397">
        <w:rPr>
          <w:rFonts w:ascii="Times New Roman" w:hAnsi="Times New Roman"/>
          <w:sz w:val="24"/>
          <w:szCs w:val="24"/>
        </w:rPr>
        <w:t>thiry</w:t>
      </w:r>
      <w:proofErr w:type="spellEnd"/>
      <w:r w:rsidRPr="00EB7F1B">
        <w:rPr>
          <w:rFonts w:ascii="Times New Roman" w:hAnsi="Times New Roman"/>
          <w:sz w:val="24"/>
          <w:szCs w:val="24"/>
        </w:rPr>
        <w:t xml:space="preserve"> (</w:t>
      </w:r>
      <w:r w:rsidR="008E0397">
        <w:rPr>
          <w:rFonts w:ascii="Times New Roman" w:hAnsi="Times New Roman"/>
          <w:sz w:val="24"/>
          <w:szCs w:val="24"/>
        </w:rPr>
        <w:t>30</w:t>
      </w:r>
      <w:r w:rsidRPr="00EB7F1B">
        <w:rPr>
          <w:rFonts w:ascii="Times New Roman" w:hAnsi="Times New Roman"/>
          <w:sz w:val="24"/>
          <w:szCs w:val="24"/>
        </w:rPr>
        <w:t xml:space="preserve">) respondents will submit an application for </w:t>
      </w:r>
      <w:r w:rsidRPr="00EB7F1B">
        <w:rPr>
          <w:rFonts w:ascii="Times New Roman" w:hAnsi="Times New Roman"/>
          <w:sz w:val="24"/>
          <w:szCs w:val="24"/>
        </w:rPr>
        <w:lastRenderedPageBreak/>
        <w:t xml:space="preserve">the </w:t>
      </w:r>
      <w:r w:rsidR="00D33C99">
        <w:rPr>
          <w:rFonts w:ascii="Times New Roman" w:hAnsi="Times New Roman"/>
          <w:i/>
          <w:sz w:val="24"/>
          <w:szCs w:val="24"/>
        </w:rPr>
        <w:t>Professional Standards Cooperative Agreement</w:t>
      </w:r>
      <w:r w:rsidR="00ED59DA">
        <w:rPr>
          <w:rFonts w:ascii="Times New Roman" w:hAnsi="Times New Roman"/>
          <w:i/>
          <w:sz w:val="24"/>
          <w:szCs w:val="24"/>
        </w:rPr>
        <w:t xml:space="preserve">. </w:t>
      </w:r>
      <w:r w:rsidRPr="00ED59DA">
        <w:rPr>
          <w:rFonts w:ascii="Times New Roman" w:hAnsi="Times New Roman"/>
          <w:sz w:val="24"/>
          <w:szCs w:val="24"/>
        </w:rPr>
        <w:t>It is estimated that the average applicant will spend 40 hours developing their proposal</w:t>
      </w:r>
      <w:r w:rsidR="006319D5">
        <w:rPr>
          <w:rFonts w:ascii="Times New Roman" w:hAnsi="Times New Roman"/>
          <w:sz w:val="24"/>
          <w:szCs w:val="24"/>
        </w:rPr>
        <w:t xml:space="preserve"> (this includes time for completing the required forms listed in question 2 above)</w:t>
      </w:r>
      <w:r w:rsidRPr="00ED59DA">
        <w:rPr>
          <w:rFonts w:ascii="Times New Roman" w:hAnsi="Times New Roman"/>
          <w:sz w:val="24"/>
          <w:szCs w:val="24"/>
        </w:rPr>
        <w:t>.  This is based on the general fact that applicants will have about four weeks to complete their proposals</w:t>
      </w:r>
      <w:r w:rsidR="009568B3" w:rsidRPr="00ED59DA">
        <w:rPr>
          <w:rFonts w:ascii="Times New Roman" w:hAnsi="Times New Roman"/>
          <w:sz w:val="24"/>
          <w:szCs w:val="24"/>
        </w:rPr>
        <w:t xml:space="preserve">. </w:t>
      </w:r>
      <w:r w:rsidRPr="00ED59DA">
        <w:rPr>
          <w:rFonts w:ascii="Times New Roman" w:hAnsi="Times New Roman"/>
          <w:sz w:val="24"/>
          <w:szCs w:val="24"/>
        </w:rPr>
        <w:t xml:space="preserve"> </w:t>
      </w:r>
    </w:p>
    <w:p w:rsidR="004E7091" w:rsidRDefault="004E7091"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905640" w:rsidRDefault="00327223" w:rsidP="00E15157">
      <w:pPr>
        <w:rPr>
          <w:rFonts w:ascii="Times New Roman" w:hAnsi="Times New Roman"/>
          <w:b/>
          <w:sz w:val="24"/>
          <w:szCs w:val="24"/>
        </w:rPr>
      </w:pPr>
      <w:r w:rsidRPr="00EB7F1B">
        <w:rPr>
          <w:rFonts w:ascii="Times New Roman" w:hAnsi="Times New Roman"/>
          <w:b/>
          <w:sz w:val="24"/>
          <w:szCs w:val="24"/>
        </w:rPr>
        <w:t xml:space="preserve">A.12.1 Estimate of Hours Burden on Respondents for Application </w:t>
      </w:r>
    </w:p>
    <w:p w:rsidR="00327223" w:rsidRPr="00EB7F1B"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Pre-Award Burden</w:t>
      </w:r>
    </w:p>
    <w:tbl>
      <w:tblPr>
        <w:tblW w:w="92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421"/>
        <w:gridCol w:w="2153"/>
        <w:gridCol w:w="1270"/>
        <w:gridCol w:w="1483"/>
        <w:gridCol w:w="1330"/>
      </w:tblGrid>
      <w:tr w:rsidR="00FA2399" w:rsidRPr="00EB7F1B" w:rsidTr="00AB477D">
        <w:trPr>
          <w:trHeight w:val="1592"/>
        </w:trPr>
        <w:tc>
          <w:tcPr>
            <w:tcW w:w="1556" w:type="dxa"/>
          </w:tcPr>
          <w:p w:rsidR="00C817F9" w:rsidRDefault="00C817F9">
            <w:pPr>
              <w:spacing w:before="240" w:line="240" w:lineRule="auto"/>
              <w:jc w:val="center"/>
              <w:rPr>
                <w:rFonts w:ascii="Times New Roman" w:hAnsi="Times New Roman"/>
                <w:b/>
                <w:sz w:val="24"/>
                <w:szCs w:val="24"/>
              </w:rPr>
            </w:pPr>
          </w:p>
          <w:p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21" w:type="dxa"/>
            <w:vAlign w:val="center"/>
          </w:tcPr>
          <w:p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2153" w:type="dxa"/>
            <w:vAlign w:val="center"/>
          </w:tcPr>
          <w:p w:rsidR="00C817F9" w:rsidRDefault="00FA2399" w:rsidP="006C5A0A">
            <w:pPr>
              <w:spacing w:before="240" w:line="240" w:lineRule="auto"/>
              <w:jc w:val="center"/>
              <w:rPr>
                <w:rFonts w:ascii="Times New Roman" w:hAnsi="Times New Roman"/>
                <w:b/>
                <w:sz w:val="24"/>
                <w:szCs w:val="24"/>
              </w:rPr>
            </w:pPr>
            <w:r w:rsidRPr="00EB7F1B">
              <w:rPr>
                <w:rFonts w:ascii="Times New Roman" w:hAnsi="Times New Roman"/>
                <w:b/>
                <w:sz w:val="24"/>
                <w:szCs w:val="24"/>
              </w:rPr>
              <w:t xml:space="preserve">Frequency </w:t>
            </w:r>
            <w:r w:rsidR="006C5A0A">
              <w:rPr>
                <w:rFonts w:ascii="Times New Roman" w:hAnsi="Times New Roman"/>
                <w:b/>
                <w:sz w:val="24"/>
                <w:szCs w:val="24"/>
              </w:rPr>
              <w:t xml:space="preserve">per </w:t>
            </w:r>
            <w:r w:rsidR="006C5A0A" w:rsidRPr="00EB7F1B">
              <w:rPr>
                <w:rFonts w:ascii="Times New Roman" w:hAnsi="Times New Roman"/>
                <w:b/>
                <w:sz w:val="24"/>
                <w:szCs w:val="24"/>
              </w:rPr>
              <w:t>Respon</w:t>
            </w:r>
            <w:r w:rsidR="006C5A0A">
              <w:rPr>
                <w:rFonts w:ascii="Times New Roman" w:hAnsi="Times New Roman"/>
                <w:b/>
                <w:sz w:val="24"/>
                <w:szCs w:val="24"/>
              </w:rPr>
              <w:t>dent</w:t>
            </w:r>
          </w:p>
        </w:tc>
        <w:tc>
          <w:tcPr>
            <w:tcW w:w="1270" w:type="dxa"/>
          </w:tcPr>
          <w:p w:rsidR="00C817F9" w:rsidRDefault="00C817F9">
            <w:pPr>
              <w:spacing w:before="240" w:line="240" w:lineRule="auto"/>
              <w:rPr>
                <w:rFonts w:ascii="Times New Roman" w:hAnsi="Times New Roman"/>
                <w:b/>
                <w:sz w:val="16"/>
                <w:szCs w:val="16"/>
              </w:rPr>
            </w:pPr>
          </w:p>
          <w:p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483"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330"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A2399" w:rsidRPr="00EB7F1B" w:rsidTr="00AB477D">
        <w:trPr>
          <w:trHeight w:val="908"/>
        </w:trPr>
        <w:tc>
          <w:tcPr>
            <w:tcW w:w="1556" w:type="dxa"/>
            <w:vAlign w:val="center"/>
          </w:tcPr>
          <w:p w:rsidR="00C817F9" w:rsidRDefault="004866C0">
            <w:pPr>
              <w:spacing w:before="240" w:line="240" w:lineRule="auto"/>
              <w:jc w:val="center"/>
              <w:rPr>
                <w:rFonts w:ascii="Times New Roman" w:hAnsi="Times New Roman"/>
                <w:sz w:val="24"/>
                <w:szCs w:val="24"/>
              </w:rPr>
            </w:pPr>
            <w:r>
              <w:rPr>
                <w:rFonts w:ascii="Times New Roman" w:hAnsi="Times New Roman"/>
                <w:sz w:val="24"/>
                <w:szCs w:val="24"/>
              </w:rPr>
              <w:t>State Agencies</w:t>
            </w:r>
          </w:p>
        </w:tc>
        <w:tc>
          <w:tcPr>
            <w:tcW w:w="1421" w:type="dxa"/>
            <w:vAlign w:val="center"/>
          </w:tcPr>
          <w:p w:rsidR="00FA2399" w:rsidRPr="00EB7F1B" w:rsidRDefault="004E7091" w:rsidP="00FA2399">
            <w:pPr>
              <w:spacing w:line="480" w:lineRule="auto"/>
              <w:jc w:val="center"/>
              <w:rPr>
                <w:rFonts w:ascii="Times New Roman" w:hAnsi="Times New Roman"/>
                <w:sz w:val="24"/>
                <w:szCs w:val="24"/>
              </w:rPr>
            </w:pPr>
            <w:r>
              <w:rPr>
                <w:rFonts w:ascii="Times New Roman" w:hAnsi="Times New Roman"/>
                <w:sz w:val="24"/>
                <w:szCs w:val="24"/>
              </w:rPr>
              <w:t>30</w:t>
            </w:r>
          </w:p>
        </w:tc>
        <w:tc>
          <w:tcPr>
            <w:tcW w:w="215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A2399" w:rsidRPr="00EB7F1B" w:rsidRDefault="004E7091" w:rsidP="00FA2399">
            <w:pPr>
              <w:spacing w:line="480" w:lineRule="auto"/>
              <w:jc w:val="center"/>
              <w:rPr>
                <w:rFonts w:ascii="Times New Roman" w:hAnsi="Times New Roman"/>
                <w:sz w:val="24"/>
                <w:szCs w:val="24"/>
              </w:rPr>
            </w:pPr>
            <w:r>
              <w:rPr>
                <w:rFonts w:ascii="Times New Roman" w:hAnsi="Times New Roman"/>
                <w:sz w:val="24"/>
                <w:szCs w:val="24"/>
              </w:rPr>
              <w:t>30</w:t>
            </w:r>
          </w:p>
        </w:tc>
        <w:tc>
          <w:tcPr>
            <w:tcW w:w="148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40</w:t>
            </w:r>
          </w:p>
        </w:tc>
        <w:tc>
          <w:tcPr>
            <w:tcW w:w="1330" w:type="dxa"/>
            <w:vAlign w:val="center"/>
          </w:tcPr>
          <w:p w:rsidR="00FA2399" w:rsidRPr="00EB7F1B" w:rsidRDefault="00AB00E8" w:rsidP="00FA2399">
            <w:pPr>
              <w:spacing w:line="480" w:lineRule="auto"/>
              <w:jc w:val="center"/>
              <w:rPr>
                <w:rFonts w:ascii="Times New Roman" w:hAnsi="Times New Roman"/>
                <w:sz w:val="24"/>
                <w:szCs w:val="24"/>
              </w:rPr>
            </w:pPr>
            <w:r>
              <w:rPr>
                <w:rFonts w:ascii="Times New Roman" w:hAnsi="Times New Roman"/>
                <w:sz w:val="24"/>
                <w:szCs w:val="24"/>
              </w:rPr>
              <w:t>1200</w:t>
            </w:r>
          </w:p>
        </w:tc>
      </w:tr>
      <w:tr w:rsidR="00FA2399" w:rsidRPr="00EB7F1B" w:rsidTr="00AB477D">
        <w:trPr>
          <w:trHeight w:val="827"/>
        </w:trPr>
        <w:tc>
          <w:tcPr>
            <w:tcW w:w="1556" w:type="dxa"/>
            <w:vAlign w:val="center"/>
          </w:tcPr>
          <w:p w:rsidR="00FA2399" w:rsidRPr="00EB7F1B" w:rsidRDefault="00FA2399" w:rsidP="00FA2399">
            <w:pPr>
              <w:spacing w:before="240" w:line="360" w:lineRule="auto"/>
              <w:jc w:val="center"/>
              <w:rPr>
                <w:rFonts w:ascii="Times New Roman" w:hAnsi="Times New Roman"/>
                <w:b/>
                <w:sz w:val="24"/>
                <w:szCs w:val="24"/>
              </w:rPr>
            </w:pPr>
            <w:r w:rsidRPr="00EB7F1B">
              <w:rPr>
                <w:rFonts w:ascii="Times New Roman" w:hAnsi="Times New Roman"/>
                <w:b/>
                <w:sz w:val="24"/>
                <w:szCs w:val="24"/>
              </w:rPr>
              <w:t>Total Burden</w:t>
            </w:r>
          </w:p>
        </w:tc>
        <w:tc>
          <w:tcPr>
            <w:tcW w:w="1421" w:type="dxa"/>
            <w:vAlign w:val="center"/>
          </w:tcPr>
          <w:p w:rsidR="00FA2399" w:rsidRPr="00EB7F1B" w:rsidRDefault="004E7091" w:rsidP="00FA2399">
            <w:pPr>
              <w:spacing w:line="480" w:lineRule="auto"/>
              <w:jc w:val="center"/>
              <w:rPr>
                <w:rFonts w:ascii="Times New Roman" w:hAnsi="Times New Roman"/>
                <w:b/>
                <w:sz w:val="24"/>
                <w:szCs w:val="24"/>
              </w:rPr>
            </w:pPr>
            <w:r>
              <w:rPr>
                <w:rFonts w:ascii="Times New Roman" w:hAnsi="Times New Roman"/>
                <w:b/>
                <w:sz w:val="24"/>
                <w:szCs w:val="24"/>
              </w:rPr>
              <w:t>30</w:t>
            </w:r>
          </w:p>
        </w:tc>
        <w:tc>
          <w:tcPr>
            <w:tcW w:w="215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A2399" w:rsidRPr="00EB7F1B" w:rsidRDefault="004E7091" w:rsidP="00FA2399">
            <w:pPr>
              <w:spacing w:line="480" w:lineRule="auto"/>
              <w:jc w:val="center"/>
              <w:rPr>
                <w:rFonts w:ascii="Times New Roman" w:hAnsi="Times New Roman"/>
                <w:b/>
                <w:sz w:val="24"/>
                <w:szCs w:val="24"/>
              </w:rPr>
            </w:pPr>
            <w:r>
              <w:rPr>
                <w:rFonts w:ascii="Times New Roman" w:hAnsi="Times New Roman"/>
                <w:b/>
                <w:sz w:val="24"/>
                <w:szCs w:val="24"/>
              </w:rPr>
              <w:t>30</w:t>
            </w:r>
          </w:p>
        </w:tc>
        <w:tc>
          <w:tcPr>
            <w:tcW w:w="148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40</w:t>
            </w:r>
          </w:p>
        </w:tc>
        <w:tc>
          <w:tcPr>
            <w:tcW w:w="1330" w:type="dxa"/>
            <w:vAlign w:val="center"/>
          </w:tcPr>
          <w:p w:rsidR="00FA2399" w:rsidRPr="00EB7F1B" w:rsidRDefault="00AB00E8" w:rsidP="00FA2399">
            <w:pPr>
              <w:spacing w:line="480" w:lineRule="auto"/>
              <w:jc w:val="center"/>
              <w:rPr>
                <w:rFonts w:ascii="Times New Roman" w:hAnsi="Times New Roman"/>
                <w:b/>
                <w:sz w:val="24"/>
                <w:szCs w:val="24"/>
              </w:rPr>
            </w:pPr>
            <w:r>
              <w:rPr>
                <w:rFonts w:ascii="Times New Roman" w:hAnsi="Times New Roman"/>
                <w:b/>
                <w:sz w:val="24"/>
                <w:szCs w:val="24"/>
              </w:rPr>
              <w:t>1200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Pre-Award Burden Summary:</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xml:space="preserve">:  </w:t>
      </w:r>
      <w:r>
        <w:rPr>
          <w:rFonts w:ascii="Times New Roman" w:hAnsi="Times New Roman"/>
          <w:sz w:val="24"/>
          <w:szCs w:val="24"/>
        </w:rPr>
        <w:t>30</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1</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Pr>
          <w:rFonts w:ascii="Times New Roman" w:hAnsi="Times New Roman"/>
          <w:sz w:val="24"/>
          <w:szCs w:val="24"/>
        </w:rPr>
        <w:t>30</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40</w:t>
      </w:r>
    </w:p>
    <w:p w:rsidR="007B37A9" w:rsidRDefault="007B37A9" w:rsidP="00BB4CF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Pr>
          <w:rFonts w:ascii="Times New Roman" w:hAnsi="Times New Roman"/>
          <w:sz w:val="24"/>
          <w:szCs w:val="24"/>
        </w:rPr>
        <w:t>1200</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lastRenderedPageBreak/>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w:t>
      </w:r>
      <w:r w:rsidR="008D621F">
        <w:rPr>
          <w:rFonts w:ascii="Times New Roman" w:hAnsi="Times New Roman"/>
          <w:sz w:val="24"/>
          <w:szCs w:val="24"/>
        </w:rPr>
        <w:t>quarterly</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that are submitted to FNS by the grantee selected for the project.  Grant activities</w:t>
      </w:r>
      <w:r w:rsidR="002F7B0F">
        <w:rPr>
          <w:rFonts w:ascii="Times New Roman" w:hAnsi="Times New Roman"/>
          <w:sz w:val="24"/>
          <w:szCs w:val="24"/>
        </w:rPr>
        <w:t xml:space="preserve"> are expected to last for </w:t>
      </w:r>
      <w:r w:rsidR="007B37A9">
        <w:rPr>
          <w:rFonts w:ascii="Times New Roman" w:hAnsi="Times New Roman"/>
          <w:sz w:val="24"/>
          <w:szCs w:val="24"/>
        </w:rPr>
        <w:t>two</w:t>
      </w:r>
      <w:r w:rsidR="002F7B0F">
        <w:rPr>
          <w:rFonts w:ascii="Times New Roman" w:hAnsi="Times New Roman"/>
          <w:sz w:val="24"/>
          <w:szCs w:val="24"/>
        </w:rPr>
        <w:t xml:space="preserve"> years</w:t>
      </w:r>
      <w:r w:rsidR="00824E11" w:rsidRPr="00EB7F1B">
        <w:rPr>
          <w:rFonts w:ascii="Times New Roman" w:hAnsi="Times New Roman"/>
          <w:sz w:val="24"/>
          <w:szCs w:val="24"/>
        </w:rPr>
        <w:t xml:space="preserve">.  </w:t>
      </w:r>
      <w:r w:rsidRPr="00EB7F1B">
        <w:rPr>
          <w:rFonts w:ascii="Times New Roman" w:hAnsi="Times New Roman"/>
          <w:sz w:val="24"/>
          <w:szCs w:val="24"/>
        </w:rPr>
        <w:t>In addition</w:t>
      </w:r>
      <w:r w:rsidR="00DC6D50">
        <w:rPr>
          <w:rFonts w:ascii="Times New Roman" w:hAnsi="Times New Roman"/>
          <w:sz w:val="24"/>
          <w:szCs w:val="24"/>
        </w:rPr>
        <w:t xml:space="preserve"> to the quarterly reports</w:t>
      </w:r>
      <w:r w:rsidRPr="00EB7F1B">
        <w:rPr>
          <w:rFonts w:ascii="Times New Roman" w:hAnsi="Times New Roman"/>
          <w:sz w:val="24"/>
          <w:szCs w:val="24"/>
        </w:rPr>
        <w:t xml:space="preserve">, </w:t>
      </w:r>
      <w:r w:rsidR="00FA2399">
        <w:rPr>
          <w:rFonts w:ascii="Times New Roman" w:hAnsi="Times New Roman"/>
          <w:sz w:val="24"/>
          <w:szCs w:val="24"/>
        </w:rPr>
        <w:t xml:space="preserve">the </w:t>
      </w:r>
      <w:r w:rsidRPr="00EB7F1B">
        <w:rPr>
          <w:rFonts w:ascii="Times New Roman" w:hAnsi="Times New Roman"/>
          <w:sz w:val="24"/>
          <w:szCs w:val="24"/>
        </w:rPr>
        <w:t xml:space="preserve">grantee will </w:t>
      </w:r>
      <w:r w:rsidR="006319D5">
        <w:rPr>
          <w:rFonts w:ascii="Times New Roman" w:hAnsi="Times New Roman"/>
          <w:sz w:val="24"/>
          <w:szCs w:val="24"/>
        </w:rPr>
        <w:t xml:space="preserve">participate in quarterly conference calls and </w:t>
      </w:r>
      <w:r w:rsidRPr="00EB7F1B">
        <w:rPr>
          <w:rFonts w:ascii="Times New Roman" w:hAnsi="Times New Roman"/>
          <w:sz w:val="24"/>
          <w:szCs w:val="24"/>
        </w:rPr>
        <w:t>submit a final written report</w:t>
      </w:r>
      <w:r w:rsidR="008D621F">
        <w:rPr>
          <w:rFonts w:ascii="Times New Roman" w:hAnsi="Times New Roman"/>
          <w:sz w:val="24"/>
          <w:szCs w:val="24"/>
        </w:rPr>
        <w:t xml:space="preserve"> and conduct a final briefing at FNS Headquarters in Alexandria, VA</w:t>
      </w:r>
      <w:r w:rsidR="00C47769">
        <w:rPr>
          <w:rFonts w:ascii="Times New Roman" w:hAnsi="Times New Roman"/>
          <w:sz w:val="24"/>
          <w:szCs w:val="24"/>
        </w:rPr>
        <w:t xml:space="preserve">.  Grantees may also make presentations </w:t>
      </w:r>
      <w:r w:rsidR="00B65574">
        <w:rPr>
          <w:rFonts w:ascii="Times New Roman" w:hAnsi="Times New Roman"/>
          <w:sz w:val="24"/>
          <w:szCs w:val="24"/>
        </w:rPr>
        <w:t xml:space="preserve">during the </w:t>
      </w:r>
      <w:r w:rsidR="00C47769">
        <w:rPr>
          <w:rFonts w:ascii="Times New Roman" w:hAnsi="Times New Roman"/>
          <w:sz w:val="24"/>
          <w:szCs w:val="24"/>
        </w:rPr>
        <w:t xml:space="preserve">FNS </w:t>
      </w:r>
      <w:r w:rsidR="00B65574">
        <w:rPr>
          <w:rFonts w:ascii="Times New Roman" w:hAnsi="Times New Roman"/>
          <w:sz w:val="24"/>
          <w:szCs w:val="24"/>
        </w:rPr>
        <w:t xml:space="preserve">grants workshop </w:t>
      </w:r>
      <w:r w:rsidR="004A586B" w:rsidRPr="00EB7F1B">
        <w:rPr>
          <w:rFonts w:ascii="Times New Roman" w:hAnsi="Times New Roman"/>
          <w:sz w:val="24"/>
          <w:szCs w:val="24"/>
        </w:rPr>
        <w:t>.</w:t>
      </w:r>
      <w:r w:rsidRPr="00EB7F1B">
        <w:rPr>
          <w:rFonts w:ascii="Times New Roman" w:hAnsi="Times New Roman"/>
          <w:sz w:val="24"/>
          <w:szCs w:val="24"/>
        </w:rPr>
        <w:t xml:space="preserve"> </w:t>
      </w:r>
    </w:p>
    <w:p w:rsidR="00796459" w:rsidRPr="00103DDF" w:rsidRDefault="00C46BE6" w:rsidP="007B37A9">
      <w:pPr>
        <w:spacing w:line="480" w:lineRule="auto"/>
        <w:ind w:left="547" w:right="547"/>
        <w:rPr>
          <w:rFonts w:ascii="Times New Roman" w:hAnsi="Times New Roman"/>
          <w:sz w:val="24"/>
          <w:szCs w:val="24"/>
        </w:rPr>
      </w:pPr>
      <w:r w:rsidRPr="00103DDF">
        <w:rPr>
          <w:rFonts w:ascii="Times New Roman" w:hAnsi="Times New Roman"/>
          <w:sz w:val="24"/>
          <w:szCs w:val="24"/>
        </w:rPr>
        <w:t>The</w:t>
      </w:r>
      <w:r w:rsidR="00327223" w:rsidRPr="00103DDF">
        <w:rPr>
          <w:rFonts w:ascii="Times New Roman" w:hAnsi="Times New Roman"/>
          <w:sz w:val="24"/>
          <w:szCs w:val="24"/>
        </w:rPr>
        <w:t xml:space="preserve"> progress reports will ask for a description of the activities that took place during the previous period and report </w:t>
      </w:r>
      <w:r w:rsidR="002F7B0F">
        <w:rPr>
          <w:rFonts w:ascii="Times New Roman" w:hAnsi="Times New Roman"/>
          <w:sz w:val="24"/>
          <w:szCs w:val="24"/>
        </w:rPr>
        <w:t>any deviations and difficulties.</w:t>
      </w:r>
      <w:r w:rsidR="007B37A9">
        <w:rPr>
          <w:rFonts w:ascii="Times New Roman" w:hAnsi="Times New Roman"/>
          <w:sz w:val="24"/>
          <w:szCs w:val="24"/>
        </w:rPr>
        <w:t xml:space="preserve">  </w:t>
      </w:r>
      <w:r w:rsidR="008D621F">
        <w:rPr>
          <w:rFonts w:ascii="Times New Roman" w:hAnsi="Times New Roman"/>
          <w:sz w:val="24"/>
          <w:szCs w:val="24"/>
        </w:rPr>
        <w:t>One grant</w:t>
      </w:r>
      <w:r w:rsidR="00327223" w:rsidRPr="00103DDF">
        <w:rPr>
          <w:rFonts w:ascii="Times New Roman" w:hAnsi="Times New Roman"/>
          <w:sz w:val="24"/>
          <w:szCs w:val="24"/>
        </w:rPr>
        <w:t xml:space="preserve"> will be awarded under this RFA</w:t>
      </w:r>
      <w:r w:rsidR="00824E11" w:rsidRPr="00103DDF">
        <w:rPr>
          <w:rFonts w:ascii="Times New Roman" w:hAnsi="Times New Roman"/>
          <w:sz w:val="24"/>
          <w:szCs w:val="24"/>
        </w:rPr>
        <w:t xml:space="preserve">.  </w:t>
      </w:r>
      <w:r w:rsidR="00327223" w:rsidRPr="00103DDF">
        <w:rPr>
          <w:rFonts w:ascii="Times New Roman" w:hAnsi="Times New Roman"/>
          <w:sz w:val="24"/>
          <w:szCs w:val="24"/>
        </w:rPr>
        <w:t xml:space="preserve">The total estimated burden is reflected in the following table:  </w:t>
      </w:r>
    </w:p>
    <w:p w:rsidR="00E9606F" w:rsidRPr="007B37A9" w:rsidRDefault="00327223" w:rsidP="007B37A9">
      <w:pPr>
        <w:spacing w:line="480" w:lineRule="auto"/>
        <w:ind w:left="547"/>
        <w:rPr>
          <w:rFonts w:ascii="Times New Roman" w:hAnsi="Times New Roman"/>
          <w:b/>
          <w:sz w:val="24"/>
          <w:szCs w:val="24"/>
        </w:rPr>
      </w:pPr>
      <w:r w:rsidRPr="00103DDF">
        <w:rPr>
          <w:rFonts w:ascii="Times New Roman" w:hAnsi="Times New Roman"/>
          <w:b/>
          <w:sz w:val="24"/>
          <w:szCs w:val="24"/>
        </w:rPr>
        <w:t>A.12.2 Estimate of Hours Burden on Respondents for Application (Affected Public:  State and Local Agencies) Post-</w:t>
      </w:r>
      <w:r w:rsidR="003777DA" w:rsidRPr="00103DDF">
        <w:rPr>
          <w:rFonts w:ascii="Times New Roman" w:hAnsi="Times New Roman"/>
          <w:b/>
          <w:sz w:val="24"/>
          <w:szCs w:val="24"/>
        </w:rPr>
        <w:t>Awardees</w:t>
      </w:r>
      <w:r w:rsidRPr="00103DDF">
        <w:rPr>
          <w:rFonts w:ascii="Times New Roman" w:hAnsi="Times New Roman"/>
          <w:b/>
          <w:sz w:val="24"/>
          <w:szCs w:val="24"/>
        </w:rPr>
        <w:t xml:space="preserve"> Burden Estimates</w:t>
      </w: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170"/>
        <w:gridCol w:w="1500"/>
        <w:gridCol w:w="1190"/>
        <w:gridCol w:w="1350"/>
        <w:gridCol w:w="1360"/>
        <w:gridCol w:w="1070"/>
      </w:tblGrid>
      <w:tr w:rsidR="007B37A9" w:rsidRPr="00135EB4" w:rsidTr="00A2262E">
        <w:tc>
          <w:tcPr>
            <w:tcW w:w="1350" w:type="dxa"/>
          </w:tcPr>
          <w:p w:rsidR="007B37A9" w:rsidRPr="00135EB4" w:rsidRDefault="007B37A9" w:rsidP="00A2262E">
            <w:pPr>
              <w:spacing w:after="0" w:line="240" w:lineRule="auto"/>
              <w:jc w:val="center"/>
              <w:rPr>
                <w:rFonts w:ascii="Times New Roman" w:hAnsi="Times New Roman"/>
                <w:b/>
                <w:sz w:val="24"/>
                <w:szCs w:val="24"/>
              </w:rPr>
            </w:pPr>
          </w:p>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Affected Public</w:t>
            </w:r>
          </w:p>
        </w:tc>
        <w:tc>
          <w:tcPr>
            <w:tcW w:w="3170" w:type="dxa"/>
            <w:vAlign w:val="center"/>
          </w:tcPr>
          <w:p w:rsidR="007B37A9" w:rsidRPr="00135EB4" w:rsidRDefault="007B37A9" w:rsidP="00A2262E">
            <w:pPr>
              <w:spacing w:after="0" w:line="240" w:lineRule="auto"/>
              <w:jc w:val="center"/>
              <w:rPr>
                <w:rFonts w:ascii="Times New Roman" w:hAnsi="Times New Roman"/>
                <w:b/>
                <w:sz w:val="16"/>
                <w:szCs w:val="16"/>
              </w:rPr>
            </w:pPr>
          </w:p>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Instrument</w:t>
            </w:r>
          </w:p>
        </w:tc>
        <w:tc>
          <w:tcPr>
            <w:tcW w:w="1500" w:type="dxa"/>
            <w:vAlign w:val="center"/>
          </w:tcPr>
          <w:p w:rsidR="007B37A9" w:rsidRPr="00135EB4" w:rsidRDefault="007B37A9" w:rsidP="00A2262E">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Number</w:t>
            </w:r>
          </w:p>
          <w:p w:rsidR="007B37A9" w:rsidRPr="00135EB4" w:rsidRDefault="007B37A9" w:rsidP="00A2262E">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Respondents</w:t>
            </w:r>
          </w:p>
        </w:tc>
        <w:tc>
          <w:tcPr>
            <w:tcW w:w="1190" w:type="dxa"/>
            <w:vAlign w:val="center"/>
          </w:tcPr>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 xml:space="preserve">Number Annual Response </w:t>
            </w:r>
          </w:p>
        </w:tc>
        <w:tc>
          <w:tcPr>
            <w:tcW w:w="1350" w:type="dxa"/>
            <w:vAlign w:val="center"/>
          </w:tcPr>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w:t>
            </w:r>
          </w:p>
        </w:tc>
        <w:tc>
          <w:tcPr>
            <w:tcW w:w="1360" w:type="dxa"/>
            <w:vAlign w:val="center"/>
          </w:tcPr>
          <w:p w:rsidR="007B37A9" w:rsidRPr="00135EB4" w:rsidRDefault="007B37A9" w:rsidP="00A2262E">
            <w:pPr>
              <w:spacing w:after="0" w:line="240" w:lineRule="auto"/>
              <w:jc w:val="center"/>
              <w:rPr>
                <w:rFonts w:ascii="Times New Roman" w:hAnsi="Times New Roman"/>
                <w:b/>
                <w:sz w:val="16"/>
                <w:szCs w:val="16"/>
              </w:rPr>
            </w:pPr>
          </w:p>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Hours per Response</w:t>
            </w:r>
          </w:p>
        </w:tc>
        <w:tc>
          <w:tcPr>
            <w:tcW w:w="1070" w:type="dxa"/>
            <w:vAlign w:val="center"/>
          </w:tcPr>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Total Annual Burden</w:t>
            </w:r>
          </w:p>
        </w:tc>
      </w:tr>
      <w:tr w:rsidR="007B37A9" w:rsidRPr="00135EB4" w:rsidTr="00A2262E">
        <w:trPr>
          <w:trHeight w:val="890"/>
        </w:trPr>
        <w:tc>
          <w:tcPr>
            <w:tcW w:w="1350" w:type="dxa"/>
            <w:vMerge w:val="restart"/>
          </w:tcPr>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F25BD9" w:rsidP="00A2262E">
            <w:pPr>
              <w:spacing w:after="0" w:line="240" w:lineRule="auto"/>
              <w:rPr>
                <w:rFonts w:ascii="Times New Roman" w:hAnsi="Times New Roman"/>
                <w:sz w:val="24"/>
                <w:szCs w:val="24"/>
              </w:rPr>
            </w:pPr>
            <w:r>
              <w:rPr>
                <w:rFonts w:ascii="Times New Roman" w:hAnsi="Times New Roman"/>
                <w:sz w:val="24"/>
                <w:szCs w:val="24"/>
              </w:rPr>
              <w:t>State Agencies</w:t>
            </w:r>
          </w:p>
        </w:tc>
        <w:tc>
          <w:tcPr>
            <w:tcW w:w="3170" w:type="dxa"/>
          </w:tcPr>
          <w:p w:rsidR="007B37A9" w:rsidRPr="00135EB4" w:rsidRDefault="007B37A9" w:rsidP="00A2262E">
            <w:pPr>
              <w:spacing w:after="0" w:line="240" w:lineRule="auto"/>
              <w:rPr>
                <w:rFonts w:ascii="Times New Roman" w:hAnsi="Times New Roman"/>
                <w:sz w:val="20"/>
                <w:szCs w:val="20"/>
              </w:rPr>
            </w:pPr>
            <w:r w:rsidRPr="00135EB4">
              <w:rPr>
                <w:rFonts w:ascii="Times New Roman" w:hAnsi="Times New Roman"/>
                <w:sz w:val="20"/>
                <w:szCs w:val="20"/>
              </w:rPr>
              <w:lastRenderedPageBreak/>
              <w:t>Quarterly Reports and Financial Reports</w:t>
            </w:r>
          </w:p>
        </w:tc>
        <w:tc>
          <w:tcPr>
            <w:tcW w:w="1500" w:type="dxa"/>
            <w:vAlign w:val="center"/>
          </w:tcPr>
          <w:p w:rsidR="007B37A9" w:rsidRPr="00135EB4" w:rsidRDefault="007B37A9"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07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16</w:t>
            </w:r>
          </w:p>
        </w:tc>
      </w:tr>
      <w:tr w:rsidR="007B37A9" w:rsidRPr="00135EB4" w:rsidTr="00A2262E">
        <w:tc>
          <w:tcPr>
            <w:tcW w:w="1350" w:type="dxa"/>
            <w:vMerge/>
          </w:tcPr>
          <w:p w:rsidR="007B37A9" w:rsidRPr="00135EB4" w:rsidRDefault="007B37A9" w:rsidP="00A2262E">
            <w:pPr>
              <w:spacing w:after="0" w:line="240" w:lineRule="auto"/>
              <w:jc w:val="center"/>
              <w:rPr>
                <w:rFonts w:ascii="Times New Roman" w:hAnsi="Times New Roman"/>
                <w:sz w:val="24"/>
                <w:szCs w:val="24"/>
              </w:rPr>
            </w:pPr>
          </w:p>
        </w:tc>
        <w:tc>
          <w:tcPr>
            <w:tcW w:w="3170" w:type="dxa"/>
          </w:tcPr>
          <w:p w:rsidR="007B37A9" w:rsidRPr="00135EB4" w:rsidRDefault="007B37A9" w:rsidP="00A2262E">
            <w:pPr>
              <w:spacing w:after="0" w:line="240" w:lineRule="auto"/>
              <w:rPr>
                <w:rFonts w:ascii="Times New Roman" w:hAnsi="Times New Roman"/>
                <w:sz w:val="20"/>
                <w:szCs w:val="20"/>
              </w:rPr>
            </w:pPr>
            <w:r w:rsidRPr="00135EB4">
              <w:rPr>
                <w:rFonts w:ascii="Times New Roman" w:hAnsi="Times New Roman"/>
                <w:sz w:val="20"/>
                <w:szCs w:val="20"/>
              </w:rPr>
              <w:t>Quarterly Conference Calls</w:t>
            </w:r>
          </w:p>
        </w:tc>
        <w:tc>
          <w:tcPr>
            <w:tcW w:w="1500" w:type="dxa"/>
            <w:vAlign w:val="center"/>
          </w:tcPr>
          <w:p w:rsidR="007B37A9" w:rsidRPr="00135EB4" w:rsidRDefault="007B37A9"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7B37A9" w:rsidRPr="00135EB4" w:rsidRDefault="00BF2C5F" w:rsidP="00A2262E">
            <w:pPr>
              <w:spacing w:after="0" w:line="480" w:lineRule="auto"/>
              <w:jc w:val="center"/>
              <w:rPr>
                <w:rFonts w:ascii="Times New Roman" w:hAnsi="Times New Roman"/>
                <w:sz w:val="24"/>
                <w:szCs w:val="24"/>
              </w:rPr>
            </w:pPr>
            <w:r>
              <w:rPr>
                <w:rFonts w:ascii="Times New Roman" w:hAnsi="Times New Roman"/>
                <w:sz w:val="24"/>
                <w:szCs w:val="24"/>
              </w:rPr>
              <w:t>2.0</w:t>
            </w:r>
          </w:p>
        </w:tc>
        <w:tc>
          <w:tcPr>
            <w:tcW w:w="1070" w:type="dxa"/>
            <w:vAlign w:val="center"/>
          </w:tcPr>
          <w:p w:rsidR="007B37A9" w:rsidRPr="00135EB4" w:rsidRDefault="00BF2C5F" w:rsidP="00A2262E">
            <w:pPr>
              <w:spacing w:after="0" w:line="480" w:lineRule="auto"/>
              <w:jc w:val="center"/>
              <w:rPr>
                <w:rFonts w:ascii="Times New Roman" w:hAnsi="Times New Roman"/>
                <w:sz w:val="24"/>
                <w:szCs w:val="24"/>
              </w:rPr>
            </w:pPr>
            <w:r>
              <w:rPr>
                <w:rFonts w:ascii="Times New Roman" w:hAnsi="Times New Roman"/>
                <w:sz w:val="24"/>
                <w:szCs w:val="24"/>
              </w:rPr>
              <w:t>8</w:t>
            </w:r>
          </w:p>
        </w:tc>
      </w:tr>
      <w:tr w:rsidR="007B37A9" w:rsidRPr="00135EB4" w:rsidTr="00A2262E">
        <w:tc>
          <w:tcPr>
            <w:tcW w:w="1350" w:type="dxa"/>
            <w:vMerge/>
          </w:tcPr>
          <w:p w:rsidR="007B37A9" w:rsidRPr="00135EB4" w:rsidRDefault="007B37A9" w:rsidP="00A2262E">
            <w:pPr>
              <w:spacing w:after="0" w:line="480" w:lineRule="auto"/>
              <w:jc w:val="center"/>
              <w:rPr>
                <w:rFonts w:ascii="Times New Roman" w:hAnsi="Times New Roman"/>
                <w:sz w:val="24"/>
                <w:szCs w:val="24"/>
              </w:rPr>
            </w:pPr>
          </w:p>
        </w:tc>
        <w:tc>
          <w:tcPr>
            <w:tcW w:w="3170" w:type="dxa"/>
          </w:tcPr>
          <w:p w:rsidR="007B37A9" w:rsidRPr="00135EB4" w:rsidRDefault="007B37A9" w:rsidP="00A2262E">
            <w:pPr>
              <w:spacing w:after="0" w:line="480" w:lineRule="auto"/>
              <w:rPr>
                <w:rFonts w:ascii="Times New Roman" w:hAnsi="Times New Roman"/>
                <w:sz w:val="20"/>
                <w:szCs w:val="20"/>
              </w:rPr>
            </w:pPr>
            <w:r w:rsidRPr="00135EB4">
              <w:rPr>
                <w:rFonts w:ascii="Times New Roman" w:hAnsi="Times New Roman"/>
                <w:sz w:val="20"/>
                <w:szCs w:val="20"/>
              </w:rPr>
              <w:t>Annual Reports</w:t>
            </w:r>
          </w:p>
        </w:tc>
        <w:tc>
          <w:tcPr>
            <w:tcW w:w="1500" w:type="dxa"/>
            <w:vAlign w:val="center"/>
          </w:tcPr>
          <w:p w:rsidR="007B37A9" w:rsidRPr="00135EB4" w:rsidRDefault="007B37A9"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5</w:t>
            </w:r>
          </w:p>
        </w:tc>
        <w:tc>
          <w:tcPr>
            <w:tcW w:w="107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5</w:t>
            </w:r>
          </w:p>
        </w:tc>
      </w:tr>
      <w:tr w:rsidR="007B37A9" w:rsidRPr="00135EB4" w:rsidTr="00A2262E">
        <w:tc>
          <w:tcPr>
            <w:tcW w:w="1350" w:type="dxa"/>
            <w:vMerge/>
          </w:tcPr>
          <w:p w:rsidR="007B37A9" w:rsidRPr="00135EB4" w:rsidRDefault="007B37A9" w:rsidP="00A2262E">
            <w:pPr>
              <w:spacing w:after="0" w:line="480" w:lineRule="auto"/>
              <w:jc w:val="center"/>
              <w:rPr>
                <w:rFonts w:ascii="Times New Roman" w:hAnsi="Times New Roman"/>
                <w:sz w:val="24"/>
                <w:szCs w:val="24"/>
              </w:rPr>
            </w:pPr>
          </w:p>
        </w:tc>
        <w:tc>
          <w:tcPr>
            <w:tcW w:w="3170" w:type="dxa"/>
            <w:vAlign w:val="bottom"/>
          </w:tcPr>
          <w:p w:rsidR="007B37A9" w:rsidRPr="00135EB4" w:rsidRDefault="007B37A9" w:rsidP="00A2262E">
            <w:pPr>
              <w:spacing w:after="0" w:line="240" w:lineRule="auto"/>
              <w:rPr>
                <w:rFonts w:ascii="Times New Roman" w:hAnsi="Times New Roman"/>
                <w:sz w:val="24"/>
                <w:szCs w:val="24"/>
              </w:rPr>
            </w:pPr>
            <w:r w:rsidRPr="00135EB4">
              <w:rPr>
                <w:rFonts w:ascii="Times New Roman" w:hAnsi="Times New Roman"/>
                <w:color w:val="000000"/>
                <w:sz w:val="20"/>
                <w:szCs w:val="20"/>
                <w:lang w:bidi="ar-SA"/>
              </w:rPr>
              <w:t>SF-425 Financial Reporting (Quarterly)</w:t>
            </w:r>
          </w:p>
        </w:tc>
        <w:tc>
          <w:tcPr>
            <w:tcW w:w="1500" w:type="dxa"/>
            <w:vAlign w:val="center"/>
          </w:tcPr>
          <w:p w:rsidR="007B37A9" w:rsidRPr="00135EB4" w:rsidRDefault="007B37A9"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1.50</w:t>
            </w:r>
          </w:p>
        </w:tc>
        <w:tc>
          <w:tcPr>
            <w:tcW w:w="107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6.00</w:t>
            </w:r>
          </w:p>
        </w:tc>
      </w:tr>
      <w:tr w:rsidR="007B37A9" w:rsidRPr="00135EB4" w:rsidTr="00A2262E">
        <w:tc>
          <w:tcPr>
            <w:tcW w:w="1350" w:type="dxa"/>
            <w:vMerge/>
          </w:tcPr>
          <w:p w:rsidR="007B37A9" w:rsidRPr="00135EB4" w:rsidRDefault="007B37A9" w:rsidP="00A2262E">
            <w:pPr>
              <w:spacing w:after="0" w:line="480" w:lineRule="auto"/>
              <w:jc w:val="center"/>
              <w:rPr>
                <w:rFonts w:ascii="Times New Roman" w:hAnsi="Times New Roman"/>
                <w:sz w:val="24"/>
                <w:szCs w:val="24"/>
              </w:rPr>
            </w:pPr>
          </w:p>
        </w:tc>
        <w:tc>
          <w:tcPr>
            <w:tcW w:w="3170" w:type="dxa"/>
          </w:tcPr>
          <w:p w:rsidR="007B37A9" w:rsidRPr="00135EB4" w:rsidRDefault="007B37A9" w:rsidP="00A2262E">
            <w:pPr>
              <w:spacing w:after="0" w:line="240" w:lineRule="auto"/>
              <w:rPr>
                <w:rFonts w:ascii="Times New Roman" w:hAnsi="Times New Roman"/>
                <w:sz w:val="20"/>
                <w:szCs w:val="20"/>
              </w:rPr>
            </w:pPr>
            <w:r w:rsidRPr="00135EB4">
              <w:rPr>
                <w:rFonts w:ascii="Times New Roman" w:hAnsi="Times New Roman"/>
                <w:sz w:val="20"/>
                <w:szCs w:val="20"/>
              </w:rPr>
              <w:t xml:space="preserve">SF-425 Final Written Report </w:t>
            </w:r>
            <w:r w:rsidR="006319D5">
              <w:rPr>
                <w:rFonts w:ascii="Times New Roman" w:hAnsi="Times New Roman"/>
                <w:sz w:val="20"/>
                <w:szCs w:val="20"/>
              </w:rPr>
              <w:t>&amp; Briefing</w:t>
            </w:r>
          </w:p>
        </w:tc>
        <w:tc>
          <w:tcPr>
            <w:tcW w:w="1500" w:type="dxa"/>
            <w:vAlign w:val="center"/>
          </w:tcPr>
          <w:p w:rsidR="007B37A9" w:rsidRPr="00135EB4" w:rsidRDefault="007B37A9"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07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10</w:t>
            </w:r>
          </w:p>
        </w:tc>
      </w:tr>
      <w:tr w:rsidR="007B37A9" w:rsidRPr="00135EB4" w:rsidTr="00A2262E">
        <w:tc>
          <w:tcPr>
            <w:tcW w:w="1350" w:type="dxa"/>
            <w:vMerge/>
          </w:tcPr>
          <w:p w:rsidR="007B37A9" w:rsidRPr="00135EB4" w:rsidRDefault="007B37A9" w:rsidP="00A2262E">
            <w:pPr>
              <w:spacing w:after="0" w:line="240" w:lineRule="auto"/>
              <w:jc w:val="center"/>
              <w:rPr>
                <w:rFonts w:ascii="Times New Roman" w:hAnsi="Times New Roman"/>
                <w:sz w:val="24"/>
                <w:szCs w:val="24"/>
              </w:rPr>
            </w:pPr>
          </w:p>
        </w:tc>
        <w:tc>
          <w:tcPr>
            <w:tcW w:w="3170" w:type="dxa"/>
          </w:tcPr>
          <w:p w:rsidR="007B37A9" w:rsidRPr="00135EB4" w:rsidRDefault="007B37A9" w:rsidP="00A2262E">
            <w:pPr>
              <w:spacing w:after="0" w:line="240" w:lineRule="auto"/>
              <w:rPr>
                <w:rFonts w:ascii="Times New Roman" w:hAnsi="Times New Roman"/>
                <w:sz w:val="24"/>
                <w:szCs w:val="24"/>
              </w:rPr>
            </w:pPr>
            <w:r w:rsidRPr="00135EB4">
              <w:rPr>
                <w:rFonts w:ascii="Times New Roman" w:hAnsi="Times New Roman"/>
                <w:sz w:val="20"/>
                <w:szCs w:val="20"/>
              </w:rPr>
              <w:t>Workshops</w:t>
            </w:r>
          </w:p>
        </w:tc>
        <w:tc>
          <w:tcPr>
            <w:tcW w:w="1500" w:type="dxa"/>
            <w:vAlign w:val="center"/>
          </w:tcPr>
          <w:p w:rsidR="007B37A9" w:rsidRPr="00135EB4" w:rsidRDefault="007B37A9"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16</w:t>
            </w:r>
          </w:p>
        </w:tc>
        <w:tc>
          <w:tcPr>
            <w:tcW w:w="107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16</w:t>
            </w:r>
          </w:p>
        </w:tc>
      </w:tr>
      <w:tr w:rsidR="007B37A9" w:rsidRPr="00135EB4" w:rsidTr="00A2262E">
        <w:tc>
          <w:tcPr>
            <w:tcW w:w="1350" w:type="dxa"/>
            <w:vMerge/>
          </w:tcPr>
          <w:p w:rsidR="007B37A9" w:rsidRPr="00135EB4" w:rsidRDefault="007B37A9" w:rsidP="00A2262E">
            <w:pPr>
              <w:spacing w:after="0" w:line="480" w:lineRule="auto"/>
              <w:jc w:val="center"/>
              <w:rPr>
                <w:rFonts w:ascii="Times New Roman" w:hAnsi="Times New Roman"/>
                <w:b/>
                <w:sz w:val="24"/>
                <w:szCs w:val="24"/>
              </w:rPr>
            </w:pPr>
          </w:p>
        </w:tc>
        <w:tc>
          <w:tcPr>
            <w:tcW w:w="3170" w:type="dxa"/>
          </w:tcPr>
          <w:p w:rsidR="007B37A9" w:rsidRPr="00135EB4" w:rsidRDefault="00A54219" w:rsidP="00A2262E">
            <w:pPr>
              <w:spacing w:after="0" w:line="480" w:lineRule="auto"/>
              <w:jc w:val="center"/>
              <w:rPr>
                <w:rFonts w:ascii="Times New Roman" w:hAnsi="Times New Roman"/>
                <w:b/>
                <w:sz w:val="24"/>
                <w:szCs w:val="24"/>
              </w:rPr>
            </w:pPr>
            <w:r>
              <w:rPr>
                <w:rFonts w:ascii="Times New Roman" w:hAnsi="Times New Roman"/>
                <w:b/>
                <w:sz w:val="24"/>
                <w:szCs w:val="24"/>
              </w:rPr>
              <w:t xml:space="preserve">Annual </w:t>
            </w:r>
            <w:r w:rsidR="007B37A9" w:rsidRPr="00135EB4">
              <w:rPr>
                <w:rFonts w:ascii="Times New Roman" w:hAnsi="Times New Roman"/>
                <w:b/>
                <w:sz w:val="24"/>
                <w:szCs w:val="24"/>
              </w:rPr>
              <w:t>Total</w:t>
            </w:r>
          </w:p>
        </w:tc>
        <w:tc>
          <w:tcPr>
            <w:tcW w:w="1500" w:type="dxa"/>
            <w:vAlign w:val="center"/>
          </w:tcPr>
          <w:p w:rsidR="007B37A9" w:rsidRPr="00135EB4" w:rsidRDefault="007B37A9" w:rsidP="00A2262E">
            <w:pPr>
              <w:spacing w:after="0" w:line="480" w:lineRule="auto"/>
              <w:ind w:left="-109"/>
              <w:jc w:val="center"/>
              <w:rPr>
                <w:rFonts w:ascii="Times New Roman" w:hAnsi="Times New Roman"/>
                <w:b/>
                <w:sz w:val="24"/>
                <w:szCs w:val="24"/>
              </w:rPr>
            </w:pPr>
            <w:r w:rsidRPr="00135EB4">
              <w:rPr>
                <w:rFonts w:ascii="Times New Roman" w:hAnsi="Times New Roman"/>
                <w:b/>
                <w:sz w:val="24"/>
                <w:szCs w:val="24"/>
              </w:rPr>
              <w:t>1</w:t>
            </w:r>
          </w:p>
        </w:tc>
        <w:tc>
          <w:tcPr>
            <w:tcW w:w="1190" w:type="dxa"/>
            <w:vAlign w:val="center"/>
          </w:tcPr>
          <w:p w:rsidR="007B37A9" w:rsidRPr="00135EB4" w:rsidRDefault="00C47769" w:rsidP="00A2262E">
            <w:pPr>
              <w:spacing w:after="0" w:line="480" w:lineRule="auto"/>
              <w:jc w:val="center"/>
              <w:rPr>
                <w:rFonts w:ascii="Times New Roman" w:hAnsi="Times New Roman"/>
                <w:b/>
                <w:sz w:val="24"/>
                <w:szCs w:val="24"/>
              </w:rPr>
            </w:pPr>
            <w:r>
              <w:rPr>
                <w:rFonts w:ascii="Times New Roman" w:hAnsi="Times New Roman"/>
                <w:b/>
                <w:sz w:val="24"/>
                <w:szCs w:val="24"/>
              </w:rPr>
              <w:t>15</w:t>
            </w:r>
          </w:p>
        </w:tc>
        <w:tc>
          <w:tcPr>
            <w:tcW w:w="1350" w:type="dxa"/>
            <w:vAlign w:val="center"/>
          </w:tcPr>
          <w:p w:rsidR="007B37A9" w:rsidRPr="00135EB4" w:rsidRDefault="00C47769" w:rsidP="00A2262E">
            <w:pPr>
              <w:spacing w:after="0" w:line="480" w:lineRule="auto"/>
              <w:jc w:val="center"/>
              <w:rPr>
                <w:rFonts w:ascii="Times New Roman" w:hAnsi="Times New Roman"/>
                <w:b/>
                <w:sz w:val="24"/>
                <w:szCs w:val="24"/>
              </w:rPr>
            </w:pPr>
            <w:r>
              <w:rPr>
                <w:rFonts w:ascii="Times New Roman" w:hAnsi="Times New Roman"/>
                <w:b/>
                <w:sz w:val="24"/>
                <w:szCs w:val="24"/>
              </w:rPr>
              <w:t>15</w:t>
            </w:r>
          </w:p>
        </w:tc>
        <w:tc>
          <w:tcPr>
            <w:tcW w:w="1360" w:type="dxa"/>
            <w:vAlign w:val="center"/>
          </w:tcPr>
          <w:p w:rsidR="007B37A9" w:rsidRPr="00135EB4" w:rsidRDefault="00C47769" w:rsidP="00A2262E">
            <w:pPr>
              <w:spacing w:after="0" w:line="480" w:lineRule="auto"/>
              <w:jc w:val="center"/>
              <w:rPr>
                <w:rFonts w:ascii="Times New Roman" w:hAnsi="Times New Roman"/>
                <w:b/>
                <w:sz w:val="24"/>
                <w:szCs w:val="24"/>
              </w:rPr>
            </w:pPr>
            <w:r>
              <w:rPr>
                <w:rFonts w:ascii="Times New Roman" w:hAnsi="Times New Roman"/>
                <w:b/>
                <w:sz w:val="24"/>
                <w:szCs w:val="24"/>
              </w:rPr>
              <w:t>4.07</w:t>
            </w:r>
          </w:p>
        </w:tc>
        <w:tc>
          <w:tcPr>
            <w:tcW w:w="1070" w:type="dxa"/>
            <w:vAlign w:val="center"/>
          </w:tcPr>
          <w:p w:rsidR="007B37A9" w:rsidRPr="00135EB4" w:rsidRDefault="00C47769" w:rsidP="00A2262E">
            <w:pPr>
              <w:spacing w:after="0" w:line="480" w:lineRule="auto"/>
              <w:jc w:val="center"/>
              <w:rPr>
                <w:rFonts w:ascii="Times New Roman" w:hAnsi="Times New Roman"/>
                <w:b/>
                <w:sz w:val="24"/>
                <w:szCs w:val="24"/>
              </w:rPr>
            </w:pPr>
            <w:r>
              <w:rPr>
                <w:rFonts w:ascii="Times New Roman" w:hAnsi="Times New Roman"/>
                <w:b/>
                <w:sz w:val="24"/>
                <w:szCs w:val="24"/>
              </w:rPr>
              <w:t>61</w:t>
            </w:r>
          </w:p>
        </w:tc>
      </w:tr>
      <w:tr w:rsidR="00A54219" w:rsidRPr="00135EB4" w:rsidTr="00A2262E">
        <w:tc>
          <w:tcPr>
            <w:tcW w:w="1350" w:type="dxa"/>
          </w:tcPr>
          <w:p w:rsidR="00A54219" w:rsidRPr="00135EB4" w:rsidRDefault="00A54219" w:rsidP="00A2262E">
            <w:pPr>
              <w:spacing w:after="0" w:line="480" w:lineRule="auto"/>
              <w:jc w:val="center"/>
              <w:rPr>
                <w:rFonts w:ascii="Times New Roman" w:hAnsi="Times New Roman"/>
                <w:b/>
                <w:sz w:val="24"/>
                <w:szCs w:val="24"/>
              </w:rPr>
            </w:pPr>
          </w:p>
        </w:tc>
        <w:tc>
          <w:tcPr>
            <w:tcW w:w="3170" w:type="dxa"/>
          </w:tcPr>
          <w:p w:rsidR="00A54219" w:rsidRDefault="00A54219" w:rsidP="00A54219">
            <w:pPr>
              <w:spacing w:after="0" w:line="240" w:lineRule="auto"/>
              <w:jc w:val="center"/>
              <w:rPr>
                <w:rFonts w:ascii="Times New Roman" w:hAnsi="Times New Roman"/>
                <w:b/>
                <w:sz w:val="24"/>
                <w:szCs w:val="24"/>
              </w:rPr>
            </w:pPr>
            <w:r>
              <w:rPr>
                <w:rFonts w:ascii="Times New Roman" w:hAnsi="Times New Roman"/>
                <w:b/>
                <w:sz w:val="24"/>
                <w:szCs w:val="24"/>
              </w:rPr>
              <w:t>2 Year Reporting Period Total</w:t>
            </w:r>
          </w:p>
        </w:tc>
        <w:tc>
          <w:tcPr>
            <w:tcW w:w="1500" w:type="dxa"/>
            <w:vAlign w:val="center"/>
          </w:tcPr>
          <w:p w:rsidR="00A54219" w:rsidRPr="00135EB4" w:rsidRDefault="00A54219" w:rsidP="00A2262E">
            <w:pPr>
              <w:spacing w:after="0" w:line="480" w:lineRule="auto"/>
              <w:ind w:left="-109"/>
              <w:jc w:val="center"/>
              <w:rPr>
                <w:rFonts w:ascii="Times New Roman" w:hAnsi="Times New Roman"/>
                <w:b/>
                <w:sz w:val="24"/>
                <w:szCs w:val="24"/>
              </w:rPr>
            </w:pPr>
            <w:r>
              <w:rPr>
                <w:rFonts w:ascii="Times New Roman" w:hAnsi="Times New Roman"/>
                <w:b/>
                <w:sz w:val="24"/>
                <w:szCs w:val="24"/>
              </w:rPr>
              <w:t>1</w:t>
            </w:r>
          </w:p>
        </w:tc>
        <w:tc>
          <w:tcPr>
            <w:tcW w:w="1190" w:type="dxa"/>
            <w:vAlign w:val="center"/>
          </w:tcPr>
          <w:p w:rsidR="00A54219" w:rsidRPr="00135EB4" w:rsidDel="00C47769" w:rsidRDefault="00A54219" w:rsidP="00A2262E">
            <w:pPr>
              <w:spacing w:after="0" w:line="480" w:lineRule="auto"/>
              <w:jc w:val="center"/>
              <w:rPr>
                <w:rFonts w:ascii="Times New Roman" w:hAnsi="Times New Roman"/>
                <w:b/>
                <w:sz w:val="24"/>
                <w:szCs w:val="24"/>
              </w:rPr>
            </w:pPr>
            <w:r>
              <w:rPr>
                <w:rFonts w:ascii="Times New Roman" w:hAnsi="Times New Roman"/>
                <w:b/>
                <w:sz w:val="24"/>
                <w:szCs w:val="24"/>
              </w:rPr>
              <w:t>30</w:t>
            </w:r>
          </w:p>
        </w:tc>
        <w:tc>
          <w:tcPr>
            <w:tcW w:w="1350" w:type="dxa"/>
            <w:vAlign w:val="center"/>
          </w:tcPr>
          <w:p w:rsidR="00A54219" w:rsidDel="00C47769" w:rsidRDefault="00A54219" w:rsidP="00A2262E">
            <w:pPr>
              <w:spacing w:after="0" w:line="480" w:lineRule="auto"/>
              <w:jc w:val="center"/>
              <w:rPr>
                <w:rFonts w:ascii="Times New Roman" w:hAnsi="Times New Roman"/>
                <w:b/>
                <w:sz w:val="24"/>
                <w:szCs w:val="24"/>
              </w:rPr>
            </w:pPr>
            <w:r>
              <w:rPr>
                <w:rFonts w:ascii="Times New Roman" w:hAnsi="Times New Roman"/>
                <w:b/>
                <w:sz w:val="24"/>
                <w:szCs w:val="24"/>
              </w:rPr>
              <w:t>30</w:t>
            </w:r>
          </w:p>
        </w:tc>
        <w:tc>
          <w:tcPr>
            <w:tcW w:w="1360" w:type="dxa"/>
            <w:vAlign w:val="center"/>
          </w:tcPr>
          <w:p w:rsidR="00A54219" w:rsidRPr="00135EB4" w:rsidDel="00C47769" w:rsidRDefault="00A54219" w:rsidP="00A2262E">
            <w:pPr>
              <w:spacing w:after="0" w:line="480" w:lineRule="auto"/>
              <w:jc w:val="center"/>
              <w:rPr>
                <w:rFonts w:ascii="Times New Roman" w:hAnsi="Times New Roman"/>
                <w:b/>
                <w:sz w:val="24"/>
                <w:szCs w:val="24"/>
              </w:rPr>
            </w:pPr>
            <w:r>
              <w:rPr>
                <w:rFonts w:ascii="Times New Roman" w:hAnsi="Times New Roman"/>
                <w:b/>
                <w:sz w:val="24"/>
                <w:szCs w:val="24"/>
              </w:rPr>
              <w:t>4.07</w:t>
            </w:r>
          </w:p>
        </w:tc>
        <w:tc>
          <w:tcPr>
            <w:tcW w:w="1070" w:type="dxa"/>
            <w:vAlign w:val="center"/>
          </w:tcPr>
          <w:p w:rsidR="00A54219" w:rsidDel="00C47769" w:rsidRDefault="00A54219" w:rsidP="00A2262E">
            <w:pPr>
              <w:spacing w:after="0" w:line="480" w:lineRule="auto"/>
              <w:jc w:val="center"/>
              <w:rPr>
                <w:rFonts w:ascii="Times New Roman" w:hAnsi="Times New Roman"/>
                <w:b/>
                <w:sz w:val="24"/>
                <w:szCs w:val="24"/>
              </w:rPr>
            </w:pPr>
            <w:r>
              <w:rPr>
                <w:rFonts w:ascii="Times New Roman" w:hAnsi="Times New Roman"/>
                <w:b/>
                <w:sz w:val="24"/>
                <w:szCs w:val="24"/>
              </w:rPr>
              <w:t>122</w:t>
            </w:r>
          </w:p>
        </w:tc>
      </w:tr>
    </w:tbl>
    <w:p w:rsidR="007B37A9" w:rsidRPr="00103DDF" w:rsidRDefault="007B37A9"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FA2399" w:rsidRPr="00103DDF" w:rsidRDefault="00AB477D"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 Award </w:t>
      </w:r>
      <w:r w:rsidR="00E9606F" w:rsidRPr="00103DDF">
        <w:rPr>
          <w:rFonts w:ascii="Times New Roman" w:hAnsi="Times New Roman"/>
          <w:b/>
          <w:sz w:val="24"/>
          <w:szCs w:val="24"/>
          <w:u w:val="single"/>
        </w:rPr>
        <w:t>Burden Summary</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Number of Respondents</w:t>
      </w:r>
      <w:r w:rsidRPr="00103DDF">
        <w:rPr>
          <w:rFonts w:ascii="Times New Roman" w:hAnsi="Times New Roman"/>
          <w:sz w:val="24"/>
          <w:szCs w:val="24"/>
        </w:rPr>
        <w:t xml:space="preserve">:  </w:t>
      </w:r>
      <w:r w:rsidR="00DC6D50">
        <w:rPr>
          <w:rFonts w:ascii="Times New Roman" w:hAnsi="Times New Roman"/>
          <w:sz w:val="24"/>
          <w:szCs w:val="24"/>
        </w:rPr>
        <w:t>1</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Responses per respondent</w:t>
      </w:r>
      <w:r w:rsidRPr="00103DDF">
        <w:rPr>
          <w:rFonts w:ascii="Times New Roman" w:hAnsi="Times New Roman"/>
          <w:sz w:val="24"/>
          <w:szCs w:val="24"/>
        </w:rPr>
        <w:t xml:space="preserve">:  </w:t>
      </w:r>
      <w:r w:rsidR="005D36E1">
        <w:rPr>
          <w:rFonts w:ascii="Times New Roman" w:hAnsi="Times New Roman"/>
          <w:sz w:val="24"/>
          <w:szCs w:val="24"/>
        </w:rPr>
        <w:t>30</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Annual Response</w:t>
      </w:r>
      <w:r w:rsidRPr="00103DDF">
        <w:rPr>
          <w:rFonts w:ascii="Times New Roman" w:hAnsi="Times New Roman"/>
          <w:sz w:val="24"/>
          <w:szCs w:val="24"/>
        </w:rPr>
        <w:t xml:space="preserve">:  </w:t>
      </w:r>
      <w:r w:rsidR="005D36E1">
        <w:rPr>
          <w:rFonts w:ascii="Times New Roman" w:hAnsi="Times New Roman"/>
          <w:sz w:val="24"/>
          <w:szCs w:val="24"/>
        </w:rPr>
        <w:t>30</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Hours per Response</w:t>
      </w:r>
      <w:r w:rsidRPr="00103DDF">
        <w:rPr>
          <w:rFonts w:ascii="Times New Roman" w:hAnsi="Times New Roman"/>
          <w:sz w:val="24"/>
          <w:szCs w:val="24"/>
        </w:rPr>
        <w:t xml:space="preserve">:  </w:t>
      </w:r>
      <w:r w:rsidR="00C47769">
        <w:rPr>
          <w:rFonts w:ascii="Times New Roman" w:hAnsi="Times New Roman"/>
          <w:sz w:val="24"/>
          <w:szCs w:val="24"/>
        </w:rPr>
        <w:t>4.07</w:t>
      </w:r>
    </w:p>
    <w:p w:rsidR="00E15157"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Burden Hours</w:t>
      </w:r>
      <w:r w:rsidRPr="00103DDF">
        <w:rPr>
          <w:rFonts w:ascii="Times New Roman" w:hAnsi="Times New Roman"/>
          <w:sz w:val="24"/>
          <w:szCs w:val="24"/>
        </w:rPr>
        <w:t xml:space="preserve">:  </w:t>
      </w:r>
      <w:r w:rsidR="00A54219">
        <w:rPr>
          <w:rFonts w:ascii="Times New Roman" w:hAnsi="Times New Roman"/>
          <w:sz w:val="24"/>
          <w:szCs w:val="24"/>
        </w:rPr>
        <w:t>122</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Pre-and </w:t>
      </w:r>
      <w:proofErr w:type="spellStart"/>
      <w:r>
        <w:rPr>
          <w:rFonts w:ascii="Times New Roman" w:hAnsi="Times New Roman"/>
          <w:b/>
          <w:sz w:val="24"/>
          <w:szCs w:val="24"/>
          <w:u w:val="single"/>
        </w:rPr>
        <w:t>Post Award</w:t>
      </w:r>
      <w:proofErr w:type="spellEnd"/>
      <w:r>
        <w:rPr>
          <w:rFonts w:ascii="Times New Roman" w:hAnsi="Times New Roman"/>
          <w:b/>
          <w:sz w:val="24"/>
          <w:szCs w:val="24"/>
          <w:u w:val="single"/>
        </w:rPr>
        <w:t xml:space="preserve"> Reporting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Pr>
          <w:rFonts w:ascii="Times New Roman" w:hAnsi="Times New Roman"/>
          <w:sz w:val="24"/>
          <w:szCs w:val="24"/>
        </w:rPr>
        <w:t xml:space="preserve">:  </w:t>
      </w:r>
      <w:r w:rsidR="00AA261A">
        <w:rPr>
          <w:rFonts w:ascii="Times New Roman" w:hAnsi="Times New Roman"/>
          <w:sz w:val="24"/>
          <w:szCs w:val="24"/>
        </w:rPr>
        <w:t>30</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sidR="00A54219">
        <w:rPr>
          <w:rFonts w:ascii="Times New Roman" w:hAnsi="Times New Roman"/>
          <w:sz w:val="24"/>
          <w:szCs w:val="24"/>
        </w:rPr>
        <w:t>2</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A54219">
        <w:rPr>
          <w:rFonts w:ascii="Times New Roman" w:hAnsi="Times New Roman"/>
          <w:sz w:val="24"/>
          <w:szCs w:val="24"/>
        </w:rPr>
        <w:t>60</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sidR="00A54219">
        <w:rPr>
          <w:rFonts w:ascii="Times New Roman" w:hAnsi="Times New Roman"/>
          <w:sz w:val="24"/>
          <w:szCs w:val="24"/>
        </w:rPr>
        <w:t>22</w:t>
      </w:r>
    </w:p>
    <w:p w:rsidR="00362A0D" w:rsidRDefault="00370606" w:rsidP="00B969EC">
      <w:pPr>
        <w:spacing w:after="0"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A54219">
        <w:rPr>
          <w:rFonts w:ascii="Times New Roman" w:hAnsi="Times New Roman"/>
          <w:sz w:val="24"/>
          <w:szCs w:val="24"/>
        </w:rPr>
        <w:t>1323</w:t>
      </w:r>
    </w:p>
    <w:p w:rsidR="00B969EC" w:rsidRPr="00135EB4" w:rsidRDefault="00B969EC" w:rsidP="00B969EC">
      <w:pPr>
        <w:spacing w:after="0" w:line="480" w:lineRule="auto"/>
        <w:rPr>
          <w:rFonts w:ascii="Times New Roman" w:hAnsi="Times New Roman"/>
          <w:b/>
          <w:sz w:val="24"/>
          <w:szCs w:val="24"/>
        </w:rPr>
      </w:pPr>
      <w:r w:rsidRPr="00135EB4">
        <w:rPr>
          <w:rFonts w:ascii="Times New Roman" w:hAnsi="Times New Roman"/>
          <w:b/>
          <w:sz w:val="24"/>
          <w:szCs w:val="24"/>
        </w:rPr>
        <w:lastRenderedPageBreak/>
        <w:t xml:space="preserve">A.12.3 Post-Awardees </w:t>
      </w:r>
      <w:proofErr w:type="spellStart"/>
      <w:r w:rsidRPr="00135EB4">
        <w:rPr>
          <w:rFonts w:ascii="Times New Roman" w:hAnsi="Times New Roman"/>
          <w:b/>
          <w:sz w:val="24"/>
          <w:szCs w:val="24"/>
        </w:rPr>
        <w:t>RecordkeepingBurden</w:t>
      </w:r>
      <w:proofErr w:type="spellEnd"/>
      <w:r w:rsidRPr="00135EB4">
        <w:rPr>
          <w:rFonts w:ascii="Times New Roman" w:hAnsi="Times New Roman"/>
          <w:b/>
          <w:sz w:val="24"/>
          <w:szCs w:val="24"/>
        </w:rPr>
        <w:t xml:space="preserve"> Estimates Estimate of Hours Burden on Respondents for Application (Affected Public:  Academic or Research Institutions) </w:t>
      </w:r>
    </w:p>
    <w:tbl>
      <w:tblPr>
        <w:tblW w:w="10361" w:type="dxa"/>
        <w:tblInd w:w="97" w:type="dxa"/>
        <w:tblLayout w:type="fixed"/>
        <w:tblLook w:val="04A0" w:firstRow="1" w:lastRow="0" w:firstColumn="1" w:lastColumn="0" w:noHBand="0" w:noVBand="1"/>
      </w:tblPr>
      <w:tblGrid>
        <w:gridCol w:w="1640"/>
        <w:gridCol w:w="1971"/>
        <w:gridCol w:w="1620"/>
        <w:gridCol w:w="1170"/>
        <w:gridCol w:w="1350"/>
        <w:gridCol w:w="1440"/>
        <w:gridCol w:w="1170"/>
      </w:tblGrid>
      <w:tr w:rsidR="00B969EC" w:rsidRPr="00135EB4" w:rsidTr="00A2262E">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(d)                           No. Records Per </w:t>
            </w:r>
            <w:r w:rsidRPr="00135EB4">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(e)                                     Est. Total Annual Records          (</w:t>
            </w:r>
            <w:proofErr w:type="spellStart"/>
            <w:r w:rsidRPr="00135EB4">
              <w:rPr>
                <w:rFonts w:ascii="Times New Roman" w:hAnsi="Times New Roman"/>
                <w:b/>
                <w:bCs/>
                <w:sz w:val="20"/>
                <w:szCs w:val="20"/>
                <w:lang w:bidi="ar-SA"/>
              </w:rPr>
              <w:t>cxd</w:t>
            </w:r>
            <w:proofErr w:type="spellEnd"/>
            <w:r w:rsidRPr="00135EB4">
              <w:rPr>
                <w:rFonts w:ascii="Times New Roman" w:hAnsi="Times New Roman"/>
                <w:b/>
                <w:bCs/>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(f)                               Hours Per Recordkeeper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(g)                              Total Burden                 (</w:t>
            </w:r>
            <w:proofErr w:type="spellStart"/>
            <w:r w:rsidRPr="00135EB4">
              <w:rPr>
                <w:rFonts w:ascii="Times New Roman" w:hAnsi="Times New Roman"/>
                <w:b/>
                <w:bCs/>
                <w:sz w:val="20"/>
                <w:szCs w:val="20"/>
                <w:lang w:bidi="ar-SA"/>
              </w:rPr>
              <w:t>exf</w:t>
            </w:r>
            <w:proofErr w:type="spellEnd"/>
            <w:r w:rsidRPr="00135EB4">
              <w:rPr>
                <w:rFonts w:ascii="Times New Roman" w:hAnsi="Times New Roman"/>
                <w:b/>
                <w:bCs/>
                <w:sz w:val="20"/>
                <w:szCs w:val="20"/>
                <w:lang w:bidi="ar-SA"/>
              </w:rPr>
              <w:t>)</w:t>
            </w:r>
          </w:p>
        </w:tc>
      </w:tr>
      <w:tr w:rsidR="00B969EC" w:rsidRPr="00135EB4" w:rsidTr="00A2262E">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r>
      <w:tr w:rsidR="00B969EC" w:rsidRPr="00135EB4" w:rsidTr="00A2262E">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State Agencies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B969EC" w:rsidRPr="00135EB4" w:rsidRDefault="00B969EC" w:rsidP="00A2262E">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r>
      <w:tr w:rsidR="00B969EC" w:rsidRPr="00135EB4" w:rsidTr="00A2262E">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0.01</w:t>
            </w:r>
          </w:p>
        </w:tc>
      </w:tr>
      <w:tr w:rsidR="00B969EC" w:rsidRPr="00135EB4" w:rsidTr="00A2262E">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0.01</w:t>
            </w:r>
          </w:p>
        </w:tc>
      </w:tr>
      <w:tr w:rsidR="00B969EC" w:rsidRPr="00135EB4" w:rsidTr="00A2262E">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0.07</w:t>
            </w:r>
          </w:p>
        </w:tc>
      </w:tr>
      <w:tr w:rsidR="00B969EC" w:rsidRPr="00135EB4" w:rsidTr="00A2262E">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w:t>
            </w:r>
          </w:p>
        </w:tc>
      </w:tr>
      <w:tr w:rsidR="00B969EC" w:rsidRPr="00135EB4" w:rsidTr="00A2262E">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 xml:space="preserve">SF-425 Financial Reporting </w:t>
            </w:r>
          </w:p>
        </w:tc>
        <w:tc>
          <w:tcPr>
            <w:tcW w:w="162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4</w:t>
            </w:r>
          </w:p>
        </w:tc>
        <w:tc>
          <w:tcPr>
            <w:tcW w:w="135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4</w:t>
            </w:r>
          </w:p>
        </w:tc>
        <w:tc>
          <w:tcPr>
            <w:tcW w:w="144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0.1169</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0.4676</w:t>
            </w:r>
          </w:p>
        </w:tc>
      </w:tr>
      <w:tr w:rsidR="00B969EC" w:rsidRPr="00135EB4" w:rsidTr="00A2262E">
        <w:trPr>
          <w:trHeight w:val="33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969EC" w:rsidRPr="00135EB4" w:rsidRDefault="00B969EC" w:rsidP="00A2262E">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Post Award Recordkeeping Total Burden Estimates</w:t>
            </w:r>
          </w:p>
        </w:tc>
        <w:tc>
          <w:tcPr>
            <w:tcW w:w="162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
        </w:tc>
        <w:tc>
          <w:tcPr>
            <w:tcW w:w="135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8</w:t>
            </w:r>
          </w:p>
        </w:tc>
        <w:tc>
          <w:tcPr>
            <w:tcW w:w="1440"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0.6776</w:t>
            </w:r>
          </w:p>
        </w:tc>
      </w:tr>
    </w:tbl>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Post Award Recordkeeping Burden Summary:</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1</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8</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8</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0.08345</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0.6776</w:t>
      </w:r>
    </w:p>
    <w:p w:rsidR="004F17AF" w:rsidRDefault="00B969EC" w:rsidP="00B969C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rPr>
        <w:t xml:space="preserve">The total estimated burden hours for pre &amp; post-award reporting and post award recordkeeping </w:t>
      </w:r>
      <w:r w:rsidR="0027600E">
        <w:rPr>
          <w:rFonts w:ascii="Times New Roman" w:hAnsi="Times New Roman"/>
          <w:sz w:val="24"/>
          <w:szCs w:val="24"/>
        </w:rPr>
        <w:t xml:space="preserve">is </w:t>
      </w:r>
      <w:r w:rsidR="00A54219">
        <w:rPr>
          <w:rFonts w:ascii="Times New Roman" w:hAnsi="Times New Roman"/>
          <w:sz w:val="24"/>
          <w:szCs w:val="24"/>
        </w:rPr>
        <w:t>1323</w:t>
      </w:r>
      <w:r w:rsidR="0027600E">
        <w:rPr>
          <w:rFonts w:ascii="Times New Roman" w:hAnsi="Times New Roman"/>
          <w:sz w:val="24"/>
          <w:szCs w:val="24"/>
        </w:rPr>
        <w:t xml:space="preserve">.  </w:t>
      </w:r>
      <w:r w:rsidRPr="00135EB4">
        <w:rPr>
          <w:rFonts w:ascii="Times New Roman" w:hAnsi="Times New Roman"/>
          <w:sz w:val="24"/>
          <w:szCs w:val="24"/>
        </w:rPr>
        <w:t xml:space="preserve">The total estimated number of responses for pre &amp; post reporting and recordkeeping is </w:t>
      </w:r>
      <w:r w:rsidR="00A54219">
        <w:rPr>
          <w:rFonts w:ascii="Times New Roman" w:hAnsi="Times New Roman"/>
          <w:sz w:val="24"/>
          <w:szCs w:val="24"/>
        </w:rPr>
        <w:t>68</w:t>
      </w:r>
      <w:r w:rsidR="00F551A4" w:rsidRPr="00135EB4">
        <w:rPr>
          <w:rFonts w:ascii="Times New Roman" w:hAnsi="Times New Roman"/>
          <w:sz w:val="24"/>
          <w:szCs w:val="24"/>
        </w:rPr>
        <w:t xml:space="preserve"> </w:t>
      </w:r>
      <w:r w:rsidRPr="00135EB4">
        <w:rPr>
          <w:rFonts w:ascii="Times New Roman" w:hAnsi="Times New Roman"/>
          <w:sz w:val="24"/>
          <w:szCs w:val="24"/>
        </w:rPr>
        <w:t>total annual responses.</w:t>
      </w:r>
      <w:bookmarkStart w:id="0" w:name="_GoBack"/>
      <w:bookmarkEnd w:id="0"/>
    </w:p>
    <w:p w:rsidR="00B969CC" w:rsidRPr="00135EB4" w:rsidRDefault="00B969CC" w:rsidP="00B969C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b/>
          <w:sz w:val="24"/>
          <w:szCs w:val="24"/>
        </w:rPr>
        <w:t>A.12.4 Estimates of Annualized Cost to Respondents for Application</w:t>
      </w:r>
    </w:p>
    <w:p w:rsidR="00B969CC" w:rsidRPr="00135EB4" w:rsidRDefault="00B969CC" w:rsidP="00B969CC">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b/>
          <w:sz w:val="24"/>
          <w:szCs w:val="24"/>
        </w:rPr>
      </w:pPr>
    </w:p>
    <w:p w:rsidR="00B969CC" w:rsidRPr="00135EB4" w:rsidRDefault="00B969CC" w:rsidP="00B969CC">
      <w:pPr>
        <w:spacing w:after="0" w:line="480" w:lineRule="auto"/>
        <w:ind w:left="547" w:right="547"/>
        <w:rPr>
          <w:rFonts w:ascii="Times New Roman" w:hAnsi="Times New Roman"/>
          <w:sz w:val="24"/>
          <w:szCs w:val="24"/>
        </w:rPr>
      </w:pPr>
      <w:r w:rsidRPr="00F551A4">
        <w:rPr>
          <w:rFonts w:ascii="Times New Roman" w:hAnsi="Times New Roman"/>
          <w:sz w:val="24"/>
          <w:szCs w:val="24"/>
        </w:rPr>
        <w:t>The total estimated annual cost to respondents is $</w:t>
      </w:r>
      <w:r w:rsidR="00A54219">
        <w:rPr>
          <w:rFonts w:ascii="Times New Roman" w:hAnsi="Times New Roman"/>
          <w:sz w:val="24"/>
          <w:szCs w:val="24"/>
        </w:rPr>
        <w:t>51,160.78</w:t>
      </w:r>
      <w:r w:rsidR="00F551A4">
        <w:rPr>
          <w:rFonts w:ascii="Times New Roman" w:hAnsi="Times New Roman"/>
          <w:sz w:val="24"/>
          <w:szCs w:val="24"/>
        </w:rPr>
        <w:t xml:space="preserve"> (</w:t>
      </w:r>
      <w:r w:rsidR="00A54219">
        <w:rPr>
          <w:rFonts w:ascii="Times New Roman" w:hAnsi="Times New Roman"/>
          <w:sz w:val="24"/>
          <w:szCs w:val="24"/>
        </w:rPr>
        <w:t>1323</w:t>
      </w:r>
      <w:r w:rsidR="00F551A4">
        <w:rPr>
          <w:rFonts w:ascii="Times New Roman" w:hAnsi="Times New Roman"/>
          <w:sz w:val="24"/>
          <w:szCs w:val="24"/>
        </w:rPr>
        <w:t xml:space="preserve"> burden hours x $38.68)</w:t>
      </w:r>
      <w:r w:rsidRPr="00F551A4">
        <w:rPr>
          <w:rFonts w:ascii="Times New Roman" w:hAnsi="Times New Roman"/>
          <w:sz w:val="24"/>
          <w:szCs w:val="24"/>
        </w:rPr>
        <w:t xml:space="preserve">.  </w:t>
      </w:r>
      <w:r w:rsidRPr="00135EB4">
        <w:rPr>
          <w:rFonts w:ascii="Times New Roman" w:hAnsi="Times New Roman"/>
          <w:sz w:val="24"/>
          <w:szCs w:val="24"/>
        </w:rPr>
        <w:t>FNS estimates that most respondents will utilize at least one full time member at a cost of $</w:t>
      </w:r>
      <w:r w:rsidR="00F551A4">
        <w:rPr>
          <w:rFonts w:ascii="Times New Roman" w:hAnsi="Times New Roman"/>
          <w:sz w:val="24"/>
          <w:szCs w:val="24"/>
        </w:rPr>
        <w:t>38.68</w:t>
      </w:r>
      <w:r w:rsidRPr="00135EB4">
        <w:rPr>
          <w:rFonts w:ascii="Times New Roman" w:hAnsi="Times New Roman"/>
          <w:sz w:val="24"/>
          <w:szCs w:val="24"/>
        </w:rPr>
        <w:t xml:space="preserve"> per hour.  The range for this estimate may vary significantly but FNS believes the cost-per-hour estimate is the most practicable and represents the national rate for Social Scientists and Related Workers, All Others - Occupation Code 19-3099 (according to the Bureau of Labor Statistics, Occupational Employment Wages May </w:t>
      </w:r>
      <w:r w:rsidR="00F551A4" w:rsidRPr="00135EB4">
        <w:rPr>
          <w:rFonts w:ascii="Times New Roman" w:hAnsi="Times New Roman"/>
          <w:sz w:val="24"/>
          <w:szCs w:val="24"/>
        </w:rPr>
        <w:t>201</w:t>
      </w:r>
      <w:r w:rsidR="00F551A4">
        <w:rPr>
          <w:rFonts w:ascii="Times New Roman" w:hAnsi="Times New Roman"/>
          <w:sz w:val="24"/>
          <w:szCs w:val="24"/>
        </w:rPr>
        <w:t>3</w:t>
      </w:r>
      <w:r w:rsidRPr="00135EB4">
        <w:rPr>
          <w:rFonts w:ascii="Times New Roman" w:hAnsi="Times New Roman"/>
          <w:sz w:val="24"/>
          <w:szCs w:val="24"/>
        </w:rPr>
        <w:t>).</w:t>
      </w:r>
    </w:p>
    <w:p w:rsidR="00327223" w:rsidRPr="00103DDF" w:rsidRDefault="00327223" w:rsidP="00A72D5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103DDF">
        <w:rPr>
          <w:rFonts w:ascii="Times New Roman" w:hAnsi="Times New Roman"/>
          <w:b/>
          <w:sz w:val="24"/>
          <w:szCs w:val="24"/>
        </w:rPr>
        <w:t xml:space="preserve">13. </w:t>
      </w:r>
      <w:r w:rsidRPr="00103DDF">
        <w:rPr>
          <w:rFonts w:ascii="Times New Roman" w:hAnsi="Times New Roman"/>
          <w:b/>
          <w:bCs/>
          <w:sz w:val="24"/>
          <w:szCs w:val="24"/>
        </w:rPr>
        <w:t xml:space="preserve"> Provide estimates of the total annual cost burden to respondents or record keepers resulting from the collection of </w:t>
      </w:r>
      <w:r w:rsidR="003777DA" w:rsidRPr="00103DDF">
        <w:rPr>
          <w:rFonts w:ascii="Times New Roman" w:hAnsi="Times New Roman"/>
          <w:b/>
          <w:bCs/>
          <w:sz w:val="24"/>
          <w:szCs w:val="24"/>
        </w:rPr>
        <w:t>information</w:t>
      </w:r>
      <w:r w:rsidRPr="00103DDF">
        <w:rPr>
          <w:rFonts w:ascii="Times New Roman" w:hAnsi="Times New Roman"/>
          <w:b/>
          <w:bCs/>
          <w:sz w:val="24"/>
          <w:szCs w:val="24"/>
        </w:rPr>
        <w:t xml:space="preserve"> (do not include the cost of any hour burden shown in questions 12 and 14)</w:t>
      </w:r>
      <w:r w:rsidR="003777DA" w:rsidRPr="00103DDF">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103DDF">
        <w:rPr>
          <w:rFonts w:ascii="Times New Roman" w:hAnsi="Times New Roman"/>
          <w:b/>
          <w:sz w:val="24"/>
          <w:szCs w:val="24"/>
        </w:rPr>
        <w:t xml:space="preserve">  </w:t>
      </w:r>
    </w:p>
    <w:p w:rsidR="00796459"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There are no capital/start-up or ongoing operation/mainten</w:t>
      </w:r>
      <w:r w:rsidR="00796459" w:rsidRPr="00103DDF">
        <w:rPr>
          <w:rFonts w:ascii="Times New Roman" w:hAnsi="Times New Roman"/>
          <w:sz w:val="24"/>
          <w:szCs w:val="24"/>
        </w:rPr>
        <w:t>ance costs associated with this</w:t>
      </w:r>
    </w:p>
    <w:p w:rsidR="00327223"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information collection.</w:t>
      </w:r>
    </w:p>
    <w:p w:rsidR="00327223" w:rsidRPr="00103DDF"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Pr="00103DDF" w:rsidRDefault="00327223" w:rsidP="00327223">
      <w:pPr>
        <w:pStyle w:val="NoSpacing"/>
        <w:spacing w:line="480" w:lineRule="auto"/>
        <w:rPr>
          <w:rFonts w:ascii="Times New Roman" w:hAnsi="Times New Roman"/>
          <w:b/>
          <w:sz w:val="24"/>
          <w:szCs w:val="24"/>
        </w:rPr>
      </w:pPr>
      <w:r w:rsidRPr="00103DDF">
        <w:rPr>
          <w:rFonts w:ascii="Times New Roman" w:hAnsi="Times New Roman"/>
          <w:b/>
        </w:rPr>
        <w:t>14.</w:t>
      </w:r>
      <w:r w:rsidRPr="00103DDF">
        <w:rPr>
          <w:rFonts w:ascii="Times New Roman" w:hAnsi="Times New Roman"/>
        </w:rPr>
        <w:t xml:space="preserve"> </w:t>
      </w:r>
      <w:r w:rsidRPr="00103DDF">
        <w:rPr>
          <w:rFonts w:ascii="Times New Roman" w:hAnsi="Times New Roman"/>
          <w:b/>
          <w:sz w:val="24"/>
          <w:szCs w:val="24"/>
        </w:rPr>
        <w:t>Provide estimates of annualized cost to the Federal government</w:t>
      </w:r>
      <w:r w:rsidR="003777DA" w:rsidRPr="00103DDF">
        <w:rPr>
          <w:rFonts w:ascii="Times New Roman" w:hAnsi="Times New Roman"/>
          <w:b/>
          <w:sz w:val="24"/>
          <w:szCs w:val="24"/>
        </w:rPr>
        <w:t xml:space="preserve">.  </w:t>
      </w:r>
      <w:r w:rsidRPr="00103DDF">
        <w:rPr>
          <w:rFonts w:ascii="Times New Roman" w:hAnsi="Times New Roman"/>
          <w:b/>
          <w:sz w:val="24"/>
          <w:szCs w:val="24"/>
        </w:rPr>
        <w:t xml:space="preserve">Provide a </w:t>
      </w:r>
    </w:p>
    <w:p w:rsidR="00C55758"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description of the method used to estimate cost and any other expense that would</w:t>
      </w:r>
    </w:p>
    <w:p w:rsidR="00327223"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 xml:space="preserve"> not have been incurred without this collection of information.</w:t>
      </w:r>
    </w:p>
    <w:p w:rsidR="00C817F9" w:rsidRPr="00103DDF" w:rsidRDefault="00C55758">
      <w:pPr>
        <w:spacing w:after="0" w:line="480" w:lineRule="auto"/>
        <w:rPr>
          <w:rFonts w:ascii="Times New Roman" w:hAnsi="Times New Roman"/>
          <w:sz w:val="24"/>
          <w:szCs w:val="24"/>
        </w:rPr>
      </w:pPr>
      <w:r w:rsidRPr="00103DDF">
        <w:rPr>
          <w:rFonts w:ascii="Times New Roman" w:hAnsi="Times New Roman"/>
          <w:sz w:val="24"/>
          <w:szCs w:val="24"/>
        </w:rPr>
        <w:t>T</w:t>
      </w:r>
      <w:r w:rsidR="00327223" w:rsidRPr="00103DDF">
        <w:rPr>
          <w:rFonts w:ascii="Times New Roman" w:hAnsi="Times New Roman"/>
          <w:sz w:val="24"/>
          <w:szCs w:val="24"/>
        </w:rPr>
        <w:t xml:space="preserve">he estimated </w:t>
      </w:r>
      <w:r w:rsidR="00952099" w:rsidRPr="00103DDF">
        <w:rPr>
          <w:rFonts w:ascii="Times New Roman" w:hAnsi="Times New Roman"/>
          <w:sz w:val="24"/>
          <w:szCs w:val="24"/>
        </w:rPr>
        <w:t xml:space="preserve">pre-award </w:t>
      </w:r>
      <w:r w:rsidR="00327223" w:rsidRPr="00103DDF">
        <w:rPr>
          <w:rFonts w:ascii="Times New Roman" w:hAnsi="Times New Roman"/>
          <w:sz w:val="24"/>
          <w:szCs w:val="24"/>
        </w:rPr>
        <w:t>cost to process and review applications is $</w:t>
      </w:r>
      <w:r w:rsidR="00261826">
        <w:rPr>
          <w:rFonts w:ascii="Times New Roman" w:hAnsi="Times New Roman"/>
          <w:sz w:val="24"/>
          <w:szCs w:val="24"/>
        </w:rPr>
        <w:t>25,620</w:t>
      </w:r>
      <w:r w:rsidR="00327223" w:rsidRPr="00103DDF">
        <w:rPr>
          <w:rFonts w:ascii="Times New Roman" w:hAnsi="Times New Roman"/>
          <w:sz w:val="24"/>
          <w:szCs w:val="24"/>
        </w:rPr>
        <w:t>.  This is based on an</w:t>
      </w:r>
      <w:r w:rsidR="00094FA6" w:rsidRPr="00103DDF">
        <w:rPr>
          <w:rFonts w:ascii="Times New Roman" w:hAnsi="Times New Roman"/>
          <w:sz w:val="24"/>
          <w:szCs w:val="24"/>
        </w:rPr>
        <w:t xml:space="preserve"> </w:t>
      </w:r>
      <w:r w:rsidR="00327223" w:rsidRPr="00103DDF">
        <w:rPr>
          <w:rFonts w:ascii="Times New Roman" w:hAnsi="Times New Roman"/>
          <w:sz w:val="24"/>
          <w:szCs w:val="24"/>
        </w:rPr>
        <w:t xml:space="preserve">estimate of 20 hours of labor to process and review </w:t>
      </w:r>
      <w:r w:rsidR="00327223" w:rsidRPr="00103DDF">
        <w:rPr>
          <w:rFonts w:ascii="Times New Roman" w:hAnsi="Times New Roman"/>
          <w:i/>
          <w:sz w:val="24"/>
          <w:szCs w:val="24"/>
        </w:rPr>
        <w:t xml:space="preserve">each </w:t>
      </w:r>
      <w:r w:rsidR="00327223" w:rsidRPr="00103DDF">
        <w:rPr>
          <w:rFonts w:ascii="Times New Roman" w:hAnsi="Times New Roman"/>
          <w:sz w:val="24"/>
          <w:szCs w:val="24"/>
        </w:rPr>
        <w:t xml:space="preserve">application package.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The estimate assumes an hourly cost per staff person of $4</w:t>
      </w:r>
      <w:r w:rsidR="003E0776">
        <w:rPr>
          <w:rFonts w:ascii="Times New Roman" w:hAnsi="Times New Roman"/>
          <w:sz w:val="24"/>
          <w:szCs w:val="24"/>
        </w:rPr>
        <w:t>2</w:t>
      </w:r>
      <w:r w:rsidRPr="00103DDF">
        <w:rPr>
          <w:rFonts w:ascii="Times New Roman" w:hAnsi="Times New Roman"/>
          <w:sz w:val="24"/>
          <w:szCs w:val="24"/>
        </w:rPr>
        <w:t>.</w:t>
      </w:r>
      <w:r w:rsidR="003E0776">
        <w:rPr>
          <w:rFonts w:ascii="Times New Roman" w:hAnsi="Times New Roman"/>
          <w:sz w:val="24"/>
          <w:szCs w:val="24"/>
        </w:rPr>
        <w:t>70</w:t>
      </w:r>
      <w:r w:rsidR="00A41F65" w:rsidRPr="00103DDF">
        <w:rPr>
          <w:rFonts w:ascii="Times New Roman" w:hAnsi="Times New Roman"/>
          <w:sz w:val="24"/>
          <w:szCs w:val="24"/>
        </w:rPr>
        <w:t xml:space="preserve"> </w:t>
      </w:r>
      <w:r w:rsidRPr="00103DDF">
        <w:rPr>
          <w:rFonts w:ascii="Times New Roman" w:hAnsi="Times New Roman"/>
          <w:sz w:val="24"/>
          <w:szCs w:val="24"/>
        </w:rPr>
        <w:t>per hour (the</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salary for GS-1</w:t>
      </w:r>
      <w:r w:rsidR="003E0776">
        <w:rPr>
          <w:rFonts w:ascii="Times New Roman" w:hAnsi="Times New Roman"/>
          <w:sz w:val="24"/>
          <w:szCs w:val="24"/>
        </w:rPr>
        <w:t>2 step 6</w:t>
      </w:r>
      <w:r w:rsidRPr="00103DDF">
        <w:rPr>
          <w:rFonts w:ascii="Times New Roman" w:hAnsi="Times New Roman"/>
          <w:sz w:val="24"/>
          <w:szCs w:val="24"/>
        </w:rPr>
        <w:t xml:space="preserve"> grade level including overhead and benefits)</w:t>
      </w:r>
      <w:r w:rsidR="003777DA" w:rsidRPr="00103DDF">
        <w:rPr>
          <w:rFonts w:ascii="Times New Roman" w:hAnsi="Times New Roman"/>
          <w:sz w:val="24"/>
          <w:szCs w:val="24"/>
        </w:rPr>
        <w:t xml:space="preserve">.  </w:t>
      </w:r>
      <w:r w:rsidRPr="00103DDF">
        <w:rPr>
          <w:rFonts w:ascii="Times New Roman" w:hAnsi="Times New Roman"/>
          <w:sz w:val="24"/>
          <w:szCs w:val="24"/>
        </w:rPr>
        <w:t xml:space="preserve">This labor estimate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lastRenderedPageBreak/>
        <w:t xml:space="preserve">includes 2 hours by grants management and program staff to process an application, 15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hours total by 3 Federal employees to conduct a thorough technical review of each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application, and 3 hours by the grants and program officers to document the technical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reviews and prepare the recommendations for award.  </w:t>
      </w:r>
      <w:r w:rsidR="003777DA" w:rsidRPr="00103DDF">
        <w:rPr>
          <w:rFonts w:ascii="Times New Roman" w:hAnsi="Times New Roman"/>
          <w:sz w:val="24"/>
          <w:szCs w:val="24"/>
        </w:rPr>
        <w:t xml:space="preserve">It is estimated that </w:t>
      </w:r>
      <w:r w:rsidR="00ED389D">
        <w:rPr>
          <w:rFonts w:ascii="Times New Roman" w:hAnsi="Times New Roman"/>
          <w:sz w:val="24"/>
          <w:szCs w:val="24"/>
        </w:rPr>
        <w:t>30</w:t>
      </w:r>
      <w:r w:rsidR="003777DA" w:rsidRPr="00103DDF">
        <w:rPr>
          <w:rFonts w:ascii="Times New Roman" w:hAnsi="Times New Roman"/>
          <w:sz w:val="24"/>
          <w:szCs w:val="24"/>
        </w:rPr>
        <w:t xml:space="preserve"> applications </w:t>
      </w:r>
    </w:p>
    <w:p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will be received, and </w:t>
      </w:r>
      <w:r w:rsidR="00094FA6" w:rsidRPr="00103DDF">
        <w:rPr>
          <w:rFonts w:ascii="Times New Roman" w:hAnsi="Times New Roman"/>
          <w:sz w:val="24"/>
          <w:szCs w:val="24"/>
        </w:rPr>
        <w:t xml:space="preserve">thus </w:t>
      </w:r>
      <w:r w:rsidR="00261826">
        <w:rPr>
          <w:rFonts w:ascii="Times New Roman" w:hAnsi="Times New Roman"/>
          <w:sz w:val="24"/>
          <w:szCs w:val="24"/>
        </w:rPr>
        <w:t>6</w:t>
      </w:r>
      <w:r w:rsidRPr="00103DDF">
        <w:rPr>
          <w:rFonts w:ascii="Times New Roman" w:hAnsi="Times New Roman"/>
          <w:sz w:val="24"/>
          <w:szCs w:val="24"/>
        </w:rPr>
        <w:t xml:space="preserve">00 hours will be needed to process and review </w:t>
      </w:r>
    </w:p>
    <w:p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these applications. </w:t>
      </w:r>
      <w:r w:rsidR="00931F0E" w:rsidRPr="00103DDF">
        <w:rPr>
          <w:rFonts w:ascii="Times New Roman" w:hAnsi="Times New Roman"/>
          <w:sz w:val="24"/>
          <w:szCs w:val="24"/>
        </w:rPr>
        <w:t xml:space="preserve"> </w:t>
      </w:r>
      <w:r w:rsidR="00961BD5">
        <w:rPr>
          <w:rFonts w:ascii="Times New Roman" w:hAnsi="Times New Roman"/>
          <w:sz w:val="24"/>
          <w:szCs w:val="24"/>
        </w:rPr>
        <w:t>Pre-Award</w:t>
      </w:r>
      <w:r w:rsidR="00961BD5" w:rsidRPr="00103DDF">
        <w:rPr>
          <w:rFonts w:ascii="Times New Roman" w:hAnsi="Times New Roman"/>
          <w:sz w:val="24"/>
          <w:szCs w:val="24"/>
        </w:rPr>
        <w:t xml:space="preserve"> Federal labor costs will total $</w:t>
      </w:r>
      <w:r w:rsidR="00961BD5">
        <w:rPr>
          <w:rFonts w:ascii="Times New Roman" w:hAnsi="Times New Roman"/>
          <w:sz w:val="24"/>
          <w:szCs w:val="24"/>
        </w:rPr>
        <w:t>25,620 (600 hours x $42.70)</w:t>
      </w:r>
      <w:r w:rsidR="00961BD5" w:rsidRPr="00103DDF">
        <w:rPr>
          <w:rFonts w:ascii="Times New Roman" w:hAnsi="Times New Roman"/>
          <w:sz w:val="24"/>
          <w:szCs w:val="24"/>
        </w:rPr>
        <w:t>.</w:t>
      </w:r>
    </w:p>
    <w:p w:rsidR="00C817F9" w:rsidRPr="00103DDF" w:rsidRDefault="00C817F9">
      <w:pPr>
        <w:spacing w:after="0" w:line="480" w:lineRule="auto"/>
        <w:ind w:left="270"/>
        <w:rPr>
          <w:rFonts w:ascii="Times New Roman" w:hAnsi="Times New Roman"/>
          <w:sz w:val="24"/>
          <w:szCs w:val="24"/>
        </w:rPr>
      </w:pPr>
    </w:p>
    <w:p w:rsidR="00C817F9" w:rsidRPr="00103DDF" w:rsidRDefault="00931F0E">
      <w:pPr>
        <w:spacing w:after="0" w:line="480" w:lineRule="auto"/>
        <w:rPr>
          <w:rFonts w:ascii="Times New Roman" w:hAnsi="Times New Roman"/>
          <w:sz w:val="24"/>
          <w:szCs w:val="24"/>
        </w:rPr>
      </w:pPr>
      <w:r w:rsidRPr="00103DDF">
        <w:rPr>
          <w:rFonts w:ascii="Times New Roman" w:hAnsi="Times New Roman"/>
          <w:sz w:val="24"/>
          <w:szCs w:val="24"/>
        </w:rPr>
        <w:t xml:space="preserve">For the </w:t>
      </w:r>
      <w:r w:rsidR="00B51962">
        <w:rPr>
          <w:rFonts w:ascii="Times New Roman" w:hAnsi="Times New Roman"/>
          <w:sz w:val="24"/>
          <w:szCs w:val="24"/>
        </w:rPr>
        <w:t>one proposal</w:t>
      </w:r>
      <w:r w:rsidRPr="00103DDF">
        <w:rPr>
          <w:rFonts w:ascii="Times New Roman" w:hAnsi="Times New Roman"/>
          <w:sz w:val="24"/>
          <w:szCs w:val="24"/>
        </w:rPr>
        <w:t xml:space="preserve"> anticipated to be awarded, Federal labor costs will total $</w:t>
      </w:r>
      <w:r w:rsidR="00B51962">
        <w:rPr>
          <w:rFonts w:ascii="Times New Roman" w:hAnsi="Times New Roman"/>
          <w:sz w:val="24"/>
          <w:szCs w:val="24"/>
        </w:rPr>
        <w:t>1,</w:t>
      </w:r>
      <w:r w:rsidR="003E0776">
        <w:rPr>
          <w:rFonts w:ascii="Times New Roman" w:hAnsi="Times New Roman"/>
          <w:sz w:val="24"/>
          <w:szCs w:val="24"/>
        </w:rPr>
        <w:t>708</w:t>
      </w:r>
      <w:r w:rsidR="00D055E4" w:rsidRPr="00103DDF">
        <w:rPr>
          <w:rFonts w:ascii="Times New Roman" w:hAnsi="Times New Roman"/>
          <w:sz w:val="24"/>
          <w:szCs w:val="24"/>
        </w:rPr>
        <w:t>.00</w:t>
      </w:r>
      <w:r w:rsidRPr="00103DDF">
        <w:rPr>
          <w:rFonts w:ascii="Times New Roman" w:hAnsi="Times New Roman"/>
          <w:sz w:val="24"/>
          <w:szCs w:val="24"/>
        </w:rPr>
        <w:t xml:space="preserve">.  </w:t>
      </w:r>
      <w:r w:rsidR="00D055E4" w:rsidRPr="00103DDF">
        <w:rPr>
          <w:rFonts w:ascii="Times New Roman" w:hAnsi="Times New Roman"/>
          <w:sz w:val="24"/>
          <w:szCs w:val="24"/>
        </w:rPr>
        <w:t xml:space="preserve"> This is based on approximately 25 hours spent providing technical assistance and 1</w:t>
      </w:r>
      <w:r w:rsidR="00B51962">
        <w:rPr>
          <w:rFonts w:ascii="Times New Roman" w:hAnsi="Times New Roman"/>
          <w:sz w:val="24"/>
          <w:szCs w:val="24"/>
        </w:rPr>
        <w:t>5</w:t>
      </w:r>
      <w:r w:rsidR="00D055E4" w:rsidRPr="00103DDF">
        <w:rPr>
          <w:rFonts w:ascii="Times New Roman" w:hAnsi="Times New Roman"/>
          <w:sz w:val="24"/>
          <w:szCs w:val="24"/>
        </w:rPr>
        <w:t xml:space="preserve"> hours reviewing the </w:t>
      </w:r>
      <w:r w:rsidR="00B51962">
        <w:rPr>
          <w:rFonts w:ascii="Times New Roman" w:hAnsi="Times New Roman"/>
          <w:sz w:val="24"/>
          <w:szCs w:val="24"/>
        </w:rPr>
        <w:t xml:space="preserve">5 program reports (progress reports (4) and final report (1)) </w:t>
      </w:r>
      <w:r w:rsidR="00D055E4" w:rsidRPr="00103DDF">
        <w:rPr>
          <w:rFonts w:ascii="Times New Roman" w:hAnsi="Times New Roman"/>
          <w:sz w:val="24"/>
          <w:szCs w:val="24"/>
        </w:rPr>
        <w:t xml:space="preserve">for </w:t>
      </w:r>
      <w:r w:rsidR="00B51962">
        <w:rPr>
          <w:rFonts w:ascii="Times New Roman" w:hAnsi="Times New Roman"/>
          <w:sz w:val="24"/>
          <w:szCs w:val="24"/>
        </w:rPr>
        <w:t>the</w:t>
      </w:r>
      <w:r w:rsidR="00D055E4" w:rsidRPr="00103DDF">
        <w:rPr>
          <w:rFonts w:ascii="Times New Roman" w:hAnsi="Times New Roman"/>
          <w:sz w:val="24"/>
          <w:szCs w:val="24"/>
        </w:rPr>
        <w:t xml:space="preserve"> grantee</w:t>
      </w:r>
      <w:r w:rsidR="00B51962">
        <w:rPr>
          <w:rFonts w:ascii="Times New Roman" w:hAnsi="Times New Roman"/>
          <w:sz w:val="24"/>
          <w:szCs w:val="24"/>
        </w:rPr>
        <w:t xml:space="preserve">, for a total of </w:t>
      </w:r>
      <w:r w:rsidR="00855A83" w:rsidRPr="00103DDF">
        <w:rPr>
          <w:rFonts w:ascii="Times New Roman" w:hAnsi="Times New Roman"/>
          <w:sz w:val="24"/>
          <w:szCs w:val="24"/>
        </w:rPr>
        <w:t>40 hours.</w:t>
      </w:r>
      <w:r w:rsidR="00D055E4" w:rsidRPr="00103DDF">
        <w:rPr>
          <w:rFonts w:ascii="Times New Roman" w:hAnsi="Times New Roman"/>
          <w:sz w:val="24"/>
          <w:szCs w:val="24"/>
        </w:rPr>
        <w:t xml:space="preserve">  </w:t>
      </w:r>
    </w:p>
    <w:p w:rsidR="00C817F9" w:rsidRPr="00103DDF" w:rsidRDefault="00952099">
      <w:pPr>
        <w:spacing w:after="0" w:line="480" w:lineRule="auto"/>
        <w:rPr>
          <w:rFonts w:ascii="Times New Roman" w:hAnsi="Times New Roman"/>
          <w:sz w:val="24"/>
          <w:szCs w:val="24"/>
        </w:rPr>
      </w:pPr>
      <w:r w:rsidRPr="00103DDF">
        <w:rPr>
          <w:rFonts w:ascii="Times New Roman" w:hAnsi="Times New Roman"/>
          <w:sz w:val="24"/>
          <w:szCs w:val="24"/>
        </w:rPr>
        <w:t>(25 hours +1</w:t>
      </w:r>
      <w:r w:rsidR="00B51962">
        <w:rPr>
          <w:rFonts w:ascii="Times New Roman" w:hAnsi="Times New Roman"/>
          <w:sz w:val="24"/>
          <w:szCs w:val="24"/>
        </w:rPr>
        <w:t>5</w:t>
      </w:r>
      <w:r w:rsidRPr="00103DDF">
        <w:rPr>
          <w:rFonts w:ascii="Times New Roman" w:hAnsi="Times New Roman"/>
          <w:sz w:val="24"/>
          <w:szCs w:val="24"/>
        </w:rPr>
        <w:t xml:space="preserve"> hours= </w:t>
      </w:r>
      <w:r w:rsidR="00B51962">
        <w:rPr>
          <w:rFonts w:ascii="Times New Roman" w:hAnsi="Times New Roman"/>
          <w:sz w:val="24"/>
          <w:szCs w:val="24"/>
        </w:rPr>
        <w:t>40</w:t>
      </w:r>
      <w:r w:rsidRPr="00103DDF">
        <w:rPr>
          <w:rFonts w:ascii="Times New Roman" w:hAnsi="Times New Roman"/>
          <w:sz w:val="24"/>
          <w:szCs w:val="24"/>
        </w:rPr>
        <w:t xml:space="preserve"> hours X </w:t>
      </w:r>
      <w:r w:rsidR="00B51962">
        <w:rPr>
          <w:rFonts w:ascii="Times New Roman" w:hAnsi="Times New Roman"/>
          <w:sz w:val="24"/>
          <w:szCs w:val="24"/>
        </w:rPr>
        <w:t>1</w:t>
      </w:r>
      <w:r w:rsidRPr="00103DDF">
        <w:rPr>
          <w:rFonts w:ascii="Times New Roman" w:hAnsi="Times New Roman"/>
          <w:sz w:val="24"/>
          <w:szCs w:val="24"/>
        </w:rPr>
        <w:t xml:space="preserve"> grantee X $4</w:t>
      </w:r>
      <w:r w:rsidR="003E0776">
        <w:rPr>
          <w:rFonts w:ascii="Times New Roman" w:hAnsi="Times New Roman"/>
          <w:sz w:val="24"/>
          <w:szCs w:val="24"/>
        </w:rPr>
        <w:t>2</w:t>
      </w:r>
      <w:r w:rsidRPr="00103DDF">
        <w:rPr>
          <w:rFonts w:ascii="Times New Roman" w:hAnsi="Times New Roman"/>
          <w:sz w:val="24"/>
          <w:szCs w:val="24"/>
        </w:rPr>
        <w:t>.</w:t>
      </w:r>
      <w:r w:rsidR="003E0776">
        <w:rPr>
          <w:rFonts w:ascii="Times New Roman" w:hAnsi="Times New Roman"/>
          <w:sz w:val="24"/>
          <w:szCs w:val="24"/>
        </w:rPr>
        <w:t xml:space="preserve">70 </w:t>
      </w:r>
      <w:r w:rsidRPr="00103DDF">
        <w:rPr>
          <w:rFonts w:ascii="Times New Roman" w:hAnsi="Times New Roman"/>
          <w:sz w:val="24"/>
          <w:szCs w:val="24"/>
        </w:rPr>
        <w:t>per hour = $</w:t>
      </w:r>
      <w:r w:rsidR="00B51962">
        <w:rPr>
          <w:rFonts w:ascii="Times New Roman" w:hAnsi="Times New Roman"/>
          <w:sz w:val="24"/>
          <w:szCs w:val="24"/>
        </w:rPr>
        <w:t>1,</w:t>
      </w:r>
      <w:r w:rsidR="003E0776">
        <w:rPr>
          <w:rFonts w:ascii="Times New Roman" w:hAnsi="Times New Roman"/>
          <w:sz w:val="24"/>
          <w:szCs w:val="24"/>
        </w:rPr>
        <w:t>708</w:t>
      </w:r>
      <w:r w:rsidRPr="00103DDF">
        <w:rPr>
          <w:rFonts w:ascii="Times New Roman" w:hAnsi="Times New Roman"/>
          <w:sz w:val="24"/>
          <w:szCs w:val="24"/>
        </w:rPr>
        <w:t xml:space="preserve">.00).  </w:t>
      </w:r>
      <w:r w:rsidR="00327223" w:rsidRPr="00103DDF">
        <w:rPr>
          <w:rFonts w:ascii="Times New Roman" w:hAnsi="Times New Roman"/>
          <w:sz w:val="24"/>
          <w:szCs w:val="24"/>
        </w:rPr>
        <w:t>Costs other than salary costs are negligible.  Wage rates were determined based on the Office of Personnel Management salary table for FY 201</w:t>
      </w:r>
      <w:r w:rsidR="00ED389D">
        <w:rPr>
          <w:rFonts w:ascii="Times New Roman" w:hAnsi="Times New Roman"/>
          <w:sz w:val="24"/>
          <w:szCs w:val="24"/>
        </w:rPr>
        <w:t>5</w:t>
      </w:r>
      <w:r w:rsidR="00327223" w:rsidRPr="00103DDF">
        <w:rPr>
          <w:rFonts w:ascii="Times New Roman" w:hAnsi="Times New Roman"/>
          <w:sz w:val="24"/>
          <w:szCs w:val="24"/>
        </w:rPr>
        <w:t>, for a GS 1</w:t>
      </w:r>
      <w:r w:rsidR="003E0776">
        <w:rPr>
          <w:rFonts w:ascii="Times New Roman" w:hAnsi="Times New Roman"/>
          <w:sz w:val="24"/>
          <w:szCs w:val="24"/>
        </w:rPr>
        <w:t>2</w:t>
      </w:r>
      <w:r w:rsidR="00327223" w:rsidRPr="00103DDF">
        <w:rPr>
          <w:rFonts w:ascii="Times New Roman" w:hAnsi="Times New Roman"/>
          <w:sz w:val="24"/>
          <w:szCs w:val="24"/>
        </w:rPr>
        <w:t xml:space="preserve">, Step </w:t>
      </w:r>
      <w:r w:rsidR="003E0776">
        <w:rPr>
          <w:rFonts w:ascii="Times New Roman" w:hAnsi="Times New Roman"/>
          <w:sz w:val="24"/>
          <w:szCs w:val="24"/>
        </w:rPr>
        <w:t>6</w:t>
      </w:r>
      <w:r w:rsidR="00327223" w:rsidRPr="00103DDF">
        <w:rPr>
          <w:rFonts w:ascii="Times New Roman" w:hAnsi="Times New Roman"/>
          <w:sz w:val="24"/>
          <w:szCs w:val="24"/>
        </w:rPr>
        <w:t xml:space="preserve"> employee.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D055E4" w:rsidRPr="00103DDF" w:rsidTr="00952099">
        <w:trPr>
          <w:trHeight w:val="611"/>
        </w:trPr>
        <w:tc>
          <w:tcPr>
            <w:tcW w:w="4359" w:type="dxa"/>
          </w:tcPr>
          <w:p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Pre-Award Cost to the Government</w:t>
            </w:r>
          </w:p>
        </w:tc>
        <w:tc>
          <w:tcPr>
            <w:tcW w:w="3291" w:type="dxa"/>
          </w:tcPr>
          <w:p w:rsidR="00C817F9" w:rsidRPr="00103DDF" w:rsidRDefault="002618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sz w:val="24"/>
                <w:szCs w:val="24"/>
              </w:rPr>
              <w:t>$</w:t>
            </w:r>
            <w:r w:rsidRPr="00261826">
              <w:rPr>
                <w:rFonts w:ascii="Times New Roman" w:hAnsi="Times New Roman"/>
                <w:b/>
                <w:sz w:val="24"/>
                <w:szCs w:val="24"/>
              </w:rPr>
              <w:t>25,620</w:t>
            </w:r>
            <w:r w:rsidR="0014467C">
              <w:rPr>
                <w:rFonts w:ascii="Times New Roman" w:hAnsi="Times New Roman"/>
                <w:b/>
                <w:sz w:val="24"/>
                <w:szCs w:val="24"/>
              </w:rPr>
              <w:t>.00</w:t>
            </w:r>
          </w:p>
        </w:tc>
      </w:tr>
      <w:tr w:rsidR="00D055E4" w:rsidRPr="00103DDF" w:rsidTr="00952099">
        <w:trPr>
          <w:trHeight w:val="656"/>
        </w:trPr>
        <w:tc>
          <w:tcPr>
            <w:tcW w:w="4359" w:type="dxa"/>
          </w:tcPr>
          <w:p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Post Award Cost to the Government</w:t>
            </w:r>
          </w:p>
        </w:tc>
        <w:tc>
          <w:tcPr>
            <w:tcW w:w="3291" w:type="dxa"/>
          </w:tcPr>
          <w:p w:rsidR="00C817F9" w:rsidRPr="00103DDF" w:rsidRDefault="00D055E4" w:rsidP="003E07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w:t>
            </w:r>
            <w:r w:rsidR="00B51962">
              <w:rPr>
                <w:rFonts w:ascii="Times New Roman" w:hAnsi="Times New Roman"/>
                <w:b/>
                <w:sz w:val="24"/>
                <w:szCs w:val="24"/>
              </w:rPr>
              <w:t>1,</w:t>
            </w:r>
            <w:r w:rsidR="003E0776">
              <w:rPr>
                <w:rFonts w:ascii="Times New Roman" w:hAnsi="Times New Roman"/>
                <w:b/>
                <w:sz w:val="24"/>
                <w:szCs w:val="24"/>
              </w:rPr>
              <w:t>708</w:t>
            </w:r>
            <w:r w:rsidR="00B51962">
              <w:rPr>
                <w:rFonts w:ascii="Times New Roman" w:hAnsi="Times New Roman"/>
                <w:b/>
                <w:sz w:val="24"/>
                <w:szCs w:val="24"/>
              </w:rPr>
              <w:t>.00</w:t>
            </w:r>
          </w:p>
        </w:tc>
      </w:tr>
      <w:tr w:rsidR="00327223" w:rsidRPr="00EB7F1B" w:rsidTr="00952099">
        <w:trPr>
          <w:trHeight w:val="710"/>
        </w:trPr>
        <w:tc>
          <w:tcPr>
            <w:tcW w:w="4359" w:type="dxa"/>
          </w:tcPr>
          <w:p w:rsidR="00327223" w:rsidRPr="00103DDF"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Cost to the Federal Government</w:t>
            </w:r>
          </w:p>
        </w:tc>
        <w:tc>
          <w:tcPr>
            <w:tcW w:w="3291" w:type="dxa"/>
          </w:tcPr>
          <w:p w:rsidR="00C817F9" w:rsidRDefault="00327223" w:rsidP="00BA10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 xml:space="preserve"> $</w:t>
            </w:r>
            <w:r w:rsidR="00BA109E">
              <w:rPr>
                <w:rFonts w:ascii="Times New Roman" w:hAnsi="Times New Roman"/>
                <w:b/>
                <w:sz w:val="24"/>
                <w:szCs w:val="24"/>
              </w:rPr>
              <w:t>27,</w:t>
            </w:r>
            <w:r w:rsidR="0014467C">
              <w:rPr>
                <w:rFonts w:ascii="Times New Roman" w:hAnsi="Times New Roman"/>
                <w:b/>
                <w:sz w:val="24"/>
                <w:szCs w:val="24"/>
              </w:rPr>
              <w:t xml:space="preserve"> </w:t>
            </w:r>
            <w:r w:rsidR="00BA109E">
              <w:rPr>
                <w:rFonts w:ascii="Times New Roman" w:hAnsi="Times New Roman"/>
                <w:b/>
                <w:sz w:val="24"/>
                <w:szCs w:val="24"/>
              </w:rPr>
              <w:t>328</w:t>
            </w:r>
            <w:r w:rsidR="0014467C">
              <w:rPr>
                <w:rFonts w:ascii="Times New Roman" w:hAnsi="Times New Roman"/>
                <w:b/>
                <w:sz w:val="24"/>
                <w:szCs w:val="24"/>
              </w:rPr>
              <w:t>.00</w:t>
            </w:r>
          </w:p>
        </w:tc>
      </w:tr>
    </w:tbl>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rsidR="00327223" w:rsidRPr="00EB7F1B" w:rsidRDefault="00961BD5"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r w:rsidRPr="00961BD5">
        <w:rPr>
          <w:rFonts w:ascii="Times New Roman" w:hAnsi="Times New Roman"/>
          <w:sz w:val="24"/>
          <w:szCs w:val="24"/>
        </w:rPr>
        <w:t xml:space="preserve">This request will decrease the current burden inventory </w:t>
      </w:r>
      <w:r>
        <w:rPr>
          <w:rFonts w:ascii="Times New Roman" w:hAnsi="Times New Roman"/>
          <w:sz w:val="24"/>
          <w:szCs w:val="24"/>
        </w:rPr>
        <w:t xml:space="preserve">for the generic grant information collection (0584-0512) </w:t>
      </w:r>
      <w:r w:rsidRPr="00961BD5">
        <w:rPr>
          <w:rFonts w:ascii="Times New Roman" w:hAnsi="Times New Roman"/>
          <w:sz w:val="24"/>
          <w:szCs w:val="24"/>
        </w:rPr>
        <w:t xml:space="preserve">by </w:t>
      </w:r>
      <w:r w:rsidR="00F551A4">
        <w:rPr>
          <w:rFonts w:ascii="Times New Roman" w:hAnsi="Times New Roman"/>
          <w:sz w:val="24"/>
          <w:szCs w:val="24"/>
        </w:rPr>
        <w:t>1,</w:t>
      </w:r>
      <w:r w:rsidR="00A54219">
        <w:rPr>
          <w:rFonts w:ascii="Times New Roman" w:hAnsi="Times New Roman"/>
          <w:sz w:val="24"/>
          <w:szCs w:val="24"/>
        </w:rPr>
        <w:t>323</w:t>
      </w:r>
      <w:r w:rsidRPr="00961BD5">
        <w:rPr>
          <w:rFonts w:ascii="Times New Roman" w:hAnsi="Times New Roman"/>
          <w:sz w:val="24"/>
          <w:szCs w:val="24"/>
        </w:rPr>
        <w:t xml:space="preserve"> burden hours and responses by </w:t>
      </w:r>
      <w:r w:rsidR="00A54219">
        <w:rPr>
          <w:rFonts w:ascii="Times New Roman" w:hAnsi="Times New Roman"/>
          <w:sz w:val="24"/>
          <w:szCs w:val="24"/>
        </w:rPr>
        <w:t>68</w:t>
      </w:r>
      <w:r w:rsidRPr="00961BD5">
        <w:rPr>
          <w:rFonts w:ascii="Times New Roman" w:hAnsi="Times New Roman"/>
          <w:sz w:val="24"/>
          <w:szCs w:val="24"/>
        </w:rPr>
        <w:t xml:space="preserve"> total annual responses .</w:t>
      </w: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7"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4F17AF">
      <w:footerReference w:type="even" r:id="rId18"/>
      <w:footerReference w:type="default" r:id="rId19"/>
      <w:pgSz w:w="12240" w:h="15840" w:code="1"/>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6F" w:rsidRDefault="0003246F" w:rsidP="00736224">
      <w:pPr>
        <w:spacing w:after="0" w:line="240" w:lineRule="auto"/>
      </w:pPr>
      <w:r>
        <w:separator/>
      </w:r>
    </w:p>
  </w:endnote>
  <w:endnote w:type="continuationSeparator" w:id="0">
    <w:p w:rsidR="0003246F" w:rsidRDefault="0003246F"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197" w:rsidRDefault="009C0524" w:rsidP="00373F37">
    <w:pPr>
      <w:pStyle w:val="Footer"/>
      <w:framePr w:wrap="around" w:vAnchor="text" w:hAnchor="margin" w:xAlign="center" w:y="1"/>
      <w:rPr>
        <w:rStyle w:val="PageNumber"/>
      </w:rPr>
    </w:pPr>
    <w:r>
      <w:rPr>
        <w:rStyle w:val="PageNumber"/>
      </w:rPr>
      <w:fldChar w:fldCharType="begin"/>
    </w:r>
    <w:r w:rsidR="001C5197">
      <w:rPr>
        <w:rStyle w:val="PageNumber"/>
      </w:rPr>
      <w:instrText xml:space="preserve">PAGE  </w:instrText>
    </w:r>
    <w:r>
      <w:rPr>
        <w:rStyle w:val="PageNumber"/>
      </w:rPr>
      <w:fldChar w:fldCharType="separate"/>
    </w:r>
    <w:r w:rsidR="001C5197">
      <w:rPr>
        <w:rStyle w:val="PageNumber"/>
        <w:noProof/>
      </w:rPr>
      <w:t>8</w:t>
    </w:r>
    <w:r>
      <w:rPr>
        <w:rStyle w:val="PageNumber"/>
      </w:rPr>
      <w:fldChar w:fldCharType="end"/>
    </w:r>
  </w:p>
  <w:p w:rsidR="001C5197" w:rsidRDefault="001C5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197" w:rsidRDefault="009C0524" w:rsidP="00373F37">
    <w:pPr>
      <w:pStyle w:val="Footer"/>
      <w:framePr w:wrap="around" w:vAnchor="text" w:hAnchor="margin" w:xAlign="center" w:y="1"/>
      <w:rPr>
        <w:rStyle w:val="PageNumber"/>
      </w:rPr>
    </w:pPr>
    <w:r>
      <w:rPr>
        <w:rStyle w:val="PageNumber"/>
      </w:rPr>
      <w:fldChar w:fldCharType="begin"/>
    </w:r>
    <w:r w:rsidR="001C5197">
      <w:rPr>
        <w:rStyle w:val="PageNumber"/>
      </w:rPr>
      <w:instrText xml:space="preserve">PAGE  </w:instrText>
    </w:r>
    <w:r>
      <w:rPr>
        <w:rStyle w:val="PageNumber"/>
      </w:rPr>
      <w:fldChar w:fldCharType="separate"/>
    </w:r>
    <w:r w:rsidR="00A4242F">
      <w:rPr>
        <w:rStyle w:val="PageNumber"/>
        <w:noProof/>
      </w:rPr>
      <w:t>16</w:t>
    </w:r>
    <w:r>
      <w:rPr>
        <w:rStyle w:val="PageNumber"/>
      </w:rPr>
      <w:fldChar w:fldCharType="end"/>
    </w:r>
  </w:p>
  <w:p w:rsidR="001C5197" w:rsidRDefault="001C5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6F" w:rsidRDefault="0003246F" w:rsidP="00736224">
      <w:pPr>
        <w:spacing w:after="0" w:line="240" w:lineRule="auto"/>
      </w:pPr>
      <w:r>
        <w:separator/>
      </w:r>
    </w:p>
  </w:footnote>
  <w:footnote w:type="continuationSeparator" w:id="0">
    <w:p w:rsidR="0003246F" w:rsidRDefault="0003246F"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B78"/>
    <w:rsid w:val="0003246F"/>
    <w:rsid w:val="000345C1"/>
    <w:rsid w:val="00036379"/>
    <w:rsid w:val="0005680A"/>
    <w:rsid w:val="00094FA6"/>
    <w:rsid w:val="000A303D"/>
    <w:rsid w:val="000A3D62"/>
    <w:rsid w:val="000B3E87"/>
    <w:rsid w:val="000E46A7"/>
    <w:rsid w:val="000E7E77"/>
    <w:rsid w:val="00103DDF"/>
    <w:rsid w:val="001113F5"/>
    <w:rsid w:val="00132806"/>
    <w:rsid w:val="00143C43"/>
    <w:rsid w:val="0014467C"/>
    <w:rsid w:val="00154580"/>
    <w:rsid w:val="001650B1"/>
    <w:rsid w:val="0017785D"/>
    <w:rsid w:val="001A6E9E"/>
    <w:rsid w:val="001B6F5D"/>
    <w:rsid w:val="001C0128"/>
    <w:rsid w:val="001C5197"/>
    <w:rsid w:val="001C6241"/>
    <w:rsid w:val="001D5105"/>
    <w:rsid w:val="001E105A"/>
    <w:rsid w:val="001E2326"/>
    <w:rsid w:val="001E4979"/>
    <w:rsid w:val="001F126E"/>
    <w:rsid w:val="001F7D6E"/>
    <w:rsid w:val="00212742"/>
    <w:rsid w:val="002249FA"/>
    <w:rsid w:val="00235019"/>
    <w:rsid w:val="00261826"/>
    <w:rsid w:val="00273055"/>
    <w:rsid w:val="0027600E"/>
    <w:rsid w:val="00277B4D"/>
    <w:rsid w:val="002A72E9"/>
    <w:rsid w:val="002B6BB8"/>
    <w:rsid w:val="002E2DAC"/>
    <w:rsid w:val="002F7B0F"/>
    <w:rsid w:val="003025CF"/>
    <w:rsid w:val="00327223"/>
    <w:rsid w:val="0035002A"/>
    <w:rsid w:val="00362A0D"/>
    <w:rsid w:val="00370606"/>
    <w:rsid w:val="00372539"/>
    <w:rsid w:val="00373F37"/>
    <w:rsid w:val="003777DA"/>
    <w:rsid w:val="00383C16"/>
    <w:rsid w:val="003B3541"/>
    <w:rsid w:val="003B6287"/>
    <w:rsid w:val="003C612B"/>
    <w:rsid w:val="003E0776"/>
    <w:rsid w:val="003E3A46"/>
    <w:rsid w:val="004079DF"/>
    <w:rsid w:val="004254D2"/>
    <w:rsid w:val="0047584E"/>
    <w:rsid w:val="00481656"/>
    <w:rsid w:val="00482DBD"/>
    <w:rsid w:val="00485DB4"/>
    <w:rsid w:val="004866C0"/>
    <w:rsid w:val="00494B24"/>
    <w:rsid w:val="004A586B"/>
    <w:rsid w:val="004B2740"/>
    <w:rsid w:val="004C1018"/>
    <w:rsid w:val="004C5C61"/>
    <w:rsid w:val="004E3407"/>
    <w:rsid w:val="004E3646"/>
    <w:rsid w:val="004E7091"/>
    <w:rsid w:val="004F17AF"/>
    <w:rsid w:val="00514477"/>
    <w:rsid w:val="005157D6"/>
    <w:rsid w:val="005167F1"/>
    <w:rsid w:val="005272F8"/>
    <w:rsid w:val="00542657"/>
    <w:rsid w:val="00542B69"/>
    <w:rsid w:val="005542EC"/>
    <w:rsid w:val="00556D97"/>
    <w:rsid w:val="0056137F"/>
    <w:rsid w:val="00572AAF"/>
    <w:rsid w:val="005968A8"/>
    <w:rsid w:val="005B29A4"/>
    <w:rsid w:val="005B39A4"/>
    <w:rsid w:val="005C124C"/>
    <w:rsid w:val="005C7904"/>
    <w:rsid w:val="005D36E1"/>
    <w:rsid w:val="005E4BA3"/>
    <w:rsid w:val="005F2B20"/>
    <w:rsid w:val="006148DB"/>
    <w:rsid w:val="00621A2A"/>
    <w:rsid w:val="006319D5"/>
    <w:rsid w:val="00652955"/>
    <w:rsid w:val="00652B40"/>
    <w:rsid w:val="006538F5"/>
    <w:rsid w:val="00656169"/>
    <w:rsid w:val="00663915"/>
    <w:rsid w:val="00663A91"/>
    <w:rsid w:val="00695832"/>
    <w:rsid w:val="00695EA2"/>
    <w:rsid w:val="00696AB1"/>
    <w:rsid w:val="00696B57"/>
    <w:rsid w:val="00697AC7"/>
    <w:rsid w:val="006A4A7A"/>
    <w:rsid w:val="006A7F4F"/>
    <w:rsid w:val="006C37C7"/>
    <w:rsid w:val="006C5A0A"/>
    <w:rsid w:val="006D7293"/>
    <w:rsid w:val="006E6E1E"/>
    <w:rsid w:val="00703605"/>
    <w:rsid w:val="00703879"/>
    <w:rsid w:val="00736224"/>
    <w:rsid w:val="0076596C"/>
    <w:rsid w:val="00765EC5"/>
    <w:rsid w:val="007824D8"/>
    <w:rsid w:val="00783DDF"/>
    <w:rsid w:val="00784DE2"/>
    <w:rsid w:val="00796459"/>
    <w:rsid w:val="007B3208"/>
    <w:rsid w:val="007B37A9"/>
    <w:rsid w:val="007C2DA9"/>
    <w:rsid w:val="007C6F4F"/>
    <w:rsid w:val="007C7E0E"/>
    <w:rsid w:val="007F62A1"/>
    <w:rsid w:val="008179B9"/>
    <w:rsid w:val="00824E11"/>
    <w:rsid w:val="008536A7"/>
    <w:rsid w:val="00855A83"/>
    <w:rsid w:val="008867C5"/>
    <w:rsid w:val="008A0D4B"/>
    <w:rsid w:val="008B2241"/>
    <w:rsid w:val="008B3CB3"/>
    <w:rsid w:val="008C09FE"/>
    <w:rsid w:val="008D621F"/>
    <w:rsid w:val="008E0397"/>
    <w:rsid w:val="008F7C41"/>
    <w:rsid w:val="00905640"/>
    <w:rsid w:val="00906379"/>
    <w:rsid w:val="00907AD9"/>
    <w:rsid w:val="00910ED5"/>
    <w:rsid w:val="00931F0E"/>
    <w:rsid w:val="00952099"/>
    <w:rsid w:val="0095459D"/>
    <w:rsid w:val="009568B3"/>
    <w:rsid w:val="00961BD5"/>
    <w:rsid w:val="00962DA9"/>
    <w:rsid w:val="009756C9"/>
    <w:rsid w:val="0099347B"/>
    <w:rsid w:val="009B4D61"/>
    <w:rsid w:val="009C0524"/>
    <w:rsid w:val="009C7686"/>
    <w:rsid w:val="009D624F"/>
    <w:rsid w:val="009E1C36"/>
    <w:rsid w:val="009E5937"/>
    <w:rsid w:val="009F41C7"/>
    <w:rsid w:val="009F45B0"/>
    <w:rsid w:val="009F78FE"/>
    <w:rsid w:val="00A02733"/>
    <w:rsid w:val="00A14F60"/>
    <w:rsid w:val="00A31F46"/>
    <w:rsid w:val="00A41F65"/>
    <w:rsid w:val="00A4242F"/>
    <w:rsid w:val="00A44D29"/>
    <w:rsid w:val="00A503F0"/>
    <w:rsid w:val="00A54219"/>
    <w:rsid w:val="00A56D8D"/>
    <w:rsid w:val="00A66B2A"/>
    <w:rsid w:val="00A72D55"/>
    <w:rsid w:val="00A81FA2"/>
    <w:rsid w:val="00A82162"/>
    <w:rsid w:val="00A84D47"/>
    <w:rsid w:val="00A86B48"/>
    <w:rsid w:val="00AA261A"/>
    <w:rsid w:val="00AB00E8"/>
    <w:rsid w:val="00AB477D"/>
    <w:rsid w:val="00AB59BB"/>
    <w:rsid w:val="00AB6606"/>
    <w:rsid w:val="00AC7E6B"/>
    <w:rsid w:val="00AD4CBF"/>
    <w:rsid w:val="00AE6EE3"/>
    <w:rsid w:val="00AF7956"/>
    <w:rsid w:val="00B00468"/>
    <w:rsid w:val="00B05401"/>
    <w:rsid w:val="00B10B52"/>
    <w:rsid w:val="00B214F1"/>
    <w:rsid w:val="00B30068"/>
    <w:rsid w:val="00B35B4E"/>
    <w:rsid w:val="00B36D8C"/>
    <w:rsid w:val="00B51962"/>
    <w:rsid w:val="00B65403"/>
    <w:rsid w:val="00B65574"/>
    <w:rsid w:val="00B83A6F"/>
    <w:rsid w:val="00B90B53"/>
    <w:rsid w:val="00B90DA7"/>
    <w:rsid w:val="00B969CC"/>
    <w:rsid w:val="00B969EC"/>
    <w:rsid w:val="00BA109E"/>
    <w:rsid w:val="00BA5937"/>
    <w:rsid w:val="00BB4CF7"/>
    <w:rsid w:val="00BC1239"/>
    <w:rsid w:val="00BD00E3"/>
    <w:rsid w:val="00BF2C5F"/>
    <w:rsid w:val="00BF6B9F"/>
    <w:rsid w:val="00C07F9A"/>
    <w:rsid w:val="00C34825"/>
    <w:rsid w:val="00C359FA"/>
    <w:rsid w:val="00C415F8"/>
    <w:rsid w:val="00C46BE6"/>
    <w:rsid w:val="00C47769"/>
    <w:rsid w:val="00C55758"/>
    <w:rsid w:val="00C67407"/>
    <w:rsid w:val="00C76D4C"/>
    <w:rsid w:val="00C817F9"/>
    <w:rsid w:val="00C90F34"/>
    <w:rsid w:val="00C92281"/>
    <w:rsid w:val="00CB7B22"/>
    <w:rsid w:val="00CC2852"/>
    <w:rsid w:val="00CE259E"/>
    <w:rsid w:val="00D055E4"/>
    <w:rsid w:val="00D077DE"/>
    <w:rsid w:val="00D17620"/>
    <w:rsid w:val="00D26BE8"/>
    <w:rsid w:val="00D336B9"/>
    <w:rsid w:val="00D33C99"/>
    <w:rsid w:val="00D57747"/>
    <w:rsid w:val="00D86641"/>
    <w:rsid w:val="00D87EDA"/>
    <w:rsid w:val="00D90888"/>
    <w:rsid w:val="00DA3E7D"/>
    <w:rsid w:val="00DB2B20"/>
    <w:rsid w:val="00DC6D50"/>
    <w:rsid w:val="00DE0FA6"/>
    <w:rsid w:val="00DE15DF"/>
    <w:rsid w:val="00DE1A03"/>
    <w:rsid w:val="00DF121C"/>
    <w:rsid w:val="00DF16C7"/>
    <w:rsid w:val="00DF4B78"/>
    <w:rsid w:val="00E028A3"/>
    <w:rsid w:val="00E1174E"/>
    <w:rsid w:val="00E1374D"/>
    <w:rsid w:val="00E15157"/>
    <w:rsid w:val="00E16EC8"/>
    <w:rsid w:val="00E25AFF"/>
    <w:rsid w:val="00E344EF"/>
    <w:rsid w:val="00E36EC9"/>
    <w:rsid w:val="00E47B5F"/>
    <w:rsid w:val="00E503F2"/>
    <w:rsid w:val="00E52673"/>
    <w:rsid w:val="00E875FB"/>
    <w:rsid w:val="00E92AA4"/>
    <w:rsid w:val="00E9606F"/>
    <w:rsid w:val="00E970A4"/>
    <w:rsid w:val="00EA2EDE"/>
    <w:rsid w:val="00EA304B"/>
    <w:rsid w:val="00EA4404"/>
    <w:rsid w:val="00EA5B18"/>
    <w:rsid w:val="00EB7F1B"/>
    <w:rsid w:val="00EC1844"/>
    <w:rsid w:val="00EC6886"/>
    <w:rsid w:val="00ED389D"/>
    <w:rsid w:val="00ED4265"/>
    <w:rsid w:val="00ED59DA"/>
    <w:rsid w:val="00EE41E0"/>
    <w:rsid w:val="00F022E5"/>
    <w:rsid w:val="00F07E7C"/>
    <w:rsid w:val="00F17CDB"/>
    <w:rsid w:val="00F25BD9"/>
    <w:rsid w:val="00F444BC"/>
    <w:rsid w:val="00F46007"/>
    <w:rsid w:val="00F503AC"/>
    <w:rsid w:val="00F51837"/>
    <w:rsid w:val="00F551A4"/>
    <w:rsid w:val="00F60123"/>
    <w:rsid w:val="00F70BDF"/>
    <w:rsid w:val="00F770CB"/>
    <w:rsid w:val="00F93509"/>
    <w:rsid w:val="00F95AD3"/>
    <w:rsid w:val="00FA2399"/>
    <w:rsid w:val="00FA6746"/>
    <w:rsid w:val="00FB6E63"/>
    <w:rsid w:val="00FC6F4D"/>
    <w:rsid w:val="00FD238E"/>
    <w:rsid w:val="00FD7855"/>
    <w:rsid w:val="00FD7856"/>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io.usda.gov/policy-directives-records-forms/forms-management/approved-computer-generated-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hyperlink" Target="http://www.fns.usda.gov/" TargetMode="External"/><Relationship Id="rId2" Type="http://schemas.openxmlformats.org/officeDocument/2006/relationships/numbering" Target="numbering.xml"/><Relationship Id="rId16" Type="http://schemas.openxmlformats.org/officeDocument/2006/relationships/hyperlink" Target="https://fprs.fns.usda.gov/Home/Reminder.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web/grants/forms.html"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10" Type="http://schemas.openxmlformats.org/officeDocument/2006/relationships/hyperlink" Target="http://www.grants.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ns.usda.gov/cnd"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2E6458-4916-46F2-911B-73CB8DA9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Lynnette Thomas</cp:lastModifiedBy>
  <cp:revision>3</cp:revision>
  <cp:lastPrinted>2015-02-18T15:36:00Z</cp:lastPrinted>
  <dcterms:created xsi:type="dcterms:W3CDTF">2015-02-13T16:00:00Z</dcterms:created>
  <dcterms:modified xsi:type="dcterms:W3CDTF">2015-02-18T15:36:00Z</dcterms:modified>
</cp:coreProperties>
</file>