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BF5" w:rsidRPr="00D87C48" w:rsidRDefault="00EE3BF5" w:rsidP="00EE3BF5">
      <w:pPr>
        <w:jc w:val="center"/>
        <w:rPr>
          <w:b/>
          <w:bCs/>
          <w:sz w:val="24"/>
          <w:szCs w:val="24"/>
        </w:rPr>
      </w:pPr>
      <w:r w:rsidRPr="00D87C48">
        <w:rPr>
          <w:b/>
          <w:bCs/>
          <w:sz w:val="24"/>
          <w:szCs w:val="24"/>
        </w:rPr>
        <w:t>SUPPORTING STATEMENT</w:t>
      </w:r>
    </w:p>
    <w:p w:rsidR="00EE3BF5" w:rsidRPr="00D87C48" w:rsidRDefault="00EE3BF5" w:rsidP="00EE3BF5">
      <w:pPr>
        <w:jc w:val="center"/>
        <w:rPr>
          <w:sz w:val="24"/>
          <w:szCs w:val="24"/>
        </w:rPr>
      </w:pPr>
      <w:bookmarkStart w:id="0" w:name="OLE_LINK1"/>
      <w:bookmarkStart w:id="1" w:name="OLE_LINK2"/>
      <w:r w:rsidRPr="00D87C48">
        <w:rPr>
          <w:b/>
          <w:sz w:val="24"/>
          <w:szCs w:val="24"/>
        </w:rPr>
        <w:t>UNDERSTANDING RECREATIONAL ANGLER ATTITUDES AND PREFERENCES FOR SALTWATER FISHING</w:t>
      </w:r>
    </w:p>
    <w:bookmarkEnd w:id="0"/>
    <w:bookmarkEnd w:id="1"/>
    <w:p w:rsidR="00EE3BF5" w:rsidRPr="00D87C48" w:rsidRDefault="00EE3BF5" w:rsidP="00EE3BF5">
      <w:pPr>
        <w:jc w:val="center"/>
        <w:rPr>
          <w:sz w:val="24"/>
          <w:szCs w:val="24"/>
        </w:rPr>
      </w:pPr>
      <w:proofErr w:type="gramStart"/>
      <w:r w:rsidRPr="00D87C48">
        <w:rPr>
          <w:b/>
          <w:bCs/>
          <w:sz w:val="24"/>
          <w:szCs w:val="24"/>
        </w:rPr>
        <w:t>OMB CONTROL NO.</w:t>
      </w:r>
      <w:proofErr w:type="gramEnd"/>
      <w:r w:rsidRPr="00D87C48">
        <w:rPr>
          <w:b/>
          <w:bCs/>
          <w:sz w:val="24"/>
          <w:szCs w:val="24"/>
        </w:rPr>
        <w:t xml:space="preserve"> 0648-XXXX</w:t>
      </w:r>
    </w:p>
    <w:p w:rsidR="00EE3BF5" w:rsidRDefault="00EE3BF5" w:rsidP="00EE3BF5">
      <w:pPr>
        <w:rPr>
          <w:b/>
          <w:bCs/>
          <w:sz w:val="24"/>
          <w:szCs w:val="24"/>
        </w:rPr>
      </w:pPr>
    </w:p>
    <w:p w:rsidR="00EE3BF5" w:rsidRDefault="00EE3BF5" w:rsidP="00EE3BF5">
      <w:pPr>
        <w:rPr>
          <w:b/>
          <w:bCs/>
          <w:sz w:val="24"/>
          <w:szCs w:val="24"/>
        </w:rPr>
      </w:pPr>
    </w:p>
    <w:p w:rsidR="00EE3BF5" w:rsidRPr="00D87C48" w:rsidRDefault="00EE3BF5" w:rsidP="00EE3BF5">
      <w:pPr>
        <w:rPr>
          <w:sz w:val="24"/>
          <w:szCs w:val="24"/>
        </w:rPr>
      </w:pPr>
      <w:r w:rsidRPr="00D87C48">
        <w:rPr>
          <w:b/>
          <w:bCs/>
          <w:sz w:val="24"/>
          <w:szCs w:val="24"/>
        </w:rPr>
        <w:t>B.  COLLECTIONS OF INFORMATION EMPLOYING STATISTICAL METHODS</w:t>
      </w:r>
    </w:p>
    <w:p w:rsidR="00EE3BF5" w:rsidRPr="00D87C48" w:rsidRDefault="00EE3BF5" w:rsidP="00EE3BF5">
      <w:pPr>
        <w:rPr>
          <w:sz w:val="24"/>
          <w:szCs w:val="24"/>
        </w:rPr>
      </w:pPr>
    </w:p>
    <w:p w:rsidR="00EE3BF5" w:rsidRPr="00D87C48" w:rsidRDefault="00EE3BF5" w:rsidP="00EE3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D87C48">
        <w:rPr>
          <w:b/>
          <w:bCs/>
          <w:sz w:val="24"/>
          <w:szCs w:val="24"/>
        </w:rPr>
        <w:t>1.  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p w:rsidR="00EE3BF5" w:rsidRPr="00D87C48" w:rsidRDefault="00EE3BF5" w:rsidP="00EE3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EE3BF5" w:rsidRPr="00D87C48" w:rsidRDefault="00EE3BF5" w:rsidP="00EE3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87C48">
        <w:rPr>
          <w:sz w:val="24"/>
          <w:szCs w:val="24"/>
        </w:rPr>
        <w:t>The potential respondent universe consists of saltwater recreational anglers in the contiguous U.S. and in Alaska.  The sampling frame will be the National Registry of Saltwater Anglers which contains contact information for anglers who purchased a saltwater fishing license during the last year. Note that some states collect their own license information but provide that information to the National Registry.  For states that are exempted from the National Registry (CA, WA, OR) we will obtain license data that includes angler contact information from either the Pacific States Marine Fisheries Commission or the state agency that collects the data, as they are required to provide NMFS with the data necessary to conduct surveys (i.e. contact information) if they are exempt from the National Registry.</w:t>
      </w:r>
    </w:p>
    <w:p w:rsidR="00EE3BF5" w:rsidRPr="00D87C48" w:rsidRDefault="00EE3BF5" w:rsidP="00EE3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EE3BF5" w:rsidRPr="00D87C48" w:rsidRDefault="00EE3BF5" w:rsidP="00EE3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87C48">
        <w:rPr>
          <w:sz w:val="24"/>
          <w:szCs w:val="24"/>
        </w:rPr>
        <w:t>Respondents will be stratified by region of fishing license.</w:t>
      </w:r>
    </w:p>
    <w:p w:rsidR="00EE3BF5" w:rsidRPr="00D87C48" w:rsidRDefault="00EE3BF5" w:rsidP="00EE3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EE3BF5" w:rsidRPr="00D87C48" w:rsidRDefault="00EE3BF5" w:rsidP="00EE3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87C48">
        <w:rPr>
          <w:sz w:val="24"/>
          <w:szCs w:val="24"/>
        </w:rPr>
        <w:t>NOAA Fisheries will use a stratified random sample (proportionally sampled from each region) to select the sampling population from the frame.  The sampling frame has been cleaned to remove duplicates.  Table 1 describes data on each stakeholder entity.</w:t>
      </w:r>
    </w:p>
    <w:p w:rsidR="00EE3BF5" w:rsidRPr="00D87C48" w:rsidRDefault="00EE3BF5" w:rsidP="00EE3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EE3BF5" w:rsidRPr="00D87C48" w:rsidRDefault="00EE3BF5" w:rsidP="00EE3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87C48">
        <w:rPr>
          <w:sz w:val="24"/>
          <w:szCs w:val="24"/>
        </w:rPr>
        <w:t xml:space="preserve">NOAA Fisheries attains response rates between 40 and 65% for surveys related to recreational fishing preferences.  For surveys on costs and/or expenditures, response rates may be lower.  For this survey we expect a slightly higher response rate of 75% for several reasons.  First, there are no cost earnings questions, which may be perceived as sensitive and may dissuade potential respondents from returning their survey.  The survey does not contain a choice experiment or conjoint question, which tend to be cognitively taxing for survey respondents and may decrease response rates.  This survey is strictly about attitudes and opinions and does not require anglers to make trade-offs, as in a conjoint survey, or recall or calculate expenditures.  Thus the cognitive burden on anglers will be relatively minimal.  In addition, there is a section on angler satisfaction with recreational fisheries management which we anticipate will encourage anglers to return their completed survey. This expectation is based on focus group feedback in which anglers stated that they would like their evaluations of management to be known to managers.  Finally, outreach efforts that focus on the upcoming survey have been relatively extensive via the NMFS Regional Recreational Fisheries Coordinators and the National Policy Advisor for Recreational Fisheries.  </w:t>
      </w:r>
    </w:p>
    <w:p w:rsidR="00EE3BF5" w:rsidRPr="009057E1" w:rsidRDefault="009057E1" w:rsidP="009057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sidRPr="009057E1">
        <w:rPr>
          <w:b/>
          <w:sz w:val="24"/>
          <w:szCs w:val="24"/>
        </w:rPr>
        <w:lastRenderedPageBreak/>
        <w:t>TABLE I</w:t>
      </w:r>
      <w:bookmarkStart w:id="2" w:name="_GoBack"/>
      <w:bookmarkEnd w:id="2"/>
    </w:p>
    <w:p w:rsidR="00EE3BF5" w:rsidRPr="00D87C48" w:rsidRDefault="00EE3BF5" w:rsidP="00EE3BF5">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bl>
      <w:tblPr>
        <w:tblW w:w="1089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1620"/>
        <w:gridCol w:w="1980"/>
        <w:gridCol w:w="2430"/>
        <w:gridCol w:w="2250"/>
      </w:tblGrid>
      <w:tr w:rsidR="00EE3BF5" w:rsidRPr="00D87C48" w:rsidTr="00F07A89">
        <w:trPr>
          <w:trHeight w:val="494"/>
        </w:trPr>
        <w:tc>
          <w:tcPr>
            <w:tcW w:w="2610" w:type="dxa"/>
            <w:vAlign w:val="center"/>
          </w:tcPr>
          <w:p w:rsidR="00EE3BF5" w:rsidRPr="00D87C48" w:rsidRDefault="00EE3BF5" w:rsidP="00F07A89">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r w:rsidRPr="00D87C48">
              <w:rPr>
                <w:b/>
                <w:bCs/>
                <w:sz w:val="24"/>
                <w:szCs w:val="24"/>
              </w:rPr>
              <w:t>Column A.</w:t>
            </w:r>
          </w:p>
          <w:p w:rsidR="00EE3BF5" w:rsidRPr="00D87C48" w:rsidRDefault="00EE3BF5" w:rsidP="00F07A89">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r w:rsidRPr="00D87C48">
              <w:rPr>
                <w:b/>
                <w:bCs/>
                <w:sz w:val="24"/>
                <w:szCs w:val="24"/>
              </w:rPr>
              <w:t>Respondent Entity</w:t>
            </w:r>
          </w:p>
        </w:tc>
        <w:tc>
          <w:tcPr>
            <w:tcW w:w="1620" w:type="dxa"/>
            <w:vAlign w:val="center"/>
          </w:tcPr>
          <w:p w:rsidR="00EE3BF5" w:rsidRPr="00D87C48" w:rsidRDefault="00EE3BF5" w:rsidP="00F07A89">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r w:rsidRPr="00D87C48">
              <w:rPr>
                <w:b/>
                <w:bCs/>
                <w:sz w:val="24"/>
                <w:szCs w:val="24"/>
              </w:rPr>
              <w:t>Column B.</w:t>
            </w:r>
          </w:p>
          <w:p w:rsidR="00EE3BF5" w:rsidRPr="00D87C48" w:rsidRDefault="00EE3BF5" w:rsidP="00F07A89">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r w:rsidRPr="00D87C48">
              <w:rPr>
                <w:b/>
                <w:bCs/>
                <w:sz w:val="24"/>
                <w:szCs w:val="24"/>
              </w:rPr>
              <w:t>Number of Entries in Sampling Frame</w:t>
            </w:r>
          </w:p>
        </w:tc>
        <w:tc>
          <w:tcPr>
            <w:tcW w:w="1980" w:type="dxa"/>
            <w:vAlign w:val="center"/>
          </w:tcPr>
          <w:p w:rsidR="00EE3BF5" w:rsidRPr="00D87C48" w:rsidRDefault="00EE3BF5" w:rsidP="00F07A89">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r w:rsidRPr="00D87C48">
              <w:rPr>
                <w:b/>
                <w:bCs/>
                <w:sz w:val="24"/>
                <w:szCs w:val="24"/>
              </w:rPr>
              <w:t>Column C.</w:t>
            </w:r>
          </w:p>
          <w:p w:rsidR="00EE3BF5" w:rsidRPr="00D87C48" w:rsidRDefault="00EE3BF5" w:rsidP="00F07A89">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r w:rsidRPr="00D87C48">
              <w:rPr>
                <w:b/>
                <w:bCs/>
                <w:sz w:val="24"/>
                <w:szCs w:val="24"/>
              </w:rPr>
              <w:t>Observations required to estimate true population value</w:t>
            </w:r>
            <w:r w:rsidRPr="00D87C48">
              <w:rPr>
                <w:b/>
                <w:bCs/>
                <w:sz w:val="24"/>
                <w:szCs w:val="24"/>
                <w:vertAlign w:val="superscript"/>
              </w:rPr>
              <w:t>1</w:t>
            </w:r>
            <w:r w:rsidRPr="00D87C48">
              <w:rPr>
                <w:b/>
                <w:bCs/>
                <w:sz w:val="24"/>
                <w:szCs w:val="24"/>
              </w:rPr>
              <w:t xml:space="preserve"> using proportional sampling rate</w:t>
            </w:r>
            <w:r w:rsidRPr="00D87C48">
              <w:rPr>
                <w:b/>
                <w:bCs/>
                <w:sz w:val="24"/>
                <w:szCs w:val="24"/>
                <w:vertAlign w:val="superscript"/>
              </w:rPr>
              <w:t>2</w:t>
            </w:r>
            <w:r w:rsidRPr="00D87C48">
              <w:rPr>
                <w:b/>
                <w:bCs/>
                <w:sz w:val="24"/>
                <w:szCs w:val="24"/>
              </w:rPr>
              <w:t xml:space="preserve"> (see Equation 1)</w:t>
            </w:r>
          </w:p>
        </w:tc>
        <w:tc>
          <w:tcPr>
            <w:tcW w:w="2430" w:type="dxa"/>
            <w:vAlign w:val="center"/>
          </w:tcPr>
          <w:p w:rsidR="00EE3BF5" w:rsidRPr="00D87C48" w:rsidRDefault="00EE3BF5" w:rsidP="00F07A89">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r w:rsidRPr="00D87C48">
              <w:rPr>
                <w:b/>
                <w:bCs/>
                <w:sz w:val="24"/>
                <w:szCs w:val="24"/>
              </w:rPr>
              <w:t>Column D.</w:t>
            </w:r>
          </w:p>
          <w:p w:rsidR="00EE3BF5" w:rsidRPr="00D87C48" w:rsidRDefault="00EE3BF5" w:rsidP="00F07A89">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r w:rsidRPr="00D87C48">
              <w:rPr>
                <w:b/>
                <w:bCs/>
                <w:sz w:val="24"/>
                <w:szCs w:val="24"/>
              </w:rPr>
              <w:t>Sample size required under assumption of 75% response rate</w:t>
            </w:r>
          </w:p>
          <w:p w:rsidR="00EE3BF5" w:rsidRPr="00D87C48" w:rsidRDefault="00EE3BF5" w:rsidP="00F07A89">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r w:rsidRPr="00D87C48">
              <w:rPr>
                <w:b/>
                <w:bCs/>
                <w:sz w:val="24"/>
                <w:szCs w:val="24"/>
              </w:rPr>
              <w:t>(Column C / 75%)</w:t>
            </w:r>
          </w:p>
        </w:tc>
        <w:tc>
          <w:tcPr>
            <w:tcW w:w="2250" w:type="dxa"/>
            <w:vAlign w:val="center"/>
          </w:tcPr>
          <w:p w:rsidR="00EE3BF5" w:rsidRPr="00D87C48" w:rsidRDefault="00EE3BF5" w:rsidP="00F07A89">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r w:rsidRPr="00D87C48">
              <w:rPr>
                <w:b/>
                <w:bCs/>
                <w:sz w:val="24"/>
                <w:szCs w:val="24"/>
              </w:rPr>
              <w:t>Column E.</w:t>
            </w:r>
          </w:p>
          <w:p w:rsidR="00EE3BF5" w:rsidRPr="00D87C48" w:rsidRDefault="00EE3BF5" w:rsidP="00F07A89">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r w:rsidRPr="00D87C48">
              <w:rPr>
                <w:b/>
                <w:bCs/>
                <w:sz w:val="24"/>
                <w:szCs w:val="24"/>
              </w:rPr>
              <w:t>Sample size with 15% Buffer</w:t>
            </w:r>
          </w:p>
          <w:p w:rsidR="00EE3BF5" w:rsidRPr="00D87C48" w:rsidRDefault="00EE3BF5" w:rsidP="00F07A89">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r w:rsidRPr="00D87C48">
              <w:rPr>
                <w:b/>
                <w:bCs/>
                <w:sz w:val="24"/>
                <w:szCs w:val="24"/>
              </w:rPr>
              <w:t>(Column D * 115%)</w:t>
            </w:r>
          </w:p>
        </w:tc>
      </w:tr>
      <w:tr w:rsidR="00EE3BF5" w:rsidRPr="00D87C48" w:rsidTr="00F07A89">
        <w:trPr>
          <w:trHeight w:val="330"/>
        </w:trPr>
        <w:tc>
          <w:tcPr>
            <w:tcW w:w="2610" w:type="dxa"/>
            <w:vAlign w:val="center"/>
          </w:tcPr>
          <w:p w:rsidR="00EE3BF5" w:rsidRPr="00D87C48" w:rsidRDefault="00EE3BF5" w:rsidP="00F07A89">
            <w:pPr>
              <w:pStyle w:val="Heading1"/>
              <w:widowControl/>
              <w:jc w:val="center"/>
            </w:pPr>
            <w:r w:rsidRPr="00D87C48">
              <w:t>Gulf of Mexico</w:t>
            </w:r>
          </w:p>
          <w:p w:rsidR="00EE3BF5" w:rsidRPr="00D87C48" w:rsidRDefault="00EE3BF5" w:rsidP="00F07A89">
            <w:pPr>
              <w:pStyle w:val="Heading1"/>
              <w:widowControl/>
              <w:jc w:val="center"/>
            </w:pPr>
            <w:r w:rsidRPr="00D87C48">
              <w:t>(TX, LA, MS, AL, West Coast FL)</w:t>
            </w:r>
          </w:p>
        </w:tc>
        <w:tc>
          <w:tcPr>
            <w:tcW w:w="1620" w:type="dxa"/>
            <w:vAlign w:val="center"/>
          </w:tcPr>
          <w:p w:rsidR="00EE3BF5" w:rsidRPr="00D87C48" w:rsidRDefault="00EE3BF5" w:rsidP="00F07A89">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D87C48">
              <w:rPr>
                <w:sz w:val="24"/>
                <w:szCs w:val="24"/>
              </w:rPr>
              <w:t>1,272,925</w:t>
            </w:r>
          </w:p>
        </w:tc>
        <w:tc>
          <w:tcPr>
            <w:tcW w:w="1980" w:type="dxa"/>
            <w:vAlign w:val="center"/>
          </w:tcPr>
          <w:p w:rsidR="00EE3BF5" w:rsidRPr="00D87C48" w:rsidRDefault="00EE3BF5" w:rsidP="00F07A89">
            <w:pPr>
              <w:keepNext/>
              <w:widowControl/>
              <w:jc w:val="center"/>
              <w:rPr>
                <w:color w:val="000000"/>
                <w:sz w:val="24"/>
                <w:szCs w:val="24"/>
              </w:rPr>
            </w:pPr>
            <w:r w:rsidRPr="00D87C48">
              <w:rPr>
                <w:color w:val="000000"/>
                <w:sz w:val="24"/>
                <w:szCs w:val="24"/>
              </w:rPr>
              <w:t>812</w:t>
            </w:r>
          </w:p>
        </w:tc>
        <w:tc>
          <w:tcPr>
            <w:tcW w:w="2430" w:type="dxa"/>
            <w:vAlign w:val="center"/>
          </w:tcPr>
          <w:p w:rsidR="00EE3BF5" w:rsidRPr="00D87C48" w:rsidRDefault="00EE3BF5" w:rsidP="00F07A89">
            <w:pPr>
              <w:keepNext/>
              <w:widowControl/>
              <w:jc w:val="center"/>
              <w:rPr>
                <w:color w:val="000000"/>
                <w:sz w:val="24"/>
                <w:szCs w:val="24"/>
              </w:rPr>
            </w:pPr>
            <w:r w:rsidRPr="00D87C48">
              <w:rPr>
                <w:color w:val="000000"/>
                <w:sz w:val="24"/>
                <w:szCs w:val="24"/>
              </w:rPr>
              <w:t>1,083</w:t>
            </w:r>
          </w:p>
        </w:tc>
        <w:tc>
          <w:tcPr>
            <w:tcW w:w="2250" w:type="dxa"/>
            <w:vAlign w:val="center"/>
          </w:tcPr>
          <w:p w:rsidR="00EE3BF5" w:rsidRPr="00D87C48" w:rsidRDefault="00EE3BF5" w:rsidP="00F07A89">
            <w:pPr>
              <w:keepNext/>
              <w:widowControl/>
              <w:jc w:val="center"/>
              <w:rPr>
                <w:color w:val="000000"/>
                <w:sz w:val="24"/>
                <w:szCs w:val="24"/>
              </w:rPr>
            </w:pPr>
            <w:r w:rsidRPr="00D87C48">
              <w:rPr>
                <w:color w:val="000000"/>
                <w:sz w:val="24"/>
                <w:szCs w:val="24"/>
              </w:rPr>
              <w:t>1,245</w:t>
            </w:r>
          </w:p>
        </w:tc>
      </w:tr>
      <w:tr w:rsidR="00EE3BF5" w:rsidRPr="00D87C48" w:rsidTr="00F07A89">
        <w:trPr>
          <w:trHeight w:val="330"/>
        </w:trPr>
        <w:tc>
          <w:tcPr>
            <w:tcW w:w="2610" w:type="dxa"/>
            <w:vAlign w:val="center"/>
          </w:tcPr>
          <w:p w:rsidR="00EE3BF5" w:rsidRPr="00D87C48" w:rsidRDefault="00EE3BF5" w:rsidP="00F07A89">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D87C48">
              <w:rPr>
                <w:sz w:val="24"/>
                <w:szCs w:val="24"/>
              </w:rPr>
              <w:t>Northeast</w:t>
            </w:r>
          </w:p>
          <w:p w:rsidR="00EE3BF5" w:rsidRPr="00D87C48" w:rsidRDefault="00EE3BF5" w:rsidP="00F07A89">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D87C48">
              <w:rPr>
                <w:sz w:val="24"/>
                <w:szCs w:val="24"/>
              </w:rPr>
              <w:t>(CT, RI, MA, ME, NH)</w:t>
            </w:r>
          </w:p>
        </w:tc>
        <w:tc>
          <w:tcPr>
            <w:tcW w:w="1620" w:type="dxa"/>
            <w:vAlign w:val="center"/>
          </w:tcPr>
          <w:p w:rsidR="00EE3BF5" w:rsidRPr="00D87C48" w:rsidRDefault="00EE3BF5" w:rsidP="00F07A89">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D87C48">
              <w:rPr>
                <w:sz w:val="24"/>
                <w:szCs w:val="24"/>
              </w:rPr>
              <w:t>502,172</w:t>
            </w:r>
          </w:p>
        </w:tc>
        <w:tc>
          <w:tcPr>
            <w:tcW w:w="1980" w:type="dxa"/>
            <w:vAlign w:val="center"/>
          </w:tcPr>
          <w:p w:rsidR="00EE3BF5" w:rsidRPr="00D87C48" w:rsidRDefault="00EE3BF5" w:rsidP="00F07A89">
            <w:pPr>
              <w:keepNext/>
              <w:widowControl/>
              <w:jc w:val="center"/>
              <w:rPr>
                <w:color w:val="000000"/>
                <w:sz w:val="24"/>
                <w:szCs w:val="24"/>
              </w:rPr>
            </w:pPr>
            <w:r w:rsidRPr="00D87C48">
              <w:rPr>
                <w:color w:val="000000"/>
                <w:sz w:val="24"/>
                <w:szCs w:val="24"/>
              </w:rPr>
              <w:t>320</w:t>
            </w:r>
          </w:p>
        </w:tc>
        <w:tc>
          <w:tcPr>
            <w:tcW w:w="2430" w:type="dxa"/>
            <w:vAlign w:val="center"/>
          </w:tcPr>
          <w:p w:rsidR="00EE3BF5" w:rsidRPr="00D87C48" w:rsidRDefault="00EE3BF5" w:rsidP="00F07A89">
            <w:pPr>
              <w:keepNext/>
              <w:widowControl/>
              <w:jc w:val="center"/>
              <w:rPr>
                <w:color w:val="000000"/>
                <w:sz w:val="24"/>
                <w:szCs w:val="24"/>
              </w:rPr>
            </w:pPr>
            <w:r w:rsidRPr="00D87C48">
              <w:rPr>
                <w:color w:val="000000"/>
                <w:sz w:val="24"/>
                <w:szCs w:val="24"/>
              </w:rPr>
              <w:t>427</w:t>
            </w:r>
          </w:p>
        </w:tc>
        <w:tc>
          <w:tcPr>
            <w:tcW w:w="2250" w:type="dxa"/>
            <w:vAlign w:val="center"/>
          </w:tcPr>
          <w:p w:rsidR="00EE3BF5" w:rsidRPr="00D87C48" w:rsidRDefault="00EE3BF5" w:rsidP="00F07A89">
            <w:pPr>
              <w:keepNext/>
              <w:widowControl/>
              <w:jc w:val="center"/>
              <w:rPr>
                <w:color w:val="000000"/>
                <w:sz w:val="24"/>
                <w:szCs w:val="24"/>
              </w:rPr>
            </w:pPr>
            <w:r w:rsidRPr="00D87C48">
              <w:rPr>
                <w:color w:val="000000"/>
                <w:sz w:val="24"/>
                <w:szCs w:val="24"/>
              </w:rPr>
              <w:t>491</w:t>
            </w:r>
          </w:p>
        </w:tc>
      </w:tr>
      <w:tr w:rsidR="00EE3BF5" w:rsidRPr="00D87C48" w:rsidTr="00F07A89">
        <w:trPr>
          <w:trHeight w:val="330"/>
        </w:trPr>
        <w:tc>
          <w:tcPr>
            <w:tcW w:w="2610" w:type="dxa"/>
            <w:vAlign w:val="center"/>
          </w:tcPr>
          <w:p w:rsidR="00EE3BF5" w:rsidRPr="00D87C48" w:rsidRDefault="00EE3BF5" w:rsidP="00F07A89">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D87C48">
              <w:rPr>
                <w:sz w:val="24"/>
                <w:szCs w:val="24"/>
              </w:rPr>
              <w:t>Mid-Atlantic</w:t>
            </w:r>
          </w:p>
          <w:p w:rsidR="00EE3BF5" w:rsidRPr="00D87C48" w:rsidRDefault="00EE3BF5" w:rsidP="00F07A89">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D87C48">
              <w:rPr>
                <w:sz w:val="24"/>
                <w:szCs w:val="24"/>
              </w:rPr>
              <w:t>(VA, DE, MD, NJ, NY)</w:t>
            </w:r>
          </w:p>
        </w:tc>
        <w:tc>
          <w:tcPr>
            <w:tcW w:w="1620" w:type="dxa"/>
            <w:vAlign w:val="center"/>
          </w:tcPr>
          <w:p w:rsidR="00EE3BF5" w:rsidRPr="00D87C48" w:rsidRDefault="00EE3BF5" w:rsidP="00F07A89">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D87C48">
              <w:rPr>
                <w:sz w:val="24"/>
                <w:szCs w:val="24"/>
              </w:rPr>
              <w:t>931,802</w:t>
            </w:r>
          </w:p>
        </w:tc>
        <w:tc>
          <w:tcPr>
            <w:tcW w:w="1980" w:type="dxa"/>
            <w:vAlign w:val="center"/>
          </w:tcPr>
          <w:p w:rsidR="00EE3BF5" w:rsidRPr="00D87C48" w:rsidRDefault="00EE3BF5" w:rsidP="00F07A89">
            <w:pPr>
              <w:keepNext/>
              <w:widowControl/>
              <w:jc w:val="center"/>
              <w:rPr>
                <w:color w:val="000000"/>
                <w:sz w:val="24"/>
                <w:szCs w:val="24"/>
              </w:rPr>
            </w:pPr>
            <w:r w:rsidRPr="00D87C48">
              <w:rPr>
                <w:color w:val="000000"/>
                <w:sz w:val="24"/>
                <w:szCs w:val="24"/>
              </w:rPr>
              <w:t>595</w:t>
            </w:r>
          </w:p>
        </w:tc>
        <w:tc>
          <w:tcPr>
            <w:tcW w:w="2430" w:type="dxa"/>
            <w:vAlign w:val="center"/>
          </w:tcPr>
          <w:p w:rsidR="00EE3BF5" w:rsidRPr="00D87C48" w:rsidRDefault="00EE3BF5" w:rsidP="00F07A89">
            <w:pPr>
              <w:keepNext/>
              <w:widowControl/>
              <w:jc w:val="center"/>
              <w:rPr>
                <w:color w:val="000000"/>
                <w:sz w:val="24"/>
                <w:szCs w:val="24"/>
              </w:rPr>
            </w:pPr>
            <w:r w:rsidRPr="00D87C48">
              <w:rPr>
                <w:color w:val="000000"/>
                <w:sz w:val="24"/>
                <w:szCs w:val="24"/>
              </w:rPr>
              <w:t>793</w:t>
            </w:r>
          </w:p>
        </w:tc>
        <w:tc>
          <w:tcPr>
            <w:tcW w:w="2250" w:type="dxa"/>
            <w:vAlign w:val="center"/>
          </w:tcPr>
          <w:p w:rsidR="00EE3BF5" w:rsidRPr="00D87C48" w:rsidRDefault="00EE3BF5" w:rsidP="00F07A89">
            <w:pPr>
              <w:keepNext/>
              <w:widowControl/>
              <w:jc w:val="center"/>
              <w:rPr>
                <w:color w:val="000000"/>
                <w:sz w:val="24"/>
                <w:szCs w:val="24"/>
              </w:rPr>
            </w:pPr>
            <w:r w:rsidRPr="00D87C48">
              <w:rPr>
                <w:color w:val="000000"/>
                <w:sz w:val="24"/>
                <w:szCs w:val="24"/>
              </w:rPr>
              <w:t>912</w:t>
            </w:r>
          </w:p>
        </w:tc>
      </w:tr>
      <w:tr w:rsidR="00EE3BF5" w:rsidRPr="00D87C48" w:rsidTr="00F07A89">
        <w:trPr>
          <w:trHeight w:val="330"/>
        </w:trPr>
        <w:tc>
          <w:tcPr>
            <w:tcW w:w="2610" w:type="dxa"/>
            <w:vAlign w:val="center"/>
          </w:tcPr>
          <w:p w:rsidR="00EE3BF5" w:rsidRPr="00D87C48" w:rsidRDefault="00EE3BF5" w:rsidP="00F07A89">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D87C48">
              <w:rPr>
                <w:sz w:val="24"/>
                <w:szCs w:val="24"/>
              </w:rPr>
              <w:t>Southeast</w:t>
            </w:r>
          </w:p>
          <w:p w:rsidR="00EE3BF5" w:rsidRPr="00D87C48" w:rsidRDefault="00EE3BF5" w:rsidP="00F07A89">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D87C48">
              <w:rPr>
                <w:sz w:val="24"/>
                <w:szCs w:val="24"/>
              </w:rPr>
              <w:t>(NC, SC, GA, East Coast FL)</w:t>
            </w:r>
          </w:p>
        </w:tc>
        <w:tc>
          <w:tcPr>
            <w:tcW w:w="1620" w:type="dxa"/>
            <w:vAlign w:val="center"/>
          </w:tcPr>
          <w:p w:rsidR="00EE3BF5" w:rsidRPr="00D87C48" w:rsidRDefault="00EE3BF5" w:rsidP="00F07A89">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D87C48">
              <w:rPr>
                <w:sz w:val="24"/>
                <w:szCs w:val="24"/>
              </w:rPr>
              <w:t>913,769</w:t>
            </w:r>
          </w:p>
        </w:tc>
        <w:tc>
          <w:tcPr>
            <w:tcW w:w="1980" w:type="dxa"/>
            <w:vAlign w:val="center"/>
          </w:tcPr>
          <w:p w:rsidR="00EE3BF5" w:rsidRPr="00D87C48" w:rsidRDefault="00EE3BF5" w:rsidP="00F07A89">
            <w:pPr>
              <w:keepNext/>
              <w:widowControl/>
              <w:jc w:val="center"/>
              <w:rPr>
                <w:color w:val="000000"/>
                <w:sz w:val="24"/>
                <w:szCs w:val="24"/>
              </w:rPr>
            </w:pPr>
            <w:r w:rsidRPr="00D87C48">
              <w:rPr>
                <w:color w:val="000000"/>
                <w:sz w:val="24"/>
                <w:szCs w:val="24"/>
              </w:rPr>
              <w:t>583</w:t>
            </w:r>
          </w:p>
        </w:tc>
        <w:tc>
          <w:tcPr>
            <w:tcW w:w="2430" w:type="dxa"/>
            <w:vAlign w:val="center"/>
          </w:tcPr>
          <w:p w:rsidR="00EE3BF5" w:rsidRPr="00D87C48" w:rsidRDefault="00EE3BF5" w:rsidP="00F07A89">
            <w:pPr>
              <w:keepNext/>
              <w:widowControl/>
              <w:jc w:val="center"/>
              <w:rPr>
                <w:color w:val="000000"/>
                <w:sz w:val="24"/>
                <w:szCs w:val="24"/>
              </w:rPr>
            </w:pPr>
            <w:r w:rsidRPr="00D87C48">
              <w:rPr>
                <w:color w:val="000000"/>
                <w:sz w:val="24"/>
                <w:szCs w:val="24"/>
              </w:rPr>
              <w:t>777</w:t>
            </w:r>
          </w:p>
        </w:tc>
        <w:tc>
          <w:tcPr>
            <w:tcW w:w="2250" w:type="dxa"/>
            <w:vAlign w:val="center"/>
          </w:tcPr>
          <w:p w:rsidR="00EE3BF5" w:rsidRPr="00D87C48" w:rsidRDefault="00EE3BF5" w:rsidP="00F07A89">
            <w:pPr>
              <w:keepNext/>
              <w:widowControl/>
              <w:jc w:val="center"/>
              <w:rPr>
                <w:color w:val="000000"/>
                <w:sz w:val="24"/>
                <w:szCs w:val="24"/>
              </w:rPr>
            </w:pPr>
            <w:r w:rsidRPr="00D87C48">
              <w:rPr>
                <w:color w:val="000000"/>
                <w:sz w:val="24"/>
                <w:szCs w:val="24"/>
              </w:rPr>
              <w:t>894</w:t>
            </w:r>
          </w:p>
        </w:tc>
      </w:tr>
      <w:tr w:rsidR="00EE3BF5" w:rsidRPr="00D87C48" w:rsidTr="00F07A89">
        <w:trPr>
          <w:trHeight w:val="330"/>
        </w:trPr>
        <w:tc>
          <w:tcPr>
            <w:tcW w:w="2610" w:type="dxa"/>
            <w:vAlign w:val="center"/>
          </w:tcPr>
          <w:p w:rsidR="00EE3BF5" w:rsidRPr="00D87C48" w:rsidRDefault="00EE3BF5" w:rsidP="00F07A89">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D87C48">
              <w:rPr>
                <w:sz w:val="24"/>
                <w:szCs w:val="24"/>
              </w:rPr>
              <w:t>Alaska</w:t>
            </w:r>
          </w:p>
        </w:tc>
        <w:tc>
          <w:tcPr>
            <w:tcW w:w="1620" w:type="dxa"/>
            <w:vAlign w:val="center"/>
          </w:tcPr>
          <w:p w:rsidR="00EE3BF5" w:rsidRPr="00D87C48" w:rsidRDefault="00EE3BF5" w:rsidP="00F07A89">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D87C48">
              <w:rPr>
                <w:sz w:val="24"/>
                <w:szCs w:val="24"/>
              </w:rPr>
              <w:t>435,700</w:t>
            </w:r>
          </w:p>
        </w:tc>
        <w:tc>
          <w:tcPr>
            <w:tcW w:w="1980" w:type="dxa"/>
            <w:vAlign w:val="center"/>
          </w:tcPr>
          <w:p w:rsidR="00EE3BF5" w:rsidRPr="00D87C48" w:rsidRDefault="00EE3BF5" w:rsidP="00F07A89">
            <w:pPr>
              <w:keepNext/>
              <w:widowControl/>
              <w:jc w:val="center"/>
              <w:rPr>
                <w:color w:val="000000"/>
                <w:sz w:val="24"/>
                <w:szCs w:val="24"/>
              </w:rPr>
            </w:pPr>
            <w:r w:rsidRPr="00D87C48">
              <w:rPr>
                <w:color w:val="000000"/>
                <w:sz w:val="24"/>
                <w:szCs w:val="24"/>
              </w:rPr>
              <w:t>278</w:t>
            </w:r>
          </w:p>
        </w:tc>
        <w:tc>
          <w:tcPr>
            <w:tcW w:w="2430" w:type="dxa"/>
            <w:vAlign w:val="center"/>
          </w:tcPr>
          <w:p w:rsidR="00EE3BF5" w:rsidRPr="00D87C48" w:rsidRDefault="00EE3BF5" w:rsidP="00F07A89">
            <w:pPr>
              <w:keepNext/>
              <w:widowControl/>
              <w:jc w:val="center"/>
              <w:rPr>
                <w:color w:val="000000"/>
                <w:sz w:val="24"/>
                <w:szCs w:val="24"/>
              </w:rPr>
            </w:pPr>
            <w:r w:rsidRPr="00D87C48">
              <w:rPr>
                <w:color w:val="000000"/>
                <w:sz w:val="24"/>
                <w:szCs w:val="24"/>
              </w:rPr>
              <w:t>371</w:t>
            </w:r>
          </w:p>
        </w:tc>
        <w:tc>
          <w:tcPr>
            <w:tcW w:w="2250" w:type="dxa"/>
            <w:vAlign w:val="center"/>
          </w:tcPr>
          <w:p w:rsidR="00EE3BF5" w:rsidRPr="00D87C48" w:rsidRDefault="00EE3BF5" w:rsidP="00F07A89">
            <w:pPr>
              <w:keepNext/>
              <w:widowControl/>
              <w:jc w:val="center"/>
              <w:rPr>
                <w:color w:val="000000"/>
                <w:sz w:val="24"/>
                <w:szCs w:val="24"/>
              </w:rPr>
            </w:pPr>
            <w:r w:rsidRPr="00D87C48">
              <w:rPr>
                <w:color w:val="000000"/>
                <w:sz w:val="24"/>
                <w:szCs w:val="24"/>
              </w:rPr>
              <w:t>426</w:t>
            </w:r>
          </w:p>
        </w:tc>
      </w:tr>
      <w:tr w:rsidR="00EE3BF5" w:rsidRPr="00D87C48" w:rsidTr="00F07A89">
        <w:trPr>
          <w:trHeight w:val="330"/>
        </w:trPr>
        <w:tc>
          <w:tcPr>
            <w:tcW w:w="2610" w:type="dxa"/>
            <w:vAlign w:val="center"/>
          </w:tcPr>
          <w:p w:rsidR="00EE3BF5" w:rsidRPr="00D87C48" w:rsidRDefault="00EE3BF5" w:rsidP="00F07A89">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D87C48">
              <w:rPr>
                <w:sz w:val="24"/>
                <w:szCs w:val="24"/>
              </w:rPr>
              <w:t>West Coast</w:t>
            </w:r>
          </w:p>
          <w:p w:rsidR="00EE3BF5" w:rsidRPr="00D87C48" w:rsidRDefault="00EE3BF5" w:rsidP="00F07A89">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D87C48">
              <w:rPr>
                <w:sz w:val="24"/>
                <w:szCs w:val="24"/>
              </w:rPr>
              <w:t>(CA, WA, OR)</w:t>
            </w:r>
          </w:p>
        </w:tc>
        <w:tc>
          <w:tcPr>
            <w:tcW w:w="1620" w:type="dxa"/>
            <w:vAlign w:val="center"/>
          </w:tcPr>
          <w:p w:rsidR="00EE3BF5" w:rsidRPr="00D87C48" w:rsidRDefault="00EE3BF5" w:rsidP="00F07A89">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D87C48">
              <w:rPr>
                <w:sz w:val="24"/>
                <w:szCs w:val="24"/>
              </w:rPr>
              <w:t>2,629,712</w:t>
            </w:r>
          </w:p>
        </w:tc>
        <w:tc>
          <w:tcPr>
            <w:tcW w:w="1980" w:type="dxa"/>
            <w:vAlign w:val="center"/>
          </w:tcPr>
          <w:p w:rsidR="00EE3BF5" w:rsidRPr="00D87C48" w:rsidRDefault="00EE3BF5" w:rsidP="00F07A89">
            <w:pPr>
              <w:keepNext/>
              <w:widowControl/>
              <w:jc w:val="center"/>
              <w:rPr>
                <w:color w:val="000000"/>
                <w:sz w:val="24"/>
                <w:szCs w:val="24"/>
              </w:rPr>
            </w:pPr>
            <w:r w:rsidRPr="00D87C48">
              <w:rPr>
                <w:color w:val="000000"/>
                <w:sz w:val="24"/>
                <w:szCs w:val="24"/>
              </w:rPr>
              <w:t>1,678</w:t>
            </w:r>
          </w:p>
        </w:tc>
        <w:tc>
          <w:tcPr>
            <w:tcW w:w="2430" w:type="dxa"/>
            <w:vAlign w:val="center"/>
          </w:tcPr>
          <w:p w:rsidR="00EE3BF5" w:rsidRPr="00D87C48" w:rsidRDefault="00EE3BF5" w:rsidP="00F07A89">
            <w:pPr>
              <w:keepNext/>
              <w:widowControl/>
              <w:jc w:val="center"/>
              <w:rPr>
                <w:color w:val="000000"/>
                <w:sz w:val="24"/>
                <w:szCs w:val="24"/>
              </w:rPr>
            </w:pPr>
            <w:r w:rsidRPr="00D87C48">
              <w:rPr>
                <w:color w:val="000000"/>
                <w:sz w:val="24"/>
                <w:szCs w:val="24"/>
              </w:rPr>
              <w:t>2,237</w:t>
            </w:r>
          </w:p>
        </w:tc>
        <w:tc>
          <w:tcPr>
            <w:tcW w:w="2250" w:type="dxa"/>
            <w:vAlign w:val="center"/>
          </w:tcPr>
          <w:p w:rsidR="00EE3BF5" w:rsidRPr="00D87C48" w:rsidRDefault="00EE3BF5" w:rsidP="00F07A89">
            <w:pPr>
              <w:keepNext/>
              <w:widowControl/>
              <w:jc w:val="center"/>
              <w:rPr>
                <w:color w:val="000000"/>
                <w:sz w:val="24"/>
                <w:szCs w:val="24"/>
              </w:rPr>
            </w:pPr>
            <w:r w:rsidRPr="00D87C48">
              <w:rPr>
                <w:color w:val="000000"/>
                <w:sz w:val="24"/>
                <w:szCs w:val="24"/>
              </w:rPr>
              <w:t>2,573</w:t>
            </w:r>
          </w:p>
        </w:tc>
      </w:tr>
      <w:tr w:rsidR="00EE3BF5" w:rsidRPr="00D87C48" w:rsidTr="00F07A89">
        <w:trPr>
          <w:trHeight w:val="330"/>
        </w:trPr>
        <w:tc>
          <w:tcPr>
            <w:tcW w:w="2610" w:type="dxa"/>
            <w:vAlign w:val="center"/>
          </w:tcPr>
          <w:p w:rsidR="00EE3BF5" w:rsidRPr="00D87C48" w:rsidRDefault="00EE3BF5" w:rsidP="00F07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D87C48">
              <w:rPr>
                <w:sz w:val="24"/>
                <w:szCs w:val="24"/>
              </w:rPr>
              <w:t>Total</w:t>
            </w:r>
          </w:p>
        </w:tc>
        <w:tc>
          <w:tcPr>
            <w:tcW w:w="1620" w:type="dxa"/>
            <w:vAlign w:val="center"/>
          </w:tcPr>
          <w:p w:rsidR="00EE3BF5" w:rsidRPr="00D87C48" w:rsidRDefault="00EE3BF5" w:rsidP="00F07A89">
            <w:pPr>
              <w:jc w:val="center"/>
              <w:rPr>
                <w:color w:val="000000"/>
                <w:sz w:val="24"/>
                <w:szCs w:val="24"/>
              </w:rPr>
            </w:pPr>
            <w:r w:rsidRPr="00D87C48">
              <w:rPr>
                <w:color w:val="000000"/>
                <w:sz w:val="24"/>
                <w:szCs w:val="24"/>
              </w:rPr>
              <w:t>6,686,082</w:t>
            </w:r>
          </w:p>
        </w:tc>
        <w:tc>
          <w:tcPr>
            <w:tcW w:w="1980" w:type="dxa"/>
            <w:vAlign w:val="center"/>
          </w:tcPr>
          <w:p w:rsidR="00EE3BF5" w:rsidRPr="00D87C48" w:rsidRDefault="00EE3BF5" w:rsidP="00F07A89">
            <w:pPr>
              <w:jc w:val="center"/>
              <w:rPr>
                <w:color w:val="000000"/>
                <w:sz w:val="24"/>
                <w:szCs w:val="24"/>
              </w:rPr>
            </w:pPr>
            <w:r w:rsidRPr="00D87C48">
              <w:rPr>
                <w:color w:val="000000"/>
                <w:sz w:val="24"/>
                <w:szCs w:val="24"/>
              </w:rPr>
              <w:t>4,266</w:t>
            </w:r>
          </w:p>
        </w:tc>
        <w:tc>
          <w:tcPr>
            <w:tcW w:w="2430" w:type="dxa"/>
            <w:vAlign w:val="center"/>
          </w:tcPr>
          <w:p w:rsidR="00EE3BF5" w:rsidRPr="00D87C48" w:rsidRDefault="00EE3BF5" w:rsidP="00F07A89">
            <w:pPr>
              <w:jc w:val="center"/>
              <w:rPr>
                <w:color w:val="000000"/>
                <w:sz w:val="24"/>
                <w:szCs w:val="24"/>
              </w:rPr>
            </w:pPr>
            <w:r w:rsidRPr="00D87C48">
              <w:rPr>
                <w:color w:val="000000"/>
                <w:sz w:val="24"/>
                <w:szCs w:val="24"/>
              </w:rPr>
              <w:t>5,688</w:t>
            </w:r>
          </w:p>
        </w:tc>
        <w:tc>
          <w:tcPr>
            <w:tcW w:w="2250" w:type="dxa"/>
            <w:vAlign w:val="center"/>
          </w:tcPr>
          <w:p w:rsidR="00EE3BF5" w:rsidRPr="00D87C48" w:rsidRDefault="00EE3BF5" w:rsidP="00F07A89">
            <w:pPr>
              <w:jc w:val="center"/>
              <w:rPr>
                <w:color w:val="000000"/>
                <w:sz w:val="24"/>
                <w:szCs w:val="24"/>
              </w:rPr>
            </w:pPr>
            <w:r w:rsidRPr="00D87C48">
              <w:rPr>
                <w:color w:val="000000"/>
                <w:sz w:val="24"/>
                <w:szCs w:val="24"/>
              </w:rPr>
              <w:t>6,541</w:t>
            </w:r>
          </w:p>
        </w:tc>
      </w:tr>
    </w:tbl>
    <w:p w:rsidR="00EE3BF5" w:rsidRPr="00D87C48" w:rsidRDefault="00EE3BF5" w:rsidP="00EE3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vertAlign w:val="superscript"/>
        </w:rPr>
      </w:pPr>
      <w:r w:rsidRPr="00D87C48">
        <w:rPr>
          <w:b/>
          <w:bCs/>
          <w:vertAlign w:val="superscript"/>
        </w:rPr>
        <w:t>1</w:t>
      </w:r>
      <w:r w:rsidRPr="00D87C48">
        <w:rPr>
          <w:b/>
          <w:bCs/>
        </w:rPr>
        <w:t xml:space="preserve"> n = 278 is the minimum number of observations required for true population estimate</w:t>
      </w:r>
    </w:p>
    <w:p w:rsidR="00EE3BF5" w:rsidRPr="00D87C48" w:rsidRDefault="00EE3BF5" w:rsidP="00EE3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D87C48">
        <w:rPr>
          <w:b/>
          <w:bCs/>
          <w:vertAlign w:val="superscript"/>
        </w:rPr>
        <w:t xml:space="preserve">2 </w:t>
      </w:r>
      <w:r w:rsidRPr="00D87C48">
        <w:rPr>
          <w:b/>
          <w:bCs/>
        </w:rPr>
        <w:t>proportional sampling rate = 0.0638%.</w:t>
      </w:r>
    </w:p>
    <w:p w:rsidR="00EE3BF5" w:rsidRPr="00D87C48" w:rsidRDefault="00EE3BF5" w:rsidP="00EE3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EE3BF5" w:rsidRPr="00D87C48" w:rsidRDefault="00EE3BF5" w:rsidP="00EE3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87C48">
        <w:rPr>
          <w:b/>
          <w:bCs/>
          <w:sz w:val="24"/>
          <w:szCs w:val="24"/>
        </w:rPr>
        <w:t>2.  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EE3BF5" w:rsidRPr="00D87C48" w:rsidRDefault="00EE3BF5" w:rsidP="00EE3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EE3BF5" w:rsidRPr="00D87C48" w:rsidRDefault="00EE3BF5" w:rsidP="00EE3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87C48">
        <w:rPr>
          <w:sz w:val="24"/>
          <w:szCs w:val="24"/>
        </w:rPr>
        <w:t xml:space="preserve">A stratified random sample of the frame will be used to draw the sample population.  The allocation method for each of the </w:t>
      </w:r>
      <w:r w:rsidRPr="00D87C48">
        <w:rPr>
          <w:i/>
          <w:iCs/>
          <w:sz w:val="24"/>
          <w:szCs w:val="24"/>
        </w:rPr>
        <w:t xml:space="preserve">l </w:t>
      </w:r>
      <w:r w:rsidRPr="00D87C48">
        <w:rPr>
          <w:sz w:val="24"/>
          <w:szCs w:val="24"/>
        </w:rPr>
        <w:t>strata (Respondent Entity) will be a proportional allocation (n</w:t>
      </w:r>
      <w:r w:rsidRPr="00D87C48">
        <w:rPr>
          <w:sz w:val="24"/>
          <w:szCs w:val="24"/>
          <w:vertAlign w:val="subscript"/>
        </w:rPr>
        <w:t>1</w:t>
      </w:r>
      <w:r w:rsidRPr="00D87C48">
        <w:rPr>
          <w:sz w:val="24"/>
          <w:szCs w:val="24"/>
        </w:rPr>
        <w:t>/N</w:t>
      </w:r>
      <w:r w:rsidRPr="00D87C48">
        <w:rPr>
          <w:sz w:val="24"/>
          <w:szCs w:val="24"/>
          <w:vertAlign w:val="subscript"/>
        </w:rPr>
        <w:t>1</w:t>
      </w:r>
      <w:r w:rsidRPr="00D87C48">
        <w:rPr>
          <w:sz w:val="24"/>
          <w:szCs w:val="24"/>
        </w:rPr>
        <w:t xml:space="preserve"> = n</w:t>
      </w:r>
      <w:r w:rsidRPr="00D87C48">
        <w:rPr>
          <w:sz w:val="24"/>
          <w:szCs w:val="24"/>
          <w:vertAlign w:val="subscript"/>
        </w:rPr>
        <w:t>2</w:t>
      </w:r>
      <w:r w:rsidRPr="00D87C48">
        <w:rPr>
          <w:sz w:val="24"/>
          <w:szCs w:val="24"/>
        </w:rPr>
        <w:t>/N</w:t>
      </w:r>
      <w:r w:rsidRPr="00D87C48">
        <w:rPr>
          <w:sz w:val="24"/>
          <w:szCs w:val="24"/>
          <w:vertAlign w:val="subscript"/>
        </w:rPr>
        <w:t>2</w:t>
      </w:r>
      <w:r w:rsidRPr="00D87C48">
        <w:rPr>
          <w:sz w:val="24"/>
          <w:szCs w:val="24"/>
        </w:rPr>
        <w:t>…</w:t>
      </w:r>
      <w:proofErr w:type="spellStart"/>
      <w:r w:rsidRPr="00D87C48">
        <w:rPr>
          <w:sz w:val="24"/>
          <w:szCs w:val="24"/>
        </w:rPr>
        <w:t>n</w:t>
      </w:r>
      <w:r w:rsidRPr="00D87C48">
        <w:rPr>
          <w:i/>
          <w:iCs/>
          <w:sz w:val="24"/>
          <w:szCs w:val="24"/>
          <w:vertAlign w:val="subscript"/>
        </w:rPr>
        <w:t>l</w:t>
      </w:r>
      <w:proofErr w:type="spellEnd"/>
      <w:r w:rsidRPr="00D87C48">
        <w:rPr>
          <w:sz w:val="24"/>
          <w:szCs w:val="24"/>
          <w:vertAlign w:val="subscript"/>
        </w:rPr>
        <w:t xml:space="preserve"> </w:t>
      </w:r>
      <w:r w:rsidRPr="00D87C48">
        <w:rPr>
          <w:sz w:val="24"/>
          <w:szCs w:val="24"/>
        </w:rPr>
        <w:t>/</w:t>
      </w:r>
      <w:proofErr w:type="spellStart"/>
      <w:proofErr w:type="gramStart"/>
      <w:r w:rsidRPr="00D87C48">
        <w:rPr>
          <w:sz w:val="24"/>
          <w:szCs w:val="24"/>
        </w:rPr>
        <w:t>N</w:t>
      </w:r>
      <w:r w:rsidRPr="00D87C48">
        <w:rPr>
          <w:i/>
          <w:iCs/>
          <w:sz w:val="24"/>
          <w:szCs w:val="24"/>
          <w:vertAlign w:val="subscript"/>
        </w:rPr>
        <w:t>l</w:t>
      </w:r>
      <w:proofErr w:type="spellEnd"/>
      <w:r w:rsidRPr="00D87C48">
        <w:rPr>
          <w:sz w:val="24"/>
          <w:szCs w:val="24"/>
        </w:rPr>
        <w:t xml:space="preserve"> )</w:t>
      </w:r>
      <w:proofErr w:type="gramEnd"/>
      <w:r w:rsidRPr="00D87C48">
        <w:rPr>
          <w:sz w:val="24"/>
          <w:szCs w:val="24"/>
        </w:rPr>
        <w:t xml:space="preserve">.  This allocation method is appropriate when unequal variances for each stratum are assumed, which NOAA Fisheries assumes to be true for stakeholder entities in the frame (Rice 1995).  </w:t>
      </w:r>
    </w:p>
    <w:p w:rsidR="00EE3BF5" w:rsidRPr="00D87C48" w:rsidRDefault="00EE3BF5" w:rsidP="00EE3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EE3BF5" w:rsidRPr="00D87C48" w:rsidRDefault="00EE3BF5" w:rsidP="00EE3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87C48">
        <w:rPr>
          <w:sz w:val="24"/>
          <w:szCs w:val="24"/>
        </w:rPr>
        <w:t xml:space="preserve">Note that each region is represented within each </w:t>
      </w:r>
      <w:r w:rsidRPr="00D87C48">
        <w:rPr>
          <w:i/>
          <w:iCs/>
          <w:sz w:val="24"/>
          <w:szCs w:val="24"/>
        </w:rPr>
        <w:t>l</w:t>
      </w:r>
      <w:r w:rsidRPr="00D87C48">
        <w:rPr>
          <w:sz w:val="24"/>
          <w:szCs w:val="24"/>
        </w:rPr>
        <w:t xml:space="preserve"> strata.  Section 1 of the instrument will be tailored to reflect the appropriate species for that particular region.  The survey instrument provided is an example of a West Coast survey. Other than the different species or complexes contained in Section 1, the instrument will look the same for all regions (with exceptions for specific references to ‘Southeast’, ‘Northeast’, ‘Mid-Atlantic’, ‘Alaska’, ‘West Coast’ or ‘Gulf of Mexico’ in explanatory text or questions).</w:t>
      </w:r>
    </w:p>
    <w:p w:rsidR="00EE3BF5" w:rsidRPr="00D87C48" w:rsidRDefault="00EE3BF5" w:rsidP="00EE3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EE3BF5" w:rsidRPr="00D87C48" w:rsidRDefault="00EE3BF5" w:rsidP="00EE3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F</w:t>
      </w:r>
      <w:r w:rsidRPr="00D87C48">
        <w:rPr>
          <w:sz w:val="24"/>
          <w:szCs w:val="24"/>
        </w:rPr>
        <w:t>ollowing Equation 1 (Yamane 1967) approximately 278 observations are required to represent the true value for a population of &gt; 100,000, assuming a +/- 6% precision rate,</w:t>
      </w:r>
    </w:p>
    <w:p w:rsidR="00EE3BF5" w:rsidRPr="00D87C48" w:rsidRDefault="00EE3BF5" w:rsidP="00EE3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EE3BF5" w:rsidRPr="00D87C48" w:rsidRDefault="00EE3BF5" w:rsidP="00EE3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proofErr w:type="gramStart"/>
      <w:r w:rsidRPr="00D87C48">
        <w:rPr>
          <w:i/>
          <w:sz w:val="24"/>
          <w:szCs w:val="24"/>
        </w:rPr>
        <w:t>Equation 1</w:t>
      </w:r>
      <w:r w:rsidRPr="00D87C48">
        <w:rPr>
          <w:sz w:val="24"/>
          <w:szCs w:val="24"/>
        </w:rPr>
        <w:t>.</w:t>
      </w:r>
      <w:proofErr w:type="gramEnd"/>
      <w:r w:rsidRPr="00D87C48">
        <w:rPr>
          <w:sz w:val="24"/>
          <w:szCs w:val="24"/>
        </w:rPr>
        <w:t xml:space="preserve"> </w:t>
      </w:r>
      <w:r w:rsidRPr="00D87C48">
        <w:rPr>
          <w:position w:val="-30"/>
          <w:sz w:val="24"/>
          <w:szCs w:val="24"/>
        </w:rPr>
        <w:object w:dxaOrig="14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33.75pt" o:ole="">
            <v:imagedata r:id="rId6" o:title=""/>
          </v:shape>
          <o:OLEObject Type="Embed" ProgID="Equation.3" ShapeID="_x0000_i1025" DrawAspect="Content" ObjectID="_1411388986" r:id="rId7"/>
        </w:object>
      </w:r>
    </w:p>
    <w:p w:rsidR="00EE3BF5" w:rsidRPr="00D87C48" w:rsidRDefault="00EE3BF5" w:rsidP="00EE3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proofErr w:type="gramStart"/>
      <w:r w:rsidRPr="00D87C48">
        <w:rPr>
          <w:i/>
          <w:sz w:val="24"/>
          <w:szCs w:val="24"/>
        </w:rPr>
        <w:t>Equation 1, Example.</w:t>
      </w:r>
      <w:proofErr w:type="gramEnd"/>
      <w:r w:rsidRPr="00D87C48">
        <w:rPr>
          <w:sz w:val="24"/>
          <w:szCs w:val="24"/>
        </w:rPr>
        <w:t xml:space="preserve"> </w:t>
      </w:r>
      <w:r w:rsidRPr="00D87C48">
        <w:rPr>
          <w:position w:val="-30"/>
          <w:sz w:val="24"/>
          <w:szCs w:val="24"/>
        </w:rPr>
        <w:object w:dxaOrig="2500" w:dyaOrig="680">
          <v:shape id="_x0000_i1026" type="#_x0000_t75" style="width:125.25pt;height:33.75pt" o:ole="">
            <v:imagedata r:id="rId8" o:title=""/>
          </v:shape>
          <o:OLEObject Type="Embed" ProgID="Equation.3" ShapeID="_x0000_i1026" DrawAspect="Content" ObjectID="_1411388987" r:id="rId9"/>
        </w:object>
      </w:r>
    </w:p>
    <w:p w:rsidR="00EE3BF5" w:rsidRPr="00D87C48" w:rsidRDefault="00EE3BF5" w:rsidP="00EE3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EE3BF5" w:rsidRPr="00D87C48" w:rsidRDefault="00EE3BF5" w:rsidP="00EE3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roofErr w:type="gramStart"/>
      <w:r w:rsidRPr="00D87C48">
        <w:rPr>
          <w:sz w:val="24"/>
          <w:szCs w:val="24"/>
        </w:rPr>
        <w:t>where</w:t>
      </w:r>
      <w:proofErr w:type="gramEnd"/>
      <w:r w:rsidRPr="00D87C48">
        <w:rPr>
          <w:sz w:val="24"/>
          <w:szCs w:val="24"/>
        </w:rPr>
        <w:t xml:space="preserve"> </w:t>
      </w:r>
      <w:r w:rsidRPr="00D87C48">
        <w:rPr>
          <w:i/>
          <w:sz w:val="24"/>
          <w:szCs w:val="24"/>
        </w:rPr>
        <w:t>n</w:t>
      </w:r>
      <w:r w:rsidRPr="00D87C48">
        <w:rPr>
          <w:sz w:val="24"/>
          <w:szCs w:val="24"/>
        </w:rPr>
        <w:t xml:space="preserve"> is the sample size, </w:t>
      </w:r>
      <w:r w:rsidRPr="00D87C48">
        <w:rPr>
          <w:i/>
          <w:sz w:val="24"/>
          <w:szCs w:val="24"/>
        </w:rPr>
        <w:t>N</w:t>
      </w:r>
      <w:r w:rsidRPr="00D87C48">
        <w:rPr>
          <w:sz w:val="24"/>
          <w:szCs w:val="24"/>
        </w:rPr>
        <w:t xml:space="preserve"> is the population size, and </w:t>
      </w:r>
      <w:r w:rsidRPr="00D87C48">
        <w:rPr>
          <w:i/>
          <w:sz w:val="24"/>
          <w:szCs w:val="24"/>
        </w:rPr>
        <w:t>e</w:t>
      </w:r>
      <w:r w:rsidRPr="00D87C48">
        <w:rPr>
          <w:sz w:val="24"/>
          <w:szCs w:val="24"/>
        </w:rPr>
        <w:t xml:space="preserve"> is the level of precision required.  The equation assumes a confidence interval of 95% and maximum variability in the sample (.50).  An observation unit is an individual respondent.</w:t>
      </w:r>
    </w:p>
    <w:p w:rsidR="00EE3BF5" w:rsidRPr="00D87C48" w:rsidRDefault="00EE3BF5" w:rsidP="00EE3BF5">
      <w:pPr>
        <w:pStyle w:val="Body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EE3BF5" w:rsidRPr="00D87C48" w:rsidRDefault="00EE3BF5" w:rsidP="00EE3BF5">
      <w:pPr>
        <w:pStyle w:val="Body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D87C48">
        <w:rPr>
          <w:szCs w:val="24"/>
        </w:rPr>
        <w:t xml:space="preserve">To ensure proportional allocation among the strata and to ensure that the minimum number of observations is met for each strata (278 observations) requires a sampling rate of 0.0638% (278/435,700 = 0.0638%).  </w:t>
      </w:r>
      <w:proofErr w:type="gramStart"/>
      <w:r w:rsidRPr="00D87C48">
        <w:rPr>
          <w:szCs w:val="24"/>
        </w:rPr>
        <w:t>Applying this rate to each stratum results in a combined sample of 4,266 observations (Table 1).</w:t>
      </w:r>
      <w:proofErr w:type="gramEnd"/>
    </w:p>
    <w:p w:rsidR="00EE3BF5" w:rsidRPr="00D87C48" w:rsidRDefault="00EE3BF5" w:rsidP="00EE3BF5">
      <w:pPr>
        <w:pStyle w:val="Body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EE3BF5" w:rsidRPr="00D87C48" w:rsidRDefault="00EE3BF5" w:rsidP="00EE3BF5">
      <w:pPr>
        <w:pStyle w:val="Body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D87C48">
        <w:rPr>
          <w:szCs w:val="24"/>
        </w:rPr>
        <w:t>As explained in Question 1, we assume a 75% response rate for this survey, and funds will be available to provide a 15% sampling buffer, resulting in a combined sample of 6,541 (Table 1).</w:t>
      </w:r>
    </w:p>
    <w:p w:rsidR="00EE3BF5" w:rsidRPr="00D87C48" w:rsidRDefault="00EE3BF5" w:rsidP="00EE3BF5">
      <w:pPr>
        <w:pStyle w:val="Body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EE3BF5" w:rsidRPr="00D87C48" w:rsidRDefault="00EE3BF5" w:rsidP="00EE3BF5">
      <w:pPr>
        <w:pStyle w:val="Body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D87C48">
        <w:rPr>
          <w:szCs w:val="24"/>
        </w:rPr>
        <w:t xml:space="preserve">As described in </w:t>
      </w:r>
      <w:proofErr w:type="spellStart"/>
      <w:r w:rsidRPr="00D87C48">
        <w:rPr>
          <w:szCs w:val="24"/>
        </w:rPr>
        <w:t>Dillman</w:t>
      </w:r>
      <w:proofErr w:type="spellEnd"/>
      <w:r w:rsidRPr="00D87C48">
        <w:rPr>
          <w:szCs w:val="24"/>
        </w:rPr>
        <w:t xml:space="preserve"> (2000):</w:t>
      </w:r>
    </w:p>
    <w:p w:rsidR="00EE3BF5" w:rsidRPr="00D87C48" w:rsidRDefault="00EE3BF5" w:rsidP="00EE3BF5">
      <w:pPr>
        <w:pStyle w:val="BodyText"/>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D87C48">
        <w:rPr>
          <w:szCs w:val="24"/>
        </w:rPr>
        <w:t xml:space="preserve">Each respondent will receive a pre-notice letter informing the potential respondent of the survey effort, purpose, and forthcoming survey instrument. </w:t>
      </w:r>
    </w:p>
    <w:p w:rsidR="00EE3BF5" w:rsidRPr="00D87C48" w:rsidRDefault="00EE3BF5" w:rsidP="00EE3BF5">
      <w:pPr>
        <w:pStyle w:val="BodyText"/>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D87C48">
        <w:rPr>
          <w:szCs w:val="24"/>
        </w:rPr>
        <w:t xml:space="preserve">Approximately 9 days after the pre-notice, a survey instrument and cover letter will be mailed to all sampling units.  </w:t>
      </w:r>
    </w:p>
    <w:p w:rsidR="00EE3BF5" w:rsidRPr="00D87C48" w:rsidRDefault="00EE3BF5" w:rsidP="00EE3BF5">
      <w:pPr>
        <w:pStyle w:val="BodyText"/>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D87C48">
        <w:rPr>
          <w:szCs w:val="24"/>
        </w:rPr>
        <w:t xml:space="preserve">A reminder postcard will be sent to all respondents 2 weeks after the survey mailing, and </w:t>
      </w:r>
    </w:p>
    <w:p w:rsidR="00EE3BF5" w:rsidRPr="00D87C48" w:rsidRDefault="00EE3BF5" w:rsidP="00EE3BF5">
      <w:pPr>
        <w:pStyle w:val="BodyText"/>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D87C48">
        <w:rPr>
          <w:szCs w:val="24"/>
        </w:rPr>
        <w:t xml:space="preserve">A second survey mailing will be sent to all respondents who have not completed and returned their survey within 2 weeks of the reminder postcard.  </w:t>
      </w:r>
    </w:p>
    <w:p w:rsidR="00EE3BF5" w:rsidRPr="00D87C48" w:rsidRDefault="00EE3BF5" w:rsidP="00EE3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EE3BF5" w:rsidRPr="00D87C48" w:rsidRDefault="00EE3BF5" w:rsidP="00EE3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D87C48">
        <w:rPr>
          <w:sz w:val="24"/>
          <w:szCs w:val="24"/>
        </w:rPr>
        <w:t>T</w:t>
      </w:r>
      <w:r w:rsidR="009057E1">
        <w:rPr>
          <w:sz w:val="24"/>
          <w:szCs w:val="24"/>
        </w:rPr>
        <w:t>his</w:t>
      </w:r>
      <w:r w:rsidRPr="00D87C48">
        <w:rPr>
          <w:sz w:val="24"/>
          <w:szCs w:val="24"/>
        </w:rPr>
        <w:t xml:space="preserve"> is a one-time data collection.</w:t>
      </w:r>
    </w:p>
    <w:p w:rsidR="00EE3BF5" w:rsidRPr="00D87C48" w:rsidRDefault="00EE3BF5" w:rsidP="00EE3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EE3BF5" w:rsidRPr="00D87C48" w:rsidRDefault="00EE3BF5" w:rsidP="00EE3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87C48">
        <w:rPr>
          <w:b/>
          <w:bCs/>
          <w:sz w:val="24"/>
          <w:szCs w:val="24"/>
        </w:rPr>
        <w:t>3.   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00EE3BF5" w:rsidRPr="00D87C48" w:rsidRDefault="00EE3BF5" w:rsidP="00EE3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EE3BF5" w:rsidRPr="00D87C48" w:rsidRDefault="00EE3BF5" w:rsidP="00EE3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87C48">
        <w:rPr>
          <w:sz w:val="24"/>
          <w:szCs w:val="24"/>
        </w:rPr>
        <w:t>The mail survey implementation will follow state-of-the-art protocols described in ‘The Tailored Design Method’ (</w:t>
      </w:r>
      <w:proofErr w:type="spellStart"/>
      <w:r w:rsidRPr="00D87C48">
        <w:rPr>
          <w:sz w:val="24"/>
          <w:szCs w:val="24"/>
        </w:rPr>
        <w:t>Dillman</w:t>
      </w:r>
      <w:proofErr w:type="spellEnd"/>
      <w:r w:rsidRPr="00D87C48">
        <w:rPr>
          <w:sz w:val="24"/>
          <w:szCs w:val="24"/>
        </w:rPr>
        <w:t xml:space="preserve"> 2000).  Protocols include 4 mailings with approximately 2 weeks between mailings:  (1) a pre-notice letter informing the respondent that they have been selected to receive a survey within the next two weeks; (2) a cover letter describing the importance of filling out the survey completely and the survey questionnaire; (3) a post-card follow up thanking respondents who returned their survey and reminding respondents to complete their survey and return it if they have not already done so; (4) a final mailing including a cover letter and survey </w:t>
      </w:r>
      <w:r w:rsidRPr="00D87C48">
        <w:rPr>
          <w:sz w:val="24"/>
          <w:szCs w:val="24"/>
        </w:rPr>
        <w:lastRenderedPageBreak/>
        <w:t>instrument.  The tailored design method is designed to maximize response rates, and components of the design have been scientifically tested and determined to increase response rates for mail surveys (</w:t>
      </w:r>
      <w:proofErr w:type="spellStart"/>
      <w:r w:rsidRPr="00D87C48">
        <w:rPr>
          <w:sz w:val="24"/>
          <w:szCs w:val="24"/>
        </w:rPr>
        <w:t>Dillman</w:t>
      </w:r>
      <w:proofErr w:type="spellEnd"/>
      <w:r w:rsidRPr="00D87C48">
        <w:rPr>
          <w:sz w:val="24"/>
          <w:szCs w:val="24"/>
        </w:rPr>
        <w:t xml:space="preserve"> 2000).  In addition, the survey will be designed to be easy to understand and will minimize the response burden by providing categorical answer choices for the majority of the questions.   </w:t>
      </w:r>
    </w:p>
    <w:p w:rsidR="00EE3BF5" w:rsidRPr="00D87C48" w:rsidRDefault="00EE3BF5" w:rsidP="00EE3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EE3BF5" w:rsidRPr="00D87C48" w:rsidRDefault="00EE3BF5" w:rsidP="00EE3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87C48">
        <w:rPr>
          <w:sz w:val="24"/>
          <w:szCs w:val="24"/>
        </w:rPr>
        <w:t>A small random sample of non-respondents will be contacted by telephone to determine the extent, if any, of non-response bias.  All non-respondents will be asked demographic information and 5 randomly selected questions from Section 3 of the survey.</w:t>
      </w:r>
    </w:p>
    <w:p w:rsidR="00EE3BF5" w:rsidRPr="00D87C48" w:rsidRDefault="00EE3BF5" w:rsidP="00EE3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EE3BF5" w:rsidRPr="00D87C48" w:rsidRDefault="00EE3BF5" w:rsidP="00EE3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87C48">
        <w:rPr>
          <w:b/>
          <w:bCs/>
          <w:sz w:val="24"/>
          <w:szCs w:val="24"/>
        </w:rPr>
        <w:t xml:space="preserve">4.  Describe any tests of procedures or methods to be undertaken. Tests are encouraged as effective means to refine collections, but if ten or more test respondents are involved OMB must give prior approval. </w:t>
      </w:r>
    </w:p>
    <w:p w:rsidR="00EE3BF5" w:rsidRPr="00D87C48" w:rsidRDefault="00EE3BF5" w:rsidP="00EE3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EE3BF5" w:rsidRPr="00D87C48" w:rsidRDefault="00EE3BF5" w:rsidP="00EE3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87C48">
        <w:rPr>
          <w:sz w:val="24"/>
          <w:szCs w:val="24"/>
        </w:rPr>
        <w:t xml:space="preserve">Prior to the survey implementation, NOAA Fisheries conducted a focus group with 9 anglers in the southeastern U.S. Their feedback was used to revise language and questions in the instrument and to ensure that material is understood and interpreted by the respondent as intended.  </w:t>
      </w:r>
    </w:p>
    <w:p w:rsidR="00EE3BF5" w:rsidRPr="00D87C48" w:rsidRDefault="00EE3BF5" w:rsidP="00EE3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EE3BF5" w:rsidRPr="00D87C48" w:rsidRDefault="00EE3BF5" w:rsidP="00EE3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87C48">
        <w:rPr>
          <w:b/>
          <w:bCs/>
          <w:sz w:val="24"/>
          <w:szCs w:val="24"/>
        </w:rPr>
        <w:t>5.  Provide the name and telephone number of individuals consulted on the statistical aspects of the design, and the name of the agency unit, contractor(s), grantee(s), or other person(s) who will actually collect and/or analyze the information for the agency.</w:t>
      </w:r>
    </w:p>
    <w:p w:rsidR="00EE3BF5" w:rsidRPr="00D87C48" w:rsidRDefault="00EE3BF5" w:rsidP="00EE3BF5">
      <w:pPr>
        <w:rPr>
          <w:sz w:val="24"/>
          <w:szCs w:val="24"/>
        </w:rPr>
      </w:pPr>
    </w:p>
    <w:p w:rsidR="00EE3BF5" w:rsidRPr="00D87C48" w:rsidRDefault="00EE3BF5" w:rsidP="00EE3BF5">
      <w:pPr>
        <w:rPr>
          <w:sz w:val="24"/>
          <w:szCs w:val="24"/>
        </w:rPr>
      </w:pPr>
    </w:p>
    <w:p w:rsidR="00EE3BF5" w:rsidRPr="00D87C48" w:rsidRDefault="00EE3BF5" w:rsidP="00EE3BF5">
      <w:pPr>
        <w:rPr>
          <w:sz w:val="24"/>
          <w:szCs w:val="24"/>
        </w:rPr>
      </w:pPr>
      <w:r w:rsidRPr="00D87C48">
        <w:rPr>
          <w:sz w:val="24"/>
          <w:szCs w:val="24"/>
        </w:rPr>
        <w:t>Sampling Design, Data Analysis and Report Writing:</w:t>
      </w:r>
    </w:p>
    <w:p w:rsidR="00EE3BF5" w:rsidRPr="00D87C48" w:rsidRDefault="00EE3BF5" w:rsidP="00EE3BF5">
      <w:pPr>
        <w:rPr>
          <w:sz w:val="24"/>
          <w:szCs w:val="24"/>
        </w:rPr>
      </w:pPr>
      <w:r w:rsidRPr="00D87C48">
        <w:rPr>
          <w:sz w:val="24"/>
          <w:szCs w:val="24"/>
        </w:rPr>
        <w:t xml:space="preserve">Kristy </w:t>
      </w:r>
      <w:proofErr w:type="spellStart"/>
      <w:r w:rsidRPr="00D87C48">
        <w:rPr>
          <w:sz w:val="24"/>
          <w:szCs w:val="24"/>
        </w:rPr>
        <w:t>Wallmo</w:t>
      </w:r>
      <w:proofErr w:type="spellEnd"/>
      <w:r w:rsidRPr="00D87C48">
        <w:rPr>
          <w:sz w:val="24"/>
          <w:szCs w:val="24"/>
        </w:rPr>
        <w:t>, NOAA Fisheries</w:t>
      </w:r>
      <w:r w:rsidRPr="00D87C48">
        <w:rPr>
          <w:sz w:val="24"/>
          <w:szCs w:val="24"/>
        </w:rPr>
        <w:tab/>
      </w:r>
      <w:r w:rsidRPr="00D87C48">
        <w:rPr>
          <w:sz w:val="24"/>
          <w:szCs w:val="24"/>
        </w:rPr>
        <w:tab/>
      </w:r>
      <w:r w:rsidRPr="00D87C48">
        <w:rPr>
          <w:sz w:val="24"/>
          <w:szCs w:val="24"/>
        </w:rPr>
        <w:tab/>
      </w:r>
      <w:r w:rsidRPr="00D87C48">
        <w:rPr>
          <w:sz w:val="24"/>
          <w:szCs w:val="24"/>
        </w:rPr>
        <w:tab/>
      </w:r>
      <w:r w:rsidRPr="00D87C48">
        <w:rPr>
          <w:sz w:val="24"/>
          <w:szCs w:val="24"/>
        </w:rPr>
        <w:tab/>
        <w:t>301-427-8190</w:t>
      </w:r>
    </w:p>
    <w:p w:rsidR="00EE3BF5" w:rsidRPr="00D87C48" w:rsidRDefault="00EE3BF5" w:rsidP="00EE3BF5">
      <w:pPr>
        <w:rPr>
          <w:sz w:val="24"/>
          <w:szCs w:val="24"/>
        </w:rPr>
      </w:pPr>
      <w:proofErr w:type="spellStart"/>
      <w:r w:rsidRPr="00D87C48">
        <w:rPr>
          <w:sz w:val="24"/>
          <w:szCs w:val="24"/>
        </w:rPr>
        <w:t>Ayeisha</w:t>
      </w:r>
      <w:proofErr w:type="spellEnd"/>
      <w:r w:rsidRPr="00D87C48">
        <w:rPr>
          <w:sz w:val="24"/>
          <w:szCs w:val="24"/>
        </w:rPr>
        <w:t xml:space="preserve"> Brinson, NOAA Fisheries</w:t>
      </w:r>
      <w:r w:rsidRPr="00D87C48">
        <w:rPr>
          <w:sz w:val="24"/>
          <w:szCs w:val="24"/>
        </w:rPr>
        <w:tab/>
      </w:r>
      <w:r w:rsidRPr="00D87C48">
        <w:rPr>
          <w:sz w:val="24"/>
          <w:szCs w:val="24"/>
        </w:rPr>
        <w:tab/>
      </w:r>
      <w:r w:rsidRPr="00D87C48">
        <w:rPr>
          <w:sz w:val="24"/>
          <w:szCs w:val="24"/>
        </w:rPr>
        <w:tab/>
      </w:r>
      <w:r w:rsidRPr="00D87C48">
        <w:rPr>
          <w:sz w:val="24"/>
          <w:szCs w:val="24"/>
        </w:rPr>
        <w:tab/>
      </w:r>
      <w:r w:rsidRPr="00D87C48">
        <w:rPr>
          <w:sz w:val="24"/>
          <w:szCs w:val="24"/>
        </w:rPr>
        <w:tab/>
        <w:t>301-427-8198</w:t>
      </w:r>
    </w:p>
    <w:p w:rsidR="00EE3BF5" w:rsidRPr="00D87C48" w:rsidRDefault="00EE3BF5" w:rsidP="00EE3BF5">
      <w:pPr>
        <w:rPr>
          <w:rStyle w:val="base"/>
          <w:sz w:val="24"/>
          <w:szCs w:val="24"/>
        </w:rPr>
      </w:pPr>
    </w:p>
    <w:p w:rsidR="00EE3BF5" w:rsidRPr="00D87C48" w:rsidRDefault="00EE3BF5" w:rsidP="00EE3BF5">
      <w:pPr>
        <w:rPr>
          <w:b/>
          <w:sz w:val="24"/>
          <w:szCs w:val="24"/>
        </w:rPr>
      </w:pPr>
      <w:r w:rsidRPr="00D87C48">
        <w:rPr>
          <w:b/>
          <w:sz w:val="24"/>
          <w:szCs w:val="24"/>
        </w:rPr>
        <w:t>References</w:t>
      </w:r>
    </w:p>
    <w:p w:rsidR="00EE3BF5" w:rsidRPr="00D87C48" w:rsidRDefault="00EE3BF5" w:rsidP="00EE3BF5">
      <w:pPr>
        <w:rPr>
          <w:sz w:val="24"/>
          <w:szCs w:val="24"/>
        </w:rPr>
      </w:pPr>
    </w:p>
    <w:p w:rsidR="00EE3BF5" w:rsidRPr="00D87C48" w:rsidRDefault="00EE3BF5" w:rsidP="00EE3BF5">
      <w:pPr>
        <w:rPr>
          <w:sz w:val="24"/>
          <w:szCs w:val="24"/>
        </w:rPr>
      </w:pPr>
      <w:proofErr w:type="spellStart"/>
      <w:proofErr w:type="gramStart"/>
      <w:r w:rsidRPr="00D87C48">
        <w:rPr>
          <w:sz w:val="24"/>
          <w:szCs w:val="24"/>
        </w:rPr>
        <w:t>Dillman</w:t>
      </w:r>
      <w:proofErr w:type="spellEnd"/>
      <w:r w:rsidRPr="00D87C48">
        <w:rPr>
          <w:sz w:val="24"/>
          <w:szCs w:val="24"/>
        </w:rPr>
        <w:t>, D.</w:t>
      </w:r>
      <w:proofErr w:type="gramEnd"/>
      <w:r w:rsidRPr="00D87C48">
        <w:rPr>
          <w:sz w:val="24"/>
          <w:szCs w:val="24"/>
        </w:rPr>
        <w:t xml:space="preserve">  2000.  Mail and Internet Surveys.  </w:t>
      </w:r>
      <w:proofErr w:type="gramStart"/>
      <w:r w:rsidRPr="00D87C48">
        <w:rPr>
          <w:sz w:val="24"/>
          <w:szCs w:val="24"/>
        </w:rPr>
        <w:t>The Tailored Design Method.</w:t>
      </w:r>
      <w:proofErr w:type="gramEnd"/>
      <w:r w:rsidRPr="00D87C48">
        <w:rPr>
          <w:sz w:val="24"/>
          <w:szCs w:val="24"/>
        </w:rPr>
        <w:t xml:space="preserve">  </w:t>
      </w:r>
      <w:proofErr w:type="gramStart"/>
      <w:r w:rsidRPr="00D87C48">
        <w:rPr>
          <w:sz w:val="24"/>
          <w:szCs w:val="24"/>
        </w:rPr>
        <w:t>John Wiley and Sons, Inc., New York, New York.</w:t>
      </w:r>
      <w:proofErr w:type="gramEnd"/>
      <w:r w:rsidRPr="00D87C48">
        <w:rPr>
          <w:sz w:val="24"/>
          <w:szCs w:val="24"/>
        </w:rPr>
        <w:t xml:space="preserve">  </w:t>
      </w:r>
    </w:p>
    <w:p w:rsidR="00EE3BF5" w:rsidRPr="00D87C48" w:rsidRDefault="00EE3BF5" w:rsidP="00EE3BF5">
      <w:pPr>
        <w:rPr>
          <w:sz w:val="24"/>
          <w:szCs w:val="24"/>
        </w:rPr>
      </w:pPr>
    </w:p>
    <w:p w:rsidR="00EE3BF5" w:rsidRPr="00D87C48" w:rsidRDefault="00EE3BF5" w:rsidP="00EE3BF5">
      <w:pPr>
        <w:rPr>
          <w:sz w:val="24"/>
          <w:szCs w:val="24"/>
        </w:rPr>
      </w:pPr>
      <w:r w:rsidRPr="00D87C48">
        <w:rPr>
          <w:sz w:val="24"/>
          <w:szCs w:val="24"/>
        </w:rPr>
        <w:t xml:space="preserve">Rice, J.  1995.  Mathematical Statistics and Data Analysis, Second Edition.  </w:t>
      </w:r>
      <w:proofErr w:type="gramStart"/>
      <w:r w:rsidRPr="00D87C48">
        <w:rPr>
          <w:sz w:val="24"/>
          <w:szCs w:val="24"/>
        </w:rPr>
        <w:t>Wadsworth Publishing Company, Belmont, California.</w:t>
      </w:r>
      <w:proofErr w:type="gramEnd"/>
      <w:r w:rsidRPr="00D87C48">
        <w:rPr>
          <w:sz w:val="24"/>
          <w:szCs w:val="24"/>
        </w:rPr>
        <w:t xml:space="preserve">  </w:t>
      </w:r>
    </w:p>
    <w:p w:rsidR="00EE3BF5" w:rsidRPr="00D87C48" w:rsidRDefault="00EE3BF5" w:rsidP="00EE3BF5">
      <w:pPr>
        <w:rPr>
          <w:sz w:val="24"/>
          <w:szCs w:val="24"/>
        </w:rPr>
      </w:pPr>
    </w:p>
    <w:p w:rsidR="005F3F64" w:rsidRDefault="00EE3BF5" w:rsidP="00EE3BF5">
      <w:r w:rsidRPr="00D87C48">
        <w:rPr>
          <w:sz w:val="24"/>
          <w:szCs w:val="24"/>
        </w:rPr>
        <w:t xml:space="preserve">Yamane, Taro. 1967. Statistics, </w:t>
      </w:r>
      <w:proofErr w:type="gramStart"/>
      <w:r w:rsidRPr="00D87C48">
        <w:rPr>
          <w:sz w:val="24"/>
          <w:szCs w:val="24"/>
        </w:rPr>
        <w:t>An</w:t>
      </w:r>
      <w:proofErr w:type="gramEnd"/>
      <w:r w:rsidRPr="00D87C48">
        <w:rPr>
          <w:sz w:val="24"/>
          <w:szCs w:val="24"/>
        </w:rPr>
        <w:t xml:space="preserve"> Introductory Analysis, 2nd Ed., New York: Harper and Row.</w:t>
      </w:r>
      <w:r>
        <w:rPr>
          <w:sz w:val="24"/>
          <w:szCs w:val="24"/>
        </w:rPr>
        <w:t xml:space="preserve"> </w:t>
      </w:r>
    </w:p>
    <w:sectPr w:rsidR="005F3F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44BAC"/>
    <w:multiLevelType w:val="hybridMultilevel"/>
    <w:tmpl w:val="99F0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F5"/>
    <w:rsid w:val="005F3F64"/>
    <w:rsid w:val="009057E1"/>
    <w:rsid w:val="00EE3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BF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E3BF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3BF5"/>
    <w:rPr>
      <w:rFonts w:ascii="Times New Roman" w:eastAsia="Times New Roman" w:hAnsi="Times New Roman" w:cs="Times New Roman"/>
      <w:sz w:val="24"/>
      <w:szCs w:val="24"/>
    </w:rPr>
  </w:style>
  <w:style w:type="paragraph" w:styleId="BodyText">
    <w:name w:val="Body Text"/>
    <w:basedOn w:val="Normal"/>
    <w:link w:val="BodyTextChar"/>
    <w:semiHidden/>
    <w:rsid w:val="00EE3BF5"/>
    <w:pPr>
      <w:widowControl/>
    </w:pPr>
    <w:rPr>
      <w:sz w:val="24"/>
    </w:rPr>
  </w:style>
  <w:style w:type="character" w:customStyle="1" w:styleId="BodyTextChar">
    <w:name w:val="Body Text Char"/>
    <w:basedOn w:val="DefaultParagraphFont"/>
    <w:link w:val="BodyText"/>
    <w:semiHidden/>
    <w:rsid w:val="00EE3BF5"/>
    <w:rPr>
      <w:rFonts w:ascii="Times New Roman" w:eastAsia="Times New Roman" w:hAnsi="Times New Roman" w:cs="Times New Roman"/>
      <w:sz w:val="24"/>
      <w:szCs w:val="20"/>
    </w:rPr>
  </w:style>
  <w:style w:type="character" w:customStyle="1" w:styleId="base">
    <w:name w:val="base"/>
    <w:basedOn w:val="DefaultParagraphFont"/>
    <w:rsid w:val="00EE3B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BF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E3BF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3BF5"/>
    <w:rPr>
      <w:rFonts w:ascii="Times New Roman" w:eastAsia="Times New Roman" w:hAnsi="Times New Roman" w:cs="Times New Roman"/>
      <w:sz w:val="24"/>
      <w:szCs w:val="24"/>
    </w:rPr>
  </w:style>
  <w:style w:type="paragraph" w:styleId="BodyText">
    <w:name w:val="Body Text"/>
    <w:basedOn w:val="Normal"/>
    <w:link w:val="BodyTextChar"/>
    <w:semiHidden/>
    <w:rsid w:val="00EE3BF5"/>
    <w:pPr>
      <w:widowControl/>
    </w:pPr>
    <w:rPr>
      <w:sz w:val="24"/>
    </w:rPr>
  </w:style>
  <w:style w:type="character" w:customStyle="1" w:styleId="BodyTextChar">
    <w:name w:val="Body Text Char"/>
    <w:basedOn w:val="DefaultParagraphFont"/>
    <w:link w:val="BodyText"/>
    <w:semiHidden/>
    <w:rsid w:val="00EE3BF5"/>
    <w:rPr>
      <w:rFonts w:ascii="Times New Roman" w:eastAsia="Times New Roman" w:hAnsi="Times New Roman" w:cs="Times New Roman"/>
      <w:sz w:val="24"/>
      <w:szCs w:val="20"/>
    </w:rPr>
  </w:style>
  <w:style w:type="character" w:customStyle="1" w:styleId="base">
    <w:name w:val="base"/>
    <w:basedOn w:val="DefaultParagraphFont"/>
    <w:rsid w:val="00EE3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1469</Words>
  <Characters>8379</Characters>
  <Application>Microsoft Office Word</Application>
  <DocSecurity>0</DocSecurity>
  <Lines>69</Lines>
  <Paragraphs>19</Paragraphs>
  <ScaleCrop>false</ScaleCrop>
  <Company>NOAA</Company>
  <LinksUpToDate>false</LinksUpToDate>
  <CharactersWithSpaces>9829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Sarah Brabson</cp:lastModifiedBy>
  <cp:revision>3</cp:revision>
  <dcterms:created xsi:type="dcterms:W3CDTF">2012-09-18T12:26:00Z</dcterms:created>
  <dcterms:modified xsi:type="dcterms:W3CDTF">2012-10-10T19:43:00Z</dcterms:modified>
</cp:coreProperties>
</file>