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01" w:rsidRPr="00C215BC" w:rsidRDefault="00AC7D01" w:rsidP="00AC7D01">
      <w:pPr>
        <w:spacing w:after="0" w:line="240" w:lineRule="auto"/>
        <w:jc w:val="center"/>
        <w:rPr>
          <w:rFonts w:ascii="Times New Roman" w:eastAsia="Times New Roman" w:hAnsi="Times New Roman" w:cs="Times New Roman"/>
          <w:b/>
          <w:sz w:val="24"/>
        </w:rPr>
      </w:pPr>
      <w:r w:rsidRPr="00C215BC">
        <w:rPr>
          <w:rFonts w:ascii="Times New Roman" w:eastAsia="Times New Roman" w:hAnsi="Times New Roman" w:cs="Times New Roman"/>
          <w:b/>
          <w:sz w:val="24"/>
        </w:rPr>
        <w:t>A</w:t>
      </w:r>
      <w:r>
        <w:rPr>
          <w:rFonts w:ascii="Times New Roman" w:eastAsia="Times New Roman" w:hAnsi="Times New Roman" w:cs="Times New Roman"/>
          <w:b/>
          <w:sz w:val="24"/>
        </w:rPr>
        <w:t>ttachment</w:t>
      </w:r>
      <w:r w:rsidRPr="00C215BC">
        <w:rPr>
          <w:rFonts w:ascii="Times New Roman" w:eastAsia="Times New Roman" w:hAnsi="Times New Roman" w:cs="Times New Roman"/>
          <w:b/>
          <w:sz w:val="24"/>
        </w:rPr>
        <w:t xml:space="preserve"> </w:t>
      </w:r>
      <w:r w:rsidR="001E1302">
        <w:rPr>
          <w:rFonts w:ascii="Times New Roman" w:eastAsia="Times New Roman" w:hAnsi="Times New Roman" w:cs="Times New Roman"/>
          <w:b/>
          <w:sz w:val="24"/>
        </w:rPr>
        <w:t>1a</w:t>
      </w:r>
      <w:bookmarkStart w:id="0" w:name="_GoBack"/>
      <w:bookmarkEnd w:id="0"/>
    </w:p>
    <w:p w:rsidR="00AC7D01" w:rsidRPr="00C215BC" w:rsidRDefault="00AC7D01" w:rsidP="00AC7D01">
      <w:pPr>
        <w:spacing w:after="0" w:line="240" w:lineRule="auto"/>
        <w:jc w:val="center"/>
        <w:rPr>
          <w:rFonts w:ascii="Times New Roman" w:eastAsia="Times New Roman" w:hAnsi="Times New Roman" w:cs="Times New Roman"/>
          <w:b/>
          <w:sz w:val="24"/>
        </w:rPr>
      </w:pPr>
    </w:p>
    <w:p w:rsidR="00AC7D01" w:rsidRPr="00C215BC" w:rsidRDefault="00AC7D01" w:rsidP="00AC7D01">
      <w:pPr>
        <w:spacing w:after="0" w:line="240" w:lineRule="auto"/>
        <w:jc w:val="center"/>
        <w:rPr>
          <w:rFonts w:ascii="Times New Roman" w:eastAsia="Times New Roman" w:hAnsi="Times New Roman" w:cs="Times New Roman"/>
          <w:b/>
          <w:sz w:val="24"/>
        </w:rPr>
      </w:pPr>
      <w:r w:rsidRPr="00C215BC">
        <w:rPr>
          <w:rFonts w:ascii="Times New Roman" w:eastAsia="Times New Roman" w:hAnsi="Times New Roman" w:cs="Times New Roman"/>
          <w:b/>
          <w:sz w:val="24"/>
        </w:rPr>
        <w:t>Consolidated Appropriations Act of 2010 (P.L. 111-117)</w:t>
      </w:r>
    </w:p>
    <w:p w:rsidR="00AC7D01" w:rsidRDefault="00AC7D01" w:rsidP="00AC7D01">
      <w:pPr>
        <w:rPr>
          <w:rFonts w:ascii="McCGoudyText" w:hAnsi="McCGoudyText" w:cs="McCGoudyText"/>
          <w:b/>
          <w:sz w:val="24"/>
          <w:szCs w:val="24"/>
        </w:rPr>
      </w:pPr>
      <w:r>
        <w:rPr>
          <w:rFonts w:ascii="McCGoudyText" w:hAnsi="McCGoudyText" w:cs="McCGoudyText"/>
          <w:b/>
          <w:sz w:val="24"/>
          <w:szCs w:val="24"/>
        </w:rPr>
        <w:br w:type="page"/>
      </w:r>
    </w:p>
    <w:p w:rsidR="00AC7D01" w:rsidRDefault="00AC7D01" w:rsidP="00AC7D01">
      <w:pPr>
        <w:autoSpaceDE w:val="0"/>
        <w:autoSpaceDN w:val="0"/>
        <w:adjustRightInd w:val="0"/>
        <w:spacing w:after="0" w:line="240" w:lineRule="auto"/>
        <w:jc w:val="center"/>
        <w:rPr>
          <w:rFonts w:ascii="McCGoudyText" w:hAnsi="McCGoudyText" w:cs="McCGoudyText"/>
          <w:sz w:val="48"/>
          <w:szCs w:val="48"/>
        </w:rPr>
      </w:pPr>
      <w:r>
        <w:rPr>
          <w:rFonts w:ascii="McCGoudyText" w:hAnsi="McCGoudyText" w:cs="McCGoudyText"/>
          <w:sz w:val="48"/>
          <w:szCs w:val="48"/>
        </w:rPr>
        <w:lastRenderedPageBreak/>
        <w:t>One Hundred Eleventh Congress</w:t>
      </w:r>
    </w:p>
    <w:p w:rsidR="00AC7D01" w:rsidRDefault="00AC7D01" w:rsidP="00AC7D01">
      <w:pPr>
        <w:autoSpaceDE w:val="0"/>
        <w:autoSpaceDN w:val="0"/>
        <w:adjustRightInd w:val="0"/>
        <w:spacing w:after="0" w:line="240" w:lineRule="auto"/>
        <w:jc w:val="center"/>
        <w:rPr>
          <w:rFonts w:ascii="McCGoudyText" w:hAnsi="McCGoudyText" w:cs="McCGoudyText"/>
          <w:sz w:val="48"/>
          <w:szCs w:val="48"/>
        </w:rPr>
      </w:pPr>
      <w:r>
        <w:rPr>
          <w:rFonts w:ascii="McCGoudyText" w:hAnsi="McCGoudyText" w:cs="McCGoudyText"/>
          <w:sz w:val="48"/>
          <w:szCs w:val="48"/>
        </w:rPr>
        <w:t>of the</w:t>
      </w:r>
    </w:p>
    <w:p w:rsidR="00AC7D01" w:rsidRDefault="00AC7D01" w:rsidP="00AC7D01">
      <w:pPr>
        <w:autoSpaceDE w:val="0"/>
        <w:autoSpaceDN w:val="0"/>
        <w:adjustRightInd w:val="0"/>
        <w:spacing w:after="0" w:line="240" w:lineRule="auto"/>
        <w:jc w:val="center"/>
        <w:rPr>
          <w:rFonts w:ascii="McCGoudyText" w:hAnsi="McCGoudyText" w:cs="McCGoudyText"/>
          <w:sz w:val="48"/>
          <w:szCs w:val="48"/>
        </w:rPr>
      </w:pPr>
      <w:r>
        <w:rPr>
          <w:rFonts w:ascii="McCGoudyText" w:hAnsi="McCGoudyText" w:cs="McCGoudyText"/>
          <w:sz w:val="48"/>
          <w:szCs w:val="48"/>
        </w:rPr>
        <w:t>United States of America</w:t>
      </w:r>
    </w:p>
    <w:p w:rsidR="00AC7D01" w:rsidRDefault="00AC7D01" w:rsidP="00AC7D01">
      <w:pPr>
        <w:autoSpaceDE w:val="0"/>
        <w:autoSpaceDN w:val="0"/>
        <w:adjustRightInd w:val="0"/>
        <w:spacing w:after="0" w:line="240" w:lineRule="auto"/>
        <w:jc w:val="center"/>
        <w:rPr>
          <w:rFonts w:ascii="McCGoudyText" w:hAnsi="McCGoudyText" w:cs="McCGoudyText"/>
          <w:sz w:val="48"/>
          <w:szCs w:val="48"/>
        </w:rPr>
      </w:pPr>
    </w:p>
    <w:p w:rsidR="00AC7D01" w:rsidRDefault="00AC7D01" w:rsidP="00AC7D01">
      <w:pPr>
        <w:autoSpaceDE w:val="0"/>
        <w:autoSpaceDN w:val="0"/>
        <w:adjustRightInd w:val="0"/>
        <w:spacing w:after="0" w:line="240" w:lineRule="auto"/>
        <w:jc w:val="center"/>
        <w:rPr>
          <w:rFonts w:ascii="McCGoudyText" w:hAnsi="McCGoudyText" w:cs="McCGoudyText"/>
          <w:sz w:val="48"/>
          <w:szCs w:val="48"/>
        </w:rPr>
      </w:pPr>
    </w:p>
    <w:p w:rsidR="00AC7D01" w:rsidRDefault="00AC7D01" w:rsidP="00AC7D01">
      <w:pPr>
        <w:autoSpaceDE w:val="0"/>
        <w:autoSpaceDN w:val="0"/>
        <w:adjustRightInd w:val="0"/>
        <w:spacing w:after="0" w:line="240" w:lineRule="auto"/>
        <w:jc w:val="center"/>
        <w:rPr>
          <w:rFonts w:ascii="NewCenturySchlbk-Bold" w:hAnsi="NewCenturySchlbk-Bold" w:cs="NewCenturySchlbk-Bold"/>
          <w:b/>
          <w:bCs/>
          <w:sz w:val="20"/>
          <w:szCs w:val="20"/>
        </w:rPr>
      </w:pPr>
      <w:r>
        <w:rPr>
          <w:rFonts w:ascii="NewCenturySchlbk-Bold" w:hAnsi="NewCenturySchlbk-Bold" w:cs="NewCenturySchlbk-Bold"/>
          <w:b/>
          <w:bCs/>
          <w:sz w:val="20"/>
          <w:szCs w:val="20"/>
        </w:rPr>
        <w:t>AT THE FIRST SESSION</w:t>
      </w:r>
    </w:p>
    <w:p w:rsidR="00AC7D01" w:rsidRDefault="00AC7D01" w:rsidP="00AC7D01">
      <w:pPr>
        <w:autoSpaceDE w:val="0"/>
        <w:autoSpaceDN w:val="0"/>
        <w:adjustRightInd w:val="0"/>
        <w:spacing w:after="0" w:line="240" w:lineRule="auto"/>
        <w:jc w:val="center"/>
        <w:rPr>
          <w:rFonts w:ascii="Bodoni-BoldItalic" w:hAnsi="Bodoni-BoldItalic" w:cs="Bodoni-BoldItalic"/>
          <w:b/>
          <w:bCs/>
          <w:i/>
          <w:iCs/>
          <w:sz w:val="20"/>
          <w:szCs w:val="20"/>
        </w:rPr>
      </w:pPr>
      <w:r>
        <w:rPr>
          <w:rFonts w:ascii="Bodoni-BoldItalic" w:hAnsi="Bodoni-BoldItalic" w:cs="Bodoni-BoldItalic"/>
          <w:b/>
          <w:bCs/>
          <w:i/>
          <w:iCs/>
          <w:sz w:val="20"/>
          <w:szCs w:val="20"/>
        </w:rPr>
        <w:t>Begun and held at the City of Washington on Tuesday,</w:t>
      </w:r>
    </w:p>
    <w:p w:rsidR="00AC7D01" w:rsidRDefault="00AC7D01" w:rsidP="00AC7D01">
      <w:pPr>
        <w:autoSpaceDE w:val="0"/>
        <w:autoSpaceDN w:val="0"/>
        <w:adjustRightInd w:val="0"/>
        <w:spacing w:after="0" w:line="240" w:lineRule="auto"/>
        <w:jc w:val="center"/>
        <w:rPr>
          <w:rFonts w:ascii="Bodoni-BoldItalic" w:hAnsi="Bodoni-BoldItalic" w:cs="Bodoni-BoldItalic"/>
          <w:b/>
          <w:bCs/>
          <w:i/>
          <w:iCs/>
          <w:sz w:val="20"/>
          <w:szCs w:val="20"/>
        </w:rPr>
      </w:pPr>
      <w:r>
        <w:rPr>
          <w:rFonts w:ascii="Bodoni-BoldItalic" w:hAnsi="Bodoni-BoldItalic" w:cs="Bodoni-BoldItalic"/>
          <w:b/>
          <w:bCs/>
          <w:i/>
          <w:iCs/>
          <w:sz w:val="20"/>
          <w:szCs w:val="20"/>
        </w:rPr>
        <w:t>the sixth day of January, two thousand and nine</w:t>
      </w:r>
    </w:p>
    <w:p w:rsidR="00AC7D01" w:rsidRDefault="00AC7D01" w:rsidP="00AC7D01">
      <w:pPr>
        <w:autoSpaceDE w:val="0"/>
        <w:autoSpaceDN w:val="0"/>
        <w:adjustRightInd w:val="0"/>
        <w:spacing w:after="0" w:line="240" w:lineRule="auto"/>
        <w:jc w:val="center"/>
        <w:rPr>
          <w:rFonts w:ascii="Bodoni-BoldItalic" w:hAnsi="Bodoni-BoldItalic" w:cs="Bodoni-BoldItalic"/>
          <w:b/>
          <w:bCs/>
          <w:i/>
          <w:iCs/>
          <w:sz w:val="20"/>
          <w:szCs w:val="20"/>
        </w:rPr>
      </w:pPr>
    </w:p>
    <w:p w:rsidR="00AC7D01" w:rsidRDefault="00AC7D01" w:rsidP="00AC7D01">
      <w:pPr>
        <w:autoSpaceDE w:val="0"/>
        <w:autoSpaceDN w:val="0"/>
        <w:adjustRightInd w:val="0"/>
        <w:spacing w:after="0" w:line="240" w:lineRule="auto"/>
        <w:jc w:val="center"/>
        <w:rPr>
          <w:rFonts w:ascii="Bodoni-BoldItalic" w:hAnsi="Bodoni-BoldItalic" w:cs="Bodoni-BoldItalic"/>
          <w:b/>
          <w:bCs/>
          <w:i/>
          <w:iCs/>
          <w:sz w:val="20"/>
          <w:szCs w:val="20"/>
        </w:rPr>
      </w:pPr>
    </w:p>
    <w:p w:rsidR="00AC7D01" w:rsidRPr="00F2093D" w:rsidRDefault="00AC7D01" w:rsidP="00AC7D01">
      <w:pPr>
        <w:autoSpaceDE w:val="0"/>
        <w:autoSpaceDN w:val="0"/>
        <w:adjustRightInd w:val="0"/>
        <w:spacing w:after="0" w:line="240" w:lineRule="auto"/>
        <w:rPr>
          <w:rFonts w:cs="McCGoudyText"/>
          <w:sz w:val="28"/>
          <w:szCs w:val="28"/>
        </w:rPr>
      </w:pPr>
      <w:r w:rsidRPr="00F2093D">
        <w:rPr>
          <w:rFonts w:cs="McCGoudyText"/>
          <w:sz w:val="28"/>
          <w:szCs w:val="28"/>
        </w:rPr>
        <w:t>An Act</w:t>
      </w:r>
      <w:r>
        <w:rPr>
          <w:rFonts w:cs="McCGoudyText"/>
          <w:sz w:val="28"/>
          <w:szCs w:val="28"/>
        </w:rPr>
        <w:t xml:space="preserve"> </w:t>
      </w:r>
    </w:p>
    <w:p w:rsidR="00AC7D01" w:rsidRPr="002B634B" w:rsidRDefault="00AC7D01" w:rsidP="00AC7D01">
      <w:pPr>
        <w:autoSpaceDE w:val="0"/>
        <w:autoSpaceDN w:val="0"/>
        <w:adjustRightInd w:val="0"/>
        <w:spacing w:after="0" w:line="240" w:lineRule="auto"/>
        <w:rPr>
          <w:rFonts w:ascii="NewCenturySchlbk-Roman" w:hAnsi="NewCenturySchlbk-Roman" w:cs="NewCenturySchlbk-Roman"/>
        </w:rPr>
      </w:pPr>
      <w:r w:rsidRPr="002B634B">
        <w:rPr>
          <w:rFonts w:ascii="NewCenturySchlbk-Roman" w:hAnsi="NewCenturySchlbk-Roman" w:cs="NewCenturySchlbk-Roman"/>
        </w:rPr>
        <w:t>Making appropriations for the Departments of Transportation, and Housing and Urban Development, and related agencies for the fiscal year ending September 30, 2010, and for other purposes.</w:t>
      </w:r>
    </w:p>
    <w:p w:rsidR="00AC7D01" w:rsidRDefault="00AC7D01" w:rsidP="00AC7D01">
      <w:pPr>
        <w:autoSpaceDE w:val="0"/>
        <w:autoSpaceDN w:val="0"/>
        <w:adjustRightInd w:val="0"/>
        <w:spacing w:after="0" w:line="240" w:lineRule="auto"/>
        <w:rPr>
          <w:rFonts w:ascii="NewCenturySchlbk-Roman" w:hAnsi="NewCenturySchlbk-Roman" w:cs="NewCenturySchlbk-Roman"/>
          <w:sz w:val="16"/>
          <w:szCs w:val="16"/>
        </w:rPr>
      </w:pPr>
    </w:p>
    <w:p w:rsidR="00AC7D01" w:rsidRDefault="00AC7D01" w:rsidP="00AC7D01">
      <w:pPr>
        <w:autoSpaceDE w:val="0"/>
        <w:autoSpaceDN w:val="0"/>
        <w:adjustRightInd w:val="0"/>
        <w:spacing w:after="0" w:line="240" w:lineRule="auto"/>
        <w:rPr>
          <w:rFonts w:ascii="NewCenturySchlbk-Italic" w:hAnsi="NewCenturySchlbk-Italic" w:cs="NewCenturySchlbk-Italic"/>
          <w:i/>
          <w:iCs/>
          <w:sz w:val="20"/>
          <w:szCs w:val="20"/>
        </w:rPr>
      </w:pPr>
      <w:r>
        <w:rPr>
          <w:rFonts w:ascii="NewCenturySchlbk-Italic" w:hAnsi="NewCenturySchlbk-Italic" w:cs="NewCenturySchlbk-Italic"/>
          <w:i/>
          <w:iCs/>
          <w:sz w:val="20"/>
          <w:szCs w:val="20"/>
        </w:rPr>
        <w:t>Be it enacted by the Senate and House of Representatives of the United States of America in Congress assembled,</w:t>
      </w:r>
    </w:p>
    <w:p w:rsidR="00AC7D01" w:rsidRDefault="00AC7D01" w:rsidP="00AC7D01">
      <w:pPr>
        <w:autoSpaceDE w:val="0"/>
        <w:autoSpaceDN w:val="0"/>
        <w:adjustRightInd w:val="0"/>
        <w:spacing w:after="0" w:line="240" w:lineRule="auto"/>
        <w:rPr>
          <w:rFonts w:ascii="NewCenturySchlbk-Bold" w:hAnsi="NewCenturySchlbk-Bold" w:cs="NewCenturySchlbk-Bold"/>
          <w:b/>
          <w:bCs/>
          <w:sz w:val="16"/>
          <w:szCs w:val="16"/>
        </w:rPr>
      </w:pPr>
    </w:p>
    <w:p w:rsidR="00AC7D01" w:rsidRDefault="00AC7D01" w:rsidP="00AC7D01">
      <w:pPr>
        <w:autoSpaceDE w:val="0"/>
        <w:autoSpaceDN w:val="0"/>
        <w:adjustRightInd w:val="0"/>
        <w:spacing w:after="0" w:line="240" w:lineRule="auto"/>
        <w:rPr>
          <w:rFonts w:ascii="NewCenturySchlbk-Bold" w:hAnsi="NewCenturySchlbk-Bold" w:cs="NewCenturySchlbk-Bold"/>
          <w:b/>
          <w:bCs/>
          <w:sz w:val="16"/>
          <w:szCs w:val="16"/>
        </w:rPr>
      </w:pPr>
      <w:r>
        <w:rPr>
          <w:rFonts w:ascii="NewCenturySchlbk-Bold" w:hAnsi="NewCenturySchlbk-Bold" w:cs="NewCenturySchlbk-Bold"/>
          <w:b/>
          <w:bCs/>
          <w:sz w:val="16"/>
          <w:szCs w:val="16"/>
        </w:rPr>
        <w:t>SECTION 1. SHORT TITLE.</w:t>
      </w:r>
    </w:p>
    <w:p w:rsidR="00AC7D01" w:rsidRDefault="00AC7D01" w:rsidP="00AC7D01">
      <w:pPr>
        <w:autoSpaceDE w:val="0"/>
        <w:autoSpaceDN w:val="0"/>
        <w:adjustRightInd w:val="0"/>
        <w:spacing w:after="0" w:line="240" w:lineRule="auto"/>
        <w:rPr>
          <w:rFonts w:ascii="NewCenturySchlbk-Roman" w:hAnsi="NewCenturySchlbk-Roman" w:cs="NewCenturySchlbk-Roman"/>
          <w:sz w:val="20"/>
          <w:szCs w:val="20"/>
        </w:rPr>
      </w:pPr>
      <w:r w:rsidRPr="002B634B">
        <w:rPr>
          <w:rFonts w:ascii="NewCenturySchlbk-Roman" w:hAnsi="NewCenturySchlbk-Roman" w:cs="NewCenturySchlbk-Roman"/>
        </w:rPr>
        <w:t>This Act may be cited as the ‘‘Consolidated Appropriations Act, 2010’’</w:t>
      </w:r>
      <w:r>
        <w:rPr>
          <w:rFonts w:ascii="NewCenturySchlbk-Roman" w:hAnsi="NewCenturySchlbk-Roman" w:cs="NewCenturySchlbk-Roman"/>
          <w:sz w:val="20"/>
          <w:szCs w:val="20"/>
        </w:rPr>
        <w:t>.</w:t>
      </w:r>
    </w:p>
    <w:p w:rsidR="00AC7D01" w:rsidRDefault="00AC7D01" w:rsidP="00AC7D01">
      <w:pPr>
        <w:autoSpaceDE w:val="0"/>
        <w:autoSpaceDN w:val="0"/>
        <w:adjustRightInd w:val="0"/>
        <w:spacing w:after="0" w:line="240" w:lineRule="auto"/>
        <w:rPr>
          <w:rFonts w:ascii="NewCenturySchlbk-Roman" w:hAnsi="NewCenturySchlbk-Roman" w:cs="NewCenturySchlbk-Roman"/>
        </w:rPr>
      </w:pPr>
    </w:p>
    <w:p w:rsidR="00AC7D01" w:rsidRPr="002B634B" w:rsidRDefault="00AC7D01" w:rsidP="00AC7D01">
      <w:pPr>
        <w:autoSpaceDE w:val="0"/>
        <w:autoSpaceDN w:val="0"/>
        <w:adjustRightInd w:val="0"/>
        <w:spacing w:after="0" w:line="240" w:lineRule="auto"/>
        <w:rPr>
          <w:rFonts w:ascii="NewCenturySchlbk-Roman" w:hAnsi="NewCenturySchlbk-Roman" w:cs="NewCenturySchlbk-Roman"/>
        </w:rPr>
      </w:pPr>
      <w:r w:rsidRPr="002B634B">
        <w:rPr>
          <w:rFonts w:ascii="NewCenturySchlbk-Roman" w:hAnsi="NewCenturySchlbk-Roman" w:cs="NewCenturySchlbk-Roman"/>
        </w:rPr>
        <w:t>OFFICE OF THE SECRETARY GENERAL DEPARTMENTAL MANAGEMENT (INCLUDING TRANSFER OF FUNDS)</w:t>
      </w:r>
    </w:p>
    <w:p w:rsidR="00AC7D01" w:rsidRPr="002B634B" w:rsidRDefault="00AC7D01" w:rsidP="00AC7D01">
      <w:pPr>
        <w:autoSpaceDE w:val="0"/>
        <w:autoSpaceDN w:val="0"/>
        <w:adjustRightInd w:val="0"/>
        <w:spacing w:after="0" w:line="240" w:lineRule="auto"/>
        <w:rPr>
          <w:rFonts w:ascii="NewCenturySchlbk-Roman" w:hAnsi="NewCenturySchlbk-Roman" w:cs="NewCenturySchlbk-Roman"/>
        </w:rPr>
      </w:pPr>
    </w:p>
    <w:p w:rsidR="00AC7D01" w:rsidRPr="002B634B" w:rsidRDefault="00AC7D01" w:rsidP="00AC7D01">
      <w:pPr>
        <w:autoSpaceDE w:val="0"/>
        <w:autoSpaceDN w:val="0"/>
        <w:adjustRightInd w:val="0"/>
        <w:spacing w:after="0" w:line="240" w:lineRule="auto"/>
      </w:pPr>
      <w:r w:rsidRPr="002B634B">
        <w:rPr>
          <w:rFonts w:ascii="NewCenturySchlbk-Roman" w:hAnsi="NewCenturySchlbk-Roman" w:cs="NewCenturySchlbk-Roman"/>
        </w:rPr>
        <w:t xml:space="preserve">For necessary expenses, not otherwise provided, for general departmental management, including hire of six sedans, and for carrying out titles III, IV, XVII, XX, and XXI of the Public Health Service Act (‘‘PHS Act’’), the United States-Mexico Border Health Commission Act, and research studies under section 1110 of the Social Security Act, $493,377,000, together with $5,851,000 to be transferred and expended as authorized by section 201(g)(1) of the Social Security Act from the Federal Hospital Insurance Trust Fund and the Federal Supplementary Medical Insurance Trust Fund, and $65,211,000 from the amounts available under section 241 of the PHS Act to carry out national health or human services H. R. 3288—220 research and evaluation activities: </w:t>
      </w:r>
      <w:r w:rsidRPr="002B634B">
        <w:rPr>
          <w:rFonts w:ascii="NewCenturySchlbk-Italic" w:hAnsi="NewCenturySchlbk-Italic" w:cs="NewCenturySchlbk-Italic"/>
          <w:i/>
          <w:iCs/>
        </w:rPr>
        <w:t>Provided</w:t>
      </w:r>
      <w:r w:rsidRPr="002B634B">
        <w:rPr>
          <w:rFonts w:ascii="NewCenturySchlbk-Roman" w:hAnsi="NewCenturySchlbk-Roman" w:cs="NewCenturySchlbk-Roman"/>
        </w:rPr>
        <w:t xml:space="preserve">, That of this amount, $53,891,000 shall be for minority AIDS prevention and treatment activities; $5,789,000 shall be to assist Afghanistan in the development of maternal and child health clinics, consistent with section 103(a)(4)(H) of the Afghanistan Freedom Support Act of 2002; and $1,000,000 shall be transferred, not later than 30 days after enactment of this Act, to the National Institute of Mental Health to administer the Interagency Autism Coordinating Committee: </w:t>
      </w:r>
      <w:r w:rsidRPr="002B634B">
        <w:rPr>
          <w:rFonts w:ascii="NewCenturySchlbk-Italic" w:hAnsi="NewCenturySchlbk-Italic" w:cs="NewCenturySchlbk-Italic"/>
          <w:i/>
          <w:iCs/>
        </w:rPr>
        <w:t>Provided further</w:t>
      </w:r>
      <w:r w:rsidRPr="002B634B">
        <w:rPr>
          <w:rFonts w:ascii="NewCenturySchlbk-Roman" w:hAnsi="NewCenturySchlbk-Roman" w:cs="NewCenturySchlbk-Roman"/>
        </w:rPr>
        <w:t xml:space="preserve">, That all of the funds made available under this heading for carrying out title XX of the PHS Act shall be for activities specified under section 2003(b)(1) of such title XX: </w:t>
      </w:r>
      <w:r w:rsidRPr="002B634B">
        <w:rPr>
          <w:rFonts w:ascii="NewCenturySchlbk-Italic" w:hAnsi="NewCenturySchlbk-Italic" w:cs="NewCenturySchlbk-Italic"/>
          <w:i/>
          <w:iCs/>
        </w:rPr>
        <w:t xml:space="preserve">Provided further, </w:t>
      </w:r>
      <w:r w:rsidRPr="002B634B">
        <w:rPr>
          <w:rFonts w:ascii="NewCenturySchlbk-Roman" w:hAnsi="NewCenturySchlbk-Roman" w:cs="NewCenturySchlbk-Roman"/>
        </w:rPr>
        <w:t>That of the funds made available under this heading, $110,000,000 shall be for making competitive contracts and grants</w:t>
      </w:r>
      <w:r>
        <w:rPr>
          <w:rFonts w:ascii="NewCenturySchlbk-Roman" w:hAnsi="NewCenturySchlbk-Roman" w:cs="NewCenturySchlbk-Roman"/>
        </w:rPr>
        <w:t xml:space="preserve"> </w:t>
      </w:r>
      <w:r w:rsidRPr="002B634B">
        <w:rPr>
          <w:rFonts w:ascii="NewCenturySchlbk-Roman" w:hAnsi="NewCenturySchlbk-Roman" w:cs="NewCenturySchlbk-Roman"/>
        </w:rPr>
        <w:t xml:space="preserve">to public and private entities to fund medically accurate and age appropriate programs that reduce teen pregnancy and for the Federal costs associated with administering and evaluating such contracts and grants, of which not less than $75,000,000 shall be for replicating programs that have been proven effective through rigorous evaluation to reduce teenage pregnancy, behavioral risk factors underlying </w:t>
      </w:r>
      <w:r w:rsidRPr="00336BF6">
        <w:rPr>
          <w:rFonts w:ascii="NewCenturySchlbk-Roman" w:hAnsi="NewCenturySchlbk-Roman" w:cs="NewCenturySchlbk-Roman"/>
        </w:rPr>
        <w:t>teenage pregnancy,</w:t>
      </w:r>
      <w:r w:rsidRPr="002B634B">
        <w:rPr>
          <w:rFonts w:ascii="NewCenturySchlbk-Roman" w:hAnsi="NewCenturySchlbk-Roman" w:cs="NewCenturySchlbk-Roman"/>
        </w:rPr>
        <w:t xml:space="preserve"> or other associated risk factors,</w:t>
      </w:r>
      <w:r>
        <w:rPr>
          <w:rFonts w:ascii="NewCenturySchlbk-Roman" w:hAnsi="NewCenturySchlbk-Roman" w:cs="NewCenturySchlbk-Roman"/>
        </w:rPr>
        <w:t xml:space="preserve"> </w:t>
      </w:r>
      <w:r w:rsidRPr="002B634B">
        <w:rPr>
          <w:rFonts w:ascii="NewCenturySchlbk-Roman" w:hAnsi="NewCenturySchlbk-Roman" w:cs="NewCenturySchlbk-Roman"/>
        </w:rPr>
        <w:t xml:space="preserve">of which not less than $25,000,000 shall be available for research and demonstration grants to develop, replicate, refine, and test additional models and innovative strategies for preventing teenage pregnancy, and of which any remaining amounts shall be available for training and technical assistance, evaluation, outreach, and additional program support activities: </w:t>
      </w:r>
      <w:r w:rsidRPr="002B634B">
        <w:rPr>
          <w:rFonts w:ascii="NewCenturySchlbk-Italic" w:hAnsi="NewCenturySchlbk-Italic" w:cs="NewCenturySchlbk-Italic"/>
          <w:i/>
          <w:iCs/>
        </w:rPr>
        <w:t>Provided further</w:t>
      </w:r>
      <w:r w:rsidRPr="002B634B">
        <w:rPr>
          <w:rFonts w:ascii="NewCenturySchlbk-Roman" w:hAnsi="NewCenturySchlbk-Roman" w:cs="NewCenturySchlbk-Roman"/>
        </w:rPr>
        <w:t xml:space="preserve">, That of the amounts provided under this heading </w:t>
      </w:r>
      <w:r w:rsidRPr="002B634B">
        <w:rPr>
          <w:rFonts w:ascii="NewCenturySchlbk-Roman" w:hAnsi="NewCenturySchlbk-Roman" w:cs="NewCenturySchlbk-Roman"/>
        </w:rPr>
        <w:lastRenderedPageBreak/>
        <w:t>from amounts</w:t>
      </w:r>
      <w:r>
        <w:rPr>
          <w:rFonts w:ascii="NewCenturySchlbk-Roman" w:hAnsi="NewCenturySchlbk-Roman" w:cs="NewCenturySchlbk-Roman"/>
        </w:rPr>
        <w:t xml:space="preserve"> </w:t>
      </w:r>
      <w:r w:rsidRPr="002B634B">
        <w:rPr>
          <w:rFonts w:ascii="NewCenturySchlbk-Roman" w:hAnsi="NewCenturySchlbk-Roman" w:cs="NewCenturySchlbk-Roman"/>
        </w:rPr>
        <w:t xml:space="preserve">available under section 241 of the PHS Act, $4,455,000 shall be available to carry out evaluations (including longitudinal evaluations) of teenage pregnancy prevention approaches: </w:t>
      </w:r>
      <w:r w:rsidRPr="002B634B">
        <w:rPr>
          <w:rFonts w:ascii="NewCenturySchlbk-Italic" w:hAnsi="NewCenturySchlbk-Italic" w:cs="NewCenturySchlbk-Italic"/>
          <w:i/>
          <w:iCs/>
        </w:rPr>
        <w:t>Provided further</w:t>
      </w:r>
      <w:r w:rsidRPr="002B634B">
        <w:rPr>
          <w:rFonts w:ascii="NewCenturySchlbk-Roman" w:hAnsi="NewCenturySchlbk-Roman" w:cs="NewCenturySchlbk-Roman"/>
        </w:rPr>
        <w:t xml:space="preserve">, That funds provided in this Act for embryo adoption activities may be used to provide, to individuals adopting embryos, through grants and other mechanisms, medical and administrative services deemed necessary for such adoptions: </w:t>
      </w:r>
      <w:r w:rsidRPr="002B634B">
        <w:rPr>
          <w:rFonts w:ascii="NewCenturySchlbk-Italic" w:hAnsi="NewCenturySchlbk-Italic" w:cs="NewCenturySchlbk-Italic"/>
          <w:i/>
          <w:iCs/>
        </w:rPr>
        <w:t>Provided further</w:t>
      </w:r>
      <w:r w:rsidRPr="002B634B">
        <w:rPr>
          <w:rFonts w:ascii="NewCenturySchlbk-Roman" w:hAnsi="NewCenturySchlbk-Roman" w:cs="NewCenturySchlbk-Roman"/>
        </w:rPr>
        <w:t xml:space="preserve">, That such services shall be provided consistent with 42 CFR 59.5(a)(4): </w:t>
      </w:r>
      <w:r w:rsidRPr="002B634B">
        <w:rPr>
          <w:rFonts w:ascii="NewCenturySchlbk-Italic" w:hAnsi="NewCenturySchlbk-Italic" w:cs="NewCenturySchlbk-Italic"/>
          <w:i/>
          <w:iCs/>
        </w:rPr>
        <w:t>Provided further</w:t>
      </w:r>
      <w:r w:rsidRPr="002B634B">
        <w:rPr>
          <w:rFonts w:ascii="NewCenturySchlbk-Roman" w:hAnsi="NewCenturySchlbk-Roman" w:cs="NewCenturySchlbk-Roman"/>
        </w:rPr>
        <w:t>, That $1,650,000 shall be used for the projects, and in the amounts, specified under the heading ‘‘General Departmental Management’’ in the statement of the managers on the conference report accompanying this Act.</w:t>
      </w:r>
    </w:p>
    <w:p w:rsidR="006911E2" w:rsidRDefault="006911E2"/>
    <w:sectPr w:rsidR="006911E2" w:rsidSect="00CE52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44" w:rsidRDefault="00870E44" w:rsidP="00870E44">
      <w:pPr>
        <w:spacing w:after="0" w:line="240" w:lineRule="auto"/>
      </w:pPr>
      <w:r>
        <w:separator/>
      </w:r>
    </w:p>
  </w:endnote>
  <w:endnote w:type="continuationSeparator" w:id="0">
    <w:p w:rsidR="00870E44" w:rsidRDefault="00870E44" w:rsidP="0087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cCGoudyText">
    <w:panose1 w:val="00000000000000000000"/>
    <w:charset w:val="00"/>
    <w:family w:val="swiss"/>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Bodoni-BoldItalic">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44" w:rsidRDefault="00870E44" w:rsidP="001E1302">
    <w:pPr>
      <w:pStyle w:val="Footer"/>
      <w:pBdr>
        <w:top w:val="thinThickSmallGap" w:sz="24" w:space="1" w:color="622423" w:themeColor="accent2" w:themeShade="7F"/>
      </w:pBdr>
      <w:jc w:val="right"/>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1E1302" w:rsidRPr="001E130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0E44" w:rsidRDefault="00870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44" w:rsidRDefault="00870E44" w:rsidP="00870E44">
      <w:pPr>
        <w:spacing w:after="0" w:line="240" w:lineRule="auto"/>
      </w:pPr>
      <w:r>
        <w:separator/>
      </w:r>
    </w:p>
  </w:footnote>
  <w:footnote w:type="continuationSeparator" w:id="0">
    <w:p w:rsidR="00870E44" w:rsidRDefault="00870E44" w:rsidP="00870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01"/>
    <w:rsid w:val="001B11F7"/>
    <w:rsid w:val="001E1302"/>
    <w:rsid w:val="003632E0"/>
    <w:rsid w:val="006911E2"/>
    <w:rsid w:val="008630FD"/>
    <w:rsid w:val="00870E44"/>
    <w:rsid w:val="009402D1"/>
    <w:rsid w:val="00AC7D01"/>
    <w:rsid w:val="00B8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2291"/>
    <w:rPr>
      <w:sz w:val="16"/>
      <w:szCs w:val="16"/>
    </w:rPr>
  </w:style>
  <w:style w:type="paragraph" w:styleId="CommentText">
    <w:name w:val="annotation text"/>
    <w:basedOn w:val="Normal"/>
    <w:link w:val="CommentTextChar"/>
    <w:uiPriority w:val="99"/>
    <w:semiHidden/>
    <w:unhideWhenUsed/>
    <w:rsid w:val="00B82291"/>
    <w:pPr>
      <w:spacing w:line="240" w:lineRule="auto"/>
    </w:pPr>
    <w:rPr>
      <w:sz w:val="20"/>
      <w:szCs w:val="20"/>
    </w:rPr>
  </w:style>
  <w:style w:type="character" w:customStyle="1" w:styleId="CommentTextChar">
    <w:name w:val="Comment Text Char"/>
    <w:basedOn w:val="DefaultParagraphFont"/>
    <w:link w:val="CommentText"/>
    <w:uiPriority w:val="99"/>
    <w:semiHidden/>
    <w:rsid w:val="00B82291"/>
    <w:rPr>
      <w:sz w:val="20"/>
      <w:szCs w:val="20"/>
    </w:rPr>
  </w:style>
  <w:style w:type="paragraph" w:styleId="CommentSubject">
    <w:name w:val="annotation subject"/>
    <w:basedOn w:val="CommentText"/>
    <w:next w:val="CommentText"/>
    <w:link w:val="CommentSubjectChar"/>
    <w:uiPriority w:val="99"/>
    <w:semiHidden/>
    <w:unhideWhenUsed/>
    <w:rsid w:val="00B82291"/>
    <w:rPr>
      <w:b/>
      <w:bCs/>
    </w:rPr>
  </w:style>
  <w:style w:type="character" w:customStyle="1" w:styleId="CommentSubjectChar">
    <w:name w:val="Comment Subject Char"/>
    <w:basedOn w:val="CommentTextChar"/>
    <w:link w:val="CommentSubject"/>
    <w:uiPriority w:val="99"/>
    <w:semiHidden/>
    <w:rsid w:val="00B82291"/>
    <w:rPr>
      <w:b/>
      <w:bCs/>
      <w:sz w:val="20"/>
      <w:szCs w:val="20"/>
    </w:rPr>
  </w:style>
  <w:style w:type="paragraph" w:styleId="BalloonText">
    <w:name w:val="Balloon Text"/>
    <w:basedOn w:val="Normal"/>
    <w:link w:val="BalloonTextChar"/>
    <w:uiPriority w:val="99"/>
    <w:semiHidden/>
    <w:unhideWhenUsed/>
    <w:rsid w:val="00B8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91"/>
    <w:rPr>
      <w:rFonts w:ascii="Tahoma" w:hAnsi="Tahoma" w:cs="Tahoma"/>
      <w:sz w:val="16"/>
      <w:szCs w:val="16"/>
    </w:rPr>
  </w:style>
  <w:style w:type="paragraph" w:styleId="Header">
    <w:name w:val="header"/>
    <w:basedOn w:val="Normal"/>
    <w:link w:val="HeaderChar"/>
    <w:uiPriority w:val="99"/>
    <w:unhideWhenUsed/>
    <w:rsid w:val="00870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44"/>
  </w:style>
  <w:style w:type="paragraph" w:styleId="Footer">
    <w:name w:val="footer"/>
    <w:basedOn w:val="Normal"/>
    <w:link w:val="FooterChar"/>
    <w:uiPriority w:val="99"/>
    <w:unhideWhenUsed/>
    <w:rsid w:val="00870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2291"/>
    <w:rPr>
      <w:sz w:val="16"/>
      <w:szCs w:val="16"/>
    </w:rPr>
  </w:style>
  <w:style w:type="paragraph" w:styleId="CommentText">
    <w:name w:val="annotation text"/>
    <w:basedOn w:val="Normal"/>
    <w:link w:val="CommentTextChar"/>
    <w:uiPriority w:val="99"/>
    <w:semiHidden/>
    <w:unhideWhenUsed/>
    <w:rsid w:val="00B82291"/>
    <w:pPr>
      <w:spacing w:line="240" w:lineRule="auto"/>
    </w:pPr>
    <w:rPr>
      <w:sz w:val="20"/>
      <w:szCs w:val="20"/>
    </w:rPr>
  </w:style>
  <w:style w:type="character" w:customStyle="1" w:styleId="CommentTextChar">
    <w:name w:val="Comment Text Char"/>
    <w:basedOn w:val="DefaultParagraphFont"/>
    <w:link w:val="CommentText"/>
    <w:uiPriority w:val="99"/>
    <w:semiHidden/>
    <w:rsid w:val="00B82291"/>
    <w:rPr>
      <w:sz w:val="20"/>
      <w:szCs w:val="20"/>
    </w:rPr>
  </w:style>
  <w:style w:type="paragraph" w:styleId="CommentSubject">
    <w:name w:val="annotation subject"/>
    <w:basedOn w:val="CommentText"/>
    <w:next w:val="CommentText"/>
    <w:link w:val="CommentSubjectChar"/>
    <w:uiPriority w:val="99"/>
    <w:semiHidden/>
    <w:unhideWhenUsed/>
    <w:rsid w:val="00B82291"/>
    <w:rPr>
      <w:b/>
      <w:bCs/>
    </w:rPr>
  </w:style>
  <w:style w:type="character" w:customStyle="1" w:styleId="CommentSubjectChar">
    <w:name w:val="Comment Subject Char"/>
    <w:basedOn w:val="CommentTextChar"/>
    <w:link w:val="CommentSubject"/>
    <w:uiPriority w:val="99"/>
    <w:semiHidden/>
    <w:rsid w:val="00B82291"/>
    <w:rPr>
      <w:b/>
      <w:bCs/>
      <w:sz w:val="20"/>
      <w:szCs w:val="20"/>
    </w:rPr>
  </w:style>
  <w:style w:type="paragraph" w:styleId="BalloonText">
    <w:name w:val="Balloon Text"/>
    <w:basedOn w:val="Normal"/>
    <w:link w:val="BalloonTextChar"/>
    <w:uiPriority w:val="99"/>
    <w:semiHidden/>
    <w:unhideWhenUsed/>
    <w:rsid w:val="00B82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91"/>
    <w:rPr>
      <w:rFonts w:ascii="Tahoma" w:hAnsi="Tahoma" w:cs="Tahoma"/>
      <w:sz w:val="16"/>
      <w:szCs w:val="16"/>
    </w:rPr>
  </w:style>
  <w:style w:type="paragraph" w:styleId="Header">
    <w:name w:val="header"/>
    <w:basedOn w:val="Normal"/>
    <w:link w:val="HeaderChar"/>
    <w:uiPriority w:val="99"/>
    <w:unhideWhenUsed/>
    <w:rsid w:val="00870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44"/>
  </w:style>
  <w:style w:type="paragraph" w:styleId="Footer">
    <w:name w:val="footer"/>
    <w:basedOn w:val="Normal"/>
    <w:link w:val="FooterChar"/>
    <w:uiPriority w:val="99"/>
    <w:unhideWhenUsed/>
    <w:rsid w:val="00870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cqp9</dc:creator>
  <cp:keywords/>
  <dc:description/>
  <cp:lastModifiedBy>Tyler, Crystal P. (CDC/ONDIEH/NCCDPHP)</cp:lastModifiedBy>
  <cp:revision>3</cp:revision>
  <dcterms:created xsi:type="dcterms:W3CDTF">2012-04-20T19:24:00Z</dcterms:created>
  <dcterms:modified xsi:type="dcterms:W3CDTF">2012-07-25T15:09:00Z</dcterms:modified>
</cp:coreProperties>
</file>