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85" w:rsidRPr="00B235CF" w:rsidRDefault="00AF7585" w:rsidP="00B235CF">
      <w:pPr>
        <w:rPr>
          <w:b/>
          <w:bCs/>
        </w:rPr>
      </w:pPr>
      <w:r w:rsidRPr="00B235CF">
        <w:rPr>
          <w:b/>
          <w:bCs/>
        </w:rPr>
        <w:t>SUPPORTING STATEMENT</w:t>
      </w:r>
      <w:r w:rsidR="00787478">
        <w:rPr>
          <w:b/>
          <w:bCs/>
        </w:rPr>
        <w:t xml:space="preserve"> </w:t>
      </w:r>
    </w:p>
    <w:p w:rsidR="00AF7585" w:rsidRDefault="00AF7585" w:rsidP="00B235CF">
      <w:pPr>
        <w:rPr>
          <w:b/>
          <w:bCs/>
        </w:rPr>
      </w:pPr>
      <w:r>
        <w:rPr>
          <w:b/>
          <w:bCs/>
        </w:rPr>
        <w:t xml:space="preserve">2012 </w:t>
      </w:r>
      <w:r w:rsidR="00382D35" w:rsidRPr="00382D35">
        <w:rPr>
          <w:b/>
          <w:bCs/>
        </w:rPr>
        <w:t>Law Enforcement Management and Administrative Statistics</w:t>
      </w:r>
      <w:r w:rsidR="00382D35">
        <w:rPr>
          <w:b/>
          <w:bCs/>
        </w:rPr>
        <w:t xml:space="preserve"> (LEMAS) Survey</w:t>
      </w:r>
    </w:p>
    <w:p w:rsidR="00323365" w:rsidRDefault="00323365" w:rsidP="00AF7585">
      <w:pPr>
        <w:rPr>
          <w:b/>
          <w:bCs/>
        </w:rPr>
      </w:pPr>
    </w:p>
    <w:p w:rsidR="00323365" w:rsidRDefault="00323365" w:rsidP="00AF7585">
      <w:pPr>
        <w:rPr>
          <w:b/>
          <w:bCs/>
        </w:rPr>
      </w:pPr>
      <w:r>
        <w:rPr>
          <w:b/>
          <w:bCs/>
        </w:rPr>
        <w:t>Overview</w:t>
      </w:r>
    </w:p>
    <w:p w:rsidR="00AF7585" w:rsidRDefault="00AF7585" w:rsidP="00AF7585"/>
    <w:p w:rsidR="00AF7585" w:rsidRDefault="00AF7585" w:rsidP="00AF7585">
      <w:r>
        <w:t xml:space="preserve">The Bureau of Justice Statistics (BJS) proposes to implement the 2012 </w:t>
      </w:r>
      <w:r w:rsidR="00382D35">
        <w:t>Law Enforcement Management and Administrative Statistics</w:t>
      </w:r>
      <w:r>
        <w:t xml:space="preserve"> (</w:t>
      </w:r>
      <w:r w:rsidR="00382D35">
        <w:t>LEMAS</w:t>
      </w:r>
      <w:r>
        <w:t>)</w:t>
      </w:r>
      <w:r w:rsidR="00382D35">
        <w:t xml:space="preserve"> Survey</w:t>
      </w:r>
      <w:r>
        <w:t>.</w:t>
      </w:r>
      <w:r w:rsidR="00B235CF">
        <w:rPr>
          <w:rStyle w:val="FootnoteReference"/>
        </w:rPr>
        <w:footnoteReference w:id="1"/>
      </w:r>
      <w:r>
        <w:t xml:space="preserve">  The proposed survey is a substantively revised and enhanced effort designed to build upon and improve the contributions of the previous eight waves of the LEMAS surveys.</w:t>
      </w:r>
      <w:r>
        <w:rPr>
          <w:rStyle w:val="FootnoteReference"/>
        </w:rPr>
        <w:t>.</w:t>
      </w:r>
      <w:r>
        <w:t xml:space="preserve"> </w:t>
      </w:r>
      <w:r w:rsidRPr="00243487">
        <w:t xml:space="preserve">Like </w:t>
      </w:r>
      <w:r w:rsidR="00382D35">
        <w:t>previous</w:t>
      </w:r>
      <w:r w:rsidRPr="00243487">
        <w:t xml:space="preserve"> LEMAS surveys, the proposed 2012 survey is a nationally-representative sample of approximately 3,500 state and local general purpose law enforcement agencies in the United States</w:t>
      </w:r>
      <w:r>
        <w:t xml:space="preserve">; unlike previous LEMAS surveys, the design of the proposed </w:t>
      </w:r>
      <w:r w:rsidR="00382D35">
        <w:t xml:space="preserve">survey </w:t>
      </w:r>
      <w:r>
        <w:t>will introduce a new core-and-supplement model.</w:t>
      </w:r>
      <w:r w:rsidR="00323365">
        <w:t xml:space="preserve">  This request is for data collection that will occur during the period October 1, 2012 through June 30</w:t>
      </w:r>
      <w:r w:rsidR="00A71107">
        <w:t>,</w:t>
      </w:r>
      <w:r w:rsidR="00323365">
        <w:t xml:space="preserve"> 2013.</w:t>
      </w:r>
    </w:p>
    <w:p w:rsidR="00AF7585" w:rsidRDefault="00AF7585" w:rsidP="00AF7585"/>
    <w:p w:rsidR="00AF7585" w:rsidRDefault="00AF7585" w:rsidP="00AF7585">
      <w:r>
        <w:t>This statistical series generates national estimates about the</w:t>
      </w:r>
      <w:r w:rsidR="00503321">
        <w:t xml:space="preserve"> characteristics</w:t>
      </w:r>
      <w:r w:rsidR="0040077B">
        <w:t xml:space="preserve"> </w:t>
      </w:r>
      <w:r>
        <w:t>of the 12,500 state and local general purpose law enforcement agencies; the functions they perform; the resources available to them; the number, types, and working conditions of their employees; the automation of agency functions and their information systems; the extent to which weapons are authorized and used; the formal policies that guide and restrict the behavior of</w:t>
      </w:r>
      <w:r w:rsidR="00754E5A">
        <w:t xml:space="preserve"> sworn personnel</w:t>
      </w:r>
      <w:r w:rsidR="00503321">
        <w:t>;</w:t>
      </w:r>
      <w:r w:rsidR="0040077B">
        <w:t xml:space="preserve"> </w:t>
      </w:r>
      <w:r>
        <w:t xml:space="preserve">and the organizational responses utilized by these agencies to address contemporary law enforcement challenges.  </w:t>
      </w:r>
      <w:r w:rsidR="00323365">
        <w:t xml:space="preserve"> </w:t>
      </w:r>
    </w:p>
    <w:p w:rsidR="00AF7585" w:rsidRDefault="00AF7585" w:rsidP="00AF7585"/>
    <w:p w:rsidR="00AF7585" w:rsidRPr="005D71C6" w:rsidRDefault="00AF7585" w:rsidP="00AF7585">
      <w:r w:rsidRPr="005D71C6">
        <w:t xml:space="preserve">Experience with Surveying General Purpose </w:t>
      </w:r>
      <w:r w:rsidR="00236A09">
        <w:t xml:space="preserve">Law Enforcement </w:t>
      </w:r>
      <w:r w:rsidRPr="005D71C6">
        <w:t>Agencies, 1987 - 2007</w:t>
      </w:r>
    </w:p>
    <w:p w:rsidR="00AF7585" w:rsidRDefault="00AF7585" w:rsidP="00AF7585"/>
    <w:p w:rsidR="004835E3" w:rsidRDefault="00382D35" w:rsidP="004835E3">
      <w:r>
        <w:t>LEMAS</w:t>
      </w:r>
      <w:r w:rsidR="004835E3">
        <w:t xml:space="preserve"> is part of a program of law enforcement statistics that has traditionally emphasized surveys of organizations.  The core of the program is the one-page Census of State and Local Law Enforcement Agencies </w:t>
      </w:r>
      <w:r w:rsidR="00E074E2">
        <w:t>(</w:t>
      </w:r>
      <w:r w:rsidR="00E074E2" w:rsidRPr="00FC412D">
        <w:t xml:space="preserve">OMB 1121-0240) </w:t>
      </w:r>
      <w:r w:rsidR="004835E3">
        <w:t xml:space="preserve">conducted every four years since 1992.  This census documents the number of agencies and the numbers of sworn personnel in those agencies.  The census also provides the basis for distinguishing among various types of agencies by asking the types of functions performed by the agencies (e.g., law enforcement, investigative, court security, jail management, and process serving).  In addition to the general purpose agencies surveyed </w:t>
      </w:r>
      <w:r>
        <w:t>by LEMAS</w:t>
      </w:r>
      <w:r w:rsidR="004835E3">
        <w:t>, the Census identifies a variety of special purpose agencies.  The single largest type of special purpose law enforcement agencies are campus police which BJS surveyed in 1995 and 2005.  The 2012 Survey of Campus Law Enforcement Agencies</w:t>
      </w:r>
      <w:r w:rsidR="00E074E2" w:rsidRPr="00E074E2">
        <w:rPr>
          <w:rFonts w:ascii="Arial" w:hAnsi="Arial" w:cs="Arial"/>
          <w:sz w:val="20"/>
          <w:szCs w:val="20"/>
        </w:rPr>
        <w:t xml:space="preserve"> </w:t>
      </w:r>
      <w:r w:rsidR="00E074E2">
        <w:rPr>
          <w:rFonts w:ascii="Arial" w:hAnsi="Arial" w:cs="Arial"/>
          <w:sz w:val="20"/>
          <w:szCs w:val="20"/>
        </w:rPr>
        <w:t>(</w:t>
      </w:r>
      <w:r w:rsidR="00E074E2" w:rsidRPr="00FC412D">
        <w:t>OMB 1121-0334)</w:t>
      </w:r>
      <w:r w:rsidR="004835E3">
        <w:t xml:space="preserve"> is currently in the field</w:t>
      </w:r>
      <w:r w:rsidR="004835E3">
        <w:rPr>
          <w:rStyle w:val="FootnoteReference"/>
        </w:rPr>
        <w:footnoteReference w:id="2"/>
      </w:r>
      <w:r w:rsidR="004835E3">
        <w:t xml:space="preserve">.  </w:t>
      </w:r>
    </w:p>
    <w:p w:rsidR="004835E3" w:rsidRDefault="004835E3" w:rsidP="004835E3"/>
    <w:p w:rsidR="004835E3" w:rsidRDefault="004835E3" w:rsidP="004835E3">
      <w:r>
        <w:t>BJS also collects data from law enforcement organizations and from medical examiners and coroners about deaths that occur during the process of arrest.  Since 2003 BJS reports the number of homicides, suicides, accidental deaths and deaths due to intoxication or medical conditions by year, state, type of agency and type of death</w:t>
      </w:r>
      <w:r w:rsidR="00D41A9C">
        <w:t xml:space="preserve"> as part of the Deaths in Custody Reporting Program (OMB </w:t>
      </w:r>
      <w:r w:rsidR="00D41A9C" w:rsidRPr="00FC412D">
        <w:t>1121-0249</w:t>
      </w:r>
      <w:r w:rsidR="00D41A9C">
        <w:t>)</w:t>
      </w:r>
      <w:r>
        <w:t xml:space="preserve">.  </w:t>
      </w:r>
    </w:p>
    <w:p w:rsidR="004835E3" w:rsidRDefault="004835E3" w:rsidP="004835E3"/>
    <w:p w:rsidR="00AF7585" w:rsidRDefault="00AF7585" w:rsidP="00AF7585">
      <w:r>
        <w:t xml:space="preserve">Since 1987, BJS has successfully implemented eight waves of LEMAS surveys.  These surveys captured information about the changing aspects of law enforcement organization, resources, functions, personnel, </w:t>
      </w:r>
      <w:r w:rsidR="004835E3">
        <w:t xml:space="preserve">salaries, </w:t>
      </w:r>
      <w:r>
        <w:t xml:space="preserve">training, collective bargaining, information systems, policies, and use of technology.  Certain topics have been covered in each wave; other topics have been dropped due to lack of interest or the difficulty in obtaining reliable answers.   </w:t>
      </w:r>
    </w:p>
    <w:p w:rsidR="00AF7585" w:rsidRDefault="00AF7585" w:rsidP="00AF7585"/>
    <w:p w:rsidR="00AF7585" w:rsidRDefault="00AF7585" w:rsidP="00AF7585">
      <w:r>
        <w:t xml:space="preserve">A recent review of BJS programs by the National Research Council (NRC) recognized the crucial place of the LEMAS surveys in the BJS statistical programs but criticized this program for its limited </w:t>
      </w:r>
      <w:r w:rsidRPr="006B2D15">
        <w:t>focus on administrative and managerial characteristics of law enforcement agencies</w:t>
      </w:r>
      <w:r>
        <w:t xml:space="preserve"> (Groves and Cork, 2009).  The NRC report recommended several changes to this program.  First, the academy recommended that BJS law enforcement surveys should collect more information about law enforcement agency behavior and performance.  Second, BJS should enhance the use of agency identifiers to encourage the linkage of agency-specific organizational characteristics with agency specific-crime statistics and with the demographic characteristics of the jurisdictions served by each agency. Third, noting the lengthy instrument and the irregular schedule of past LEMAS surveys, the NRC recommended that BJS adopt a “core and supplement” design for a regularly scheduled program of agency surveys.  The NRC suggested the consistent use of a limited number of core items that would be integrated with thematic supplements which would vary from wave to wave.  </w:t>
      </w:r>
      <w:r w:rsidR="00503321">
        <w:t xml:space="preserve">Each of these recommended changes have been incorporated into the proposed </w:t>
      </w:r>
      <w:r w:rsidR="00382D35">
        <w:t>2012 LEMAS Survey</w:t>
      </w:r>
      <w:r w:rsidR="00503321">
        <w:t>.</w:t>
      </w:r>
    </w:p>
    <w:p w:rsidR="00AF7585" w:rsidRDefault="00AF7585" w:rsidP="00AF7585"/>
    <w:p w:rsidR="00AF7585" w:rsidRDefault="00F24C1B" w:rsidP="00AF7585">
      <w:r>
        <w:t xml:space="preserve">During a meeting of LEMAS stakeholders </w:t>
      </w:r>
      <w:r w:rsidR="000815A9">
        <w:t xml:space="preserve">held </w:t>
      </w:r>
      <w:r>
        <w:t xml:space="preserve">in December 2011 (see </w:t>
      </w:r>
      <w:r w:rsidR="00057B82">
        <w:t>S</w:t>
      </w:r>
      <w:r>
        <w:t xml:space="preserve">ection A Part 8), attendees </w:t>
      </w:r>
      <w:r w:rsidR="00E01611">
        <w:t>identified</w:t>
      </w:r>
      <w:r>
        <w:t xml:space="preserve"> two technical aspects </w:t>
      </w:r>
      <w:r w:rsidR="00E01611">
        <w:t xml:space="preserve">that </w:t>
      </w:r>
      <w:r>
        <w:t xml:space="preserve">plagued prior waves of LEMAS.  In prior </w:t>
      </w:r>
      <w:r w:rsidR="00E01611">
        <w:t xml:space="preserve">waves of </w:t>
      </w:r>
      <w:r>
        <w:t xml:space="preserve">LEMAS, </w:t>
      </w:r>
      <w:r w:rsidR="00AF7585">
        <w:t xml:space="preserve">many response options were a single checked box, which engendered confusion between missing data and a “no” response. </w:t>
      </w:r>
      <w:r w:rsidR="001452C7">
        <w:t xml:space="preserve">Therefore, </w:t>
      </w:r>
      <w:r w:rsidR="00625115">
        <w:t xml:space="preserve">BJS included explicit </w:t>
      </w:r>
      <w:r>
        <w:t xml:space="preserve">“yes,” </w:t>
      </w:r>
      <w:r w:rsidR="001452C7">
        <w:t>“no</w:t>
      </w:r>
      <w:r>
        <w:t>,</w:t>
      </w:r>
      <w:r w:rsidR="001452C7">
        <w:t>” and “N/A” categories where appropriate</w:t>
      </w:r>
      <w:r w:rsidR="008E2B2D">
        <w:t xml:space="preserve"> to help eliminate </w:t>
      </w:r>
      <w:r w:rsidR="000572E6">
        <w:t xml:space="preserve">such </w:t>
      </w:r>
      <w:r w:rsidR="008E2B2D">
        <w:t>confusion</w:t>
      </w:r>
      <w:r w:rsidR="00625115" w:rsidRPr="00625115">
        <w:t xml:space="preserve"> </w:t>
      </w:r>
      <w:r w:rsidR="00625115">
        <w:t>in the 2012 LEMAS</w:t>
      </w:r>
      <w:r w:rsidR="001452C7">
        <w:t xml:space="preserve">. </w:t>
      </w:r>
      <w:r w:rsidR="00AF7585">
        <w:t>The second concern was that many topics</w:t>
      </w:r>
      <w:r w:rsidR="000572E6">
        <w:t>, especially policy related topics,</w:t>
      </w:r>
      <w:r w:rsidR="00AF7585">
        <w:t xml:space="preserve"> were addressed with a single survey item</w:t>
      </w:r>
      <w:r w:rsidR="000572E6">
        <w:t xml:space="preserve">; this </w:t>
      </w:r>
      <w:r w:rsidR="00AF7585">
        <w:t xml:space="preserve">raised questions about the reliability of </w:t>
      </w:r>
      <w:r w:rsidR="002847DD">
        <w:t xml:space="preserve">such </w:t>
      </w:r>
      <w:r w:rsidR="00AF7585">
        <w:t>survey responses.</w:t>
      </w:r>
      <w:r w:rsidR="00B76F8D">
        <w:t xml:space="preserve"> For example, </w:t>
      </w:r>
      <w:r w:rsidR="00625115">
        <w:t>several</w:t>
      </w:r>
      <w:r w:rsidR="00E01611">
        <w:t xml:space="preserve"> policy </w:t>
      </w:r>
      <w:r w:rsidR="001452C7">
        <w:t xml:space="preserve">questions </w:t>
      </w:r>
      <w:r>
        <w:t xml:space="preserve">on prior LEMAS surveys </w:t>
      </w:r>
      <w:r w:rsidR="001452C7">
        <w:t xml:space="preserve">asked </w:t>
      </w:r>
      <w:r w:rsidR="002847DD">
        <w:t xml:space="preserve">only </w:t>
      </w:r>
      <w:r w:rsidR="001452C7">
        <w:t xml:space="preserve">whether an agency </w:t>
      </w:r>
      <w:r w:rsidR="001452C7" w:rsidRPr="00151957">
        <w:rPr>
          <w:i/>
        </w:rPr>
        <w:t>had</w:t>
      </w:r>
      <w:r w:rsidR="001452C7">
        <w:t xml:space="preserve"> a </w:t>
      </w:r>
      <w:r w:rsidR="00B76F8D">
        <w:t xml:space="preserve">written policy </w:t>
      </w:r>
      <w:r w:rsidR="00E01611">
        <w:t xml:space="preserve">on a particular topic </w:t>
      </w:r>
      <w:r w:rsidR="001452C7">
        <w:t xml:space="preserve">(e.g., </w:t>
      </w:r>
      <w:r w:rsidR="00E01611">
        <w:t>deadly force</w:t>
      </w:r>
      <w:r w:rsidR="001452C7">
        <w:t>)</w:t>
      </w:r>
      <w:r w:rsidR="00E01611">
        <w:t>.</w:t>
      </w:r>
      <w:r w:rsidR="001452C7">
        <w:t xml:space="preserve"> Stakeholders suggested that asking for </w:t>
      </w:r>
      <w:r w:rsidR="00B76F8D">
        <w:t xml:space="preserve">additional </w:t>
      </w:r>
      <w:r w:rsidR="001452C7">
        <w:t xml:space="preserve">information about </w:t>
      </w:r>
      <w:r w:rsidR="00E01611">
        <w:t xml:space="preserve">specific </w:t>
      </w:r>
      <w:r w:rsidR="001452C7">
        <w:t>polic</w:t>
      </w:r>
      <w:r w:rsidR="00E01611">
        <w:t>es</w:t>
      </w:r>
      <w:r w:rsidR="001452C7">
        <w:t xml:space="preserve"> would likely improve item reliability</w:t>
      </w:r>
      <w:r w:rsidR="00E01611">
        <w:t xml:space="preserve"> for </w:t>
      </w:r>
      <w:r w:rsidR="000572E6">
        <w:t>the upcoming</w:t>
      </w:r>
      <w:r w:rsidR="00E01611">
        <w:t xml:space="preserve"> 2012 LEMAS</w:t>
      </w:r>
      <w:r w:rsidR="00B76F8D">
        <w:t>.</w:t>
      </w:r>
      <w:r w:rsidR="001452C7">
        <w:t xml:space="preserve"> For example, question G6 </w:t>
      </w:r>
      <w:r w:rsidR="000572E6">
        <w:t xml:space="preserve">–departmental </w:t>
      </w:r>
      <w:r w:rsidR="001452C7">
        <w:t>foot pursuit policy</w:t>
      </w:r>
      <w:r w:rsidR="000572E6">
        <w:t xml:space="preserve">—was </w:t>
      </w:r>
      <w:r w:rsidR="001452C7">
        <w:t xml:space="preserve">expanded from asking whether a department had a foot pursuit policy to asking if the policy included </w:t>
      </w:r>
      <w:r w:rsidR="006477A2">
        <w:t xml:space="preserve">certain </w:t>
      </w:r>
      <w:r w:rsidR="001452C7">
        <w:t xml:space="preserve">specific </w:t>
      </w:r>
      <w:r w:rsidR="00E01611">
        <w:t>elements (e.g., containment tactics)</w:t>
      </w:r>
      <w:r w:rsidR="001452C7">
        <w:t>.</w:t>
      </w:r>
      <w:r w:rsidR="00AF7585">
        <w:t xml:space="preserve">  </w:t>
      </w:r>
    </w:p>
    <w:p w:rsidR="00AF7585" w:rsidRDefault="00AF7585" w:rsidP="00AF7585"/>
    <w:p w:rsidR="00AF7585" w:rsidRPr="005D71C6" w:rsidRDefault="00AF7585" w:rsidP="00AF7585">
      <w:r w:rsidRPr="005D71C6">
        <w:t xml:space="preserve">Design of the 2012 </w:t>
      </w:r>
      <w:r w:rsidR="00236A09">
        <w:t>LEMAS</w:t>
      </w:r>
      <w:r w:rsidR="00382D35">
        <w:t xml:space="preserve"> Survey</w:t>
      </w:r>
    </w:p>
    <w:p w:rsidR="00AF7585" w:rsidRDefault="00AF7585" w:rsidP="00AF7585">
      <w:pPr>
        <w:rPr>
          <w:i/>
        </w:rPr>
      </w:pPr>
    </w:p>
    <w:p w:rsidR="00EE630A" w:rsidRDefault="00AF7585" w:rsidP="00AF7585">
      <w:r w:rsidRPr="003F6338">
        <w:t>BJS</w:t>
      </w:r>
      <w:r>
        <w:t xml:space="preserve"> proposes to build upon and enhance the LEMAS statistical series.  The 2012 instrument has been constructed with a core set of questions and several thematic supplements. The format of several survey items has been improved to address concerns about measurement issues.  The sampling plan has been revised to </w:t>
      </w:r>
      <w:r w:rsidR="003608A5">
        <w:t>enhance the efficiency and precision of national estimates</w:t>
      </w:r>
      <w:r>
        <w:t xml:space="preserve">.  The agency and jurisdiction identifiers recommended by the NRC for linking LEMAS information to data from the </w:t>
      </w:r>
      <w:r w:rsidR="007E2249">
        <w:t xml:space="preserve">Federal Bureau of Investigation’s (FBI) </w:t>
      </w:r>
      <w:r>
        <w:t xml:space="preserve">Uniform Crime Reporting Program </w:t>
      </w:r>
      <w:r w:rsidR="007E2249">
        <w:t xml:space="preserve">(UCR) </w:t>
      </w:r>
      <w:r>
        <w:t xml:space="preserve">and census-based demographic data were added in the 2007 LEMAS survey </w:t>
      </w:r>
      <w:r>
        <w:lastRenderedPageBreak/>
        <w:t xml:space="preserve">data file (BJS, 2011) and will be retained in the 2012 </w:t>
      </w:r>
      <w:r w:rsidR="00804E09">
        <w:t>LEMAS</w:t>
      </w:r>
      <w:r>
        <w:t xml:space="preserve"> and future BJS surveys of law enforcement agencies.  </w:t>
      </w:r>
    </w:p>
    <w:p w:rsidR="00804E09" w:rsidRDefault="00804E09" w:rsidP="00AF7585"/>
    <w:p w:rsidR="00AF7585" w:rsidRDefault="00AF7585" w:rsidP="00AF7585">
      <w:r>
        <w:t xml:space="preserve">Web-based data collection will be emphasized in the 2012 </w:t>
      </w:r>
      <w:r w:rsidR="00804E09">
        <w:t>LEMAS</w:t>
      </w:r>
      <w:r>
        <w:t xml:space="preserve"> to promote high response rates, speed data collection</w:t>
      </w:r>
      <w:r w:rsidR="00083EC8">
        <w:t>,</w:t>
      </w:r>
      <w:r>
        <w:t xml:space="preserve"> and simplify data verification and report preparation.  The revised survey instrument and the new sampling design combined with shortened periods for data collection and report production provide the basis for establishing a </w:t>
      </w:r>
      <w:r w:rsidR="00F93B77">
        <w:t>shorter</w:t>
      </w:r>
      <w:r>
        <w:t xml:space="preserve"> cycle for future BJS surveys of general purpose law enforcement agencies.  </w:t>
      </w:r>
      <w:r w:rsidR="005342A2">
        <w:t xml:space="preserve">BJS has selected the Urban Institute to act as the data collection agent for this program. </w:t>
      </w:r>
      <w:r w:rsidR="00AB6A62">
        <w:t xml:space="preserve">The </w:t>
      </w:r>
      <w:r w:rsidR="005342A2">
        <w:t>Urban Institute</w:t>
      </w:r>
      <w:r w:rsidR="00AB6A62">
        <w:t xml:space="preserve"> </w:t>
      </w:r>
      <w:r w:rsidR="00C063A5">
        <w:t>will</w:t>
      </w:r>
      <w:r w:rsidR="00AB6A62">
        <w:t xml:space="preserve"> collect </w:t>
      </w:r>
      <w:r w:rsidR="00CF4330">
        <w:t xml:space="preserve">various </w:t>
      </w:r>
      <w:r w:rsidR="00AB6A62">
        <w:t xml:space="preserve">paradata (e.g., </w:t>
      </w:r>
      <w:r w:rsidR="00CF4330">
        <w:t xml:space="preserve">respondent response mode, time required to answer each question, </w:t>
      </w:r>
      <w:r w:rsidR="00376F7F">
        <w:t xml:space="preserve">total time for survey completion, the time interval between respondent access to the survey and completion of the survey, </w:t>
      </w:r>
      <w:r w:rsidR="00CF4330">
        <w:t>etc.) that will allow BJS to better evaluate the success of th</w:t>
      </w:r>
      <w:r w:rsidR="005342A2">
        <w:t>e</w:t>
      </w:r>
      <w:r w:rsidR="00CF4330">
        <w:t xml:space="preserve"> online data collection</w:t>
      </w:r>
      <w:r w:rsidR="005342A2">
        <w:t xml:space="preserve"> effort</w:t>
      </w:r>
      <w:r w:rsidR="00C063A5">
        <w:t>. This information will also enable</w:t>
      </w:r>
      <w:r w:rsidR="00CF4330">
        <w:t xml:space="preserve"> </w:t>
      </w:r>
      <w:r w:rsidR="00C063A5">
        <w:t>BJS to</w:t>
      </w:r>
      <w:r w:rsidR="00CF4330">
        <w:t xml:space="preserve"> </w:t>
      </w:r>
      <w:r w:rsidR="00C063A5">
        <w:t>develop strategies to</w:t>
      </w:r>
      <w:r w:rsidR="00CF4330">
        <w:t xml:space="preserve"> encourage </w:t>
      </w:r>
      <w:r w:rsidR="00A31FE5">
        <w:t>greater</w:t>
      </w:r>
      <w:r w:rsidR="00C063A5">
        <w:t xml:space="preserve"> </w:t>
      </w:r>
      <w:r w:rsidR="00CF4330">
        <w:t>online data collection</w:t>
      </w:r>
      <w:r w:rsidR="00C063A5">
        <w:t xml:space="preserve"> </w:t>
      </w:r>
      <w:r w:rsidR="00A31FE5">
        <w:t>for</w:t>
      </w:r>
      <w:r w:rsidR="00C063A5">
        <w:t xml:space="preserve"> future LEMAS</w:t>
      </w:r>
      <w:r w:rsidR="00A31FE5">
        <w:t xml:space="preserve"> surveys</w:t>
      </w:r>
      <w:r w:rsidR="00CF4330">
        <w:t xml:space="preserve">. </w:t>
      </w:r>
      <w:r w:rsidR="001478E0">
        <w:t xml:space="preserve">Additionally, BJS plans </w:t>
      </w:r>
      <w:r w:rsidR="007F105F">
        <w:t>to test</w:t>
      </w:r>
      <w:r w:rsidR="001478E0">
        <w:t xml:space="preserve"> </w:t>
      </w:r>
      <w:r w:rsidR="007F105F">
        <w:t xml:space="preserve">differences in </w:t>
      </w:r>
      <w:r w:rsidR="001478E0">
        <w:t xml:space="preserve">response rates for online versus paper based data collection modes </w:t>
      </w:r>
      <w:r w:rsidR="00C063A5">
        <w:t>on</w:t>
      </w:r>
      <w:r w:rsidR="001478E0">
        <w:t xml:space="preserve"> a related project</w:t>
      </w:r>
      <w:r w:rsidR="007F105F">
        <w:t xml:space="preserve"> (2012-R2-CX-K017), the </w:t>
      </w:r>
      <w:r w:rsidR="007F105F" w:rsidRPr="008F0473">
        <w:rPr>
          <w:i/>
        </w:rPr>
        <w:t>2012 Census of State and Local Law Enforcement Agencies</w:t>
      </w:r>
      <w:r w:rsidR="007F105F">
        <w:t xml:space="preserve"> (CSLLEA)</w:t>
      </w:r>
      <w:r w:rsidR="001478E0">
        <w:t xml:space="preserve">. Working with the </w:t>
      </w:r>
      <w:r w:rsidR="007F105F">
        <w:t xml:space="preserve">CSLLEA </w:t>
      </w:r>
      <w:r w:rsidR="001478E0">
        <w:t>contractor, BJS</w:t>
      </w:r>
      <w:r w:rsidR="00AA6E48">
        <w:t xml:space="preserve"> proposes to</w:t>
      </w:r>
      <w:r w:rsidR="001478E0">
        <w:t xml:space="preserve"> conduct a response mode experiment</w:t>
      </w:r>
      <w:r w:rsidR="00735ABE">
        <w:t>.</w:t>
      </w:r>
      <w:r w:rsidR="001478E0">
        <w:t xml:space="preserve"> </w:t>
      </w:r>
      <w:r w:rsidR="00AA6E48">
        <w:t xml:space="preserve">If OMB approves the project as proposed, some </w:t>
      </w:r>
      <w:r w:rsidR="001478E0">
        <w:t xml:space="preserve">respondents will </w:t>
      </w:r>
      <w:r w:rsidR="001478E0" w:rsidRPr="00151957">
        <w:rPr>
          <w:i/>
        </w:rPr>
        <w:t>initially</w:t>
      </w:r>
      <w:r w:rsidR="001478E0">
        <w:t xml:space="preserve"> </w:t>
      </w:r>
      <w:r w:rsidR="007F105F">
        <w:t>be given</w:t>
      </w:r>
      <w:r w:rsidR="001478E0">
        <w:t xml:space="preserve"> access to the online instrument and </w:t>
      </w:r>
      <w:r w:rsidR="007F105F">
        <w:t xml:space="preserve">would </w:t>
      </w:r>
      <w:r w:rsidR="001478E0">
        <w:t xml:space="preserve">need to </w:t>
      </w:r>
      <w:r w:rsidR="001478E0" w:rsidRPr="00151957">
        <w:rPr>
          <w:i/>
        </w:rPr>
        <w:t>request</w:t>
      </w:r>
      <w:r w:rsidR="001478E0">
        <w:t xml:space="preserve"> a paper instrument</w:t>
      </w:r>
      <w:r w:rsidR="007F105F">
        <w:t xml:space="preserve"> </w:t>
      </w:r>
      <w:r w:rsidR="00194973">
        <w:t>if desired</w:t>
      </w:r>
      <w:r w:rsidR="00577DFE">
        <w:t>,</w:t>
      </w:r>
      <w:r w:rsidR="00194973">
        <w:t xml:space="preserve"> </w:t>
      </w:r>
      <w:r w:rsidR="007F105F">
        <w:t>while</w:t>
      </w:r>
      <w:r w:rsidR="001478E0">
        <w:t xml:space="preserve"> the other group of respondents will initially be mailed a paper survey with information </w:t>
      </w:r>
      <w:r w:rsidR="007F105F">
        <w:t>detailing how they</w:t>
      </w:r>
      <w:r w:rsidR="001478E0">
        <w:t xml:space="preserve"> </w:t>
      </w:r>
      <w:r w:rsidR="007F105F">
        <w:t>can</w:t>
      </w:r>
      <w:r w:rsidR="001478E0">
        <w:t xml:space="preserve"> </w:t>
      </w:r>
      <w:r w:rsidR="00C063A5" w:rsidRPr="00151957">
        <w:rPr>
          <w:i/>
        </w:rPr>
        <w:t xml:space="preserve">directly </w:t>
      </w:r>
      <w:r w:rsidR="001478E0" w:rsidRPr="00151957">
        <w:rPr>
          <w:i/>
        </w:rPr>
        <w:t>access</w:t>
      </w:r>
      <w:r w:rsidR="001478E0">
        <w:t xml:space="preserve"> the web based survey</w:t>
      </w:r>
      <w:r w:rsidR="007F105F">
        <w:t xml:space="preserve"> </w:t>
      </w:r>
      <w:r w:rsidR="00C063A5">
        <w:t>rather than completing the paper survey</w:t>
      </w:r>
      <w:r w:rsidR="00176F0F">
        <w:t>.</w:t>
      </w:r>
      <w:r w:rsidR="005342A2">
        <w:t xml:space="preserve"> Results from each group will be compared to determine </w:t>
      </w:r>
      <w:r w:rsidR="00194973">
        <w:t xml:space="preserve">if there are </w:t>
      </w:r>
      <w:r w:rsidR="005342A2">
        <w:t xml:space="preserve">differences </w:t>
      </w:r>
      <w:r w:rsidR="00194973">
        <w:t xml:space="preserve">in </w:t>
      </w:r>
      <w:r w:rsidR="005342A2">
        <w:t>response rates for the two response modes.</w:t>
      </w:r>
      <w:r w:rsidR="009611E0">
        <w:t xml:space="preserve"> The findings from this experiment will further BJS’ </w:t>
      </w:r>
      <w:r w:rsidR="00735ABE">
        <w:t>effort</w:t>
      </w:r>
      <w:r w:rsidR="009611E0">
        <w:t xml:space="preserve"> </w:t>
      </w:r>
      <w:r w:rsidR="00735ABE">
        <w:t>to move future waves on LEMAS data collections online</w:t>
      </w:r>
      <w:r w:rsidR="009611E0">
        <w:t>.</w:t>
      </w:r>
    </w:p>
    <w:p w:rsidR="00CE689E" w:rsidRDefault="00CE689E" w:rsidP="00AF7585"/>
    <w:p w:rsidR="00AF7585" w:rsidRDefault="00AF7585" w:rsidP="00AF7585">
      <w:r>
        <w:rPr>
          <w:b/>
          <w:bCs/>
        </w:rPr>
        <w:t>A.  Justification</w:t>
      </w:r>
      <w:r>
        <w:t xml:space="preserve"> </w:t>
      </w:r>
    </w:p>
    <w:p w:rsidR="00AF7585" w:rsidRDefault="00AF7585" w:rsidP="00AF7585"/>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Necessity of Information Collection</w:t>
      </w:r>
    </w:p>
    <w:p w:rsidR="00AF7585" w:rsidRDefault="00AF7585" w:rsidP="00AF7585"/>
    <w:p w:rsidR="005E3701" w:rsidRDefault="00AF7585" w:rsidP="00AF7585">
      <w:r>
        <w:t xml:space="preserve">Under Title 42, United States Code, Section 3732 (see Attachment </w:t>
      </w:r>
      <w:r w:rsidR="005E3701">
        <w:t>1</w:t>
      </w:r>
      <w:r>
        <w:t xml:space="preserve">), the Bureau of Justice Statistics (BJS) is directed to collect and analyze statistical information concerning the operation of the criminal justice system at the federal, state, and local levels. State and local general purpose law enforcement agencies are the primary </w:t>
      </w:r>
      <w:r w:rsidR="00A405F1">
        <w:t>point of entry into the criminal justice system.</w:t>
      </w:r>
      <w:r>
        <w:t xml:space="preserve">  </w:t>
      </w:r>
      <w:r w:rsidR="003E235B">
        <w:t>L</w:t>
      </w:r>
      <w:r w:rsidR="005E3701">
        <w:t>aw enforcement agencies play a crucial gate keeping function in receiving reports of offenses, investigat</w:t>
      </w:r>
      <w:r w:rsidR="003E235B">
        <w:t>ing crimes and making arrests</w:t>
      </w:r>
      <w:r w:rsidR="005E3701">
        <w:t>.</w:t>
      </w:r>
    </w:p>
    <w:p w:rsidR="00AF7585" w:rsidRDefault="005E3701" w:rsidP="00AF7585">
      <w:r>
        <w:t xml:space="preserve"> </w:t>
      </w:r>
    </w:p>
    <w:p w:rsidR="00AF7585" w:rsidRDefault="00AF7585" w:rsidP="00AF7585">
      <w:r>
        <w:t>In the United States, local law enforcement agencies are numerous and diverse</w:t>
      </w:r>
      <w:r w:rsidR="00EE630A">
        <w:t>.  In 2008, there were 15,564 local police agencies and sheriff offices.  Most of these organizations had fewer than 10 sworn personnel but the largest 409 agencies employed half of all sworn personnel.  The</w:t>
      </w:r>
      <w:r>
        <w:t xml:space="preserve"> functions, policies, and practices </w:t>
      </w:r>
      <w:r w:rsidR="00EE630A">
        <w:t xml:space="preserve">of local law enforcement agencies </w:t>
      </w:r>
      <w:r>
        <w:t xml:space="preserve">are determined and implemented by local governments with limited state-level coordination and oversight.  State law enforcement agencies are few in number, large in size and typically emphasize a limited range of law enforcement functions, such as traffic enforcement.  Because of the diversity and number of independent state, local and county governments, there is no organizational basis for systematically collecting and regularly reporting changes in the characteristics of their law </w:t>
      </w:r>
      <w:r>
        <w:lastRenderedPageBreak/>
        <w:t>enforcement agencies or the personnel those agencies employ, except for BJS-sponsored surveys of law enforcement agencies.</w:t>
      </w:r>
      <w:r w:rsidR="00E1730A">
        <w:rPr>
          <w:rStyle w:val="FootnoteReference"/>
        </w:rPr>
        <w:footnoteReference w:id="3"/>
      </w:r>
    </w:p>
    <w:p w:rsidR="00AF7585" w:rsidRDefault="00AF7585" w:rsidP="00AF7585">
      <w:r>
        <w:t xml:space="preserve"> </w:t>
      </w:r>
    </w:p>
    <w:p w:rsidR="00AF7585" w:rsidRDefault="00AF7585" w:rsidP="00AF7585">
      <w:r>
        <w:t xml:space="preserve">The behavior of law enforcement agencies and employees are regularly subjected to extensive scrutiny from within each agency, by external government agencies, by the public and by the media.  Much of what is communicated to the public about these agencies stems from media reports of dramatic or unusual events in which an officer, suspect or innocent bystander is injured or killed or incidents in which law enforcement officials are </w:t>
      </w:r>
      <w:r w:rsidR="00503321">
        <w:t>(</w:t>
      </w:r>
      <w:r>
        <w:t>or appear to be</w:t>
      </w:r>
      <w:r w:rsidR="00503321">
        <w:t>)</w:t>
      </w:r>
      <w:r>
        <w:t xml:space="preserve"> violating laws, departmental policies, or social expectations.  Media reports of heroic actions by law enforcement personnel to protect human life and property can communicate a similarly skewed accounting of the nature of law enforcement in the United States.  The salience of these unusual events can provide the public and public policymakers with an incomplete and inaccurate understanding of the nature of state and local law enforcement organizations and their personnel.  </w:t>
      </w:r>
    </w:p>
    <w:p w:rsidR="00AF7585" w:rsidRDefault="00AF7585" w:rsidP="00AF7585"/>
    <w:p w:rsidR="00AF7585" w:rsidRDefault="00AF7585" w:rsidP="00AF7585">
      <w:r>
        <w:t>Another limited perspective on law enforcement comes from surveys conducted by university professors and law enforcement professional associations (e.g., Police Executive Research Forum, International Association of Chiefs of Police).  These surveys are typically conducted among</w:t>
      </w:r>
      <w:r w:rsidR="00503321">
        <w:t xml:space="preserve"> only</w:t>
      </w:r>
      <w:r>
        <w:t xml:space="preserve"> a small number of large law enforcement agencies and, even among this limited sample, have survey response rates that rarely exceed fifty percent.  The appearance of objectivity in academic or professional surveys is reduced when survey responses are used to support advocacy positions of the survey sponsor </w:t>
      </w:r>
      <w:r w:rsidR="00503321">
        <w:t>or</w:t>
      </w:r>
      <w:r>
        <w:t xml:space="preserve"> when the details of the survey instrument, data collection, and data analysis are not publicly available for independent review.</w:t>
      </w:r>
    </w:p>
    <w:p w:rsidR="00507FBE" w:rsidRDefault="00507FBE" w:rsidP="00AF7585"/>
    <w:p w:rsidR="007E2249" w:rsidRDefault="007E2249" w:rsidP="00AF7585">
      <w:r>
        <w:t>The past LEMAS surveys have not</w:t>
      </w:r>
      <w:r w:rsidR="00747719">
        <w:t>,</w:t>
      </w:r>
      <w:r>
        <w:t xml:space="preserve"> and the proposed </w:t>
      </w:r>
      <w:r w:rsidR="00804E09">
        <w:t>2012 LEMAS</w:t>
      </w:r>
      <w:r>
        <w:t xml:space="preserve"> will not</w:t>
      </w:r>
      <w:r w:rsidR="00747719">
        <w:t>,</w:t>
      </w:r>
      <w:r>
        <w:t xml:space="preserve"> collect information about the nature of criminal behavior or injuries to sworn personnel.  These two information needs are addressed by </w:t>
      </w:r>
      <w:r w:rsidR="00507FBE">
        <w:t xml:space="preserve">the FBI.  </w:t>
      </w:r>
      <w:r w:rsidR="00D87E7F">
        <w:t>In it</w:t>
      </w:r>
      <w:r w:rsidR="00174A98">
        <w:t>s</w:t>
      </w:r>
      <w:r w:rsidR="00D87E7F">
        <w:t xml:space="preserve"> Uniform Crime </w:t>
      </w:r>
      <w:r>
        <w:t xml:space="preserve">Reporting </w:t>
      </w:r>
      <w:r w:rsidR="00D87E7F">
        <w:t xml:space="preserve">Program </w:t>
      </w:r>
      <w:r w:rsidR="00174A98">
        <w:t>and Supplemental Homicide Report</w:t>
      </w:r>
      <w:r>
        <w:t>ing Program</w:t>
      </w:r>
      <w:r w:rsidR="00174A98">
        <w:t xml:space="preserve"> (SHR)</w:t>
      </w:r>
      <w:r w:rsidR="00D87E7F">
        <w:t>, t</w:t>
      </w:r>
      <w:r w:rsidR="00507FBE">
        <w:t>he FBI collect</w:t>
      </w:r>
      <w:r w:rsidR="00D87E7F">
        <w:t>s</w:t>
      </w:r>
      <w:r w:rsidR="00507FBE">
        <w:t xml:space="preserve"> </w:t>
      </w:r>
      <w:r w:rsidR="00D87E7F">
        <w:t xml:space="preserve">detailed </w:t>
      </w:r>
      <w:r w:rsidR="00507FBE">
        <w:t xml:space="preserve">information </w:t>
      </w:r>
      <w:r w:rsidR="00D87E7F">
        <w:t>a</w:t>
      </w:r>
      <w:r w:rsidR="00507FBE">
        <w:t xml:space="preserve">bout the </w:t>
      </w:r>
      <w:r w:rsidR="00D87E7F">
        <w:t>nature of crimes reported</w:t>
      </w:r>
      <w:r w:rsidR="00174A98">
        <w:t xml:space="preserve"> to State and local law enforcement agencies.  In its Law Enforcement Officers Killed and Assaulted (LEOKA) </w:t>
      </w:r>
      <w:r w:rsidR="00E5390E">
        <w:t>and Supplemental Homicide Reporting (SHR) Programs</w:t>
      </w:r>
      <w:r w:rsidR="00174A98">
        <w:t>, the FBI collects detailed information about</w:t>
      </w:r>
      <w:r w:rsidR="00D87E7F">
        <w:t xml:space="preserve"> the number of law enforcement officers killed or assaulted</w:t>
      </w:r>
      <w:r>
        <w:t>.</w:t>
      </w:r>
      <w:r w:rsidR="00DB668B">
        <w:t xml:space="preserve">  The 2012 </w:t>
      </w:r>
      <w:r w:rsidR="00804E09">
        <w:t>LEMAS</w:t>
      </w:r>
      <w:r w:rsidR="00DB668B">
        <w:t xml:space="preserve"> will include FBI ORI codes that can be used to link </w:t>
      </w:r>
      <w:r w:rsidR="00804E09">
        <w:t>LEMAS</w:t>
      </w:r>
      <w:r w:rsidR="00CD57BA">
        <w:t xml:space="preserve"> data on </w:t>
      </w:r>
      <w:r w:rsidR="005E3701">
        <w:t xml:space="preserve">agency characteristics with </w:t>
      </w:r>
      <w:r w:rsidR="00DB668B">
        <w:t xml:space="preserve">FBI data on </w:t>
      </w:r>
      <w:r w:rsidR="00503321">
        <w:t xml:space="preserve">known </w:t>
      </w:r>
      <w:r w:rsidR="00DB668B">
        <w:t>offenses</w:t>
      </w:r>
      <w:r w:rsidR="00503321">
        <w:t xml:space="preserve">, </w:t>
      </w:r>
      <w:r w:rsidR="00DB668B">
        <w:t>arrest</w:t>
      </w:r>
      <w:r w:rsidR="00503321">
        <w:t>, as well as officers killed or assaulted</w:t>
      </w:r>
      <w:r w:rsidR="005E3701">
        <w:t>.</w:t>
      </w:r>
    </w:p>
    <w:p w:rsidR="002258DE" w:rsidRDefault="002258DE" w:rsidP="00AF7585"/>
    <w:p w:rsidR="002258DE" w:rsidRDefault="002258DE" w:rsidP="00AF7585">
      <w:r w:rsidRPr="00B235CF">
        <w:t xml:space="preserve">2012 </w:t>
      </w:r>
      <w:r w:rsidR="00804E09" w:rsidRPr="00B235CF">
        <w:t>LEMAS</w:t>
      </w:r>
      <w:r w:rsidRPr="00B235CF">
        <w:t xml:space="preserve"> Survey Items</w:t>
      </w:r>
    </w:p>
    <w:p w:rsidR="00B235CF" w:rsidRPr="00B235CF" w:rsidRDefault="00B235CF" w:rsidP="00AF7585"/>
    <w:p w:rsidR="00507FBE" w:rsidRDefault="007E2249" w:rsidP="00507FBE">
      <w:r>
        <w:t xml:space="preserve">The proposed </w:t>
      </w:r>
      <w:r w:rsidR="00804E09">
        <w:t>2012 LEMAS</w:t>
      </w:r>
      <w:r>
        <w:t xml:space="preserve"> </w:t>
      </w:r>
      <w:r w:rsidR="00804E09">
        <w:t>survey</w:t>
      </w:r>
      <w:r>
        <w:t xml:space="preserve"> </w:t>
      </w:r>
      <w:r w:rsidR="00804E09">
        <w:t xml:space="preserve">will </w:t>
      </w:r>
      <w:r>
        <w:t xml:space="preserve">collect detailed information </w:t>
      </w:r>
      <w:r w:rsidR="00503321">
        <w:t>on</w:t>
      </w:r>
      <w:r>
        <w:t xml:space="preserve"> the </w:t>
      </w:r>
      <w:r w:rsidR="00DC384F">
        <w:t xml:space="preserve">number of </w:t>
      </w:r>
      <w:r>
        <w:t xml:space="preserve">full-time and part-time, sworn and nonsworn, paid and volunteer personnel in law enforcement agencies.  For full-time sworn personnel, the </w:t>
      </w:r>
      <w:r w:rsidR="00804E09">
        <w:t>survey</w:t>
      </w:r>
      <w:r>
        <w:t xml:space="preserve"> </w:t>
      </w:r>
      <w:r w:rsidR="00804E09">
        <w:t>will collect</w:t>
      </w:r>
      <w:r>
        <w:t xml:space="preserve"> data on the race</w:t>
      </w:r>
      <w:r w:rsidR="00A405F1">
        <w:t xml:space="preserve"> and sex of officers</w:t>
      </w:r>
      <w:r>
        <w:t xml:space="preserve">.  </w:t>
      </w:r>
      <w:r w:rsidR="00D87E7F">
        <w:t xml:space="preserve">In addition, </w:t>
      </w:r>
      <w:r w:rsidR="00804E09">
        <w:t>LEMAS</w:t>
      </w:r>
      <w:r w:rsidR="00DC384F">
        <w:t xml:space="preserve"> is the only source for information about the nature and variety of salary level</w:t>
      </w:r>
      <w:r w:rsidR="00064AC4">
        <w:t>s</w:t>
      </w:r>
      <w:r w:rsidR="00DC384F">
        <w:t>, employment benefits, pension program</w:t>
      </w:r>
      <w:r w:rsidR="00064AC4">
        <w:t>s</w:t>
      </w:r>
      <w:r w:rsidR="00DC384F">
        <w:t>, and education requirements for sworn personnel</w:t>
      </w:r>
      <w:r w:rsidR="00064AC4">
        <w:t>.</w:t>
      </w:r>
      <w:r w:rsidR="00DC384F">
        <w:t xml:space="preserve">  </w:t>
      </w:r>
      <w:r w:rsidR="00AF7585">
        <w:t xml:space="preserve">The need for objective information </w:t>
      </w:r>
      <w:r w:rsidR="000C29DC">
        <w:t xml:space="preserve">about a wide range of agencies characteristics </w:t>
      </w:r>
      <w:r w:rsidR="00AF7585">
        <w:t xml:space="preserve">derived from a representative sample of law enforcement agencies is addressed by no other source but the BJS program of law enforcement agency surveys in general and the </w:t>
      </w:r>
      <w:r w:rsidR="00804E09">
        <w:t>LEMAS Survey</w:t>
      </w:r>
      <w:r w:rsidR="00AF7585">
        <w:t xml:space="preserve"> in particular</w:t>
      </w:r>
      <w:r w:rsidR="00CF35EF">
        <w:t>.</w:t>
      </w:r>
      <w:r w:rsidR="00AF7585">
        <w:t xml:space="preserve">  </w:t>
      </w:r>
    </w:p>
    <w:p w:rsidR="00917D6F" w:rsidRDefault="00917D6F" w:rsidP="00507FBE"/>
    <w:p w:rsidR="00917D6F" w:rsidRDefault="00917D6F" w:rsidP="00917D6F">
      <w:r w:rsidRPr="007462E7">
        <w:t xml:space="preserve">The 2012 </w:t>
      </w:r>
      <w:r w:rsidR="00804E09">
        <w:t>LEMAS</w:t>
      </w:r>
      <w:r w:rsidRPr="007462E7">
        <w:t xml:space="preserve"> focuses on a core set of questions about the characteristics of law enforcement agencies and their personnel and five set</w:t>
      </w:r>
      <w:r w:rsidR="002258DE">
        <w:t>s</w:t>
      </w:r>
      <w:r w:rsidRPr="007462E7">
        <w:t xml:space="preserve"> of supplemental questions.  A</w:t>
      </w:r>
      <w:r w:rsidR="00503321">
        <w:t>ttachment</w:t>
      </w:r>
      <w:r w:rsidR="003E235B">
        <w:t xml:space="preserve"> 2</w:t>
      </w:r>
      <w:r w:rsidRPr="007462E7">
        <w:t xml:space="preserve"> provides a list of each survey item by core and supplement domains and whether the specific item had been included in prior BJS law enforcement organizational surveys.</w:t>
      </w:r>
    </w:p>
    <w:p w:rsidR="0040077B" w:rsidRPr="007462E7" w:rsidRDefault="0040077B" w:rsidP="00917D6F"/>
    <w:p w:rsidR="00917D6F" w:rsidRPr="0040077B" w:rsidRDefault="00917D6F" w:rsidP="00917D6F">
      <w:pPr>
        <w:rPr>
          <w:u w:val="single"/>
        </w:rPr>
      </w:pPr>
      <w:r w:rsidRPr="0040077B">
        <w:rPr>
          <w:u w:val="single"/>
        </w:rPr>
        <w:t>Core</w:t>
      </w:r>
    </w:p>
    <w:p w:rsidR="00917D6F" w:rsidRPr="007462E7" w:rsidRDefault="00917D6F" w:rsidP="00917D6F">
      <w:r w:rsidRPr="007462E7">
        <w:t xml:space="preserve">The core items in the </w:t>
      </w:r>
      <w:r w:rsidR="00804E09">
        <w:t>2012 LEMAS</w:t>
      </w:r>
      <w:r w:rsidRPr="007462E7">
        <w:t xml:space="preserve"> capture basic descriptive information about the name, address and agency ORI code needed to link these responses to past and future law enforcement organizational surveys.  The core </w:t>
      </w:r>
      <w:r w:rsidR="002258DE">
        <w:t>items also include</w:t>
      </w:r>
      <w:r w:rsidRPr="007462E7">
        <w:t xml:space="preserve"> the number of full-time and part-time sworn and nonsworn personnel in each agency.  For full-time sworn personnel, </w:t>
      </w:r>
      <w:r w:rsidR="00804E09">
        <w:t>the 2012 LEMAS</w:t>
      </w:r>
      <w:r w:rsidRPr="007462E7">
        <w:t xml:space="preserve"> records the number of employees by race a</w:t>
      </w:r>
      <w:r w:rsidR="00804E09">
        <w:t>nd sex.  The 2012 LEM</w:t>
      </w:r>
      <w:r w:rsidR="00A405F1">
        <w:t>A</w:t>
      </w:r>
      <w:r w:rsidR="00804E09">
        <w:t>S</w:t>
      </w:r>
      <w:r w:rsidRPr="007462E7">
        <w:t xml:space="preserve"> captures the extent to which sworn personnel are included in traditional retirement program, individual retirement programs or social security. Two other essential items in the core are the number of sworn and nonsworn personnel that were hired and the number that </w:t>
      </w:r>
      <w:r w:rsidR="002258DE">
        <w:t xml:space="preserve">were </w:t>
      </w:r>
      <w:r w:rsidRPr="007462E7">
        <w:t xml:space="preserve">separated from the agency in the past year.  The core of the </w:t>
      </w:r>
      <w:r w:rsidR="00804E09">
        <w:t>survey</w:t>
      </w:r>
      <w:r w:rsidRPr="007462E7">
        <w:t xml:space="preserve"> also includes the agency</w:t>
      </w:r>
      <w:r w:rsidR="00503321">
        <w:t>’s</w:t>
      </w:r>
      <w:r w:rsidRPr="007462E7">
        <w:t xml:space="preserve"> annual operating budget</w:t>
      </w:r>
      <w:r w:rsidR="00503321">
        <w:t>;</w:t>
      </w:r>
      <w:r w:rsidRPr="007462E7">
        <w:t xml:space="preserve"> the salary schedule for entry level, first line supervisors and chief executives</w:t>
      </w:r>
      <w:r w:rsidR="00503321">
        <w:t>;</w:t>
      </w:r>
      <w:r w:rsidRPr="007462E7">
        <w:t xml:space="preserve"> and whether agency has a collective bargaining agreement with sworn personnel.  The last </w:t>
      </w:r>
      <w:r>
        <w:t xml:space="preserve">set of </w:t>
      </w:r>
      <w:r w:rsidR="00503321">
        <w:t xml:space="preserve">core survey </w:t>
      </w:r>
      <w:r>
        <w:t xml:space="preserve">items </w:t>
      </w:r>
      <w:r w:rsidRPr="007462E7">
        <w:t xml:space="preserve">is the organizational response to </w:t>
      </w:r>
      <w:r w:rsidR="002258DE">
        <w:t xml:space="preserve">a set of </w:t>
      </w:r>
      <w:r w:rsidRPr="007462E7">
        <w:t>specific problems or challenges facing law enforcement</w:t>
      </w:r>
      <w:r w:rsidR="00503321">
        <w:t xml:space="preserve">, such as </w:t>
      </w:r>
      <w:r w:rsidR="00AE071B">
        <w:t>a specialized u</w:t>
      </w:r>
      <w:r w:rsidR="0040077B">
        <w:t>ni</w:t>
      </w:r>
      <w:r w:rsidR="00AE071B">
        <w:t>t for bias or hate crimes or dedicated personnel trained to use special weapons and tactics</w:t>
      </w:r>
      <w:r>
        <w:t>.  A version of th</w:t>
      </w:r>
      <w:r w:rsidR="00AE071B">
        <w:t xml:space="preserve">e organizational response </w:t>
      </w:r>
      <w:r>
        <w:t>survey item has been asked in every LEMAS survey since 1987</w:t>
      </w:r>
      <w:r w:rsidR="002258DE">
        <w:t xml:space="preserve"> as a measure of organizational specialization</w:t>
      </w:r>
      <w:r w:rsidRPr="007462E7">
        <w:t>.</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Agency Resources</w:t>
      </w:r>
    </w:p>
    <w:p w:rsidR="00917D6F" w:rsidRDefault="00917D6F" w:rsidP="00917D6F">
      <w:r w:rsidRPr="007462E7">
        <w:t xml:space="preserve">The items in the first supplement in the 2012 </w:t>
      </w:r>
      <w:r w:rsidR="00804E09">
        <w:t>LEMAS Survey</w:t>
      </w:r>
      <w:r w:rsidRPr="007462E7">
        <w:t xml:space="preserve"> capture the extent to which agencies resources, employment standards</w:t>
      </w:r>
      <w:r>
        <w:t>,</w:t>
      </w:r>
      <w:r w:rsidRPr="007462E7">
        <w:t xml:space="preserve"> personnel benefits </w:t>
      </w:r>
      <w:r>
        <w:t xml:space="preserve">and base salaries </w:t>
      </w:r>
      <w:r w:rsidRPr="007462E7">
        <w:t xml:space="preserve">have been impacted by </w:t>
      </w:r>
      <w:r>
        <w:t xml:space="preserve">changing policies and </w:t>
      </w:r>
      <w:r w:rsidRPr="007462E7">
        <w:t xml:space="preserve">economic </w:t>
      </w:r>
      <w:r>
        <w:t>conditions</w:t>
      </w:r>
      <w:r w:rsidRPr="007462E7">
        <w:t>.  This includes items about furloughs and pay freezes since 2010 and the amount of overtime work authorized or available in the past year.</w:t>
      </w:r>
      <w:r>
        <w:t xml:space="preserve">  In this component, the </w:t>
      </w:r>
      <w:r w:rsidR="00804E09">
        <w:t>2012 LEMAS</w:t>
      </w:r>
      <w:r>
        <w:t xml:space="preserve"> captures the nature and extent of any hiring freezes and the </w:t>
      </w:r>
      <w:r w:rsidR="002258DE">
        <w:t xml:space="preserve">changes in the </w:t>
      </w:r>
      <w:r>
        <w:t xml:space="preserve">educational requirements for newly hired sworn personnel.  </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Community Policing</w:t>
      </w:r>
    </w:p>
    <w:p w:rsidR="00917D6F" w:rsidRDefault="00917D6F" w:rsidP="00917D6F">
      <w:r>
        <w:t xml:space="preserve">The community policing </w:t>
      </w:r>
      <w:r w:rsidR="00AE071B">
        <w:t>component of</w:t>
      </w:r>
      <w:r>
        <w:t xml:space="preserve"> the </w:t>
      </w:r>
      <w:r w:rsidR="00A405F1">
        <w:t>2012 LE</w:t>
      </w:r>
      <w:r w:rsidR="00804E09">
        <w:t>M</w:t>
      </w:r>
      <w:r w:rsidR="00A405F1">
        <w:t>A</w:t>
      </w:r>
      <w:r w:rsidR="00804E09">
        <w:t>S Survey</w:t>
      </w:r>
      <w:r>
        <w:t xml:space="preserve"> </w:t>
      </w:r>
      <w:r w:rsidR="00AE071B">
        <w:t xml:space="preserve">includes 9 survey items </w:t>
      </w:r>
      <w:r>
        <w:t xml:space="preserve">that have been used in prior LEMAS surveys since 1999.  These items capture the nature of an agency’s mission statement, use of problem solving techniques, engagement in community collaboration, officer patrol assignments, surveys of residents, and community policing training.  The use of these items in four prior </w:t>
      </w:r>
      <w:r w:rsidR="002258DE">
        <w:t xml:space="preserve">LEMAS </w:t>
      </w:r>
      <w:r>
        <w:t xml:space="preserve">surveys will permit the </w:t>
      </w:r>
      <w:r w:rsidR="00804E09">
        <w:t>2012 LEMAS</w:t>
      </w:r>
      <w:r>
        <w:t xml:space="preserve"> to document the trends in these items over a 15 year period.</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Information Systems</w:t>
      </w:r>
    </w:p>
    <w:p w:rsidR="00917D6F" w:rsidRPr="00A16D2B" w:rsidRDefault="00917D6F" w:rsidP="00917D6F">
      <w:r w:rsidRPr="00A16D2B">
        <w:t>Information systems are the lifeblood on modern law enforcement agencies</w:t>
      </w:r>
      <w:r w:rsidR="00CB7FB2">
        <w:t>.  T</w:t>
      </w:r>
      <w:r w:rsidRPr="00A16D2B">
        <w:t xml:space="preserve">he 2012 </w:t>
      </w:r>
      <w:r w:rsidR="00804E09">
        <w:t>LEMAS</w:t>
      </w:r>
      <w:r w:rsidRPr="00A16D2B">
        <w:t xml:space="preserve"> captures details about the technologies available to officers to receive information while they are in the field</w:t>
      </w:r>
      <w:r w:rsidR="00CB7FB2">
        <w:t>.  These items are</w:t>
      </w:r>
      <w:r w:rsidRPr="00A16D2B">
        <w:t xml:space="preserve"> similar to information </w:t>
      </w:r>
      <w:r w:rsidR="00CB7FB2">
        <w:t>obtained</w:t>
      </w:r>
      <w:r w:rsidRPr="00A16D2B">
        <w:t xml:space="preserve"> in prior LEMAS surveys.  In addition, the </w:t>
      </w:r>
      <w:r w:rsidR="00804E09">
        <w:t>2012 LEMAS</w:t>
      </w:r>
      <w:r w:rsidRPr="00A16D2B">
        <w:t xml:space="preserve"> requests never before obtained information about how agencies collect, maintain and analyze data about criminal incidents.  These set of survey items will help </w:t>
      </w:r>
      <w:r w:rsidRPr="00A16D2B">
        <w:lastRenderedPageBreak/>
        <w:t>BJS document the capabilities of state and local law enforcement agencies to analyze incident level crime information, an essential element in contemporary crime reduction strategies.</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Officer Safety</w:t>
      </w:r>
    </w:p>
    <w:p w:rsidR="00917D6F" w:rsidRPr="00A16D2B" w:rsidRDefault="00917D6F" w:rsidP="00917D6F">
      <w:r w:rsidRPr="00A16D2B">
        <w:t>Recent increases in assaults on</w:t>
      </w:r>
      <w:r w:rsidR="00CB7FB2">
        <w:t>,</w:t>
      </w:r>
      <w:r w:rsidRPr="00A16D2B">
        <w:t xml:space="preserve"> and in deaths of</w:t>
      </w:r>
      <w:r w:rsidR="00CB7FB2">
        <w:t>,</w:t>
      </w:r>
      <w:r w:rsidRPr="00A16D2B">
        <w:t xml:space="preserve"> sworn law enforcement officers enhance the need for systematic data on the policies and practices of law enforcement agencies concerning officer safety.  The survey items included in this supplement document departmental policies for purchasing and using body armor and for pursuits on foot and in motor vehicles.</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Uses of Force</w:t>
      </w:r>
    </w:p>
    <w:p w:rsidR="00917D6F" w:rsidRPr="00A16D2B" w:rsidRDefault="00917D6F" w:rsidP="00917D6F">
      <w:r w:rsidRPr="00A16D2B">
        <w:t>Prior LEMAS surveys have document</w:t>
      </w:r>
      <w:r w:rsidR="00CB7FB2">
        <w:t>ed</w:t>
      </w:r>
      <w:r w:rsidRPr="00A16D2B">
        <w:t xml:space="preserve"> the range of tactics and weapons that are authorized by law enforcement agencies.  The 2012 </w:t>
      </w:r>
      <w:r w:rsidR="00E90335">
        <w:t>LEMAS Survey</w:t>
      </w:r>
      <w:r w:rsidRPr="00A16D2B">
        <w:t xml:space="preserve"> extends this focus to include items about how agencies document uses of force, what types of force must be documented, and the total number of use of force incidents reported in the past year.</w:t>
      </w:r>
    </w:p>
    <w:p w:rsidR="006D6E11" w:rsidRDefault="006D6E11" w:rsidP="00CF35EF">
      <w:pPr>
        <w:rPr>
          <w:u w:val="single"/>
        </w:rPr>
      </w:pPr>
    </w:p>
    <w:p w:rsidR="00AF7585" w:rsidRPr="009B0885" w:rsidRDefault="005D71C6" w:rsidP="009B0885">
      <w:pPr>
        <w:pStyle w:val="ListParagraph"/>
        <w:numPr>
          <w:ilvl w:val="0"/>
          <w:numId w:val="2"/>
        </w:numPr>
        <w:rPr>
          <w:b/>
          <w:u w:val="single"/>
        </w:rPr>
      </w:pPr>
      <w:r w:rsidRPr="009B0885">
        <w:rPr>
          <w:b/>
          <w:u w:val="single"/>
        </w:rPr>
        <w:t xml:space="preserve">BJS </w:t>
      </w:r>
      <w:r w:rsidR="00AF7585" w:rsidRPr="009B0885">
        <w:rPr>
          <w:b/>
          <w:u w:val="single"/>
        </w:rPr>
        <w:t>Needs and Uses</w:t>
      </w:r>
    </w:p>
    <w:p w:rsidR="00AF7585" w:rsidRDefault="00AF7585" w:rsidP="00AF7585">
      <w:pPr>
        <w:rPr>
          <w:i/>
        </w:rPr>
      </w:pPr>
    </w:p>
    <w:p w:rsidR="00AF7585" w:rsidRDefault="00AF7585" w:rsidP="00AF7585">
      <w:r>
        <w:t xml:space="preserve">The traditional model of the criminal justice system begins with victims of crime reporting to law enforcement agencies.  Reports from these agencies are typically (but not exclusively) the basis for all future considerations of the criminal justice system.  Because of this strategic role, the program of law enforcement agency surveys is a core data collection for BJS.  The </w:t>
      </w:r>
      <w:r w:rsidR="00E90335">
        <w:t>2012 LEMAS Survey</w:t>
      </w:r>
      <w:r>
        <w:t xml:space="preserve"> provides the only systematic and objective basis to produce national estimates of personnel, resources, functions, policies, and practices of the most common type of law enforcement agency.</w:t>
      </w:r>
    </w:p>
    <w:p w:rsidR="00AF7585" w:rsidRDefault="00AF7585" w:rsidP="00AF7585"/>
    <w:p w:rsidR="00FC0C85" w:rsidRDefault="00AF7585" w:rsidP="00AF7585">
      <w:r>
        <w:t xml:space="preserve">BJS has and will </w:t>
      </w:r>
      <w:r w:rsidR="00E90335">
        <w:t>continue to use the LEMAS</w:t>
      </w:r>
      <w:r>
        <w:t xml:space="preserve"> surveys to produce information available from n</w:t>
      </w:r>
      <w:r w:rsidR="00E90335">
        <w:t>o other source.  With LEMAS</w:t>
      </w:r>
      <w:r>
        <w:t>, BJS can produce systematic national estimates on full-time and part-time sworn and nonsworn law enforcement personnel (regardless of whether</w:t>
      </w:r>
      <w:r w:rsidR="00CB7FB2">
        <w:t xml:space="preserve"> or not </w:t>
      </w:r>
      <w:r>
        <w:t xml:space="preserve">those agencies </w:t>
      </w:r>
      <w:r w:rsidR="00D65767">
        <w:t xml:space="preserve">participate </w:t>
      </w:r>
      <w:r>
        <w:t xml:space="preserve">in the FBI’s Uniform Crime </w:t>
      </w:r>
      <w:r w:rsidR="00134F37">
        <w:t xml:space="preserve">Reporting </w:t>
      </w:r>
      <w:r>
        <w:t>Program).  The LEMAS surveys have</w:t>
      </w:r>
      <w:r w:rsidR="00297E51">
        <w:t xml:space="preserve"> provided,</w:t>
      </w:r>
      <w:r>
        <w:t xml:space="preserve"> and will continue to provide</w:t>
      </w:r>
      <w:r w:rsidR="00297E51">
        <w:t>,</w:t>
      </w:r>
      <w:r>
        <w:t xml:space="preserve"> the only national measures of the </w:t>
      </w:r>
      <w:r w:rsidR="00D65767">
        <w:t xml:space="preserve">demographic </w:t>
      </w:r>
      <w:r>
        <w:t xml:space="preserve"> composition of sworn officers; the salaries, benefits, and working conditions for sworn law enforcement personnel; and the extent to which these agencies employ nonsworn personnel.  </w:t>
      </w:r>
    </w:p>
    <w:p w:rsidR="00CB7FB2" w:rsidRDefault="00CB7FB2" w:rsidP="00AF7585"/>
    <w:p w:rsidR="00AF7585" w:rsidRDefault="00AF7585" w:rsidP="00AF7585">
      <w:r>
        <w:t xml:space="preserve">These data are needed by BJS </w:t>
      </w:r>
      <w:r w:rsidR="00747719">
        <w:t>(</w:t>
      </w:r>
      <w:r>
        <w:t>and by the nation</w:t>
      </w:r>
      <w:r w:rsidR="00747719">
        <w:t>)</w:t>
      </w:r>
      <w:r>
        <w:t xml:space="preserve"> to understand the extent to which law enforcement personnel are representative of the communities they serve and </w:t>
      </w:r>
      <w:r w:rsidR="00747719">
        <w:t xml:space="preserve">to determine if </w:t>
      </w:r>
      <w:r>
        <w:t>the working conditions of these personnel are sufficient and appropriate for the responsibilities they face.  In addition, this survey provides BJS with systematic knowledge about the resources, policies practices, and organizational responses used to meet the challenges faced by contemporary law enforcement agencies.</w:t>
      </w:r>
      <w:r w:rsidR="00481FCA">
        <w:t xml:space="preserve">  Comparisons of the 2012 LEMAS with prior LEMAS surveys will also provide important information on how law enforcement agencies have been affected by the recession.</w:t>
      </w:r>
    </w:p>
    <w:p w:rsidR="00AF7585" w:rsidRDefault="00AF7585" w:rsidP="00AF7585"/>
    <w:p w:rsidR="00AF7585" w:rsidRDefault="00AF7585" w:rsidP="00AF7585">
      <w:r>
        <w:t xml:space="preserve">Without </w:t>
      </w:r>
      <w:r w:rsidR="00C356B4">
        <w:t>LEMAS</w:t>
      </w:r>
      <w:r>
        <w:t>, BJS will be unable to describe the number and types of officers in state and local law enforcement agencies and to report to the nation what law enforcement agenc</w:t>
      </w:r>
      <w:r w:rsidR="00C356B4">
        <w:t>ies do.  For example, LEMAS</w:t>
      </w:r>
      <w:r>
        <w:t xml:space="preserve"> provides concrete measures of the extent to which general purpose law enforcement agencies are using various components of the community polic</w:t>
      </w:r>
      <w:r w:rsidR="00A405F1">
        <w:t>ing</w:t>
      </w:r>
      <w:r>
        <w:t xml:space="preserve"> model </w:t>
      </w:r>
      <w:r>
        <w:lastRenderedPageBreak/>
        <w:t xml:space="preserve">recommended by various agencies of the U. S. Department of Justice.  </w:t>
      </w:r>
      <w:r w:rsidR="00C356B4">
        <w:t>LEMAS</w:t>
      </w:r>
      <w:r>
        <w:t xml:space="preserve"> also provides BJS with new information about the current capacity of specific law enforcement agencies to conduct location-specific crime analyses and to link that capacity to an agency’s historic and contemporary rates of reported crime.  In addition, the 2012 </w:t>
      </w:r>
      <w:r w:rsidR="00C356B4">
        <w:t>LEMAS</w:t>
      </w:r>
      <w:r>
        <w:t xml:space="preserve"> is needed to provide BJS with nationally representative data on current policies to enhance officer safety, the number of vehicle pursuits, and the nature and amount of force used.  These issues are at the center of public policy discussions and</w:t>
      </w:r>
      <w:r w:rsidR="00481FCA">
        <w:t xml:space="preserve"> are included in the 2012 LEMAS</w:t>
      </w:r>
      <w:r>
        <w:t xml:space="preserve"> to permit BJS to produce national estimates of the contemporary status of law enforcement agencies as well as reports on changes over time in these matters.</w:t>
      </w:r>
    </w:p>
    <w:p w:rsidR="00AF7585" w:rsidRDefault="00AF7585" w:rsidP="00AF7585"/>
    <w:p w:rsidR="00AF7585" w:rsidRDefault="00AF7585" w:rsidP="00AF7585">
      <w:r>
        <w:t xml:space="preserve">In thirty reports BJS staff has used LEMAS surveys to describe a large number of characteristics of different types of law enforcement agencies (e.g. large police departments, sheriff offices).  These reports are often cited in textbooks, research articles and public discussions as the authoritative source on the characteristics of state and local law enforcement agencies. BJS staff have also used LEMAS data to produce reports on thematic issues such as use of force complaints (Hickman and Piquero, 2009), women in law enforcement (Langton, 2010), and </w:t>
      </w:r>
      <w:r w:rsidR="003608A5">
        <w:t xml:space="preserve">the comparison of </w:t>
      </w:r>
      <w:r>
        <w:t>campus and city police operations (Bromley and Reaves, 1998).  (</w:t>
      </w:r>
      <w:r w:rsidR="00685039">
        <w:t>S</w:t>
      </w:r>
      <w:r>
        <w:t>ee A</w:t>
      </w:r>
      <w:r w:rsidR="00BD6A42">
        <w:t>ttachment</w:t>
      </w:r>
      <w:r>
        <w:t xml:space="preserve"> </w:t>
      </w:r>
      <w:r w:rsidR="003E235B">
        <w:t>3</w:t>
      </w:r>
      <w:r>
        <w:t xml:space="preserve"> for a complete listing of publications derived from LEMAS data</w:t>
      </w:r>
      <w:r w:rsidR="00685039">
        <w:t>.</w:t>
      </w:r>
      <w:r>
        <w:t>)</w:t>
      </w:r>
    </w:p>
    <w:p w:rsidR="003608A5" w:rsidRDefault="003608A5" w:rsidP="00AF7585"/>
    <w:p w:rsidR="00AF7585" w:rsidRPr="005D71C6" w:rsidRDefault="00B235CF" w:rsidP="00AF7585">
      <w:r>
        <w:br w:type="column"/>
      </w:r>
      <w:r w:rsidR="00AF7585" w:rsidRPr="005D71C6">
        <w:lastRenderedPageBreak/>
        <w:t>Uses of the LEMAS Surveys by Others</w:t>
      </w:r>
    </w:p>
    <w:p w:rsidR="00AF7585" w:rsidRDefault="00AF7585" w:rsidP="00AF7585"/>
    <w:p w:rsidR="00AF7585" w:rsidRDefault="00AF7585" w:rsidP="00AF7585">
      <w:r w:rsidRPr="00FA626A">
        <w:t>The information generated from the LEMAS survey</w:t>
      </w:r>
      <w:r>
        <w:t xml:space="preserve">s is widely used and cited by the law enforcement professional and research communities.  </w:t>
      </w:r>
      <w:r w:rsidRPr="00FA626A">
        <w:t xml:space="preserve"> </w:t>
      </w:r>
      <w:r>
        <w:t xml:space="preserve">As of January 2012, there have been over 100 published reports derived from the </w:t>
      </w:r>
      <w:r w:rsidRPr="00FA626A">
        <w:t xml:space="preserve">eight waves of LEMAS </w:t>
      </w:r>
      <w:r>
        <w:t>data.   The private publications authored by independent researchers tend to use the LEMAS data</w:t>
      </w:r>
      <w:r>
        <w:rPr>
          <w:rStyle w:val="FootnoteReference"/>
        </w:rPr>
        <w:footnoteReference w:id="4"/>
      </w:r>
      <w:r>
        <w:t xml:space="preserve"> in conjunction with other sources of information to address specific topics such as police arrest decisions, law enforcement uses of geographic information systems, and law enforcement responses to specific issues (e.g., hate crimes, gangs, intimate partner violence).   The LEMAS data are also used by justice department officials (U.S. Department of Justice, 2011) and in widely read publications by professional law enforcement organizations (Melekian, 2012) as authoritative statistics on law enforcement trends.</w:t>
      </w:r>
    </w:p>
    <w:p w:rsidR="00AF7585" w:rsidRDefault="00AF7585" w:rsidP="00AF7585"/>
    <w:p w:rsidR="00AF7585" w:rsidRDefault="00AF7585" w:rsidP="00AF7585">
      <w:r>
        <w:t xml:space="preserve">A frequent user of the information obtained from the LEMAS surveys is the staff from state and local law enforcement agencies, often </w:t>
      </w:r>
      <w:r w:rsidR="00CB7FB2">
        <w:t xml:space="preserve">individuals </w:t>
      </w:r>
      <w:r>
        <w:t xml:space="preserve">from the same agencies that complete the LEMAS surveys.  While some of these agencies are interested in summary statistics or national averages provided by BJS published reports, BJS frequently answers inquiries from law enforcement personnel about aspects of a select number of agencies that the inquiring agencies consider their peers.  For instance, the Phoenix Police Department may want to compare itself with the Los Angeles Police Department or a small sheriff’s office in Alabama may want to know how many other sheriff offices in Alabama have a gang unit or a use of force policy.  The existence of specialized units or the adoption of new technology are two aspects of the LEMAS surveys which have been a regular interest to law enforcement personnel, many of whom are considering creating new units or purchasing similar equipment for their agencies.  </w:t>
      </w:r>
    </w:p>
    <w:p w:rsidR="00AF7585" w:rsidRDefault="00AF7585" w:rsidP="00AF7585"/>
    <w:p w:rsidR="00AF7585" w:rsidRDefault="00AF7585" w:rsidP="00AF7585">
      <w:r>
        <w:t xml:space="preserve">Two </w:t>
      </w:r>
      <w:r w:rsidR="00CB7FB2">
        <w:t xml:space="preserve">other </w:t>
      </w:r>
      <w:r>
        <w:t xml:space="preserve">frequent users of the LEMAS data are the media and the public.  The BJS Law Enforcement Statistics Unit answers hundreds of calls every year from the public or from media reporters.  These calls often concern details that can be answered only with information from BJS surveys of general purpose law enforcement agencies.  </w:t>
      </w:r>
    </w:p>
    <w:p w:rsidR="008E3C00" w:rsidRDefault="008E3C00" w:rsidP="00AF7585"/>
    <w:p w:rsidR="0040077B" w:rsidRDefault="008E3C00" w:rsidP="00AF7585">
      <w:r>
        <w:t xml:space="preserve">The </w:t>
      </w:r>
      <w:r w:rsidR="00CB7FB2">
        <w:t xml:space="preserve">revised </w:t>
      </w:r>
      <w:r>
        <w:t xml:space="preserve">design of the </w:t>
      </w:r>
      <w:r w:rsidR="00E952D3">
        <w:t>LEMAS Survey</w:t>
      </w:r>
      <w:r>
        <w:t xml:space="preserve"> will enhance the use of these data by law enforcement professionals and researchers.  First, by archiving data files with consistent agency identification numbers for each agency, </w:t>
      </w:r>
      <w:r w:rsidR="00017E40">
        <w:t xml:space="preserve">analysts outside of BJS can more easily </w:t>
      </w:r>
      <w:r>
        <w:t xml:space="preserve">examine changes in particular agencies or groups of agencies over time.  Second, the </w:t>
      </w:r>
      <w:r w:rsidR="00E952D3">
        <w:t>2012 LEMAS</w:t>
      </w:r>
      <w:r>
        <w:t xml:space="preserve"> results will be linked</w:t>
      </w:r>
      <w:r w:rsidR="00017E40">
        <w:t>, through ORI codes,</w:t>
      </w:r>
      <w:r>
        <w:t xml:space="preserve"> with data from the FBI’s </w:t>
      </w:r>
      <w:r w:rsidR="00A405F1">
        <w:t>UCR</w:t>
      </w:r>
      <w:r>
        <w:t xml:space="preserve"> and LEOKA data at the a</w:t>
      </w:r>
      <w:r w:rsidR="00E952D3">
        <w:t>gency level.  Lastly, LEMAS</w:t>
      </w:r>
      <w:r>
        <w:t xml:space="preserve"> incorporates data about agency performance as well as the characteristics of organizations and personnel. </w:t>
      </w:r>
      <w:r w:rsidR="00017E40">
        <w:t xml:space="preserve"> These aspects of the 2012 </w:t>
      </w:r>
      <w:r w:rsidR="00E952D3">
        <w:t>LEMAS</w:t>
      </w:r>
      <w:r w:rsidR="00017E40">
        <w:t xml:space="preserve"> </w:t>
      </w:r>
      <w:r>
        <w:t>should increase external interest in</w:t>
      </w:r>
      <w:r w:rsidR="00CB7FB2">
        <w:t>,</w:t>
      </w:r>
      <w:r>
        <w:t xml:space="preserve"> and use of</w:t>
      </w:r>
      <w:r w:rsidR="00CB7FB2">
        <w:t>,</w:t>
      </w:r>
      <w:r>
        <w:t xml:space="preserve"> the </w:t>
      </w:r>
      <w:r w:rsidR="00E952D3">
        <w:t>LEMAS</w:t>
      </w:r>
      <w:r>
        <w:t xml:space="preserve"> data</w:t>
      </w:r>
      <w:r w:rsidR="00017E40">
        <w:t xml:space="preserve"> beyond that found in the </w:t>
      </w:r>
      <w:r w:rsidR="00E952D3">
        <w:t xml:space="preserve">previous </w:t>
      </w:r>
      <w:r w:rsidR="00017E40">
        <w:t>LEMAS surveys.</w:t>
      </w:r>
    </w:p>
    <w:p w:rsidR="00A71107" w:rsidRDefault="00A71107" w:rsidP="00AF7585"/>
    <w:p w:rsidR="00AF7585" w:rsidRPr="00B235CF" w:rsidRDefault="00AF7585" w:rsidP="00AF7585">
      <w:pPr>
        <w:pStyle w:val="Default"/>
        <w:rPr>
          <w:rFonts w:ascii="Times New Roman" w:hAnsi="Times New Roman" w:cs="Times New Roman"/>
        </w:rPr>
      </w:pPr>
      <w:r w:rsidRPr="00B235CF">
        <w:rPr>
          <w:rFonts w:ascii="Times New Roman" w:hAnsi="Times New Roman" w:cs="Times New Roman"/>
        </w:rPr>
        <w:t xml:space="preserve">Anticipated Products </w:t>
      </w:r>
    </w:p>
    <w:p w:rsidR="00AF7585" w:rsidRPr="00D168F5" w:rsidRDefault="00AF7585" w:rsidP="00AF7585">
      <w:pPr>
        <w:pStyle w:val="Default"/>
        <w:rPr>
          <w:rFonts w:ascii="Times New Roman" w:hAnsi="Times New Roman" w:cs="Times New Roman"/>
          <w:i/>
        </w:rPr>
      </w:pPr>
    </w:p>
    <w:p w:rsidR="00AF7585" w:rsidRDefault="00AF7585" w:rsidP="00AF7585">
      <w:pPr>
        <w:pStyle w:val="Default"/>
        <w:rPr>
          <w:rFonts w:ascii="Times New Roman" w:hAnsi="Times New Roman" w:cs="Times New Roman"/>
        </w:rPr>
      </w:pPr>
      <w:r>
        <w:rPr>
          <w:rFonts w:ascii="Times New Roman" w:hAnsi="Times New Roman" w:cs="Times New Roman"/>
        </w:rPr>
        <w:t xml:space="preserve">BJS anticipates producing </w:t>
      </w:r>
      <w:r w:rsidR="00685039">
        <w:rPr>
          <w:rFonts w:ascii="Times New Roman" w:hAnsi="Times New Roman" w:cs="Times New Roman"/>
        </w:rPr>
        <w:t>multiple</w:t>
      </w:r>
      <w:r>
        <w:rPr>
          <w:rFonts w:ascii="Times New Roman" w:hAnsi="Times New Roman" w:cs="Times New Roman"/>
        </w:rPr>
        <w:t xml:space="preserve"> reports from the 2012 </w:t>
      </w:r>
      <w:r w:rsidR="00E952D3">
        <w:rPr>
          <w:rFonts w:ascii="Times New Roman" w:hAnsi="Times New Roman" w:cs="Times New Roman"/>
        </w:rPr>
        <w:t>LEMAS</w:t>
      </w:r>
      <w:r>
        <w:rPr>
          <w:rFonts w:ascii="Times New Roman" w:hAnsi="Times New Roman" w:cs="Times New Roman"/>
        </w:rPr>
        <w:t xml:space="preserve">.  The first report will emphasize the resources available to law enforcement agencies in 2012 and, where appropriate data exist, trends in those resources since 1987.  This report will emphasize changes in the </w:t>
      </w:r>
      <w:r>
        <w:rPr>
          <w:rFonts w:ascii="Times New Roman" w:hAnsi="Times New Roman" w:cs="Times New Roman"/>
        </w:rPr>
        <w:lastRenderedPageBreak/>
        <w:t xml:space="preserve">number of agencies, sworn and nonsworn personnel, agency budgets and equipment, salary schedules, and employment benefits.  For many of these items, we will have eight waves of data for reporting changes over time.  This report will also address the recent use of furloughs, layoffs, and changes in benefits, overtime work and officer authority to work overtime for other agencies.  </w:t>
      </w:r>
    </w:p>
    <w:p w:rsidR="00AF7585" w:rsidRDefault="00AF7585" w:rsidP="00AF7585">
      <w:pPr>
        <w:pStyle w:val="Default"/>
        <w:rPr>
          <w:rFonts w:ascii="Times New Roman" w:hAnsi="Times New Roman" w:cs="Times New Roman"/>
        </w:rPr>
      </w:pPr>
    </w:p>
    <w:p w:rsidR="00AF7585" w:rsidRDefault="00AF7585" w:rsidP="00AF7585">
      <w:pPr>
        <w:pStyle w:val="Default"/>
        <w:rPr>
          <w:rFonts w:ascii="Times New Roman" w:hAnsi="Times New Roman" w:cs="Times New Roman"/>
        </w:rPr>
      </w:pPr>
      <w:r>
        <w:rPr>
          <w:rFonts w:ascii="Times New Roman" w:hAnsi="Times New Roman" w:cs="Times New Roman"/>
        </w:rPr>
        <w:t xml:space="preserve">The 2012 </w:t>
      </w:r>
      <w:r w:rsidR="00E952D3">
        <w:rPr>
          <w:rFonts w:ascii="Times New Roman" w:hAnsi="Times New Roman" w:cs="Times New Roman"/>
        </w:rPr>
        <w:t>LEM</w:t>
      </w:r>
      <w:r w:rsidR="00A405F1">
        <w:rPr>
          <w:rFonts w:ascii="Times New Roman" w:hAnsi="Times New Roman" w:cs="Times New Roman"/>
        </w:rPr>
        <w:t>A</w:t>
      </w:r>
      <w:r w:rsidR="00E952D3">
        <w:rPr>
          <w:rFonts w:ascii="Times New Roman" w:hAnsi="Times New Roman" w:cs="Times New Roman"/>
        </w:rPr>
        <w:t>S</w:t>
      </w:r>
      <w:r>
        <w:rPr>
          <w:rFonts w:ascii="Times New Roman" w:hAnsi="Times New Roman" w:cs="Times New Roman"/>
        </w:rPr>
        <w:t xml:space="preserve"> supplement</w:t>
      </w:r>
      <w:r w:rsidR="00E952D3">
        <w:rPr>
          <w:rFonts w:ascii="Times New Roman" w:hAnsi="Times New Roman" w:cs="Times New Roman"/>
        </w:rPr>
        <w:t>al item</w:t>
      </w:r>
      <w:r>
        <w:rPr>
          <w:rFonts w:ascii="Times New Roman" w:hAnsi="Times New Roman" w:cs="Times New Roman"/>
        </w:rPr>
        <w:t>s on agency resources, community policing, information systems, officer safety and police use of force will be the basis for additional reports.  Each of these reports will be short, focused on a single theme, and will incorporate national estimates for 2012 along with analyses of trends in policies and practices</w:t>
      </w:r>
      <w:r w:rsidR="00685039">
        <w:rPr>
          <w:rFonts w:ascii="Times New Roman" w:hAnsi="Times New Roman" w:cs="Times New Roman"/>
        </w:rPr>
        <w:t>.  For example, s</w:t>
      </w:r>
      <w:r>
        <w:rPr>
          <w:rFonts w:ascii="Times New Roman" w:hAnsi="Times New Roman" w:cs="Times New Roman"/>
        </w:rPr>
        <w:t xml:space="preserve">ince virtually all of the community policing items in the </w:t>
      </w:r>
      <w:r w:rsidR="00E952D3">
        <w:rPr>
          <w:rFonts w:ascii="Times New Roman" w:hAnsi="Times New Roman" w:cs="Times New Roman"/>
        </w:rPr>
        <w:t>2012 LEMAS</w:t>
      </w:r>
      <w:r>
        <w:rPr>
          <w:rFonts w:ascii="Times New Roman" w:hAnsi="Times New Roman" w:cs="Times New Roman"/>
        </w:rPr>
        <w:t xml:space="preserve"> were used in LEMAS surveys since 1999, th</w:t>
      </w:r>
      <w:r w:rsidR="00685039">
        <w:rPr>
          <w:rFonts w:ascii="Times New Roman" w:hAnsi="Times New Roman" w:cs="Times New Roman"/>
        </w:rPr>
        <w:t>e report on community policing</w:t>
      </w:r>
      <w:r w:rsidR="004A70AC">
        <w:rPr>
          <w:rFonts w:ascii="Times New Roman" w:hAnsi="Times New Roman" w:cs="Times New Roman"/>
        </w:rPr>
        <w:t xml:space="preserve"> </w:t>
      </w:r>
      <w:r>
        <w:rPr>
          <w:rFonts w:ascii="Times New Roman" w:hAnsi="Times New Roman" w:cs="Times New Roman"/>
        </w:rPr>
        <w:t xml:space="preserve">will emphasize trends in community policing.  About half of the questions concerning officer use of information systems were present in previous LEMAS surveys and that report will blend reporting about contemporary activities and historical trends.  Most of the officer safety and police use of force questions are new to </w:t>
      </w:r>
      <w:r w:rsidR="00E952D3">
        <w:rPr>
          <w:rFonts w:ascii="Times New Roman" w:hAnsi="Times New Roman" w:cs="Times New Roman"/>
        </w:rPr>
        <w:t>LEMAS</w:t>
      </w:r>
      <w:r>
        <w:rPr>
          <w:rFonts w:ascii="Times New Roman" w:hAnsi="Times New Roman" w:cs="Times New Roman"/>
        </w:rPr>
        <w:t xml:space="preserve"> and the trend analyses in these reports will be limited.   [A</w:t>
      </w:r>
      <w:r w:rsidR="00CB7FB2">
        <w:rPr>
          <w:rFonts w:ascii="Times New Roman" w:hAnsi="Times New Roman" w:cs="Times New Roman"/>
        </w:rPr>
        <w:t>ttachment</w:t>
      </w:r>
      <w:r>
        <w:rPr>
          <w:rFonts w:ascii="Times New Roman" w:hAnsi="Times New Roman" w:cs="Times New Roman"/>
        </w:rPr>
        <w:t xml:space="preserve"> </w:t>
      </w:r>
      <w:r w:rsidR="003F0ECC">
        <w:rPr>
          <w:rFonts w:ascii="Times New Roman" w:hAnsi="Times New Roman" w:cs="Times New Roman"/>
        </w:rPr>
        <w:t>3</w:t>
      </w:r>
      <w:r>
        <w:rPr>
          <w:rFonts w:ascii="Times New Roman" w:hAnsi="Times New Roman" w:cs="Times New Roman"/>
        </w:rPr>
        <w:t xml:space="preserve"> provides a listing of survey items, their domains and the prior use of these items in LEMAS or other BJS surveys of law enforcement agencies.]</w:t>
      </w:r>
    </w:p>
    <w:p w:rsidR="00AF7585" w:rsidRDefault="00AF7585" w:rsidP="00AF7585">
      <w:pPr>
        <w:pStyle w:val="Default"/>
        <w:rPr>
          <w:rFonts w:ascii="Times New Roman" w:hAnsi="Times New Roman" w:cs="Times New Roman"/>
        </w:rPr>
      </w:pPr>
    </w:p>
    <w:p w:rsidR="00AF7585" w:rsidRDefault="00AF7585" w:rsidP="00AF7585">
      <w:pPr>
        <w:pStyle w:val="Default"/>
        <w:rPr>
          <w:rFonts w:ascii="Times New Roman" w:hAnsi="Times New Roman" w:cs="Times New Roman"/>
        </w:rPr>
      </w:pPr>
      <w:r>
        <w:rPr>
          <w:rFonts w:ascii="Times New Roman" w:hAnsi="Times New Roman" w:cs="Times New Roman"/>
        </w:rPr>
        <w:t xml:space="preserve">In addition to the planned </w:t>
      </w:r>
      <w:r w:rsidR="00685039">
        <w:rPr>
          <w:rFonts w:ascii="Times New Roman" w:hAnsi="Times New Roman" w:cs="Times New Roman"/>
        </w:rPr>
        <w:t>analytical</w:t>
      </w:r>
      <w:r>
        <w:rPr>
          <w:rFonts w:ascii="Times New Roman" w:hAnsi="Times New Roman" w:cs="Times New Roman"/>
        </w:rPr>
        <w:t xml:space="preserve"> reports, BJS will produce an on-line data tool using all the data from the 2012 </w:t>
      </w:r>
      <w:r w:rsidR="00E952D3">
        <w:rPr>
          <w:rFonts w:ascii="Times New Roman" w:hAnsi="Times New Roman" w:cs="Times New Roman"/>
        </w:rPr>
        <w:t>LEMAS</w:t>
      </w:r>
      <w:r>
        <w:rPr>
          <w:rFonts w:ascii="Times New Roman" w:hAnsi="Times New Roman" w:cs="Times New Roman"/>
        </w:rPr>
        <w:t xml:space="preserve"> so that law enforcement professionals, law enforcement researchers and the general public can have immediate access to information about individual law enforcement agencies as well as summary information by agency type, size, or location.</w:t>
      </w:r>
    </w:p>
    <w:p w:rsidR="00AF7585" w:rsidRDefault="00AF7585" w:rsidP="00AF7585">
      <w:pPr>
        <w:pStyle w:val="Default"/>
        <w:rPr>
          <w:rFonts w:ascii="Times New Roman" w:hAnsi="Times New Roman" w:cs="Times New Roman"/>
        </w:rPr>
      </w:pPr>
    </w:p>
    <w:p w:rsidR="00AF7585" w:rsidRDefault="00AF7585" w:rsidP="00AF7585">
      <w:pPr>
        <w:pStyle w:val="Default"/>
        <w:rPr>
          <w:rFonts w:ascii="Times New Roman" w:hAnsi="Times New Roman" w:cs="Times New Roman"/>
        </w:rPr>
      </w:pPr>
      <w:r>
        <w:rPr>
          <w:rFonts w:ascii="Times New Roman" w:hAnsi="Times New Roman" w:cs="Times New Roman"/>
        </w:rPr>
        <w:t xml:space="preserve">At the time of the initial publication from the 2012 </w:t>
      </w:r>
      <w:r w:rsidR="00E952D3">
        <w:rPr>
          <w:rFonts w:ascii="Times New Roman" w:hAnsi="Times New Roman" w:cs="Times New Roman"/>
        </w:rPr>
        <w:t>LEMAS</w:t>
      </w:r>
      <w:r>
        <w:rPr>
          <w:rFonts w:ascii="Times New Roman" w:hAnsi="Times New Roman" w:cs="Times New Roman"/>
        </w:rPr>
        <w:t>, BJS will release fully-documented data files for public use through the National Archive of Criminal Justice Data at the University of Michigan.</w:t>
      </w:r>
    </w:p>
    <w:p w:rsidR="00AF7585" w:rsidRDefault="00AF7585" w:rsidP="00AF7585">
      <w:pPr>
        <w:pStyle w:val="Default"/>
        <w:rPr>
          <w:rFonts w:ascii="Times New Roman" w:hAnsi="Times New Roman" w:cs="Times New Roman"/>
        </w:rPr>
      </w:pP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Use of Information Technology</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AF7585" w:rsidRDefault="00AF7585" w:rsidP="00AF7585">
      <w:r>
        <w:t xml:space="preserve">The </w:t>
      </w:r>
      <w:r w:rsidR="00E952D3">
        <w:t>2012 LEM</w:t>
      </w:r>
      <w:r w:rsidR="00A405F1">
        <w:t>A</w:t>
      </w:r>
      <w:r w:rsidR="00E952D3">
        <w:t>S</w:t>
      </w:r>
      <w:r>
        <w:t xml:space="preserve"> instrument has been designed for online data collection </w:t>
      </w:r>
      <w:r w:rsidR="00A71107">
        <w:t>that will export survey data and paradata in SPSS format</w:t>
      </w:r>
      <w:r>
        <w:t xml:space="preserve">. </w:t>
      </w:r>
      <w:r w:rsidR="00A71107">
        <w:t xml:space="preserve"> </w:t>
      </w:r>
      <w:r>
        <w:t xml:space="preserve">This software will allow the Urban Institute to send an email to respondents explaining the </w:t>
      </w:r>
      <w:r w:rsidR="00E952D3">
        <w:t>LEMAS</w:t>
      </w:r>
      <w:r>
        <w:t xml:space="preserve"> </w:t>
      </w:r>
      <w:r w:rsidR="00E952D3">
        <w:t>program</w:t>
      </w:r>
      <w:r>
        <w:t xml:space="preserve"> and containing a hyperlink to the questionnaire. </w:t>
      </w:r>
      <w:r w:rsidR="00A71107">
        <w:t xml:space="preserve">  </w:t>
      </w:r>
      <w:r>
        <w:t xml:space="preserve">Additionally, the software allows for real-time online tracking of respondents thereby allowing BJS to track the completion of each agency’s responses. </w:t>
      </w:r>
    </w:p>
    <w:p w:rsidR="00AF7585" w:rsidRDefault="00AF7585" w:rsidP="00AF7585">
      <w:pPr>
        <w:pStyle w:val="ListParagraph"/>
        <w:ind w:left="360"/>
      </w:pPr>
    </w:p>
    <w:p w:rsidR="00AF7585" w:rsidRDefault="00AF7585" w:rsidP="00AF7585">
      <w:r>
        <w:t>Some law enforcement organizations without access to the internet or lack the capabilities to respond to an electronic questionnaire will be sent a paper-based survey by fax or through the mail.  These data will be entered into the automated data file as they are received noting the date and method of data submission.</w:t>
      </w:r>
    </w:p>
    <w:p w:rsidR="00AF7585" w:rsidRDefault="00AF7585" w:rsidP="00AF7585">
      <w:pPr>
        <w:pStyle w:val="ListParagraph"/>
        <w:ind w:left="360"/>
      </w:pPr>
    </w:p>
    <w:p w:rsidR="00AF7585" w:rsidRDefault="00AF7585" w:rsidP="00AF7585">
      <w:r>
        <w:t xml:space="preserve">The dataset, and supporting documentation, will be made available for download without charge at the National Archive of Criminal Justice Data at the Inter-University Consortium for Political and Social Research (ICPSR) and at Data.gov.  Access to these data permits analysts to identify the specific responses of individual agencies and to conduct statistical analyses about general purpose law agencies.  These data will have agency and jurisdiction specific identifiers </w:t>
      </w:r>
      <w:r w:rsidR="00CB7FB2">
        <w:t>that</w:t>
      </w:r>
      <w:r>
        <w:t xml:space="preserve"> will </w:t>
      </w:r>
      <w:r>
        <w:lastRenderedPageBreak/>
        <w:t>permit the public use of these data in combination with other data files with similar agency or location identifiers.</w:t>
      </w:r>
    </w:p>
    <w:p w:rsidR="00AF7585" w:rsidRDefault="00AF7585" w:rsidP="00AF7585">
      <w:pPr>
        <w:pStyle w:val="ListParagraph"/>
        <w:ind w:left="360"/>
      </w:pPr>
    </w:p>
    <w:p w:rsidR="00AF7585" w:rsidRDefault="00AF7585" w:rsidP="00AF7585">
      <w:r>
        <w:t>The BJS</w:t>
      </w:r>
      <w:r w:rsidR="00685039">
        <w:t>-</w:t>
      </w:r>
      <w:r>
        <w:t xml:space="preserve">produced findings from the </w:t>
      </w:r>
      <w:r w:rsidR="00E952D3">
        <w:t>2012 LEMAS Survey</w:t>
      </w:r>
      <w:r>
        <w:t xml:space="preserve"> will be provided to the public in electronic format. The</w:t>
      </w:r>
      <w:r w:rsidR="00E952D3">
        <w:t>se</w:t>
      </w:r>
      <w:r>
        <w:t xml:space="preserve"> reports will be available on the BJS website as PDF files. BJS will also produce a web-based, data analysis tool for the 2012 </w:t>
      </w:r>
      <w:r w:rsidR="00E952D3">
        <w:t>LEMAS Survey</w:t>
      </w:r>
      <w:r>
        <w:t xml:space="preserve"> to increase the ease with which the public can access information about specific agencies or types of agencies.</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 xml:space="preserve">Efforts to Identify Duplication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30734" w:rsidRDefault="00B56D33"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w:t>
      </w:r>
      <w:r w:rsidR="000D32F1">
        <w:t>d</w:t>
      </w:r>
      <w:r>
        <w:t xml:space="preserve"> on</w:t>
      </w:r>
      <w:r w:rsidR="004A70AC">
        <w:t xml:space="preserve"> our knowledge of the </w:t>
      </w:r>
      <w:r w:rsidR="001A538D">
        <w:t>Federal statistical system</w:t>
      </w:r>
      <w:r>
        <w:t>,</w:t>
      </w:r>
      <w:r w:rsidR="001A538D">
        <w:t xml:space="preserve"> in general</w:t>
      </w:r>
      <w:r>
        <w:t>,</w:t>
      </w:r>
      <w:r w:rsidR="001A538D">
        <w:t xml:space="preserve"> and law enforcement surveys in particular, </w:t>
      </w:r>
      <w:r w:rsidR="00685039">
        <w:t xml:space="preserve">BJS </w:t>
      </w:r>
      <w:r w:rsidR="00AF7585">
        <w:t xml:space="preserve">has determined that </w:t>
      </w:r>
      <w:r w:rsidR="00584C6A">
        <w:t xml:space="preserve">the </w:t>
      </w:r>
      <w:r w:rsidR="001A538D">
        <w:t>2012</w:t>
      </w:r>
      <w:r w:rsidR="00584C6A">
        <w:t xml:space="preserve"> </w:t>
      </w:r>
      <w:r w:rsidR="00E952D3">
        <w:t>LEMAS</w:t>
      </w:r>
      <w:r w:rsidR="00584C6A">
        <w:t xml:space="preserve"> include</w:t>
      </w:r>
      <w:r w:rsidR="00EB144D">
        <w:t>s measures of the number of law enforcement personnel and their salaries that are also included in</w:t>
      </w:r>
      <w:r w:rsidR="00584C6A">
        <w:t xml:space="preserve"> </w:t>
      </w:r>
      <w:r w:rsidR="004A70AC">
        <w:t xml:space="preserve">two </w:t>
      </w:r>
      <w:r w:rsidR="003E68F0">
        <w:t xml:space="preserve">ongoing </w:t>
      </w:r>
      <w:r w:rsidR="004A70AC">
        <w:t>survey</w:t>
      </w:r>
      <w:r w:rsidR="003E68F0">
        <w:t>s</w:t>
      </w:r>
      <w:r w:rsidR="004A70AC">
        <w:t xml:space="preserve"> by other Federal agencies</w:t>
      </w:r>
      <w:r w:rsidR="00584C6A">
        <w:t>.</w:t>
      </w:r>
      <w:r>
        <w:rPr>
          <w:rStyle w:val="FootnoteReference"/>
        </w:rPr>
        <w:footnoteReference w:id="5"/>
      </w:r>
      <w:r w:rsidR="00584C6A">
        <w:t xml:space="preserve">  </w:t>
      </w:r>
      <w:r w:rsidR="004A70AC">
        <w:t>T</w:t>
      </w:r>
      <w:r w:rsidR="00AF7585">
        <w:t xml:space="preserve">he Federal Bureau of Investigation </w:t>
      </w:r>
      <w:r w:rsidR="003E68F0">
        <w:t xml:space="preserve">annually </w:t>
      </w:r>
      <w:r w:rsidR="00AF7585">
        <w:t>collects information</w:t>
      </w:r>
      <w:r w:rsidR="00BB16C3">
        <w:t xml:space="preserve"> from law enforcement agencies</w:t>
      </w:r>
      <w:r w:rsidR="00AF7585">
        <w:t xml:space="preserve"> about the number and sex of sworn and nonsworn personnel as part of the “Number of Full-Time Law Enforcement Employees” (</w:t>
      </w:r>
      <w:r w:rsidR="00AF7585" w:rsidRPr="00E727EA">
        <w:t>OMB No. 1110-0004)</w:t>
      </w:r>
      <w:r w:rsidR="00AF7585">
        <w:t xml:space="preserve">. </w:t>
      </w:r>
      <w:r w:rsidR="00530734">
        <w:t xml:space="preserve"> The Bureau of Labor Statistics’</w:t>
      </w:r>
      <w:r w:rsidR="00C67EE2">
        <w:t xml:space="preserve"> (BLS) </w:t>
      </w:r>
      <w:r w:rsidR="00BB16C3">
        <w:t>“</w:t>
      </w:r>
      <w:r w:rsidR="00530734">
        <w:t>Occupational Employment Survey</w:t>
      </w:r>
      <w:r w:rsidR="00BB16C3">
        <w:t xml:space="preserve">” (OMB </w:t>
      </w:r>
      <w:r w:rsidR="00BB16C3" w:rsidRPr="00FC412D">
        <w:t>No. 1220-0042</w:t>
      </w:r>
      <w:r w:rsidR="00BB16C3">
        <w:t>)</w:t>
      </w:r>
      <w:r w:rsidR="00530734">
        <w:t xml:space="preserve"> samples employers yearly about the number and salaries of employees in </w:t>
      </w:r>
      <w:r w:rsidR="00C67EE2">
        <w:t xml:space="preserve">three </w:t>
      </w:r>
      <w:r w:rsidR="00BB16C3">
        <w:t>Protective Service Occupation</w:t>
      </w:r>
      <w:r w:rsidR="00C67EE2">
        <w:t xml:space="preserve"> subcategories: 1) </w:t>
      </w:r>
      <w:r w:rsidR="00BB16C3">
        <w:t xml:space="preserve">police and sheriff patrol officers, </w:t>
      </w:r>
      <w:r w:rsidR="00C67EE2">
        <w:t xml:space="preserve">2) </w:t>
      </w:r>
      <w:r w:rsidR="00BB16C3">
        <w:t xml:space="preserve">detectives and criminal investigators, and </w:t>
      </w:r>
      <w:r w:rsidR="00C67EE2">
        <w:t xml:space="preserve">3) </w:t>
      </w:r>
      <w:r w:rsidR="00BB16C3">
        <w:t xml:space="preserve">first line supervisors of police and detectives. </w:t>
      </w:r>
    </w:p>
    <w:p w:rsidR="00530734" w:rsidRDefault="00530734"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D2124" w:rsidRDefault="001B7FC0"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 has identified f</w:t>
      </w:r>
      <w:r w:rsidR="00AF7585">
        <w:t>our variables—</w:t>
      </w:r>
      <w:r>
        <w:t xml:space="preserve">the number of </w:t>
      </w:r>
      <w:r w:rsidR="00AF7585">
        <w:t xml:space="preserve">male sworn, male nonsworn, female sworn, </w:t>
      </w:r>
      <w:r w:rsidR="008B29DD">
        <w:t xml:space="preserve">and </w:t>
      </w:r>
      <w:r w:rsidR="00AF7585">
        <w:t>female nonsworn</w:t>
      </w:r>
      <w:r>
        <w:t xml:space="preserve"> personnel</w:t>
      </w:r>
      <w:r w:rsidR="00AF7585">
        <w:t>—</w:t>
      </w:r>
      <w:r>
        <w:t>that are collected and reported by the FBI survey and by BJS in its Census of State and Local Law Enforcement Agencies (</w:t>
      </w:r>
      <w:r w:rsidRPr="00FC412D">
        <w:t>OMB NO. 1121-0240) and</w:t>
      </w:r>
      <w:r>
        <w:t xml:space="preserve"> </w:t>
      </w:r>
      <w:r w:rsidR="00E952D3">
        <w:t>in the LEMAS surveys</w:t>
      </w:r>
      <w:r>
        <w:t xml:space="preserve">.  </w:t>
      </w:r>
      <w:r w:rsidR="00EB144D">
        <w:t>In</w:t>
      </w:r>
      <w:r w:rsidR="00A55C8F">
        <w:t xml:space="preserve"> the five years (1992, 1996, 2000, 2004 and 2008) for which both the FBI survey and the </w:t>
      </w:r>
      <w:r>
        <w:t>BJS</w:t>
      </w:r>
      <w:r w:rsidR="00A55C8F">
        <w:t xml:space="preserve"> census were conducted</w:t>
      </w:r>
      <w:r w:rsidR="007A1513">
        <w:t>, the FBI collected data from 3,600 to 5,200 fewer agencies</w:t>
      </w:r>
      <w:r w:rsidR="00A55C8F">
        <w:t xml:space="preserve"> </w:t>
      </w:r>
      <w:r w:rsidR="007A1513">
        <w:t xml:space="preserve">(24.9%)  and report </w:t>
      </w:r>
      <w:r w:rsidR="001D2124">
        <w:t xml:space="preserve">about 100,000 fewer total personnel (10.0%).  These differences are due in part to the different criteria for inclusion of agencies and personnel in these two surveys.  The FBI survey is limited to personnel paid “with law enforcement funds” while the BJS surveys include all personnel regardless </w:t>
      </w:r>
      <w:r w:rsidR="00155575">
        <w:t xml:space="preserve">of what </w:t>
      </w:r>
      <w:r w:rsidR="001D2124">
        <w:t>funds pay their salaries.  In addition, BJS survey captures all agencies that employ the equivalent of at least one full-time sworn personnel</w:t>
      </w:r>
      <w:r w:rsidR="00155575">
        <w:t>; t</w:t>
      </w:r>
      <w:r w:rsidR="001D2124">
        <w:t>he FBI survey is limited to agencies that report to the</w:t>
      </w:r>
      <w:r w:rsidR="000B0998">
        <w:t xml:space="preserve"> FBI’s </w:t>
      </w:r>
      <w:r w:rsidR="001D2124">
        <w:t>UCR program during that particular year (See Reaves, 2011).</w:t>
      </w:r>
      <w:r w:rsidR="001D089E">
        <w:t xml:space="preserve">  </w:t>
      </w:r>
    </w:p>
    <w:p w:rsidR="00C67EE2" w:rsidRDefault="00C67EE2"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4FB0" w:rsidRDefault="007F2C9B"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 and the FBI collect and report personnel numbers at the agency level.  They use slightly different definitions of “law enforcement” personnel and capture different proportions of the total population of law enforcement agencies and personnel.  The few data items about personnel in the FBI survey are collected in conjunction with annual data collections of hundreds of items about reported offenses and about assa</w:t>
      </w:r>
      <w:r w:rsidR="005D0FB0">
        <w:t>ult on law enforcement officers</w:t>
      </w:r>
      <w:r w:rsidR="009C4FB0">
        <w:t xml:space="preserve"> and are needed to report offense, arrest and assault rates per sworn personnel</w:t>
      </w:r>
      <w:r w:rsidR="005D0FB0">
        <w:t xml:space="preserve">.  </w:t>
      </w:r>
    </w:p>
    <w:p w:rsidR="009C4FB0" w:rsidRDefault="009C4FB0"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D089E" w:rsidRDefault="005D0FB0" w:rsidP="001D08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items about personnel in the BJS </w:t>
      </w:r>
      <w:r w:rsidR="001D089E">
        <w:t xml:space="preserve">law enforcement census and in the </w:t>
      </w:r>
      <w:r w:rsidR="00B56D33">
        <w:t>LEMAS surveys</w:t>
      </w:r>
      <w:r w:rsidR="001D089E">
        <w:t xml:space="preserve"> </w:t>
      </w:r>
      <w:r>
        <w:t xml:space="preserve">are used to produce national estimates </w:t>
      </w:r>
      <w:r w:rsidR="000B0998">
        <w:t xml:space="preserve">of personnel </w:t>
      </w:r>
      <w:r>
        <w:t xml:space="preserve">and to provide the basis </w:t>
      </w:r>
      <w:r w:rsidR="000B0998">
        <w:t xml:space="preserve">for </w:t>
      </w:r>
      <w:r w:rsidR="00916D85">
        <w:t>computing the percentage</w:t>
      </w:r>
      <w:r w:rsidR="000B0998">
        <w:t>s</w:t>
      </w:r>
      <w:r w:rsidR="00916D85">
        <w:t xml:space="preserve"> of sworn personnel by race and ethnicity, by law enforcement function and by </w:t>
      </w:r>
      <w:r w:rsidR="00916D85">
        <w:lastRenderedPageBreak/>
        <w:t xml:space="preserve">current and newly hired personnel.  </w:t>
      </w:r>
      <w:r w:rsidR="00B56D33">
        <w:t xml:space="preserve">LEMAS </w:t>
      </w:r>
      <w:r w:rsidR="00916D85">
        <w:t xml:space="preserve">also collects information about part-time, seasonal and volunteer employees of law enforcement agencies.   </w:t>
      </w:r>
      <w:r w:rsidR="001D089E">
        <w:t xml:space="preserve">The number of duplicate data collection items in the BJS and FBI data collection is small and the information collected is necessary to meet the internal needs of each survey. </w:t>
      </w:r>
    </w:p>
    <w:p w:rsidR="00F661D3" w:rsidRDefault="00F661D3" w:rsidP="008B2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4FB0" w:rsidRDefault="00B56D33"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Turning to the </w:t>
      </w:r>
      <w:r w:rsidRPr="00B56D33">
        <w:t>Occupational Employment Survey</w:t>
      </w:r>
      <w:r>
        <w:t>, b</w:t>
      </w:r>
      <w:r w:rsidR="00916D85">
        <w:t xml:space="preserve">oth the </w:t>
      </w:r>
      <w:r w:rsidR="005D0FB0">
        <w:t xml:space="preserve">BJS and BLS </w:t>
      </w:r>
      <w:r w:rsidR="00916D85">
        <w:t xml:space="preserve">surveys </w:t>
      </w:r>
      <w:r w:rsidR="005D0FB0">
        <w:t xml:space="preserve">report information about the number of law enforcement employees and their salaries.  The BLS survey emphasizes comparisons of the number of positions and their compensation among </w:t>
      </w:r>
      <w:r w:rsidR="009C4FB0">
        <w:t xml:space="preserve">many </w:t>
      </w:r>
      <w:r w:rsidR="005D0FB0">
        <w:t xml:space="preserve">occupations types </w:t>
      </w:r>
      <w:r w:rsidR="009C4FB0">
        <w:t>across</w:t>
      </w:r>
      <w:r w:rsidR="005D0FB0">
        <w:t xml:space="preserve"> different geographical areas of the country.  The samples and employee definitions used in these two surveys vary widely</w:t>
      </w:r>
      <w:r w:rsidR="009C4FB0">
        <w:t xml:space="preserve"> depending upon the varied purposes of the surveys.  In law enforcement surveys, the distinction between sworn and nonsworn is crucial but this distinction can only be assumed in the BLS occupational </w:t>
      </w:r>
      <w:r w:rsidR="00A71107">
        <w:t>sub codes</w:t>
      </w:r>
      <w:r w:rsidR="009C4FB0">
        <w:t>.</w:t>
      </w:r>
      <w:r w:rsidR="00916D85">
        <w:t xml:space="preserve">  </w:t>
      </w:r>
      <w:r w:rsidR="009C4FB0">
        <w:t xml:space="preserve">Moreover, many </w:t>
      </w:r>
      <w:r w:rsidR="00916D85">
        <w:t xml:space="preserve">law enforcement employees, such as forensic scientists or crime analysts, are unlikely to fit into any </w:t>
      </w:r>
      <w:r w:rsidR="009C4FB0">
        <w:t>BLS occupational codes</w:t>
      </w:r>
      <w:r w:rsidR="00916D85">
        <w:t xml:space="preserve"> for protection service occupations.  Lastly, the BLS survey is concerned with the range of salaries actually </w:t>
      </w:r>
      <w:r>
        <w:t>paid in SMSAs and LEMAS</w:t>
      </w:r>
      <w:r w:rsidR="001D089E">
        <w:t xml:space="preserve"> </w:t>
      </w:r>
      <w:r w:rsidR="00916D85">
        <w:t xml:space="preserve">is concerned with the lowest and highest </w:t>
      </w:r>
      <w:r w:rsidR="00A71107">
        <w:t>salaries</w:t>
      </w:r>
      <w:r w:rsidR="00916D85">
        <w:t xml:space="preserve"> possible for entry level personnel in particular agencies and groups of agencies.</w:t>
      </w:r>
    </w:p>
    <w:p w:rsidR="00916D85" w:rsidRDefault="00916D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A651A" w:rsidRDefault="00916D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 with the FBI survey, the number of duplicate items in the BJS and BLS surveys </w:t>
      </w:r>
      <w:r w:rsidR="00155575">
        <w:t>is</w:t>
      </w:r>
      <w:r>
        <w:t xml:space="preserve"> small and the </w:t>
      </w:r>
      <w:r w:rsidR="00E074E2">
        <w:t xml:space="preserve">items are needed for the internal purposes of the survey.  </w:t>
      </w:r>
      <w:r w:rsidR="00F661D3">
        <w:t xml:space="preserve">The BJS </w:t>
      </w:r>
      <w:r w:rsidR="00C02640">
        <w:t>annual</w:t>
      </w:r>
      <w:r w:rsidR="00F661D3">
        <w:t xml:space="preserve"> data </w:t>
      </w:r>
      <w:r w:rsidR="0040077B">
        <w:t>are</w:t>
      </w:r>
      <w:r w:rsidR="00F661D3">
        <w:t xml:space="preserve"> collected and reported at the agency level</w:t>
      </w:r>
      <w:r w:rsidR="00C02640">
        <w:t xml:space="preserve"> and at the national level separately for sheriff offices and police departments.  T</w:t>
      </w:r>
      <w:r w:rsidR="00F661D3">
        <w:t xml:space="preserve">he BLS </w:t>
      </w:r>
      <w:r w:rsidR="00C02640">
        <w:t>data are</w:t>
      </w:r>
      <w:r w:rsidR="00F661D3">
        <w:t xml:space="preserve"> collected at the employer level and </w:t>
      </w:r>
      <w:r w:rsidR="00C02640">
        <w:t xml:space="preserve">three year averages are </w:t>
      </w:r>
      <w:r w:rsidR="00F661D3">
        <w:t>reported at the SMSA level</w:t>
      </w:r>
      <w:r w:rsidR="00C02640">
        <w:t xml:space="preserve"> and the national level with no distinction among Federal, state or local law enforcement agencies</w:t>
      </w:r>
      <w:r w:rsidR="0040077B">
        <w:t>.</w:t>
      </w:r>
    </w:p>
    <w:p w:rsidR="0040077B" w:rsidRDefault="0040077B"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16D85" w:rsidRDefault="00FA651A"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has identified three Federally-sponsored surveys with varying samples and measures of employees that can be used to estimate the number of sworn law enforcement personnel in the United States.  However, only the BJS surveys have as one of their primary purposes the production of national estimates of the number of law enforcement agencies and the number of sworn and nonsworn personnel.  </w:t>
      </w:r>
      <w:r w:rsidR="00155575">
        <w:t>A</w:t>
      </w:r>
      <w:r>
        <w:t xml:space="preserve">s </w:t>
      </w:r>
      <w:r w:rsidR="00E074E2">
        <w:t xml:space="preserve">part of the </w:t>
      </w:r>
      <w:r w:rsidR="001D089E">
        <w:t xml:space="preserve">2012 </w:t>
      </w:r>
      <w:r w:rsidR="00B56D33">
        <w:t>LEMAS program</w:t>
      </w:r>
      <w:r w:rsidR="00155575">
        <w:t>,</w:t>
      </w:r>
      <w:r w:rsidR="001D089E">
        <w:t xml:space="preserve"> </w:t>
      </w:r>
      <w:r w:rsidR="00E074E2">
        <w:t xml:space="preserve">BJS will conduct diagnostic tests of these three surveys and collaborate with the FBI and the BLS to better understand the </w:t>
      </w:r>
      <w:r>
        <w:t xml:space="preserve">characteristics of </w:t>
      </w:r>
      <w:r w:rsidR="00E074E2">
        <w:t>these three measures of law enforcement personnel.</w:t>
      </w:r>
    </w:p>
    <w:p w:rsidR="007F2C9B" w:rsidRDefault="007F2C9B"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7E019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Another way that BJS has worked to avoid duplication is by coordinating with the </w:t>
      </w:r>
      <w:r w:rsidR="00A71107">
        <w:t xml:space="preserve">staff </w:t>
      </w:r>
      <w:r w:rsidR="00AF7585">
        <w:t xml:space="preserve">at the National Institute of Justice </w:t>
      </w:r>
      <w:r w:rsidR="00A405F1">
        <w:t xml:space="preserve">(NIJ) </w:t>
      </w:r>
      <w:r w:rsidR="00AF7585">
        <w:t xml:space="preserve">responsible for its programs on body armor and crime analysis to insure that the items used in this survey </w:t>
      </w:r>
      <w:r w:rsidR="00A71107">
        <w:t>do not duplicate their current or planned efforts and that it will</w:t>
      </w:r>
      <w:r w:rsidR="00AF7585">
        <w:t xml:space="preserve"> provide useful information for the future of their programs.  In particular, the scope of the items about crime analysis were co-developed between BJS and NIJ to enhance the value of this survey and the proposed 2013 NIJ in-depth survey of crime analysis in large law enforcement agencies.  In addition, the revised community policing supplement in the 2012 </w:t>
      </w:r>
      <w:r w:rsidR="00B56D33">
        <w:t>LEMAS</w:t>
      </w:r>
      <w:r w:rsidR="00AF7585">
        <w:t xml:space="preserve"> stems from collaborations with the Community Oriented Policing Service (COPS) of the U.S. Department of Justice.  This collaboration has assisted BJS, NIJ</w:t>
      </w:r>
      <w:r w:rsidR="00685039">
        <w:t>,</w:t>
      </w:r>
      <w:r w:rsidR="00AF7585">
        <w:t xml:space="preserve"> and the COPS office in avoiding the collection of information already available or soon to be available from surveys or other data collections conducted by each agency.</w:t>
      </w:r>
    </w:p>
    <w:p w:rsidR="00B56D33" w:rsidRDefault="00B56D33"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B235CF"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u w:val="single"/>
        </w:rPr>
        <w:br w:type="column"/>
      </w:r>
      <w:r w:rsidR="00AF7585" w:rsidRPr="00B235CF">
        <w:rPr>
          <w:b/>
          <w:u w:val="single"/>
        </w:rPr>
        <w:lastRenderedPageBreak/>
        <w:t>Efforts to Minimize Burden</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r>
        <w:t xml:space="preserve">The </w:t>
      </w:r>
      <w:r w:rsidR="00B56D33">
        <w:t xml:space="preserve">proposed </w:t>
      </w:r>
      <w:r>
        <w:t xml:space="preserve">2012 </w:t>
      </w:r>
      <w:r w:rsidR="00B56D33">
        <w:t>LEMAS</w:t>
      </w:r>
      <w:r>
        <w:t xml:space="preserve"> instrument was designed to reduce the respondents’ burden in three ways.  First, the instrument reduces the number of specific information items requested from 324 to 268, and those items are organized into a limited number of topical areas.  Second, the 2012 instrument was designed for web-based data collection, with built-in assistance modules and edit checks.  Third, based on the guidance BJS has received from the law enforcement professional and research communities, the </w:t>
      </w:r>
      <w:r w:rsidR="00B56D33">
        <w:t>2012 LEMAS</w:t>
      </w:r>
      <w:r>
        <w:t xml:space="preserve"> instrument has improved the wording of traditional and new survey items.  </w:t>
      </w:r>
    </w:p>
    <w:p w:rsidR="00AF7585" w:rsidRDefault="00AF7585" w:rsidP="00AF7585"/>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 expect that most respondents will make use of the online survey software to complete the survey</w:t>
      </w:r>
      <w:r w:rsidR="00B56D33">
        <w:t>.  A</w:t>
      </w:r>
      <w:r w:rsidR="00C02640">
        <w:t xml:space="preserve"> </w:t>
      </w:r>
      <w:r>
        <w:t xml:space="preserve">number of web-based system functions will be in place to ease the burden of survey completion.  The Urban Institute will utilize an intelligent log-in program for data collection, which will store agency information and responses, allowing for multi-session, non-sequential completion of the survey instrument.  Since many agencies, particularly the larger ones, will need to seek out multiple information sources within their organizations to answer different sections, this will reduce the burden on them by facilitating data entry from different sources.  It will also reduce the burden by allowing them to stop response entry pending confirmation of information from others in the agency.  Help icons located next to each survey question will link respondents to item-specific information, additional guidance, and helpdesk contact information to facilitate requests for assistance.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online system will also provide a glossary of terms for respondent reference. In addition, a Help Desk will be staffed during normal business hours (east coast time) and will be available to respondents through a toll free number.  Respondents who lack the capabilities to access and utilize the web-based survey instrument will receive a paper-based survey by fax or mail accompanied with paper based definitions of terms and directions.  BJS will also create a help</w:t>
      </w:r>
      <w:r w:rsidR="00A405F1">
        <w:t xml:space="preserve"> </w:t>
      </w:r>
      <w:r>
        <w:t>desk</w:t>
      </w:r>
      <w:r w:rsidR="00C02640">
        <w:t xml:space="preserve"> that will </w:t>
      </w:r>
      <w:r>
        <w:t>provide assistance by phone and email</w:t>
      </w:r>
      <w:r w:rsidR="00C02640">
        <w:t xml:space="preserve"> to all paper-based respondents</w:t>
      </w:r>
      <w:r>
        <w:t xml:space="preserve">.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data collection manager will oversee the </w:t>
      </w:r>
      <w:r w:rsidR="00A405F1">
        <w:t>h</w:t>
      </w:r>
      <w:r>
        <w:t xml:space="preserve">elp </w:t>
      </w:r>
      <w:r w:rsidR="00A405F1">
        <w:t>d</w:t>
      </w:r>
      <w:r>
        <w:t xml:space="preserve">esk; when not available, calls will automatically be routed to another survey team member for immediate response.  Voice mail will be available during off hours and a dedicated </w:t>
      </w:r>
      <w:r w:rsidR="00B56D33">
        <w:t>LEMAS</w:t>
      </w:r>
      <w:r>
        <w:t xml:space="preserve"> help e-mail address will be provided with the introductory letter and survey packet.  The office and cell-phone numbers, as well as e-mail address for the survey principal investigator, will also be provided to respondents to insure timely communications.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addition, BJS </w:t>
      </w:r>
      <w:r w:rsidR="00685039">
        <w:t xml:space="preserve">has </w:t>
      </w:r>
      <w:r>
        <w:t>sought guidance from law enforcement professionals and research institutions.  A principal objective of these consultations was the production of a clear, accurate survey in order to minimize respondent burden.  Input from these consultations about the difficulty of certain questions has been incorporated into the current instrument to simpl</w:t>
      </w:r>
      <w:r w:rsidR="00A405F1">
        <w:t>ify</w:t>
      </w:r>
      <w:r>
        <w:t xml:space="preserve"> questions, improve response code options and clarify technical language and jargon used in law enforcement agencies.</w:t>
      </w:r>
    </w:p>
    <w:p w:rsidR="00B56D33" w:rsidRDefault="00B56D33"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March of 2012, BJS tested a draft instrument with 9 law enforcement agencies and the interviews conducted with these agencies resulted in changes in the number, type and wording of questions on the proposed survey instrument</w:t>
      </w:r>
      <w:r w:rsidR="00685039">
        <w:t>.</w:t>
      </w:r>
      <w:r>
        <w:t xml:space="preserve"> </w:t>
      </w: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lastRenderedPageBreak/>
        <w:t>Consequences of Less Frequent Collection</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AF7585" w:rsidRDefault="0091513D"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Based in part on recommendations from the National Research Council (Groves and Cork, 2011) and the Director of the Office of Community Oriented Policing (Melekian, 2011), BJS has determined that it is necessary to improve the </w:t>
      </w:r>
      <w:r w:rsidR="005468B0">
        <w:t xml:space="preserve">timeliness of </w:t>
      </w:r>
      <w:r>
        <w:t xml:space="preserve">its law enforcement data collections and to establish a more regular schedule of future surveys of general purpose law enforcement agencies.  Following the completion of the 2012 </w:t>
      </w:r>
      <w:r w:rsidR="00B56D33">
        <w:t>LEMAS</w:t>
      </w:r>
      <w:r>
        <w:t xml:space="preserve"> in 2013, BJS will evaluate alternative approaches for scheduling future waves of this program, from regular waves every two years to an ongoing annual data collection.</w:t>
      </w:r>
      <w:r w:rsidR="0070115D">
        <w:t xml:space="preserve"> BJS has funded a separate solicitation </w:t>
      </w:r>
      <w:r w:rsidR="00151878">
        <w:t>(</w:t>
      </w:r>
      <w:r w:rsidR="00151878" w:rsidRPr="0070115D">
        <w:t>2012-R2-CX-K011</w:t>
      </w:r>
      <w:r w:rsidR="00212EFE">
        <w:t xml:space="preserve">), </w:t>
      </w:r>
      <w:r w:rsidR="00151878">
        <w:t xml:space="preserve">the BJS </w:t>
      </w:r>
      <w:r w:rsidR="00151878" w:rsidRPr="0070115D">
        <w:t>Analytic Resource Center</w:t>
      </w:r>
      <w:r w:rsidR="00151878">
        <w:t xml:space="preserve"> </w:t>
      </w:r>
      <w:r w:rsidR="0070115D">
        <w:t>(BJ</w:t>
      </w:r>
      <w:r w:rsidR="00151878">
        <w:t>S-ARC)</w:t>
      </w:r>
      <w:r w:rsidR="00421912">
        <w:t xml:space="preserve"> project</w:t>
      </w:r>
      <w:r w:rsidR="00212EFE">
        <w:t>, which will help with this evaluation</w:t>
      </w:r>
      <w:r w:rsidR="00421912">
        <w:t>.</w:t>
      </w:r>
      <w:r w:rsidR="00151878">
        <w:t xml:space="preserve"> </w:t>
      </w:r>
      <w:r w:rsidR="00212EFE">
        <w:t xml:space="preserve">The </w:t>
      </w:r>
      <w:r w:rsidR="00151878" w:rsidRPr="00151878">
        <w:t>BJS-ARC is designed to provide scientific and technical support for statistical and methodological research, statistical analyses, documentation, and dissemination services in support of BJS’s Criminal Justice Statistics Program (CJSP).</w:t>
      </w:r>
      <w:r w:rsidR="00151878">
        <w:t xml:space="preserve"> LEMAS is one </w:t>
      </w:r>
      <w:r w:rsidR="00421912">
        <w:t xml:space="preserve">of the initial </w:t>
      </w:r>
      <w:r w:rsidR="00151878">
        <w:t>data collection</w:t>
      </w:r>
      <w:r w:rsidR="00421912">
        <w:t>s</w:t>
      </w:r>
      <w:r w:rsidR="00151878">
        <w:t xml:space="preserve"> identified in the BJS-ARC </w:t>
      </w:r>
      <w:r w:rsidR="005A3925">
        <w:t xml:space="preserve">project to undergo evaluation. One aspect of the </w:t>
      </w:r>
      <w:r w:rsidR="00421912">
        <w:t xml:space="preserve">BJS-ARC </w:t>
      </w:r>
      <w:r w:rsidR="005A3925">
        <w:t>project will</w:t>
      </w:r>
      <w:r w:rsidR="00421912">
        <w:t xml:space="preserve"> </w:t>
      </w:r>
      <w:r w:rsidR="005A3925">
        <w:t xml:space="preserve">be to identify and </w:t>
      </w:r>
      <w:r w:rsidR="00421912">
        <w:t>evaluat</w:t>
      </w:r>
      <w:r w:rsidR="005A3925">
        <w:t>e</w:t>
      </w:r>
      <w:r w:rsidR="00421912">
        <w:t xml:space="preserve"> potential </w:t>
      </w:r>
      <w:r w:rsidR="005A3925">
        <w:t xml:space="preserve">LEMAS </w:t>
      </w:r>
      <w:r w:rsidR="00421912">
        <w:t>sampling waves</w:t>
      </w:r>
      <w:r w:rsidR="005A3925">
        <w:t xml:space="preserve"> (e.g. administering LEMAS every two years) and/or the utility of making LEMAS an ongoing data collection similar to the U.S. Census </w:t>
      </w:r>
      <w:r w:rsidR="00151957">
        <w:t>Bu</w:t>
      </w:r>
      <w:bookmarkStart w:id="0" w:name="_GoBack"/>
      <w:bookmarkEnd w:id="0"/>
      <w:r w:rsidR="00151957">
        <w:t xml:space="preserve">reau’s </w:t>
      </w:r>
      <w:r w:rsidR="005A3925">
        <w:t>American Community Survey (ACS).</w:t>
      </w:r>
      <w:r w:rsidR="00421912">
        <w:t xml:space="preserve"> </w:t>
      </w:r>
      <w:r w:rsidR="005A3925">
        <w:t>The</w:t>
      </w:r>
      <w:r w:rsidR="00421912">
        <w:t xml:space="preserve"> BJS-ARC project </w:t>
      </w:r>
      <w:r w:rsidR="005A3925">
        <w:t xml:space="preserve">will also </w:t>
      </w:r>
      <w:r w:rsidR="00421912">
        <w:t>establish a</w:t>
      </w:r>
      <w:r w:rsidR="005A3925">
        <w:t xml:space="preserve"> working</w:t>
      </w:r>
      <w:r w:rsidR="00421912">
        <w:t xml:space="preserve"> group of </w:t>
      </w:r>
      <w:r w:rsidR="005A3925">
        <w:t xml:space="preserve">academic and policing professionals, which would meet on a regular basis, </w:t>
      </w:r>
      <w:r w:rsidR="00421912">
        <w:t xml:space="preserve">to evaluate the </w:t>
      </w:r>
      <w:r w:rsidR="005A3925">
        <w:t xml:space="preserve">substantive </w:t>
      </w:r>
      <w:r w:rsidR="00421912">
        <w:t xml:space="preserve">content of LEMAS, including </w:t>
      </w:r>
      <w:r w:rsidR="005A3925">
        <w:t xml:space="preserve">any proposed </w:t>
      </w:r>
      <w:r w:rsidR="00421912">
        <w:t>supplemental topics</w:t>
      </w:r>
      <w:r w:rsidR="005A3925">
        <w:t>.</w:t>
      </w:r>
      <w:r w:rsidR="00A549DA">
        <w:t xml:space="preserve"> Working with stakeholders will allow BJS to </w:t>
      </w:r>
      <w:r w:rsidR="00C21D3D">
        <w:t xml:space="preserve">identify more </w:t>
      </w:r>
      <w:r w:rsidR="00A549DA">
        <w:t xml:space="preserve">quickly </w:t>
      </w:r>
      <w:r w:rsidR="00C21D3D">
        <w:t xml:space="preserve">those </w:t>
      </w:r>
      <w:r w:rsidR="00A549DA">
        <w:t xml:space="preserve">emerging issues in the field of law enforcement that </w:t>
      </w:r>
      <w:r w:rsidR="00337115">
        <w:t>may</w:t>
      </w:r>
      <w:r w:rsidR="00A549DA">
        <w:t xml:space="preserve"> be included in future versions of the LEMAS survey. </w:t>
      </w:r>
      <w:r w:rsidR="00421912">
        <w:t xml:space="preserve"> </w:t>
      </w:r>
      <w:r w:rsidR="0070115D">
        <w:t xml:space="preserve"> </w:t>
      </w:r>
      <w:r w:rsidR="0070115D" w:rsidRPr="0070115D">
        <w:t xml:space="preserve"> </w:t>
      </w:r>
      <w:r>
        <w:t xml:space="preserve"> </w:t>
      </w:r>
    </w:p>
    <w:p w:rsidR="00FA651A" w:rsidRDefault="00FA651A"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Special Circumstances</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 special circumstances have been identified for this project.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Adherence to 5 CFR 1320.8(d) and Outside Consultations</w:t>
      </w:r>
    </w:p>
    <w:p w:rsidR="00AF7585" w:rsidRPr="00B07E07"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AF7585" w:rsidRDefault="00AF7585" w:rsidP="00AF7585">
      <w:r>
        <w:t xml:space="preserve">BJS </w:t>
      </w:r>
      <w:r w:rsidR="007E0195">
        <w:t xml:space="preserve">shared </w:t>
      </w:r>
      <w:r w:rsidRPr="001F0FE3">
        <w:t>a copy of a draft</w:t>
      </w:r>
      <w:r w:rsidR="006874D5">
        <w:t xml:space="preserve"> LEMAS</w:t>
      </w:r>
      <w:r w:rsidRPr="001F0FE3">
        <w:t xml:space="preserve"> survey instrument</w:t>
      </w:r>
      <w:r w:rsidRPr="000814A9">
        <w:t xml:space="preserve"> </w:t>
      </w:r>
      <w:r w:rsidR="007E0195">
        <w:t>with</w:t>
      </w:r>
      <w:r w:rsidRPr="001F0FE3">
        <w:t xml:space="preserve"> </w:t>
      </w:r>
      <w:r>
        <w:t xml:space="preserve">research </w:t>
      </w:r>
      <w:r w:rsidRPr="001F0FE3">
        <w:t>scholars</w:t>
      </w:r>
      <w:r>
        <w:t xml:space="preserve"> with a known interest in law enforcement issues</w:t>
      </w:r>
      <w:r w:rsidR="007E0195">
        <w:t xml:space="preserve"> at the 2011 Annual Meeting of the American Society of Criminology</w:t>
      </w:r>
      <w:r w:rsidRPr="001F0FE3">
        <w:t xml:space="preserve">.  In addition, the draft instrument was shared with five national law enforcement professional associations—the International Association of Chiefs of Police, the National Sheriffs Association, the Major City Chiefs Association, the Police Executive Research Forum and the Police Foundation--and with staff at the </w:t>
      </w:r>
      <w:r w:rsidR="00A405F1">
        <w:t>FBI</w:t>
      </w:r>
      <w:r w:rsidRPr="001F0FE3">
        <w:t xml:space="preserve">, the National Institute of Justice and the </w:t>
      </w:r>
      <w:r w:rsidR="00A405F1">
        <w:t>COPS Office</w:t>
      </w:r>
      <w:r w:rsidRPr="001F0FE3">
        <w:t xml:space="preserve">.  </w:t>
      </w:r>
      <w:r w:rsidR="00FC412D">
        <w:br/>
      </w:r>
    </w:p>
    <w:p w:rsidR="00642C10" w:rsidRDefault="00642C10" w:rsidP="00642C10">
      <w:r>
        <w:t>On questions about employee pensions and benefits, BJS consulted with</w:t>
      </w:r>
      <w:r w:rsidRPr="001F0FE3">
        <w:t xml:space="preserve"> Holly Dea</w:t>
      </w:r>
      <w:r w:rsidR="006874D5">
        <w:t xml:space="preserve">l, a researcher at the National </w:t>
      </w:r>
      <w:r w:rsidRPr="001F0FE3">
        <w:t>Fraternal Order of Police</w:t>
      </w:r>
      <w:r>
        <w:t xml:space="preserve">, and with Keith Brainard, Research Director at the National Association of State Retirement Administrators.   In addition, in </w:t>
      </w:r>
      <w:r w:rsidRPr="003B767E">
        <w:t xml:space="preserve">December </w:t>
      </w:r>
      <w:r>
        <w:t>2011,</w:t>
      </w:r>
      <w:r w:rsidRPr="003B767E">
        <w:t xml:space="preserve"> BJS host</w:t>
      </w:r>
      <w:r>
        <w:t>ed</w:t>
      </w:r>
      <w:r w:rsidRPr="003B767E">
        <w:t xml:space="preserve"> a </w:t>
      </w:r>
      <w:r>
        <w:t xml:space="preserve">stakeholders </w:t>
      </w:r>
      <w:r w:rsidRPr="003B767E">
        <w:t xml:space="preserve">meeting for the </w:t>
      </w:r>
      <w:r>
        <w:t>upcoming</w:t>
      </w:r>
      <w:r w:rsidRPr="003B767E">
        <w:t xml:space="preserve"> </w:t>
      </w:r>
      <w:r w:rsidR="00481FCA">
        <w:t>LEMAS survey</w:t>
      </w:r>
      <w:r>
        <w:t>.</w:t>
      </w:r>
      <w:r w:rsidRPr="003B767E">
        <w:t xml:space="preserve"> </w:t>
      </w:r>
      <w:r>
        <w:t xml:space="preserve"> </w:t>
      </w:r>
      <w:r w:rsidRPr="003B767E">
        <w:t>Participants include</w:t>
      </w:r>
      <w:r>
        <w:t>d</w:t>
      </w:r>
      <w:r w:rsidRPr="003B767E">
        <w:t xml:space="preserve"> representatives from </w:t>
      </w:r>
      <w:r>
        <w:t>various law enforcement agencies, research organizations, and universities.  R</w:t>
      </w:r>
      <w:r w:rsidRPr="003B767E">
        <w:t xml:space="preserve">epresentatives from </w:t>
      </w:r>
      <w:r>
        <w:t xml:space="preserve">the </w:t>
      </w:r>
      <w:r w:rsidR="00A405F1">
        <w:t>COPS Office</w:t>
      </w:r>
      <w:r>
        <w:t xml:space="preserve"> and the International Association of Chiefs of Police </w:t>
      </w:r>
      <w:r w:rsidRPr="003B767E">
        <w:t>w</w:t>
      </w:r>
      <w:r>
        <w:t>ere</w:t>
      </w:r>
      <w:r w:rsidRPr="003B767E">
        <w:t xml:space="preserve"> also in attendance.</w:t>
      </w:r>
      <w:r>
        <w:t xml:space="preserve">  Participants discussed a variety of topics, including</w:t>
      </w:r>
      <w:r w:rsidRPr="0022274A">
        <w:t xml:space="preserve"> </w:t>
      </w:r>
      <w:r>
        <w:t xml:space="preserve">survey content, data availability and use by the field, methods to maximize response and ways to minimize respondent </w:t>
      </w:r>
      <w:r w:rsidRPr="0022274A">
        <w:t>burden</w:t>
      </w:r>
      <w:r>
        <w:t xml:space="preserve">.  </w:t>
      </w:r>
      <w:r w:rsidRPr="00BC2206">
        <w:t xml:space="preserve">Attendees </w:t>
      </w:r>
      <w:r w:rsidR="00481FCA">
        <w:t xml:space="preserve">at </w:t>
      </w:r>
      <w:r w:rsidRPr="00BC2206">
        <w:t xml:space="preserve">the working group meeting </w:t>
      </w:r>
      <w:r>
        <w:t>are listed on the following page.</w:t>
      </w:r>
    </w:p>
    <w:p w:rsidR="00642C10" w:rsidRDefault="00642C10" w:rsidP="00642C10">
      <w:pPr>
        <w:pStyle w:val="Level1"/>
        <w:tabs>
          <w:tab w:val="left" w:pos="-1440"/>
        </w:tabs>
        <w:ind w:left="0" w:firstLine="0"/>
      </w:pPr>
    </w:p>
    <w:p w:rsidR="006D6E11" w:rsidRPr="00B235CF" w:rsidRDefault="006D6E11" w:rsidP="006D6E11">
      <w:pPr>
        <w:pStyle w:val="ListParagraph"/>
        <w:numPr>
          <w:ilvl w:val="0"/>
          <w:numId w:val="2"/>
        </w:numPr>
        <w:rPr>
          <w:b/>
          <w:u w:val="single"/>
        </w:rPr>
      </w:pPr>
      <w:r w:rsidRPr="00B235CF">
        <w:rPr>
          <w:b/>
          <w:u w:val="single"/>
        </w:rPr>
        <w:t>Paying Respondents</w:t>
      </w:r>
    </w:p>
    <w:p w:rsidR="006D6E11" w:rsidRDefault="006D6E11" w:rsidP="006D6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6D6E11" w:rsidRDefault="006D6E11" w:rsidP="006D6E11">
      <w:r>
        <w:t>Neither BJS nor the Urban Institute will provide any payment or gift of any type to respondents. Respondents will participate on a voluntary basis.</w:t>
      </w:r>
    </w:p>
    <w:p w:rsidR="006D6E11" w:rsidRDefault="006D6E11" w:rsidP="006D6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642C10" w:rsidP="00AF7585">
      <w:r>
        <w:br w:type="column"/>
      </w:r>
    </w:p>
    <w:tbl>
      <w:tblPr>
        <w:tblStyle w:val="TableGrid"/>
        <w:tblW w:w="0" w:type="auto"/>
        <w:jc w:val="center"/>
        <w:tblLook w:val="04A0" w:firstRow="1" w:lastRow="0" w:firstColumn="1" w:lastColumn="0" w:noHBand="0" w:noVBand="1"/>
      </w:tblPr>
      <w:tblGrid>
        <w:gridCol w:w="4626"/>
        <w:gridCol w:w="4140"/>
      </w:tblGrid>
      <w:tr w:rsidR="004835E3" w:rsidRPr="00B1329F" w:rsidTr="00B235CF">
        <w:trPr>
          <w:jc w:val="center"/>
        </w:trPr>
        <w:tc>
          <w:tcPr>
            <w:tcW w:w="8766" w:type="dxa"/>
            <w:gridSpan w:val="2"/>
          </w:tcPr>
          <w:p w:rsidR="004835E3" w:rsidRPr="0074628D" w:rsidRDefault="00481FCA" w:rsidP="00FF3882">
            <w:pPr>
              <w:spacing w:before="120" w:after="120"/>
              <w:jc w:val="center"/>
              <w:rPr>
                <w:rFonts w:ascii="Times New Roman" w:hAnsi="Times New Roman"/>
                <w:b/>
                <w:sz w:val="28"/>
                <w:szCs w:val="28"/>
              </w:rPr>
            </w:pPr>
            <w:r>
              <w:rPr>
                <w:rFonts w:ascii="Times New Roman" w:hAnsi="Times New Roman"/>
                <w:b/>
                <w:sz w:val="28"/>
                <w:szCs w:val="28"/>
              </w:rPr>
              <w:t>Attendees of the 2012 LEMAS</w:t>
            </w:r>
            <w:r w:rsidR="004835E3" w:rsidRPr="0074628D">
              <w:rPr>
                <w:rFonts w:ascii="Times New Roman" w:hAnsi="Times New Roman"/>
                <w:b/>
                <w:sz w:val="28"/>
                <w:szCs w:val="28"/>
              </w:rPr>
              <w:t xml:space="preserve"> Working Group</w:t>
            </w:r>
          </w:p>
        </w:tc>
      </w:tr>
      <w:tr w:rsidR="004835E3" w:rsidRPr="00B1329F" w:rsidTr="00B235CF">
        <w:trPr>
          <w:jc w:val="center"/>
        </w:trPr>
        <w:tc>
          <w:tcPr>
            <w:tcW w:w="4626" w:type="dxa"/>
          </w:tcPr>
          <w:p w:rsidR="004835E3" w:rsidRPr="00B1329F" w:rsidRDefault="004835E3" w:rsidP="00FF3882">
            <w:pPr>
              <w:rPr>
                <w:rFonts w:ascii="Times New Roman" w:hAnsi="Times New Roman"/>
              </w:rPr>
            </w:pPr>
            <w:r w:rsidRPr="00B1329F">
              <w:rPr>
                <w:rFonts w:ascii="Times New Roman" w:hAnsi="Times New Roman"/>
              </w:rPr>
              <w:t>Stephen Mastrofski, Professor</w:t>
            </w:r>
          </w:p>
          <w:p w:rsidR="004835E3" w:rsidRPr="00B1329F" w:rsidRDefault="004835E3" w:rsidP="00FF3882">
            <w:pPr>
              <w:rPr>
                <w:rFonts w:ascii="Times New Roman" w:hAnsi="Times New Roman"/>
              </w:rPr>
            </w:pPr>
            <w:r w:rsidRPr="00B1329F">
              <w:rPr>
                <w:rFonts w:ascii="Times New Roman" w:hAnsi="Times New Roman"/>
              </w:rPr>
              <w:t xml:space="preserve">George Mason University </w:t>
            </w:r>
          </w:p>
          <w:p w:rsidR="004835E3" w:rsidRPr="00B1329F" w:rsidRDefault="004835E3" w:rsidP="00FF3882">
            <w:pPr>
              <w:rPr>
                <w:rFonts w:ascii="Times New Roman" w:hAnsi="Times New Roman"/>
              </w:rPr>
            </w:pPr>
            <w:r w:rsidRPr="00B1329F">
              <w:rPr>
                <w:rFonts w:ascii="Times New Roman" w:hAnsi="Times New Roman"/>
              </w:rPr>
              <w:t>4400 University Drive</w:t>
            </w:r>
          </w:p>
          <w:p w:rsidR="004835E3" w:rsidRPr="00B1329F" w:rsidRDefault="004835E3" w:rsidP="00FF3882">
            <w:pPr>
              <w:rPr>
                <w:rFonts w:ascii="Times New Roman" w:hAnsi="Times New Roman"/>
              </w:rPr>
            </w:pPr>
            <w:r w:rsidRPr="00B1329F">
              <w:rPr>
                <w:rFonts w:ascii="Times New Roman" w:hAnsi="Times New Roman"/>
              </w:rPr>
              <w:t>Fairfax, VA 22030</w:t>
            </w:r>
          </w:p>
        </w:tc>
        <w:tc>
          <w:tcPr>
            <w:tcW w:w="4140" w:type="dxa"/>
          </w:tcPr>
          <w:p w:rsidR="004835E3" w:rsidRPr="00B1329F" w:rsidRDefault="004835E3" w:rsidP="00FF3882">
            <w:pPr>
              <w:rPr>
                <w:rFonts w:ascii="Times New Roman" w:hAnsi="Times New Roman"/>
              </w:rPr>
            </w:pPr>
            <w:r w:rsidRPr="00B1329F">
              <w:rPr>
                <w:rFonts w:ascii="Times New Roman" w:hAnsi="Times New Roman"/>
              </w:rPr>
              <w:t>John Kapinos</w:t>
            </w:r>
            <w:r>
              <w:rPr>
                <w:rFonts w:ascii="Times New Roman" w:hAnsi="Times New Roman"/>
              </w:rPr>
              <w:t>,</w:t>
            </w:r>
            <w:r w:rsidRPr="00B1329F">
              <w:rPr>
                <w:rFonts w:ascii="Times New Roman" w:hAnsi="Times New Roman"/>
              </w:rPr>
              <w:t xml:space="preserve"> Strategic Planner</w:t>
            </w:r>
          </w:p>
          <w:p w:rsidR="004835E3" w:rsidRPr="00B1329F" w:rsidRDefault="004835E3" w:rsidP="00FF3882">
            <w:pPr>
              <w:rPr>
                <w:rFonts w:ascii="Times New Roman" w:hAnsi="Times New Roman"/>
              </w:rPr>
            </w:pPr>
            <w:r w:rsidRPr="00B1329F">
              <w:rPr>
                <w:rFonts w:ascii="Times New Roman" w:hAnsi="Times New Roman"/>
              </w:rPr>
              <w:t>Fairfax County Police Department</w:t>
            </w:r>
          </w:p>
          <w:p w:rsidR="004835E3" w:rsidRPr="00B1329F" w:rsidRDefault="004835E3" w:rsidP="00FF3882">
            <w:pPr>
              <w:rPr>
                <w:rFonts w:ascii="Times New Roman" w:hAnsi="Times New Roman"/>
              </w:rPr>
            </w:pPr>
            <w:r w:rsidRPr="00B1329F">
              <w:rPr>
                <w:rFonts w:ascii="Times New Roman" w:hAnsi="Times New Roman"/>
              </w:rPr>
              <w:t>4100 Chain Bridge Road</w:t>
            </w:r>
          </w:p>
          <w:p w:rsidR="004835E3" w:rsidRPr="00B1329F" w:rsidRDefault="004835E3" w:rsidP="00FF3882">
            <w:pPr>
              <w:rPr>
                <w:rFonts w:ascii="Times New Roman" w:hAnsi="Times New Roman"/>
              </w:rPr>
            </w:pPr>
            <w:r w:rsidRPr="00B1329F">
              <w:rPr>
                <w:rFonts w:ascii="Times New Roman" w:hAnsi="Times New Roman"/>
              </w:rPr>
              <w:t>Fairfax, VA 22030</w:t>
            </w:r>
          </w:p>
        </w:tc>
      </w:tr>
      <w:tr w:rsidR="004835E3" w:rsidRPr="00B1329F" w:rsidTr="00B235CF">
        <w:trPr>
          <w:jc w:val="center"/>
        </w:trPr>
        <w:tc>
          <w:tcPr>
            <w:tcW w:w="4626" w:type="dxa"/>
          </w:tcPr>
          <w:p w:rsidR="004835E3" w:rsidRPr="00B1329F" w:rsidRDefault="004835E3" w:rsidP="00FF3882">
            <w:pPr>
              <w:rPr>
                <w:rFonts w:ascii="Times New Roman" w:hAnsi="Times New Roman"/>
              </w:rPr>
            </w:pPr>
            <w:r w:rsidRPr="00B1329F">
              <w:rPr>
                <w:rFonts w:ascii="Times New Roman" w:hAnsi="Times New Roman"/>
              </w:rPr>
              <w:t>Gary Cordner, Professor</w:t>
            </w:r>
          </w:p>
          <w:p w:rsidR="004835E3" w:rsidRPr="00B1329F" w:rsidRDefault="004835E3" w:rsidP="00FF3882">
            <w:pPr>
              <w:rPr>
                <w:rFonts w:ascii="Times New Roman" w:hAnsi="Times New Roman"/>
              </w:rPr>
            </w:pPr>
            <w:r w:rsidRPr="00B1329F">
              <w:rPr>
                <w:rFonts w:ascii="Times New Roman" w:hAnsi="Times New Roman"/>
              </w:rPr>
              <w:t xml:space="preserve">Kutztown State University </w:t>
            </w:r>
          </w:p>
          <w:p w:rsidR="004835E3" w:rsidRPr="00B1329F" w:rsidRDefault="004835E3" w:rsidP="00FF3882">
            <w:pPr>
              <w:rPr>
                <w:rFonts w:ascii="Times New Roman" w:hAnsi="Times New Roman"/>
              </w:rPr>
            </w:pPr>
            <w:r w:rsidRPr="00B1329F">
              <w:rPr>
                <w:rFonts w:ascii="Times New Roman" w:hAnsi="Times New Roman"/>
              </w:rPr>
              <w:t>Old Main 367</w:t>
            </w:r>
          </w:p>
          <w:p w:rsidR="004835E3" w:rsidRPr="00B1329F" w:rsidRDefault="004835E3" w:rsidP="00FF3882">
            <w:pPr>
              <w:rPr>
                <w:rFonts w:ascii="Times New Roman" w:hAnsi="Times New Roman"/>
              </w:rPr>
            </w:pPr>
            <w:r w:rsidRPr="00B1329F">
              <w:rPr>
                <w:rFonts w:ascii="Times New Roman" w:hAnsi="Times New Roman"/>
              </w:rPr>
              <w:t>15200 Kutztown Rd.</w:t>
            </w:r>
          </w:p>
          <w:p w:rsidR="004835E3" w:rsidRPr="00B1329F" w:rsidRDefault="004835E3" w:rsidP="00FF3882">
            <w:pPr>
              <w:rPr>
                <w:rFonts w:ascii="Times New Roman" w:hAnsi="Times New Roman"/>
              </w:rPr>
            </w:pPr>
            <w:r w:rsidRPr="00B1329F">
              <w:rPr>
                <w:rFonts w:ascii="Times New Roman" w:hAnsi="Times New Roman"/>
              </w:rPr>
              <w:t>Kutztown, PA 19530</w:t>
            </w:r>
          </w:p>
        </w:tc>
        <w:tc>
          <w:tcPr>
            <w:tcW w:w="4140" w:type="dxa"/>
          </w:tcPr>
          <w:p w:rsidR="004835E3" w:rsidRPr="00B1329F" w:rsidRDefault="004835E3" w:rsidP="00FF3882">
            <w:pPr>
              <w:rPr>
                <w:rFonts w:ascii="Times New Roman" w:hAnsi="Times New Roman"/>
              </w:rPr>
            </w:pPr>
            <w:r w:rsidRPr="00B1329F">
              <w:rPr>
                <w:rFonts w:ascii="Times New Roman" w:hAnsi="Times New Roman"/>
              </w:rPr>
              <w:t>Ed Maguire, Professor</w:t>
            </w:r>
          </w:p>
          <w:p w:rsidR="004835E3" w:rsidRPr="00B1329F" w:rsidRDefault="004835E3" w:rsidP="00FF3882">
            <w:pPr>
              <w:rPr>
                <w:rFonts w:ascii="Times New Roman" w:hAnsi="Times New Roman"/>
              </w:rPr>
            </w:pPr>
            <w:r w:rsidRPr="00B1329F">
              <w:rPr>
                <w:rFonts w:ascii="Times New Roman" w:hAnsi="Times New Roman"/>
              </w:rPr>
              <w:t>Justice, Law and Society</w:t>
            </w:r>
          </w:p>
          <w:p w:rsidR="004835E3" w:rsidRPr="00B1329F" w:rsidRDefault="004835E3" w:rsidP="00FF3882">
            <w:pPr>
              <w:rPr>
                <w:rFonts w:ascii="Times New Roman" w:hAnsi="Times New Roman"/>
              </w:rPr>
            </w:pPr>
            <w:r w:rsidRPr="00B1329F">
              <w:rPr>
                <w:rFonts w:ascii="Times New Roman" w:hAnsi="Times New Roman"/>
              </w:rPr>
              <w:t>American University</w:t>
            </w:r>
          </w:p>
          <w:p w:rsidR="004835E3" w:rsidRPr="00B1329F" w:rsidRDefault="004835E3" w:rsidP="00FF3882">
            <w:pPr>
              <w:rPr>
                <w:rFonts w:ascii="Times New Roman" w:hAnsi="Times New Roman"/>
              </w:rPr>
            </w:pPr>
            <w:r w:rsidRPr="00B1329F">
              <w:rPr>
                <w:rFonts w:ascii="Times New Roman" w:hAnsi="Times New Roman"/>
              </w:rPr>
              <w:t>4400 Massachusetts Avenue NW</w:t>
            </w:r>
          </w:p>
          <w:p w:rsidR="004835E3" w:rsidRPr="00B1329F" w:rsidRDefault="004835E3" w:rsidP="00FF3882">
            <w:pPr>
              <w:rPr>
                <w:rFonts w:ascii="Times New Roman" w:hAnsi="Times New Roman"/>
              </w:rPr>
            </w:pPr>
            <w:r w:rsidRPr="00B1329F">
              <w:rPr>
                <w:rFonts w:ascii="Times New Roman" w:hAnsi="Times New Roman"/>
              </w:rPr>
              <w:t>Washington, DC 20016</w:t>
            </w:r>
          </w:p>
        </w:tc>
      </w:tr>
      <w:tr w:rsidR="004835E3" w:rsidRPr="00B1329F" w:rsidTr="00B235CF">
        <w:trPr>
          <w:jc w:val="center"/>
        </w:trPr>
        <w:tc>
          <w:tcPr>
            <w:tcW w:w="4626" w:type="dxa"/>
          </w:tcPr>
          <w:p w:rsidR="004835E3" w:rsidRPr="00B1329F" w:rsidRDefault="004835E3" w:rsidP="00FF3882">
            <w:pPr>
              <w:rPr>
                <w:rFonts w:ascii="Times New Roman" w:hAnsi="Times New Roman"/>
              </w:rPr>
            </w:pPr>
            <w:r w:rsidRPr="00B1329F">
              <w:rPr>
                <w:rFonts w:ascii="Times New Roman" w:hAnsi="Times New Roman"/>
              </w:rPr>
              <w:t>William King, Associate Professor</w:t>
            </w:r>
            <w:r w:rsidRPr="00B1329F">
              <w:rPr>
                <w:rFonts w:ascii="Times New Roman" w:hAnsi="Times New Roman"/>
              </w:rPr>
              <w:tab/>
            </w:r>
          </w:p>
          <w:p w:rsidR="004835E3" w:rsidRPr="00B1329F" w:rsidRDefault="004835E3" w:rsidP="00FF3882">
            <w:pPr>
              <w:rPr>
                <w:rFonts w:ascii="Times New Roman" w:hAnsi="Times New Roman"/>
              </w:rPr>
            </w:pPr>
            <w:r w:rsidRPr="00B1329F">
              <w:rPr>
                <w:rFonts w:ascii="Times New Roman" w:hAnsi="Times New Roman"/>
              </w:rPr>
              <w:t>Sam Houston State University</w:t>
            </w:r>
          </w:p>
          <w:p w:rsidR="004835E3" w:rsidRPr="00B1329F" w:rsidRDefault="004835E3" w:rsidP="00FF3882">
            <w:pPr>
              <w:rPr>
                <w:rFonts w:ascii="Times New Roman" w:hAnsi="Times New Roman"/>
              </w:rPr>
            </w:pPr>
            <w:r w:rsidRPr="00B1329F">
              <w:rPr>
                <w:rFonts w:ascii="Times New Roman" w:hAnsi="Times New Roman"/>
              </w:rPr>
              <w:t>Box 2296</w:t>
            </w:r>
          </w:p>
          <w:p w:rsidR="004835E3" w:rsidRPr="00B1329F" w:rsidRDefault="004835E3" w:rsidP="00FF3882">
            <w:pPr>
              <w:rPr>
                <w:rFonts w:ascii="Times New Roman" w:hAnsi="Times New Roman"/>
              </w:rPr>
            </w:pPr>
            <w:r w:rsidRPr="00B1329F">
              <w:rPr>
                <w:rFonts w:ascii="Times New Roman" w:hAnsi="Times New Roman"/>
              </w:rPr>
              <w:t>Huntsville, TX 77341</w:t>
            </w:r>
          </w:p>
        </w:tc>
        <w:tc>
          <w:tcPr>
            <w:tcW w:w="4140" w:type="dxa"/>
          </w:tcPr>
          <w:p w:rsidR="004835E3" w:rsidRPr="00B1329F" w:rsidRDefault="004835E3" w:rsidP="00FF3882">
            <w:pPr>
              <w:rPr>
                <w:rFonts w:ascii="Times New Roman" w:hAnsi="Times New Roman"/>
              </w:rPr>
            </w:pPr>
            <w:r w:rsidRPr="00B1329F">
              <w:rPr>
                <w:rFonts w:ascii="Times New Roman" w:hAnsi="Times New Roman"/>
              </w:rPr>
              <w:t>Cynthia Lum, Professor</w:t>
            </w:r>
          </w:p>
          <w:p w:rsidR="004835E3" w:rsidRPr="00B1329F" w:rsidRDefault="004835E3" w:rsidP="00FF3882">
            <w:pPr>
              <w:rPr>
                <w:rFonts w:ascii="Times New Roman" w:hAnsi="Times New Roman"/>
              </w:rPr>
            </w:pPr>
            <w:r w:rsidRPr="00B1329F">
              <w:rPr>
                <w:rFonts w:ascii="Times New Roman" w:hAnsi="Times New Roman"/>
              </w:rPr>
              <w:t>George Mason University</w:t>
            </w:r>
          </w:p>
          <w:p w:rsidR="004835E3" w:rsidRPr="00B1329F" w:rsidRDefault="004835E3" w:rsidP="00FF3882">
            <w:pPr>
              <w:rPr>
                <w:rFonts w:ascii="Times New Roman" w:hAnsi="Times New Roman"/>
              </w:rPr>
            </w:pPr>
            <w:r w:rsidRPr="00B1329F">
              <w:rPr>
                <w:rFonts w:ascii="Times New Roman" w:hAnsi="Times New Roman"/>
              </w:rPr>
              <w:t>4400 University Drive</w:t>
            </w:r>
          </w:p>
          <w:p w:rsidR="004835E3" w:rsidRPr="00B1329F" w:rsidRDefault="004835E3" w:rsidP="00FF3882">
            <w:pPr>
              <w:rPr>
                <w:rFonts w:ascii="Times New Roman" w:hAnsi="Times New Roman"/>
              </w:rPr>
            </w:pPr>
            <w:r w:rsidRPr="00B1329F">
              <w:rPr>
                <w:rFonts w:ascii="Times New Roman" w:hAnsi="Times New Roman"/>
              </w:rPr>
              <w:t>Fairfax, VA 22030</w:t>
            </w:r>
          </w:p>
        </w:tc>
      </w:tr>
      <w:tr w:rsidR="004835E3" w:rsidRPr="00B1329F" w:rsidTr="00B235CF">
        <w:trPr>
          <w:jc w:val="center"/>
        </w:trPr>
        <w:tc>
          <w:tcPr>
            <w:tcW w:w="4626" w:type="dxa"/>
          </w:tcPr>
          <w:p w:rsidR="004835E3" w:rsidRPr="00B1329F" w:rsidRDefault="004835E3" w:rsidP="00FF3882">
            <w:pPr>
              <w:rPr>
                <w:rFonts w:ascii="Times New Roman" w:hAnsi="Times New Roman"/>
              </w:rPr>
            </w:pPr>
            <w:r w:rsidRPr="00B1329F">
              <w:rPr>
                <w:rFonts w:ascii="Times New Roman" w:hAnsi="Times New Roman"/>
              </w:rPr>
              <w:t>Christine Eith, Assistant Professor</w:t>
            </w:r>
          </w:p>
          <w:p w:rsidR="004835E3" w:rsidRPr="00B1329F" w:rsidRDefault="004835E3" w:rsidP="00FF3882">
            <w:pPr>
              <w:rPr>
                <w:rFonts w:ascii="Times New Roman" w:hAnsi="Times New Roman"/>
              </w:rPr>
            </w:pPr>
            <w:r w:rsidRPr="00B1329F">
              <w:rPr>
                <w:rFonts w:ascii="Times New Roman" w:hAnsi="Times New Roman"/>
              </w:rPr>
              <w:t>Johns Hopkins University</w:t>
            </w:r>
          </w:p>
          <w:p w:rsidR="004835E3" w:rsidRPr="00B1329F" w:rsidRDefault="004835E3" w:rsidP="00FF3882">
            <w:pPr>
              <w:rPr>
                <w:rFonts w:ascii="Times New Roman" w:hAnsi="Times New Roman"/>
              </w:rPr>
            </w:pPr>
            <w:r w:rsidRPr="00B1329F">
              <w:rPr>
                <w:rFonts w:ascii="Times New Roman" w:hAnsi="Times New Roman"/>
              </w:rPr>
              <w:t>Police Executive Leadership</w:t>
            </w:r>
          </w:p>
          <w:p w:rsidR="004835E3" w:rsidRPr="00B1329F" w:rsidRDefault="004835E3" w:rsidP="00FF3882">
            <w:pPr>
              <w:rPr>
                <w:rFonts w:ascii="Times New Roman" w:hAnsi="Times New Roman"/>
              </w:rPr>
            </w:pPr>
            <w:r w:rsidRPr="00B1329F">
              <w:rPr>
                <w:rFonts w:ascii="Times New Roman" w:hAnsi="Times New Roman"/>
              </w:rPr>
              <w:t>Columbia Center</w:t>
            </w:r>
          </w:p>
          <w:p w:rsidR="004835E3" w:rsidRPr="00B1329F" w:rsidRDefault="004835E3" w:rsidP="00FF3882">
            <w:pPr>
              <w:rPr>
                <w:rFonts w:ascii="Times New Roman" w:hAnsi="Times New Roman"/>
              </w:rPr>
            </w:pPr>
            <w:r w:rsidRPr="00B1329F">
              <w:rPr>
                <w:rFonts w:ascii="Times New Roman" w:hAnsi="Times New Roman"/>
              </w:rPr>
              <w:t>6740 Alexander Bell Drive</w:t>
            </w:r>
          </w:p>
          <w:p w:rsidR="004835E3" w:rsidRPr="00B1329F" w:rsidRDefault="004835E3" w:rsidP="00FF3882">
            <w:pPr>
              <w:rPr>
                <w:rFonts w:ascii="Times New Roman" w:hAnsi="Times New Roman"/>
              </w:rPr>
            </w:pPr>
            <w:r w:rsidRPr="00B1329F">
              <w:rPr>
                <w:rFonts w:ascii="Times New Roman" w:hAnsi="Times New Roman"/>
              </w:rPr>
              <w:t>Columbia, MD 21046</w:t>
            </w:r>
          </w:p>
        </w:tc>
        <w:tc>
          <w:tcPr>
            <w:tcW w:w="4140" w:type="dxa"/>
          </w:tcPr>
          <w:p w:rsidR="004835E3" w:rsidRPr="00B1329F" w:rsidRDefault="004835E3" w:rsidP="00FF3882">
            <w:pPr>
              <w:rPr>
                <w:rFonts w:ascii="Times New Roman" w:hAnsi="Times New Roman"/>
              </w:rPr>
            </w:pPr>
            <w:r w:rsidRPr="00B1329F">
              <w:rPr>
                <w:rFonts w:ascii="Times New Roman" w:hAnsi="Times New Roman"/>
              </w:rPr>
              <w:t xml:space="preserve">Howard Snyder, Deputy Director </w:t>
            </w:r>
          </w:p>
          <w:p w:rsidR="004835E3" w:rsidRPr="00B1329F" w:rsidRDefault="004835E3" w:rsidP="00FF3882">
            <w:pPr>
              <w:rPr>
                <w:rFonts w:ascii="Times New Roman" w:hAnsi="Times New Roman"/>
              </w:rPr>
            </w:pPr>
            <w:r w:rsidRPr="00B1329F">
              <w:rPr>
                <w:rFonts w:ascii="Times New Roman" w:hAnsi="Times New Roman"/>
              </w:rPr>
              <w:t>Bureau of Justice Statistics</w:t>
            </w:r>
          </w:p>
          <w:p w:rsidR="004835E3" w:rsidRPr="00B1329F" w:rsidRDefault="004835E3" w:rsidP="00FF3882">
            <w:pPr>
              <w:rPr>
                <w:rFonts w:ascii="Times New Roman" w:hAnsi="Times New Roman"/>
              </w:rPr>
            </w:pPr>
            <w:r w:rsidRPr="00B1329F">
              <w:rPr>
                <w:rFonts w:ascii="Times New Roman" w:hAnsi="Times New Roman"/>
              </w:rPr>
              <w:t>U.S. Department of Justice</w:t>
            </w:r>
          </w:p>
          <w:p w:rsidR="004835E3" w:rsidRPr="00B1329F" w:rsidRDefault="004835E3" w:rsidP="00FF3882">
            <w:pPr>
              <w:rPr>
                <w:rFonts w:ascii="Times New Roman" w:hAnsi="Times New Roman"/>
              </w:rPr>
            </w:pPr>
            <w:r w:rsidRPr="00B1329F">
              <w:rPr>
                <w:rFonts w:ascii="Times New Roman" w:hAnsi="Times New Roman"/>
              </w:rPr>
              <w:t>810 Seventh Street NW</w:t>
            </w:r>
          </w:p>
          <w:p w:rsidR="004835E3" w:rsidRPr="00B1329F" w:rsidRDefault="004835E3" w:rsidP="00FF3882">
            <w:pPr>
              <w:rPr>
                <w:rFonts w:ascii="Times New Roman" w:hAnsi="Times New Roman"/>
              </w:rPr>
            </w:pPr>
            <w:r w:rsidRPr="00B1329F">
              <w:rPr>
                <w:rFonts w:ascii="Times New Roman" w:hAnsi="Times New Roman"/>
              </w:rPr>
              <w:t>Washington, DC 20531</w:t>
            </w:r>
          </w:p>
        </w:tc>
      </w:tr>
      <w:tr w:rsidR="004835E3" w:rsidRPr="00B1329F" w:rsidTr="00B235CF">
        <w:trPr>
          <w:jc w:val="center"/>
        </w:trPr>
        <w:tc>
          <w:tcPr>
            <w:tcW w:w="4626" w:type="dxa"/>
          </w:tcPr>
          <w:p w:rsidR="004835E3" w:rsidRPr="00B1329F" w:rsidRDefault="004835E3" w:rsidP="00FF3882">
            <w:pPr>
              <w:rPr>
                <w:rFonts w:ascii="Times New Roman" w:hAnsi="Times New Roman"/>
              </w:rPr>
            </w:pPr>
            <w:r w:rsidRPr="00B1329F">
              <w:rPr>
                <w:rFonts w:ascii="Times New Roman" w:hAnsi="Times New Roman"/>
              </w:rPr>
              <w:t>Matthew Scheider, Assistant Director</w:t>
            </w:r>
          </w:p>
          <w:p w:rsidR="004835E3" w:rsidRPr="00B1329F" w:rsidRDefault="004835E3" w:rsidP="00FF3882">
            <w:pPr>
              <w:rPr>
                <w:rFonts w:ascii="Times New Roman" w:hAnsi="Times New Roman"/>
              </w:rPr>
            </w:pPr>
            <w:r w:rsidRPr="00B1329F">
              <w:rPr>
                <w:rFonts w:ascii="Times New Roman" w:hAnsi="Times New Roman"/>
              </w:rPr>
              <w:t>Office of Community Oriented Policing</w:t>
            </w:r>
          </w:p>
          <w:p w:rsidR="004835E3" w:rsidRPr="00B1329F" w:rsidRDefault="004835E3" w:rsidP="00FF3882">
            <w:pPr>
              <w:rPr>
                <w:rFonts w:ascii="Times New Roman" w:hAnsi="Times New Roman"/>
              </w:rPr>
            </w:pPr>
            <w:r w:rsidRPr="00B1329F">
              <w:rPr>
                <w:rFonts w:ascii="Times New Roman" w:hAnsi="Times New Roman"/>
              </w:rPr>
              <w:t>U.S. Department of Justice</w:t>
            </w:r>
          </w:p>
          <w:p w:rsidR="004835E3" w:rsidRPr="00B1329F" w:rsidRDefault="004835E3" w:rsidP="00FF3882">
            <w:pPr>
              <w:rPr>
                <w:rFonts w:ascii="Times New Roman" w:hAnsi="Times New Roman"/>
              </w:rPr>
            </w:pPr>
            <w:r w:rsidRPr="00B1329F">
              <w:rPr>
                <w:rFonts w:ascii="Times New Roman" w:hAnsi="Times New Roman"/>
              </w:rPr>
              <w:t>145 North S Street NE</w:t>
            </w:r>
          </w:p>
          <w:p w:rsidR="004835E3" w:rsidRPr="00B1329F" w:rsidRDefault="004835E3" w:rsidP="00FF3882">
            <w:pPr>
              <w:rPr>
                <w:rFonts w:ascii="Times New Roman" w:hAnsi="Times New Roman"/>
              </w:rPr>
            </w:pPr>
            <w:r w:rsidRPr="00B1329F">
              <w:rPr>
                <w:rFonts w:ascii="Times New Roman" w:hAnsi="Times New Roman"/>
              </w:rPr>
              <w:t>Washington, DC 20530</w:t>
            </w:r>
          </w:p>
        </w:tc>
        <w:tc>
          <w:tcPr>
            <w:tcW w:w="4140" w:type="dxa"/>
          </w:tcPr>
          <w:p w:rsidR="004835E3" w:rsidRPr="00B1329F" w:rsidRDefault="004835E3" w:rsidP="00FF3882">
            <w:pPr>
              <w:rPr>
                <w:rFonts w:ascii="Times New Roman" w:hAnsi="Times New Roman"/>
              </w:rPr>
            </w:pPr>
            <w:r w:rsidRPr="00B1329F">
              <w:rPr>
                <w:rFonts w:ascii="Times New Roman" w:hAnsi="Times New Roman"/>
              </w:rPr>
              <w:t>Joel Garner, Chief,</w:t>
            </w:r>
          </w:p>
          <w:p w:rsidR="004835E3" w:rsidRPr="00B1329F" w:rsidRDefault="004835E3" w:rsidP="00FF3882">
            <w:pPr>
              <w:rPr>
                <w:rFonts w:ascii="Times New Roman" w:hAnsi="Times New Roman"/>
              </w:rPr>
            </w:pPr>
            <w:r w:rsidRPr="00B1329F">
              <w:rPr>
                <w:rFonts w:ascii="Times New Roman" w:hAnsi="Times New Roman"/>
              </w:rPr>
              <w:t>Bureau of Justice Statistics</w:t>
            </w:r>
          </w:p>
          <w:p w:rsidR="004835E3" w:rsidRPr="00B1329F" w:rsidRDefault="004835E3" w:rsidP="00FF3882">
            <w:pPr>
              <w:rPr>
                <w:rFonts w:ascii="Times New Roman" w:hAnsi="Times New Roman"/>
              </w:rPr>
            </w:pPr>
            <w:r w:rsidRPr="00B1329F">
              <w:rPr>
                <w:rFonts w:ascii="Times New Roman" w:hAnsi="Times New Roman"/>
              </w:rPr>
              <w:t>U.S. Department of Justice</w:t>
            </w:r>
          </w:p>
          <w:p w:rsidR="004835E3" w:rsidRPr="00B1329F" w:rsidRDefault="004835E3" w:rsidP="00FF3882">
            <w:pPr>
              <w:rPr>
                <w:rFonts w:ascii="Times New Roman" w:hAnsi="Times New Roman"/>
              </w:rPr>
            </w:pPr>
            <w:r w:rsidRPr="00B1329F">
              <w:rPr>
                <w:rFonts w:ascii="Times New Roman" w:hAnsi="Times New Roman"/>
              </w:rPr>
              <w:t>810 Seventh Street NW</w:t>
            </w:r>
          </w:p>
          <w:p w:rsidR="004835E3" w:rsidRPr="00B1329F" w:rsidRDefault="004835E3" w:rsidP="00FF3882">
            <w:pPr>
              <w:rPr>
                <w:rFonts w:ascii="Times New Roman" w:hAnsi="Times New Roman"/>
              </w:rPr>
            </w:pPr>
            <w:r w:rsidRPr="00B1329F">
              <w:rPr>
                <w:rFonts w:ascii="Times New Roman" w:hAnsi="Times New Roman"/>
              </w:rPr>
              <w:t>Washington, DC 20531</w:t>
            </w:r>
          </w:p>
        </w:tc>
      </w:tr>
      <w:tr w:rsidR="004835E3" w:rsidRPr="00B1329F" w:rsidTr="00B235CF">
        <w:trPr>
          <w:jc w:val="center"/>
        </w:trPr>
        <w:tc>
          <w:tcPr>
            <w:tcW w:w="4626" w:type="dxa"/>
          </w:tcPr>
          <w:p w:rsidR="004835E3" w:rsidRPr="00B1329F" w:rsidRDefault="004835E3" w:rsidP="00FF3882">
            <w:pPr>
              <w:rPr>
                <w:rFonts w:ascii="Times New Roman" w:hAnsi="Times New Roman"/>
              </w:rPr>
            </w:pPr>
            <w:r w:rsidRPr="00B1329F">
              <w:rPr>
                <w:rFonts w:ascii="Times New Roman" w:hAnsi="Times New Roman"/>
              </w:rPr>
              <w:t>John Markovic, Program Manager</w:t>
            </w:r>
          </w:p>
          <w:p w:rsidR="004835E3" w:rsidRPr="00B1329F" w:rsidRDefault="004835E3" w:rsidP="00FF3882">
            <w:pPr>
              <w:rPr>
                <w:rFonts w:ascii="Times New Roman" w:hAnsi="Times New Roman"/>
              </w:rPr>
            </w:pPr>
            <w:r w:rsidRPr="00B1329F">
              <w:rPr>
                <w:rFonts w:ascii="Times New Roman" w:hAnsi="Times New Roman"/>
              </w:rPr>
              <w:t>Office of Community Oriented Policing</w:t>
            </w:r>
          </w:p>
          <w:p w:rsidR="004835E3" w:rsidRPr="00B1329F" w:rsidRDefault="004835E3" w:rsidP="00FF3882">
            <w:pPr>
              <w:rPr>
                <w:rFonts w:ascii="Times New Roman" w:hAnsi="Times New Roman"/>
              </w:rPr>
            </w:pPr>
            <w:r w:rsidRPr="00B1329F">
              <w:rPr>
                <w:rFonts w:ascii="Times New Roman" w:hAnsi="Times New Roman"/>
              </w:rPr>
              <w:t>U.S. Department of Justice</w:t>
            </w:r>
          </w:p>
          <w:p w:rsidR="004835E3" w:rsidRPr="00B1329F" w:rsidRDefault="004835E3" w:rsidP="00FF3882">
            <w:pPr>
              <w:rPr>
                <w:rFonts w:ascii="Times New Roman" w:hAnsi="Times New Roman"/>
              </w:rPr>
            </w:pPr>
            <w:r w:rsidRPr="00B1329F">
              <w:rPr>
                <w:rFonts w:ascii="Times New Roman" w:hAnsi="Times New Roman"/>
              </w:rPr>
              <w:t>145 North S Street NE</w:t>
            </w:r>
          </w:p>
          <w:p w:rsidR="004835E3" w:rsidRPr="00B1329F" w:rsidRDefault="004835E3" w:rsidP="00FF3882">
            <w:pPr>
              <w:rPr>
                <w:rFonts w:ascii="Times New Roman" w:hAnsi="Times New Roman"/>
              </w:rPr>
            </w:pPr>
            <w:r w:rsidRPr="00B1329F">
              <w:rPr>
                <w:rFonts w:ascii="Times New Roman" w:hAnsi="Times New Roman"/>
              </w:rPr>
              <w:t>Washington, DC 20530</w:t>
            </w:r>
          </w:p>
        </w:tc>
        <w:tc>
          <w:tcPr>
            <w:tcW w:w="4140" w:type="dxa"/>
          </w:tcPr>
          <w:p w:rsidR="004835E3" w:rsidRPr="00B1329F" w:rsidRDefault="004835E3" w:rsidP="00FF3882">
            <w:pPr>
              <w:rPr>
                <w:rFonts w:ascii="Times New Roman" w:hAnsi="Times New Roman"/>
              </w:rPr>
            </w:pPr>
            <w:r w:rsidRPr="00B1329F">
              <w:rPr>
                <w:rFonts w:ascii="Times New Roman" w:hAnsi="Times New Roman"/>
              </w:rPr>
              <w:t>Ron Malega, Statistician</w:t>
            </w:r>
          </w:p>
          <w:p w:rsidR="004835E3" w:rsidRPr="00B1329F" w:rsidRDefault="004835E3" w:rsidP="00FF3882">
            <w:pPr>
              <w:rPr>
                <w:rFonts w:ascii="Times New Roman" w:hAnsi="Times New Roman"/>
              </w:rPr>
            </w:pPr>
            <w:r w:rsidRPr="00B1329F">
              <w:rPr>
                <w:rFonts w:ascii="Times New Roman" w:hAnsi="Times New Roman"/>
              </w:rPr>
              <w:t>Bureau of Justice Statistics</w:t>
            </w:r>
          </w:p>
          <w:p w:rsidR="004835E3" w:rsidRPr="00B1329F" w:rsidRDefault="004835E3" w:rsidP="00FF3882">
            <w:pPr>
              <w:rPr>
                <w:rFonts w:ascii="Times New Roman" w:hAnsi="Times New Roman"/>
              </w:rPr>
            </w:pPr>
            <w:r w:rsidRPr="00B1329F">
              <w:rPr>
                <w:rFonts w:ascii="Times New Roman" w:hAnsi="Times New Roman"/>
              </w:rPr>
              <w:t>U.S. Department of Justice</w:t>
            </w:r>
          </w:p>
          <w:p w:rsidR="004835E3" w:rsidRPr="00B1329F" w:rsidRDefault="004835E3" w:rsidP="00FF3882">
            <w:pPr>
              <w:rPr>
                <w:rFonts w:ascii="Times New Roman" w:hAnsi="Times New Roman"/>
              </w:rPr>
            </w:pPr>
            <w:r w:rsidRPr="00B1329F">
              <w:rPr>
                <w:rFonts w:ascii="Times New Roman" w:hAnsi="Times New Roman"/>
              </w:rPr>
              <w:t>810 Seventh Street NW</w:t>
            </w:r>
          </w:p>
          <w:p w:rsidR="004835E3" w:rsidRPr="00B1329F" w:rsidRDefault="004835E3" w:rsidP="00FF3882">
            <w:pPr>
              <w:rPr>
                <w:rFonts w:ascii="Times New Roman" w:hAnsi="Times New Roman"/>
              </w:rPr>
            </w:pPr>
            <w:r w:rsidRPr="00B1329F">
              <w:rPr>
                <w:rFonts w:ascii="Times New Roman" w:hAnsi="Times New Roman"/>
              </w:rPr>
              <w:t>Washington, DC 20531</w:t>
            </w:r>
          </w:p>
        </w:tc>
      </w:tr>
      <w:tr w:rsidR="004835E3" w:rsidRPr="00B1329F" w:rsidTr="00B235CF">
        <w:trPr>
          <w:jc w:val="center"/>
        </w:trPr>
        <w:tc>
          <w:tcPr>
            <w:tcW w:w="4626" w:type="dxa"/>
          </w:tcPr>
          <w:p w:rsidR="004835E3" w:rsidRPr="00B1329F" w:rsidRDefault="004835E3" w:rsidP="00FF3882">
            <w:pPr>
              <w:rPr>
                <w:rFonts w:ascii="Times New Roman" w:hAnsi="Times New Roman"/>
              </w:rPr>
            </w:pPr>
            <w:r w:rsidRPr="00B1329F">
              <w:rPr>
                <w:rFonts w:ascii="Times New Roman" w:hAnsi="Times New Roman"/>
              </w:rPr>
              <w:t>John Firman, Director of Research</w:t>
            </w:r>
          </w:p>
          <w:p w:rsidR="004835E3" w:rsidRPr="00B1329F" w:rsidRDefault="004835E3" w:rsidP="00FF3882">
            <w:pPr>
              <w:rPr>
                <w:rFonts w:ascii="Times New Roman" w:hAnsi="Times New Roman"/>
              </w:rPr>
            </w:pPr>
            <w:r w:rsidRPr="00B1329F">
              <w:rPr>
                <w:rFonts w:ascii="Times New Roman" w:hAnsi="Times New Roman"/>
              </w:rPr>
              <w:t>International Association of Chiefs of Police</w:t>
            </w:r>
          </w:p>
          <w:p w:rsidR="004835E3" w:rsidRPr="00B1329F" w:rsidRDefault="004835E3" w:rsidP="00FF3882">
            <w:pPr>
              <w:rPr>
                <w:rFonts w:ascii="Times New Roman" w:hAnsi="Times New Roman"/>
              </w:rPr>
            </w:pPr>
            <w:r w:rsidRPr="00B1329F">
              <w:rPr>
                <w:rFonts w:ascii="Times New Roman" w:hAnsi="Times New Roman"/>
              </w:rPr>
              <w:t>515 North Washington Street</w:t>
            </w:r>
          </w:p>
          <w:p w:rsidR="004835E3" w:rsidRPr="00B1329F" w:rsidRDefault="004835E3" w:rsidP="00FF3882">
            <w:pPr>
              <w:rPr>
                <w:rFonts w:ascii="Times New Roman" w:hAnsi="Times New Roman"/>
              </w:rPr>
            </w:pPr>
            <w:r w:rsidRPr="00B1329F">
              <w:rPr>
                <w:rFonts w:ascii="Times New Roman" w:hAnsi="Times New Roman"/>
              </w:rPr>
              <w:t>Alexandria, VA 22314</w:t>
            </w:r>
          </w:p>
        </w:tc>
        <w:tc>
          <w:tcPr>
            <w:tcW w:w="4140" w:type="dxa"/>
          </w:tcPr>
          <w:p w:rsidR="004835E3" w:rsidRPr="00B1329F" w:rsidRDefault="004835E3" w:rsidP="00FF3882">
            <w:pPr>
              <w:rPr>
                <w:rFonts w:ascii="Times New Roman" w:hAnsi="Times New Roman"/>
              </w:rPr>
            </w:pPr>
            <w:r w:rsidRPr="00B1329F">
              <w:rPr>
                <w:rFonts w:ascii="Times New Roman" w:hAnsi="Times New Roman"/>
              </w:rPr>
              <w:t>David Hayeslip, Principal Investigator</w:t>
            </w:r>
          </w:p>
          <w:p w:rsidR="004835E3" w:rsidRPr="00B1329F" w:rsidRDefault="004835E3" w:rsidP="00FF3882">
            <w:pPr>
              <w:rPr>
                <w:rFonts w:ascii="Times New Roman" w:hAnsi="Times New Roman"/>
              </w:rPr>
            </w:pPr>
            <w:r w:rsidRPr="00B1329F">
              <w:rPr>
                <w:rFonts w:ascii="Times New Roman" w:hAnsi="Times New Roman"/>
              </w:rPr>
              <w:t>Justice Policy Center</w:t>
            </w:r>
          </w:p>
          <w:p w:rsidR="004835E3" w:rsidRPr="00B1329F" w:rsidRDefault="004835E3" w:rsidP="00FF3882">
            <w:pPr>
              <w:rPr>
                <w:rFonts w:ascii="Times New Roman" w:hAnsi="Times New Roman"/>
              </w:rPr>
            </w:pPr>
            <w:r w:rsidRPr="00B1329F">
              <w:rPr>
                <w:rFonts w:ascii="Times New Roman" w:hAnsi="Times New Roman"/>
              </w:rPr>
              <w:t>The Urban Institute</w:t>
            </w:r>
          </w:p>
          <w:p w:rsidR="004835E3" w:rsidRPr="00B1329F" w:rsidRDefault="004835E3" w:rsidP="00FF3882">
            <w:pPr>
              <w:rPr>
                <w:rFonts w:ascii="Times New Roman" w:hAnsi="Times New Roman"/>
              </w:rPr>
            </w:pPr>
            <w:r w:rsidRPr="00B1329F">
              <w:rPr>
                <w:rFonts w:ascii="Times New Roman" w:hAnsi="Times New Roman"/>
              </w:rPr>
              <w:t>2100 M Street NW</w:t>
            </w:r>
          </w:p>
          <w:p w:rsidR="004835E3" w:rsidRPr="00B1329F" w:rsidRDefault="004835E3" w:rsidP="00FF3882">
            <w:pPr>
              <w:rPr>
                <w:rFonts w:ascii="Times New Roman" w:hAnsi="Times New Roman"/>
              </w:rPr>
            </w:pPr>
            <w:r w:rsidRPr="00B1329F">
              <w:rPr>
                <w:rFonts w:ascii="Times New Roman" w:hAnsi="Times New Roman"/>
              </w:rPr>
              <w:t>Washington, DC 20037</w:t>
            </w:r>
          </w:p>
        </w:tc>
      </w:tr>
      <w:tr w:rsidR="004835E3" w:rsidRPr="00B1329F" w:rsidTr="00B235CF">
        <w:trPr>
          <w:jc w:val="center"/>
        </w:trPr>
        <w:tc>
          <w:tcPr>
            <w:tcW w:w="4626" w:type="dxa"/>
          </w:tcPr>
          <w:p w:rsidR="004835E3" w:rsidRPr="00B1329F" w:rsidRDefault="004835E3" w:rsidP="00FF3882">
            <w:pPr>
              <w:rPr>
                <w:rFonts w:ascii="Times New Roman" w:hAnsi="Times New Roman"/>
              </w:rPr>
            </w:pPr>
            <w:r w:rsidRPr="00B1329F">
              <w:rPr>
                <w:rFonts w:ascii="Times New Roman" w:hAnsi="Times New Roman"/>
              </w:rPr>
              <w:t xml:space="preserve">Stephen Bamford, Captain, </w:t>
            </w:r>
          </w:p>
          <w:p w:rsidR="004835E3" w:rsidRPr="00B1329F" w:rsidRDefault="004835E3" w:rsidP="00FF3882">
            <w:pPr>
              <w:rPr>
                <w:rFonts w:ascii="Times New Roman" w:hAnsi="Times New Roman"/>
              </w:rPr>
            </w:pPr>
            <w:r w:rsidRPr="00B1329F">
              <w:rPr>
                <w:rFonts w:ascii="Times New Roman" w:hAnsi="Times New Roman"/>
              </w:rPr>
              <w:t>Investigative Services</w:t>
            </w:r>
          </w:p>
          <w:p w:rsidR="004835E3" w:rsidRPr="00B1329F" w:rsidRDefault="004835E3" w:rsidP="00FF3882">
            <w:pPr>
              <w:rPr>
                <w:rFonts w:ascii="Times New Roman" w:hAnsi="Times New Roman"/>
              </w:rPr>
            </w:pPr>
            <w:r w:rsidRPr="00B1329F">
              <w:rPr>
                <w:rFonts w:ascii="Times New Roman" w:hAnsi="Times New Roman"/>
              </w:rPr>
              <w:t>Manassas Police Department</w:t>
            </w:r>
          </w:p>
          <w:p w:rsidR="004835E3" w:rsidRPr="00B1329F" w:rsidRDefault="004835E3" w:rsidP="00FF3882">
            <w:pPr>
              <w:rPr>
                <w:rFonts w:ascii="Times New Roman" w:hAnsi="Times New Roman"/>
              </w:rPr>
            </w:pPr>
            <w:r w:rsidRPr="00B1329F">
              <w:rPr>
                <w:rFonts w:ascii="Times New Roman" w:hAnsi="Times New Roman"/>
              </w:rPr>
              <w:t>9518 Fairview Avenue</w:t>
            </w:r>
          </w:p>
          <w:p w:rsidR="004835E3" w:rsidRPr="00B1329F" w:rsidRDefault="004835E3" w:rsidP="00FF3882">
            <w:pPr>
              <w:rPr>
                <w:rFonts w:ascii="Times New Roman" w:hAnsi="Times New Roman"/>
              </w:rPr>
            </w:pPr>
            <w:r w:rsidRPr="00B1329F">
              <w:rPr>
                <w:rFonts w:ascii="Times New Roman" w:hAnsi="Times New Roman"/>
              </w:rPr>
              <w:t>Manassas, VA 20110</w:t>
            </w:r>
          </w:p>
        </w:tc>
        <w:tc>
          <w:tcPr>
            <w:tcW w:w="4140" w:type="dxa"/>
          </w:tcPr>
          <w:p w:rsidR="004835E3" w:rsidRPr="00B1329F" w:rsidRDefault="004835E3" w:rsidP="00FF3882">
            <w:pPr>
              <w:rPr>
                <w:rFonts w:ascii="Times New Roman" w:hAnsi="Times New Roman"/>
              </w:rPr>
            </w:pPr>
            <w:r w:rsidRPr="00B1329F">
              <w:rPr>
                <w:rFonts w:ascii="Times New Roman" w:hAnsi="Times New Roman"/>
              </w:rPr>
              <w:t>Samantha Lowry, Project Director</w:t>
            </w:r>
          </w:p>
          <w:p w:rsidR="004835E3" w:rsidRPr="00B1329F" w:rsidRDefault="004835E3" w:rsidP="00FF3882">
            <w:pPr>
              <w:rPr>
                <w:rFonts w:ascii="Times New Roman" w:hAnsi="Times New Roman"/>
              </w:rPr>
            </w:pPr>
            <w:r w:rsidRPr="00B1329F">
              <w:rPr>
                <w:rFonts w:ascii="Times New Roman" w:hAnsi="Times New Roman"/>
              </w:rPr>
              <w:t>Justice Policy Center</w:t>
            </w:r>
          </w:p>
          <w:p w:rsidR="004835E3" w:rsidRPr="00B1329F" w:rsidRDefault="004835E3" w:rsidP="00FF3882">
            <w:pPr>
              <w:rPr>
                <w:rFonts w:ascii="Times New Roman" w:hAnsi="Times New Roman"/>
              </w:rPr>
            </w:pPr>
            <w:r w:rsidRPr="00B1329F">
              <w:rPr>
                <w:rFonts w:ascii="Times New Roman" w:hAnsi="Times New Roman"/>
              </w:rPr>
              <w:t>The Urban Institute</w:t>
            </w:r>
          </w:p>
          <w:p w:rsidR="004835E3" w:rsidRPr="00B1329F" w:rsidRDefault="004835E3" w:rsidP="00FF3882">
            <w:pPr>
              <w:rPr>
                <w:rFonts w:ascii="Times New Roman" w:hAnsi="Times New Roman"/>
              </w:rPr>
            </w:pPr>
            <w:r w:rsidRPr="00B1329F">
              <w:rPr>
                <w:rFonts w:ascii="Times New Roman" w:hAnsi="Times New Roman"/>
              </w:rPr>
              <w:t>2100 M Street NW</w:t>
            </w:r>
          </w:p>
          <w:p w:rsidR="004835E3" w:rsidRPr="00B1329F" w:rsidRDefault="004835E3" w:rsidP="00FF3882">
            <w:pPr>
              <w:rPr>
                <w:rFonts w:ascii="Times New Roman" w:hAnsi="Times New Roman"/>
              </w:rPr>
            </w:pPr>
            <w:r w:rsidRPr="00B1329F">
              <w:rPr>
                <w:rFonts w:ascii="Times New Roman" w:hAnsi="Times New Roman"/>
              </w:rPr>
              <w:t>Washington, DC 20037</w:t>
            </w:r>
          </w:p>
        </w:tc>
      </w:tr>
    </w:tbl>
    <w:p w:rsidR="00642C10" w:rsidRDefault="00642C10" w:rsidP="007B739F"/>
    <w:p w:rsidR="007B739F" w:rsidRPr="008D7CC0" w:rsidRDefault="00642C10" w:rsidP="007B739F">
      <w:pPr>
        <w:pStyle w:val="ListParagraph"/>
        <w:numPr>
          <w:ilvl w:val="0"/>
          <w:numId w:val="2"/>
        </w:numPr>
        <w:rPr>
          <w:b/>
          <w:u w:val="single"/>
        </w:rPr>
      </w:pPr>
      <w:r>
        <w:br w:type="column"/>
      </w:r>
      <w:r w:rsidR="006D6E11" w:rsidRPr="008D7CC0">
        <w:rPr>
          <w:b/>
        </w:rPr>
        <w:lastRenderedPageBreak/>
        <w:t xml:space="preserve"> </w:t>
      </w:r>
      <w:r w:rsidR="007B739F" w:rsidRPr="008D7CC0">
        <w:rPr>
          <w:b/>
          <w:u w:val="single"/>
        </w:rPr>
        <w:t>Assurance of Confidentiality</w:t>
      </w:r>
    </w:p>
    <w:p w:rsidR="007B739F" w:rsidRDefault="007B739F" w:rsidP="007B73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B739F" w:rsidRDefault="007B739F" w:rsidP="007B739F">
      <w:r w:rsidRPr="00AE3288">
        <w:t xml:space="preserve">According to 42 U.S.C. 3735 Section 304, the information gathered in this data collection shall be used only for statistical or research purposes, and shall be gathered in a manner that precludes their use for law enforcement or any purpose relating to a particular individual other than statistical or research purposes. The data collected through the </w:t>
      </w:r>
      <w:r w:rsidR="006874D5">
        <w:t xml:space="preserve">LEMAS </w:t>
      </w:r>
      <w:r>
        <w:t xml:space="preserve">Survey </w:t>
      </w:r>
      <w:r w:rsidRPr="00AE3288">
        <w:t xml:space="preserve">represent institutional characteristics of publicly-administered </w:t>
      </w:r>
      <w:r>
        <w:t xml:space="preserve">law enforcement agencies. The information about these organizations is </w:t>
      </w:r>
      <w:r w:rsidRPr="00AE3288">
        <w:t xml:space="preserve">in the public domain. </w:t>
      </w:r>
      <w:r>
        <w:t>The fact that participation in this survey is voluntary and that information about individual agency responses will be available to the public is included on the first page of the survey instrument.  However, BJS</w:t>
      </w:r>
      <w:r w:rsidR="003D093D">
        <w:t xml:space="preserve"> will</w:t>
      </w:r>
      <w:r>
        <w:t xml:space="preserve"> not release the names, phone numbers or email of the actual persons responsible for completing the 2012 </w:t>
      </w:r>
      <w:r w:rsidR="006874D5">
        <w:t>LEMAS</w:t>
      </w:r>
      <w:r>
        <w:t xml:space="preserve"> survey instruments.  </w:t>
      </w:r>
    </w:p>
    <w:p w:rsidR="007B739F" w:rsidRDefault="007B739F" w:rsidP="007B73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B739F" w:rsidRPr="008D7CC0" w:rsidRDefault="007B739F" w:rsidP="007B739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Justification for Sensitive Questions</w:t>
      </w:r>
    </w:p>
    <w:p w:rsidR="007B739F" w:rsidRDefault="007B739F" w:rsidP="007B73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no questions of a sensitive nature in the </w:t>
      </w:r>
      <w:r w:rsidR="006874D5">
        <w:t xml:space="preserve">proposed </w:t>
      </w:r>
      <w:r>
        <w:t xml:space="preserve">2012 </w:t>
      </w:r>
      <w:r w:rsidR="006874D5">
        <w:t>LEMAS Survey</w:t>
      </w:r>
      <w:r>
        <w:t xml:space="preserve">.  </w:t>
      </w: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874D5" w:rsidRPr="008D7CC0" w:rsidRDefault="007B739F" w:rsidP="006874D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Estimate of Respondent Burden</w:t>
      </w:r>
    </w:p>
    <w:p w:rsidR="006874D5" w:rsidRPr="006874D5" w:rsidRDefault="006874D5" w:rsidP="006874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has estimated the respondent burden for the </w:t>
      </w:r>
      <w:r w:rsidR="006874D5">
        <w:t xml:space="preserve">proposed </w:t>
      </w:r>
      <w:r>
        <w:t xml:space="preserve">2012 </w:t>
      </w:r>
      <w:r w:rsidR="006874D5">
        <w:t xml:space="preserve">LEMAS </w:t>
      </w:r>
      <w:r>
        <w:t>Survey at 10,</w:t>
      </w:r>
      <w:r w:rsidR="00A405F1">
        <w:t>744</w:t>
      </w:r>
      <w:r>
        <w:t xml:space="preserve"> hours.</w:t>
      </w:r>
      <w:r w:rsidR="006874D5">
        <w:t xml:space="preserve">  </w:t>
      </w:r>
      <w:r>
        <w:t xml:space="preserve">This estimate is based on four factors—the estimated burden for the 2007 LEMAS survey, the number and type of questions asked in the 2007 survey and in the proposed 2012 survey, the burden estimates generated from 9 tests of an earlier draft survey instrument, and changes made to that draft in the final instrument proposed here.  </w:t>
      </w: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According to the supporting statement for the 2007 LEMAS survey a burden of 7,400 hours was </w:t>
      </w: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739F" w:rsidRDefault="00642C10" w:rsidP="00642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
        <w:t>“</w:t>
      </w:r>
      <w:r w:rsidR="007B739F">
        <w:t>based on experience garnered from previo</w:t>
      </w:r>
      <w:r>
        <w:t xml:space="preserve">us administrations of the LEMAS </w:t>
      </w:r>
      <w:r w:rsidR="007B739F">
        <w:t>survey, pre-testing conducted as part of those previous administrations, as well as</w:t>
      </w:r>
      <w:r>
        <w:t xml:space="preserve"> </w:t>
      </w:r>
      <w:r w:rsidR="007B739F">
        <w:t xml:space="preserve"> consideration of the currently proposed instrument”.</w:t>
      </w:r>
    </w:p>
    <w:p w:rsidR="007B739F" w:rsidRDefault="007B739F"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2007 burden estimate was derived from an estimate of 3 hours for the completion of the 10 page long-form version of the 2007 LEMAS survey by 1,000 agencies and an estimate of 2 hours for the completion of the 8 page short-form version of the 2007 LEMAS survey by 2, 200 agencies (3 hours </w:t>
      </w:r>
      <w:r w:rsidR="006874D5">
        <w:t>X</w:t>
      </w:r>
      <w:r>
        <w:t xml:space="preserve"> 1,000 plus 2 hours </w:t>
      </w:r>
      <w:r w:rsidR="006874D5">
        <w:t>X</w:t>
      </w:r>
      <w:r>
        <w:t xml:space="preserve"> 2,200 = 7,400).</w:t>
      </w:r>
      <w:r w:rsidR="006874D5">
        <w:t xml:space="preserve"> </w:t>
      </w:r>
      <w:r>
        <w:t>The long form of the 2007 LEMAS survey included the collection of data on 324 variables.  Seventy-six of those variables required the respondents to report of an amount (personnel, hours, dollars, etc.) and 227 required the respondent to check a single item.  The short form version of the 2007 LEMAS survey included 213 variables, 73 required a count and 140 required a check.</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March 2012, a paper-based </w:t>
      </w:r>
      <w:r w:rsidR="006874D5">
        <w:t>version of the draft 2012 LEMAS</w:t>
      </w:r>
      <w:r>
        <w:t xml:space="preserve"> instrument was pilot tested with eight state and local police departments and one sheriff’s office.  The agencies ranged in size from around 60 to over 1,300 sworn law enforcement officers.  Respondents were asked to complete the survey, consider the clarity of survey questions and provide time burden estimates for each of 9 sections of the survey.  Within a week of their completing these pilot surveys, </w:t>
      </w:r>
      <w:r>
        <w:lastRenderedPageBreak/>
        <w:t>respondents were interviewed by phone with specific questions about each section and the overall survey.</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 were able to get useable estimates of burden from 8 of the 9 sites piloting this survey (</w:t>
      </w:r>
      <w:r w:rsidR="004C0399">
        <w:t>s</w:t>
      </w:r>
      <w:r>
        <w:t>ee Table 1).  The burden estimates vary greatly from agency to agency and from section to section.  One agency estimated that their burden was more than 12 hours; another agency reported less than 1 hour.  Section G of the survey instrument concerning vehicles and pursuit consumed almost 50% of the burden for one agency but less than six percent of the burden for 6 other agencies.  In general, Section A through D, with most of the count questions, took longer than sections E through I.</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62650" w:rsidRDefault="00AF7585">
      <w:r>
        <w:t xml:space="preserve">On average, the eight respondents reported that it took 4.35 hours to complete that draft instrument.  The three agencies with less than 100 sworn officers estimated an average burden of 3.00 hours; the five agencies with more than 100 sworn officers averaged 5.14 hours. In addition to their section-by-section estimate of the time needed to complete this survey, the nine agencies provided BJS with extensive feedback on the specific wording and organization of the survey instrument.  The respondents in this 9 agency test reported what is well known in survey methodology, that items requiring a count are more burdensome than items that merely require a  </w:t>
      </w:r>
      <w:r w:rsidR="00C02640">
        <w:t>“Y</w:t>
      </w:r>
      <w:r>
        <w:t xml:space="preserve">es or </w:t>
      </w:r>
      <w:r w:rsidR="00C02640">
        <w:t>“N</w:t>
      </w:r>
      <w:r>
        <w:t>o</w:t>
      </w:r>
      <w:r w:rsidR="00C02640">
        <w:t xml:space="preserve">” response </w:t>
      </w:r>
      <w:r>
        <w:t>or a check off of one among many options.  In addition, they identified a few word selections (e.g., “furlough”, “hiring freeze”, “seasonal employee”) that unexpectedly warranted clarification or definitions.  Respondents complained about the many racial categories and the complications of counting all motorized vehicles in an agency.  One responding agency noted that we need to ask about “across the board” permanent reductions in the base salary for all employees, not just one time furloughs for a few days or weeks.</w:t>
      </w:r>
    </w:p>
    <w:p w:rsidR="00162650" w:rsidRDefault="00162650"/>
    <w:p w:rsidR="006874D5" w:rsidRDefault="00162650">
      <w:r>
        <w:t>In response to these comments and to the</w:t>
      </w:r>
      <w:r w:rsidR="003A4091">
        <w:t xml:space="preserve"> previous</w:t>
      </w:r>
      <w:r>
        <w:t xml:space="preserve"> burden estimates, BJS revised its draft instrument in several ways.  First, we added a question about “across the board” salary decreases and we clarified language in questions or in response codes for a dozen survey items.  Second, we determined that, while the 8 response codes for the race of officers did add burden, the value of the racial details warranted the burden.  Third, we dropped 11 variables completely</w:t>
      </w:r>
      <w:r w:rsidR="003A4091">
        <w:t>;</w:t>
      </w:r>
      <w:r w:rsidR="00642C10">
        <w:t xml:space="preserve"> </w:t>
      </w:r>
      <w:r w:rsidR="003A4091">
        <w:t>t</w:t>
      </w:r>
      <w:r>
        <w:t>hese variables were questions added to enhance the information we had about other items.  For instance, the tested instrument asked about percent contribution of employers and employee to pension programs.  While this additional information would provide new details on the nature of employee compensation, we determined that their burden exceeded the value of the additional information sought. Eliminating these variables reduced burden but eliminated some potentially useful details about particular issues in policing.  Fourth, we converted the response codes in 34 count variables into yes/no responses.  For instance, we retained the question about motorized vehicles that had been asked in prior LEMAS surveys but requested detailed count information on only two types of vehicles and used less burdensome check boxes for the use of other types of vehicles.</w:t>
      </w:r>
    </w:p>
    <w:p w:rsidR="000D32F1" w:rsidRDefault="000D32F1"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D7CC0" w:rsidRPr="008D7CC0" w:rsidRDefault="008D7CC0"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 xml:space="preserve">The tested instrument had 279 variables, 119 of which required a count and 160 that required only a check.  The revised instrument has 268 variables, of which 85 require respondents to estimate a count.  The total number of variables included in the final instrument is reduced by 5% but the number of count variables is reduced by 29%.  In addition, the tests were conducted </w:t>
      </w:r>
      <w:r>
        <w:lastRenderedPageBreak/>
        <w:t xml:space="preserve">with paper forms.  BJS will utilize online survey software for most respondents and this is likely to reduce the burden on respondents.  </w:t>
      </w:r>
    </w:p>
    <w:p w:rsidR="00014D8C" w:rsidRDefault="00014D8C"/>
    <w:tbl>
      <w:tblPr>
        <w:tblW w:w="7568" w:type="dxa"/>
        <w:tblInd w:w="765" w:type="dxa"/>
        <w:tblLook w:val="04A0" w:firstRow="1" w:lastRow="0" w:firstColumn="1" w:lastColumn="0" w:noHBand="0" w:noVBand="1"/>
      </w:tblPr>
      <w:tblGrid>
        <w:gridCol w:w="1329"/>
        <w:gridCol w:w="407"/>
        <w:gridCol w:w="581"/>
        <w:gridCol w:w="646"/>
        <w:gridCol w:w="581"/>
        <w:gridCol w:w="581"/>
        <w:gridCol w:w="524"/>
        <w:gridCol w:w="581"/>
        <w:gridCol w:w="581"/>
        <w:gridCol w:w="756"/>
        <w:gridCol w:w="1001"/>
      </w:tblGrid>
      <w:tr w:rsidR="00AF7585" w:rsidRPr="0018636A" w:rsidTr="00FC412D">
        <w:trPr>
          <w:trHeight w:val="300"/>
        </w:trPr>
        <w:tc>
          <w:tcPr>
            <w:tcW w:w="7568" w:type="dxa"/>
            <w:gridSpan w:val="11"/>
            <w:tcBorders>
              <w:top w:val="nil"/>
              <w:left w:val="nil"/>
              <w:bottom w:val="nil"/>
              <w:right w:val="nil"/>
            </w:tcBorders>
            <w:shd w:val="clear" w:color="auto" w:fill="auto"/>
            <w:noWrap/>
            <w:vAlign w:val="bottom"/>
            <w:hideMark/>
          </w:tcPr>
          <w:p w:rsidR="00AF7585" w:rsidRPr="00B6441D" w:rsidRDefault="009114FD" w:rsidP="009114FD">
            <w:pPr>
              <w:spacing w:after="120"/>
              <w:jc w:val="center"/>
              <w:rPr>
                <w:b/>
                <w:bCs/>
                <w:color w:val="000000"/>
              </w:rPr>
            </w:pPr>
            <w:r w:rsidRPr="00B6441D">
              <w:rPr>
                <w:b/>
                <w:bCs/>
                <w:color w:val="000000"/>
              </w:rPr>
              <w:t>Table</w:t>
            </w:r>
            <w:r>
              <w:rPr>
                <w:b/>
                <w:bCs/>
                <w:color w:val="000000"/>
              </w:rPr>
              <w:t xml:space="preserve"> 1: Estimated Time to Complete</w:t>
            </w:r>
            <w:r w:rsidRPr="00B6441D">
              <w:rPr>
                <w:b/>
                <w:bCs/>
                <w:color w:val="000000"/>
              </w:rPr>
              <w:t xml:space="preserve"> </w:t>
            </w:r>
            <w:r>
              <w:rPr>
                <w:b/>
                <w:bCs/>
                <w:color w:val="000000"/>
              </w:rPr>
              <w:t>February 2012</w:t>
            </w:r>
            <w:r>
              <w:rPr>
                <w:b/>
                <w:bCs/>
                <w:color w:val="000000"/>
              </w:rPr>
              <w:br/>
            </w:r>
            <w:r w:rsidR="00AF7585" w:rsidRPr="00B6441D">
              <w:rPr>
                <w:b/>
                <w:bCs/>
                <w:color w:val="000000"/>
              </w:rPr>
              <w:t xml:space="preserve">Draft of </w:t>
            </w:r>
            <w:r w:rsidR="006874D5">
              <w:rPr>
                <w:b/>
                <w:bCs/>
                <w:color w:val="000000"/>
              </w:rPr>
              <w:t>the LEMAS Survey</w:t>
            </w:r>
            <w:r>
              <w:rPr>
                <w:b/>
                <w:bCs/>
                <w:color w:val="000000"/>
              </w:rPr>
              <w:t xml:space="preserve"> (in minutes)</w:t>
            </w:r>
          </w:p>
        </w:tc>
      </w:tr>
      <w:tr w:rsidR="00AF7585" w:rsidRPr="00B6441D" w:rsidTr="009114FD">
        <w:trPr>
          <w:trHeight w:val="300"/>
        </w:trPr>
        <w:tc>
          <w:tcPr>
            <w:tcW w:w="1329" w:type="dxa"/>
            <w:tcBorders>
              <w:top w:val="nil"/>
              <w:left w:val="nil"/>
              <w:right w:val="nil"/>
            </w:tcBorders>
            <w:shd w:val="clear" w:color="auto" w:fill="auto"/>
            <w:noWrap/>
            <w:vAlign w:val="bottom"/>
            <w:hideMark/>
          </w:tcPr>
          <w:p w:rsidR="00AF7585" w:rsidRPr="00B6441D" w:rsidRDefault="00AF7585" w:rsidP="004608B3">
            <w:pPr>
              <w:jc w:val="center"/>
              <w:rPr>
                <w:color w:val="000000"/>
              </w:rPr>
            </w:pPr>
          </w:p>
        </w:tc>
        <w:tc>
          <w:tcPr>
            <w:tcW w:w="407" w:type="dxa"/>
            <w:tcBorders>
              <w:top w:val="nil"/>
              <w:left w:val="nil"/>
              <w:right w:val="single" w:sz="4" w:space="0" w:color="auto"/>
            </w:tcBorders>
            <w:shd w:val="clear" w:color="auto" w:fill="auto"/>
            <w:noWrap/>
            <w:vAlign w:val="bottom"/>
            <w:hideMark/>
          </w:tcPr>
          <w:p w:rsidR="00AF7585" w:rsidRPr="00B6441D" w:rsidRDefault="00AF7585" w:rsidP="004608B3">
            <w:pPr>
              <w:jc w:val="center"/>
              <w:rPr>
                <w:color w:val="000000"/>
              </w:rPr>
            </w:pPr>
          </w:p>
        </w:tc>
        <w:tc>
          <w:tcPr>
            <w:tcW w:w="583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Agencies</w:t>
            </w:r>
          </w:p>
        </w:tc>
      </w:tr>
      <w:tr w:rsidR="00AF7585" w:rsidRPr="0074628D" w:rsidTr="009114FD">
        <w:trPr>
          <w:trHeight w:val="300"/>
        </w:trPr>
        <w:tc>
          <w:tcPr>
            <w:tcW w:w="1329" w:type="dxa"/>
            <w:tcBorders>
              <w:bottom w:val="single" w:sz="4" w:space="0" w:color="auto"/>
            </w:tcBorders>
            <w:shd w:val="clear" w:color="auto" w:fill="auto"/>
            <w:noWrap/>
            <w:vAlign w:val="bottom"/>
            <w:hideMark/>
          </w:tcPr>
          <w:p w:rsidR="00AF7585" w:rsidRPr="0074628D" w:rsidRDefault="00AF7585" w:rsidP="004608B3">
            <w:pPr>
              <w:jc w:val="center"/>
              <w:rPr>
                <w:b/>
                <w:color w:val="000000"/>
              </w:rPr>
            </w:pPr>
          </w:p>
        </w:tc>
        <w:tc>
          <w:tcPr>
            <w:tcW w:w="407" w:type="dxa"/>
            <w:tcBorders>
              <w:bottom w:val="single" w:sz="4" w:space="0" w:color="auto"/>
              <w:right w:val="single" w:sz="4" w:space="0" w:color="auto"/>
            </w:tcBorders>
            <w:shd w:val="clear" w:color="auto" w:fill="auto"/>
            <w:noWrap/>
            <w:vAlign w:val="bottom"/>
            <w:hideMark/>
          </w:tcPr>
          <w:p w:rsidR="00AF7585" w:rsidRPr="0074628D" w:rsidRDefault="00AF7585" w:rsidP="004608B3">
            <w:pPr>
              <w:jc w:val="center"/>
              <w:rPr>
                <w:b/>
                <w:color w:val="000000"/>
              </w:rPr>
            </w:pP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1</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2</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3</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4</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5</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6</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7</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8</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Total</w:t>
            </w:r>
          </w:p>
        </w:tc>
      </w:tr>
      <w:tr w:rsidR="00AF7585" w:rsidRPr="00B6441D" w:rsidTr="009114FD">
        <w:trPr>
          <w:trHeight w:val="300"/>
        </w:trPr>
        <w:tc>
          <w:tcPr>
            <w:tcW w:w="132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7585" w:rsidRPr="0074628D" w:rsidRDefault="00AF7585" w:rsidP="004608B3">
            <w:pPr>
              <w:jc w:val="center"/>
              <w:rPr>
                <w:b/>
                <w:bCs/>
                <w:color w:val="000000"/>
              </w:rPr>
            </w:pPr>
            <w:r w:rsidRPr="0074628D">
              <w:rPr>
                <w:b/>
                <w:bCs/>
                <w:color w:val="000000"/>
              </w:rPr>
              <w:t>Sections</w:t>
            </w: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A</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307</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B</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225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C</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310</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D</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275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E</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175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F</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215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G</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262</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H</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195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I</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123</w:t>
            </w:r>
          </w:p>
        </w:tc>
      </w:tr>
      <w:tr w:rsidR="00AF7585" w:rsidRPr="00B6441D" w:rsidTr="00FC412D">
        <w:trPr>
          <w:trHeight w:val="300"/>
        </w:trPr>
        <w:tc>
          <w:tcPr>
            <w:tcW w:w="17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Total Minutes</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320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705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245</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51</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166</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110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170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2,087</w:t>
            </w:r>
          </w:p>
        </w:tc>
      </w:tr>
      <w:tr w:rsidR="00AF7585" w:rsidRPr="00B6441D" w:rsidTr="00FC412D">
        <w:trPr>
          <w:trHeight w:val="300"/>
        </w:trPr>
        <w:tc>
          <w:tcPr>
            <w:tcW w:w="17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Hours</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5.3</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11.8</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5.3</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4.1</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0.9</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2.8</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1.8</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2.8</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4.3</w:t>
            </w:r>
          </w:p>
        </w:tc>
      </w:tr>
      <w:tr w:rsidR="00AF7585" w:rsidRPr="00B6441D" w:rsidTr="00FC412D">
        <w:trPr>
          <w:trHeight w:val="300"/>
        </w:trPr>
        <w:tc>
          <w:tcPr>
            <w:tcW w:w="17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585" w:rsidRPr="0074628D" w:rsidRDefault="007E0195" w:rsidP="00FC412D">
            <w:pPr>
              <w:jc w:val="center"/>
              <w:rPr>
                <w:b/>
                <w:bCs/>
                <w:color w:val="000000"/>
              </w:rPr>
            </w:pPr>
            <w:r>
              <w:rPr>
                <w:b/>
                <w:bCs/>
                <w:color w:val="000000"/>
              </w:rPr>
              <w:t>Number of Employees</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310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201</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61</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456</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18</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79</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1,331</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p>
        </w:tc>
      </w:tr>
    </w:tbl>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62650" w:rsidRDefault="00AF7585" w:rsidP="004C0399">
      <w:pPr>
        <w:pStyle w:val="Default"/>
        <w:rPr>
          <w:rFonts w:ascii="Times New Roman" w:hAnsi="Times New Roman" w:cs="Times New Roman"/>
        </w:rPr>
      </w:pPr>
      <w:r w:rsidRPr="003A12BA">
        <w:rPr>
          <w:rFonts w:ascii="Times New Roman" w:hAnsi="Times New Roman" w:cs="Times New Roman"/>
        </w:rPr>
        <w:t xml:space="preserve">The </w:t>
      </w:r>
      <w:r w:rsidR="006874D5">
        <w:rPr>
          <w:rFonts w:ascii="Times New Roman" w:hAnsi="Times New Roman" w:cs="Times New Roman"/>
        </w:rPr>
        <w:t>2012 LEMAS Survey</w:t>
      </w:r>
      <w:r>
        <w:rPr>
          <w:rFonts w:ascii="Times New Roman" w:hAnsi="Times New Roman" w:cs="Times New Roman"/>
        </w:rPr>
        <w:t xml:space="preserve"> will be sent to approximately 3,500 state and local law enforcement agencies.  Based on the 4.35 hour average completion time in the pilot tests, the amount of burden based on the piloted instrument is estimated at 15,225 hours.  If the burden estimate takes into account the larger number of smaller agencies in this survey and the smaller burden reported by smaller agencies, the burden estimate for the piloted instrument is estimated at 12,640</w:t>
      </w:r>
      <w:r w:rsidR="004C0399">
        <w:rPr>
          <w:rFonts w:ascii="Times New Roman" w:hAnsi="Times New Roman" w:cs="Times New Roman"/>
        </w:rPr>
        <w:t xml:space="preserve"> (see Table 2)</w:t>
      </w:r>
      <w:r>
        <w:rPr>
          <w:rFonts w:ascii="Times New Roman" w:hAnsi="Times New Roman" w:cs="Times New Roman"/>
        </w:rPr>
        <w:t>.</w:t>
      </w:r>
    </w:p>
    <w:p w:rsidR="00162650" w:rsidRDefault="00162650" w:rsidP="004C0399">
      <w:pPr>
        <w:pStyle w:val="Default"/>
        <w:rPr>
          <w:rFonts w:ascii="Times New Roman" w:hAnsi="Times New Roman" w:cs="Times New Roman"/>
        </w:rPr>
      </w:pPr>
    </w:p>
    <w:p w:rsidR="00642C10" w:rsidRDefault="00642C10" w:rsidP="00642C10">
      <w:pPr>
        <w:pStyle w:val="Default"/>
        <w:rPr>
          <w:rFonts w:ascii="Times New Roman" w:hAnsi="Times New Roman" w:cs="Times New Roman"/>
        </w:rPr>
      </w:pPr>
      <w:r>
        <w:rPr>
          <w:rFonts w:ascii="Times New Roman" w:hAnsi="Times New Roman" w:cs="Times New Roman"/>
        </w:rPr>
        <w:t>The final instrument collec</w:t>
      </w:r>
      <w:r w:rsidR="00A405F1">
        <w:rPr>
          <w:rFonts w:ascii="Times New Roman" w:hAnsi="Times New Roman" w:cs="Times New Roman"/>
        </w:rPr>
        <w:t>ts data on 11 fewer variables (5</w:t>
      </w:r>
      <w:r>
        <w:rPr>
          <w:rFonts w:ascii="Times New Roman" w:hAnsi="Times New Roman" w:cs="Times New Roman"/>
        </w:rPr>
        <w:t xml:space="preserve">%) than the tested version and converts 56 count variables (29%) into less burdensome check off variables.  In addition, the </w:t>
      </w:r>
      <w:r w:rsidR="006874D5">
        <w:rPr>
          <w:rFonts w:ascii="Times New Roman" w:hAnsi="Times New Roman" w:cs="Times New Roman"/>
        </w:rPr>
        <w:t>2012 LEMAS</w:t>
      </w:r>
      <w:r>
        <w:rPr>
          <w:rFonts w:ascii="Times New Roman" w:hAnsi="Times New Roman" w:cs="Times New Roman"/>
        </w:rPr>
        <w:t xml:space="preserve"> will be implemented in a less burdensome web-based format.  Based on these changes from the tested version and the version that will be implemented in the field, BJS anticipates an additional 15% reduction in burden.  Based on these calculations, our final estimate of the total burden of the </w:t>
      </w:r>
      <w:r w:rsidR="006874D5">
        <w:rPr>
          <w:rFonts w:ascii="Times New Roman" w:hAnsi="Times New Roman" w:cs="Times New Roman"/>
        </w:rPr>
        <w:t xml:space="preserve">proposed </w:t>
      </w:r>
      <w:r>
        <w:rPr>
          <w:rFonts w:ascii="Times New Roman" w:hAnsi="Times New Roman" w:cs="Times New Roman"/>
        </w:rPr>
        <w:t xml:space="preserve">2012 </w:t>
      </w:r>
      <w:r w:rsidR="006874D5">
        <w:rPr>
          <w:rFonts w:ascii="Times New Roman" w:hAnsi="Times New Roman" w:cs="Times New Roman"/>
        </w:rPr>
        <w:t>LEMAS Survey</w:t>
      </w:r>
      <w:r>
        <w:rPr>
          <w:rFonts w:ascii="Times New Roman" w:hAnsi="Times New Roman" w:cs="Times New Roman"/>
        </w:rPr>
        <w:t xml:space="preserve"> is 10,744 hours. </w:t>
      </w:r>
    </w:p>
    <w:p w:rsidR="00A405F1" w:rsidRPr="009B0885" w:rsidRDefault="00A405F1"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AF7585" w:rsidRDefault="00AF7585" w:rsidP="00AF7585">
      <w:pPr>
        <w:pStyle w:val="Default"/>
        <w:rPr>
          <w:rFonts w:ascii="Times New Roman" w:hAnsi="Times New Roman" w:cs="Times New Roman"/>
        </w:rPr>
      </w:pPr>
    </w:p>
    <w:p w:rsidR="00AF7585" w:rsidRPr="008D7CC0"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Estimate of Respondent’s Cost Burden</w:t>
      </w:r>
    </w:p>
    <w:p w:rsidR="00AF7585" w:rsidRDefault="00AF7585" w:rsidP="00AF7585">
      <w:pPr>
        <w:pStyle w:val="Default"/>
        <w:rPr>
          <w:rFonts w:ascii="Times New Roman" w:hAnsi="Times New Roman" w:cs="Times New Roman"/>
        </w:rPr>
      </w:pPr>
    </w:p>
    <w:p w:rsidR="00AF7585" w:rsidRPr="003A12BA" w:rsidRDefault="003D093D" w:rsidP="00AF7585">
      <w:pPr>
        <w:pStyle w:val="Default"/>
        <w:rPr>
          <w:rFonts w:ascii="Times New Roman" w:hAnsi="Times New Roman" w:cs="Times New Roman"/>
        </w:rPr>
      </w:pPr>
      <w:r>
        <w:rPr>
          <w:rFonts w:ascii="Times New Roman" w:hAnsi="Times New Roman" w:cs="Times New Roman"/>
        </w:rPr>
        <w:t xml:space="preserve">BJS anticipates that </w:t>
      </w:r>
      <w:r w:rsidR="00AF7585">
        <w:rPr>
          <w:rFonts w:ascii="Times New Roman" w:hAnsi="Times New Roman" w:cs="Times New Roman"/>
        </w:rPr>
        <w:t>one person per surveyed agency will complete the</w:t>
      </w:r>
      <w:r w:rsidR="00AF7585" w:rsidRPr="00AA38AC">
        <w:rPr>
          <w:rFonts w:ascii="Times New Roman" w:hAnsi="Times New Roman" w:cs="Times New Roman"/>
        </w:rPr>
        <w:t xml:space="preserve"> </w:t>
      </w:r>
      <w:r w:rsidR="00AF7585">
        <w:rPr>
          <w:rFonts w:ascii="Times New Roman" w:hAnsi="Times New Roman" w:cs="Times New Roman"/>
        </w:rPr>
        <w:t>data collection instrument, with pay approximately equivalent to the GS-1</w:t>
      </w:r>
      <w:r>
        <w:rPr>
          <w:rFonts w:ascii="Times New Roman" w:hAnsi="Times New Roman" w:cs="Times New Roman"/>
        </w:rPr>
        <w:t>2</w:t>
      </w:r>
      <w:r w:rsidR="00AF7585">
        <w:rPr>
          <w:rFonts w:ascii="Times New Roman" w:hAnsi="Times New Roman" w:cs="Times New Roman"/>
        </w:rPr>
        <w:t xml:space="preserve"> / 01 level ($</w:t>
      </w:r>
      <w:r w:rsidR="009E526C">
        <w:rPr>
          <w:rFonts w:ascii="Times New Roman" w:hAnsi="Times New Roman" w:cs="Times New Roman"/>
        </w:rPr>
        <w:t>71,901</w:t>
      </w:r>
      <w:r w:rsidR="00AF7585">
        <w:rPr>
          <w:rFonts w:ascii="Times New Roman" w:hAnsi="Times New Roman" w:cs="Times New Roman"/>
        </w:rPr>
        <w:t xml:space="preserve"> per year).  Based on the estimated time burden, the agency cost of employee time would be approximately $</w:t>
      </w:r>
      <w:r w:rsidR="00CA7116">
        <w:rPr>
          <w:rFonts w:ascii="Times New Roman" w:hAnsi="Times New Roman" w:cs="Times New Roman"/>
        </w:rPr>
        <w:t>34.45</w:t>
      </w:r>
      <w:r w:rsidR="00AF7585">
        <w:rPr>
          <w:rFonts w:ascii="Times New Roman" w:hAnsi="Times New Roman" w:cs="Times New Roman"/>
        </w:rPr>
        <w:t xml:space="preserve"> an hour.  The total respondent employee time cost burden is estimated at $</w:t>
      </w:r>
      <w:r w:rsidR="00CA7116">
        <w:rPr>
          <w:rFonts w:ascii="Times New Roman" w:hAnsi="Times New Roman" w:cs="Times New Roman"/>
        </w:rPr>
        <w:t>370,130</w:t>
      </w:r>
      <w:r w:rsidR="00AF7585" w:rsidRPr="001F0FE3">
        <w:rPr>
          <w:rFonts w:ascii="Times New Roman" w:hAnsi="Times New Roman" w:cs="Times New Roman"/>
        </w:rPr>
        <w:t>.</w:t>
      </w:r>
      <w:r w:rsidR="00AF7585">
        <w:rPr>
          <w:rFonts w:ascii="Times New Roman" w:hAnsi="Times New Roman" w:cs="Times New Roman"/>
        </w:rPr>
        <w:t xml:space="preserve">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There are no anticipated costs to respondents beyond the employee time expended during completion of the survey instrument and addressed in the above section.  This expectation was further reinforced through the March 2012 </w:t>
      </w:r>
      <w:r w:rsidR="003D093D">
        <w:t>pre-tes</w:t>
      </w:r>
      <w:r>
        <w:t xml:space="preserve">t survey; none of the nine responding agencies reported additional costs incurred by survey participation.  </w:t>
      </w:r>
    </w:p>
    <w:p w:rsidR="000829BF" w:rsidRDefault="000829BF"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Pr="00E90A22"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Costs to Federal Government</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5D71C6"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total expected cost to the Federal Government for this data collection is </w:t>
      </w:r>
      <w:r w:rsidRPr="00725B26">
        <w:rPr>
          <w:bCs/>
          <w:color w:val="000000"/>
        </w:rPr>
        <w:t>$</w:t>
      </w:r>
      <w:r w:rsidR="003167E3">
        <w:rPr>
          <w:bCs/>
          <w:color w:val="000000"/>
        </w:rPr>
        <w:t>768,953</w:t>
      </w:r>
      <w:r>
        <w:rPr>
          <w:bCs/>
          <w:color w:val="000000"/>
        </w:rPr>
        <w:t xml:space="preserve"> </w:t>
      </w:r>
      <w:r>
        <w:t xml:space="preserve">all to be borne by the BJS.  This work consists of planning, developing the questionnaire, preparation of materials, collecting the data, evaluating the results, and generating the PDF and web based query reports. A BJS GS-Level 15 statistician will be responsible for overseeing the Urban Institute’s work on this project.  The budget for this project is shown </w:t>
      </w:r>
      <w:r w:rsidR="005C0507">
        <w:t>in Table 4</w:t>
      </w:r>
      <w:r>
        <w:t>.</w:t>
      </w:r>
    </w:p>
    <w:p w:rsidR="008D7CC0" w:rsidRDefault="008D7CC0"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Pr="009B0885" w:rsidRDefault="00586629" w:rsidP="00586629">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9B0885">
        <w:rPr>
          <w:b/>
          <w:u w:val="single"/>
        </w:rPr>
        <w:t xml:space="preserve">Reason for Change in Burden </w:t>
      </w: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total estimated respondent time burden has increased by 3,162 hours from the estimated burden for the 2007 LEMAS survey.   This change in burden is due, in part, to the elimination of the short form version of the LEMAS program survey. While small agencies will receive the same form as large agencies in the 2012 LEMAS, the pretest of the survey instrument showed that their burden will be lower than that for larger agencies (see Table 3).  This variation in burden appears to stem from the fact that the response of smaller agencies to some items—such as the number and characteristics of nonsworn personnel—may be a simple “not applicable” in the 2012 LEMAS.  The change in burden is also the result of a slightly larger sample size.  The burden estimate for the 2007 LEMAS survey was based on a sample size of 3,200 agencies.  If the 2012 LEMAS burden estimate were based on 3,200 agencies, the burden would be 9,979 hours for an increase of 2,579 hours.  </w:t>
      </w: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Pr="00B6441D" w:rsidRDefault="00586629" w:rsidP="00586629">
      <w:pPr>
        <w:pStyle w:val="Default"/>
        <w:jc w:val="center"/>
        <w:rPr>
          <w:rFonts w:ascii="Times New Roman" w:hAnsi="Times New Roman" w:cs="Times New Roman"/>
          <w:b/>
        </w:rPr>
      </w:pPr>
      <w:r w:rsidRPr="00B6441D">
        <w:rPr>
          <w:rFonts w:ascii="Times New Roman" w:hAnsi="Times New Roman" w:cs="Times New Roman"/>
          <w:b/>
        </w:rPr>
        <w:lastRenderedPageBreak/>
        <w:t xml:space="preserve">Table 2: Estimated Burden Hours </w:t>
      </w:r>
      <w:r>
        <w:rPr>
          <w:rFonts w:ascii="Times New Roman" w:hAnsi="Times New Roman" w:cs="Times New Roman"/>
          <w:b/>
        </w:rPr>
        <w:t>f</w:t>
      </w:r>
      <w:r w:rsidRPr="00B6441D">
        <w:rPr>
          <w:rFonts w:ascii="Times New Roman" w:hAnsi="Times New Roman" w:cs="Times New Roman"/>
          <w:b/>
        </w:rPr>
        <w:t xml:space="preserve">or </w:t>
      </w:r>
      <w:r>
        <w:rPr>
          <w:rFonts w:ascii="Times New Roman" w:hAnsi="Times New Roman" w:cs="Times New Roman"/>
          <w:b/>
        </w:rPr>
        <w:t xml:space="preserve">the </w:t>
      </w:r>
      <w:r w:rsidRPr="00B6441D">
        <w:rPr>
          <w:rFonts w:ascii="Times New Roman" w:hAnsi="Times New Roman" w:cs="Times New Roman"/>
          <w:b/>
        </w:rPr>
        <w:t>2007 LEMAS</w:t>
      </w:r>
      <w:r>
        <w:rPr>
          <w:rFonts w:ascii="Times New Roman" w:hAnsi="Times New Roman" w:cs="Times New Roman"/>
          <w:b/>
        </w:rPr>
        <w:t>,</w:t>
      </w:r>
    </w:p>
    <w:p w:rsidR="00586629" w:rsidRPr="00B6441D" w:rsidRDefault="00586629" w:rsidP="00586629">
      <w:pPr>
        <w:pStyle w:val="Default"/>
        <w:jc w:val="center"/>
        <w:rPr>
          <w:rFonts w:ascii="Times New Roman" w:hAnsi="Times New Roman" w:cs="Times New Roman"/>
          <w:b/>
        </w:rPr>
      </w:pPr>
      <w:r w:rsidRPr="00B6441D">
        <w:rPr>
          <w:rFonts w:ascii="Times New Roman" w:hAnsi="Times New Roman" w:cs="Times New Roman"/>
          <w:b/>
        </w:rPr>
        <w:t xml:space="preserve">2012 </w:t>
      </w:r>
      <w:r>
        <w:rPr>
          <w:rFonts w:ascii="Times New Roman" w:hAnsi="Times New Roman" w:cs="Times New Roman"/>
          <w:b/>
        </w:rPr>
        <w:t>LEMAS</w:t>
      </w:r>
      <w:r w:rsidRPr="00B6441D">
        <w:rPr>
          <w:rFonts w:ascii="Times New Roman" w:hAnsi="Times New Roman" w:cs="Times New Roman"/>
          <w:b/>
        </w:rPr>
        <w:t xml:space="preserve"> Tested Instrument and </w:t>
      </w:r>
    </w:p>
    <w:p w:rsidR="00586629" w:rsidRDefault="00586629" w:rsidP="00586629">
      <w:pPr>
        <w:pStyle w:val="Default"/>
        <w:spacing w:after="120"/>
        <w:jc w:val="center"/>
        <w:rPr>
          <w:rFonts w:ascii="Times New Roman" w:hAnsi="Times New Roman" w:cs="Times New Roman"/>
          <w:b/>
          <w:sz w:val="28"/>
          <w:szCs w:val="28"/>
        </w:rPr>
      </w:pPr>
      <w:r>
        <w:rPr>
          <w:rFonts w:ascii="Times New Roman" w:hAnsi="Times New Roman" w:cs="Times New Roman"/>
          <w:b/>
        </w:rPr>
        <w:t>2012 LEMAS</w:t>
      </w:r>
      <w:r w:rsidRPr="00B6441D">
        <w:rPr>
          <w:rFonts w:ascii="Times New Roman" w:hAnsi="Times New Roman" w:cs="Times New Roman"/>
          <w:b/>
        </w:rPr>
        <w:t xml:space="preserve"> Reduced Instrument</w:t>
      </w:r>
    </w:p>
    <w:tbl>
      <w:tblPr>
        <w:tblW w:w="6529" w:type="dxa"/>
        <w:jc w:val="center"/>
        <w:tblLook w:val="04A0" w:firstRow="1" w:lastRow="0" w:firstColumn="1" w:lastColumn="0" w:noHBand="0" w:noVBand="1"/>
      </w:tblPr>
      <w:tblGrid>
        <w:gridCol w:w="2800"/>
        <w:gridCol w:w="1220"/>
        <w:gridCol w:w="1369"/>
        <w:gridCol w:w="1140"/>
      </w:tblGrid>
      <w:tr w:rsidR="00586629" w:rsidRPr="00447E83" w:rsidTr="00134F37">
        <w:trPr>
          <w:trHeight w:val="315"/>
          <w:jc w:val="center"/>
        </w:trPr>
        <w:tc>
          <w:tcPr>
            <w:tcW w:w="2800" w:type="dxa"/>
            <w:vMerge w:val="restart"/>
            <w:tcBorders>
              <w:left w:val="nil"/>
              <w:bottom w:val="single" w:sz="8" w:space="0" w:color="000000"/>
              <w:right w:val="single" w:sz="4" w:space="0" w:color="auto"/>
            </w:tcBorders>
            <w:shd w:val="clear" w:color="auto" w:fill="auto"/>
            <w:noWrap/>
            <w:vAlign w:val="bottom"/>
            <w:hideMark/>
          </w:tcPr>
          <w:p w:rsidR="00586629" w:rsidRPr="00B6441D" w:rsidRDefault="00586629" w:rsidP="00134F37">
            <w:pPr>
              <w:jc w:val="center"/>
              <w:rPr>
                <w:color w:val="000000"/>
              </w:rPr>
            </w:pPr>
            <w:r w:rsidRPr="00B6441D">
              <w:rPr>
                <w:color w:val="000000"/>
              </w:rPr>
              <w:t> </w:t>
            </w:r>
          </w:p>
        </w:tc>
        <w:tc>
          <w:tcPr>
            <w:tcW w:w="1220" w:type="dxa"/>
            <w:tcBorders>
              <w:top w:val="single" w:sz="4" w:space="0" w:color="auto"/>
              <w:left w:val="nil"/>
              <w:right w:val="single" w:sz="4" w:space="0" w:color="auto"/>
            </w:tcBorders>
            <w:shd w:val="clear" w:color="auto" w:fill="auto"/>
            <w:noWrap/>
            <w:vAlign w:val="bottom"/>
            <w:hideMark/>
          </w:tcPr>
          <w:p w:rsidR="00586629" w:rsidRPr="00B6441D" w:rsidRDefault="00586629" w:rsidP="00134F37">
            <w:pPr>
              <w:rPr>
                <w:bCs/>
                <w:color w:val="000000"/>
              </w:rPr>
            </w:pPr>
            <w:r w:rsidRPr="00B6441D">
              <w:rPr>
                <w:bCs/>
                <w:color w:val="000000"/>
              </w:rPr>
              <w:t> </w:t>
            </w:r>
          </w:p>
        </w:tc>
        <w:tc>
          <w:tcPr>
            <w:tcW w:w="1369" w:type="dxa"/>
            <w:tcBorders>
              <w:top w:val="single" w:sz="4" w:space="0" w:color="auto"/>
              <w:left w:val="nil"/>
              <w:right w:val="single" w:sz="4" w:space="0" w:color="auto"/>
            </w:tcBorders>
            <w:shd w:val="clear" w:color="auto" w:fill="auto"/>
            <w:noWrap/>
            <w:vAlign w:val="bottom"/>
            <w:hideMark/>
          </w:tcPr>
          <w:p w:rsidR="00586629" w:rsidRPr="00B6441D" w:rsidRDefault="00586629" w:rsidP="00134F37">
            <w:pPr>
              <w:jc w:val="center"/>
              <w:rPr>
                <w:bCs/>
                <w:color w:val="000000"/>
              </w:rPr>
            </w:pPr>
            <w:r w:rsidRPr="00B6441D">
              <w:rPr>
                <w:bCs/>
                <w:color w:val="000000"/>
              </w:rPr>
              <w:t xml:space="preserve">Estimated </w:t>
            </w:r>
          </w:p>
        </w:tc>
        <w:tc>
          <w:tcPr>
            <w:tcW w:w="1140" w:type="dxa"/>
            <w:tcBorders>
              <w:top w:val="single" w:sz="4" w:space="0" w:color="auto"/>
              <w:left w:val="nil"/>
              <w:right w:val="single" w:sz="4" w:space="0" w:color="auto"/>
            </w:tcBorders>
            <w:shd w:val="clear" w:color="auto" w:fill="auto"/>
            <w:noWrap/>
            <w:vAlign w:val="bottom"/>
            <w:hideMark/>
          </w:tcPr>
          <w:p w:rsidR="00586629" w:rsidRPr="00B6441D" w:rsidRDefault="00586629" w:rsidP="00134F37">
            <w:pPr>
              <w:jc w:val="center"/>
              <w:rPr>
                <w:bCs/>
                <w:color w:val="000000"/>
              </w:rPr>
            </w:pPr>
            <w:r w:rsidRPr="00B6441D">
              <w:rPr>
                <w:bCs/>
                <w:color w:val="000000"/>
              </w:rPr>
              <w:t>Total</w:t>
            </w:r>
          </w:p>
        </w:tc>
      </w:tr>
      <w:tr w:rsidR="00586629" w:rsidRPr="00447E83" w:rsidTr="00134F37">
        <w:trPr>
          <w:trHeight w:val="315"/>
          <w:jc w:val="center"/>
        </w:trPr>
        <w:tc>
          <w:tcPr>
            <w:tcW w:w="2800" w:type="dxa"/>
            <w:vMerge/>
            <w:tcBorders>
              <w:top w:val="single" w:sz="4" w:space="0" w:color="auto"/>
              <w:left w:val="nil"/>
              <w:bottom w:val="single" w:sz="8" w:space="0" w:color="000000"/>
              <w:right w:val="single" w:sz="4" w:space="0" w:color="auto"/>
            </w:tcBorders>
            <w:vAlign w:val="center"/>
            <w:hideMark/>
          </w:tcPr>
          <w:p w:rsidR="00586629" w:rsidRPr="00B6441D" w:rsidRDefault="00586629" w:rsidP="00134F37">
            <w:pPr>
              <w:rPr>
                <w:color w:val="000000"/>
              </w:rPr>
            </w:pPr>
          </w:p>
        </w:tc>
        <w:tc>
          <w:tcPr>
            <w:tcW w:w="1220" w:type="dxa"/>
            <w:tcBorders>
              <w:left w:val="nil"/>
              <w:right w:val="single" w:sz="4" w:space="0" w:color="auto"/>
            </w:tcBorders>
            <w:shd w:val="clear" w:color="auto" w:fill="auto"/>
            <w:noWrap/>
            <w:vAlign w:val="bottom"/>
            <w:hideMark/>
          </w:tcPr>
          <w:p w:rsidR="00586629" w:rsidRPr="00B6441D" w:rsidRDefault="00586629" w:rsidP="00134F37">
            <w:pPr>
              <w:jc w:val="center"/>
              <w:rPr>
                <w:bCs/>
                <w:color w:val="000000"/>
              </w:rPr>
            </w:pPr>
            <w:r w:rsidRPr="00B6441D">
              <w:rPr>
                <w:bCs/>
                <w:color w:val="000000"/>
              </w:rPr>
              <w:t>Sample</w:t>
            </w:r>
          </w:p>
        </w:tc>
        <w:tc>
          <w:tcPr>
            <w:tcW w:w="1369" w:type="dxa"/>
            <w:tcBorders>
              <w:left w:val="nil"/>
              <w:right w:val="single" w:sz="4" w:space="0" w:color="auto"/>
            </w:tcBorders>
            <w:shd w:val="clear" w:color="auto" w:fill="auto"/>
            <w:noWrap/>
            <w:vAlign w:val="bottom"/>
            <w:hideMark/>
          </w:tcPr>
          <w:p w:rsidR="00586629" w:rsidRPr="00B6441D" w:rsidRDefault="00586629" w:rsidP="00134F37">
            <w:pPr>
              <w:jc w:val="center"/>
              <w:rPr>
                <w:bCs/>
                <w:color w:val="000000"/>
              </w:rPr>
            </w:pPr>
            <w:r w:rsidRPr="00B6441D">
              <w:rPr>
                <w:bCs/>
                <w:color w:val="000000"/>
              </w:rPr>
              <w:t>Burden</w:t>
            </w:r>
          </w:p>
        </w:tc>
        <w:tc>
          <w:tcPr>
            <w:tcW w:w="1140" w:type="dxa"/>
            <w:tcBorders>
              <w:left w:val="nil"/>
              <w:right w:val="single" w:sz="4" w:space="0" w:color="auto"/>
            </w:tcBorders>
            <w:shd w:val="clear" w:color="auto" w:fill="auto"/>
            <w:noWrap/>
            <w:vAlign w:val="bottom"/>
            <w:hideMark/>
          </w:tcPr>
          <w:p w:rsidR="00586629" w:rsidRPr="00B6441D" w:rsidRDefault="00586629" w:rsidP="00134F37">
            <w:pPr>
              <w:jc w:val="center"/>
              <w:rPr>
                <w:bCs/>
                <w:color w:val="000000"/>
              </w:rPr>
            </w:pPr>
            <w:r w:rsidRPr="00B6441D">
              <w:rPr>
                <w:bCs/>
                <w:color w:val="000000"/>
              </w:rPr>
              <w:t>Burden</w:t>
            </w:r>
          </w:p>
        </w:tc>
      </w:tr>
      <w:tr w:rsidR="00586629" w:rsidRPr="00447E83" w:rsidTr="00134F37">
        <w:trPr>
          <w:trHeight w:val="315"/>
          <w:jc w:val="center"/>
        </w:trPr>
        <w:tc>
          <w:tcPr>
            <w:tcW w:w="2800" w:type="dxa"/>
            <w:vMerge/>
            <w:tcBorders>
              <w:top w:val="single" w:sz="4" w:space="0" w:color="auto"/>
              <w:left w:val="nil"/>
              <w:bottom w:val="single" w:sz="8" w:space="0" w:color="000000"/>
              <w:right w:val="single" w:sz="4" w:space="0" w:color="auto"/>
            </w:tcBorders>
            <w:vAlign w:val="center"/>
            <w:hideMark/>
          </w:tcPr>
          <w:p w:rsidR="00586629" w:rsidRPr="00B6441D" w:rsidRDefault="00586629" w:rsidP="00134F37">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center"/>
              <w:rPr>
                <w:bCs/>
                <w:color w:val="000000"/>
              </w:rPr>
            </w:pPr>
            <w:r w:rsidRPr="00B6441D">
              <w:rPr>
                <w:bCs/>
                <w:color w:val="000000"/>
              </w:rPr>
              <w:t>Size</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center"/>
              <w:rPr>
                <w:bCs/>
                <w:color w:val="000000"/>
              </w:rPr>
            </w:pPr>
            <w:r w:rsidRPr="00B6441D">
              <w:rPr>
                <w:bCs/>
                <w:color w:val="000000"/>
              </w:rPr>
              <w:t>(in hours)</w:t>
            </w:r>
          </w:p>
        </w:tc>
        <w:tc>
          <w:tcPr>
            <w:tcW w:w="114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center"/>
              <w:rPr>
                <w:bCs/>
                <w:color w:val="000000"/>
              </w:rPr>
            </w:pPr>
            <w:r w:rsidRPr="00B6441D">
              <w:rPr>
                <w:bCs/>
                <w:color w:val="000000"/>
              </w:rPr>
              <w:t>Hours</w:t>
            </w:r>
          </w:p>
        </w:tc>
      </w:tr>
      <w:tr w:rsidR="00586629" w:rsidRPr="00447E83" w:rsidTr="00134F37">
        <w:trPr>
          <w:trHeight w:val="115"/>
          <w:jc w:val="center"/>
        </w:trPr>
        <w:tc>
          <w:tcPr>
            <w:tcW w:w="2800" w:type="dxa"/>
            <w:vMerge/>
            <w:tcBorders>
              <w:top w:val="single" w:sz="4" w:space="0" w:color="auto"/>
              <w:left w:val="nil"/>
              <w:bottom w:val="single" w:sz="8" w:space="0" w:color="000000"/>
              <w:right w:val="single" w:sz="4" w:space="0" w:color="auto"/>
            </w:tcBorders>
            <w:vAlign w:val="center"/>
            <w:hideMark/>
          </w:tcPr>
          <w:p w:rsidR="00586629" w:rsidRPr="00B6441D" w:rsidRDefault="00586629" w:rsidP="00134F37">
            <w:pPr>
              <w:rPr>
                <w:color w:val="000000"/>
              </w:rPr>
            </w:pPr>
          </w:p>
        </w:tc>
        <w:tc>
          <w:tcPr>
            <w:tcW w:w="3729" w:type="dxa"/>
            <w:gridSpan w:val="3"/>
            <w:tcBorders>
              <w:left w:val="nil"/>
              <w:bottom w:val="single" w:sz="4" w:space="0" w:color="auto"/>
              <w:right w:val="single" w:sz="4" w:space="0" w:color="000000"/>
            </w:tcBorders>
            <w:shd w:val="clear" w:color="auto" w:fill="EEECE1" w:themeFill="background2"/>
            <w:noWrap/>
            <w:vAlign w:val="bottom"/>
            <w:hideMark/>
          </w:tcPr>
          <w:p w:rsidR="00586629" w:rsidRPr="00B6441D" w:rsidRDefault="00586629" w:rsidP="00134F37">
            <w:pPr>
              <w:jc w:val="center"/>
              <w:rPr>
                <w:bCs/>
                <w:color w:val="000000"/>
              </w:rPr>
            </w:pPr>
            <w:r w:rsidRPr="00B6441D">
              <w:rPr>
                <w:bCs/>
                <w:color w:val="000000"/>
              </w:rPr>
              <w:t>LEMAS 2007</w:t>
            </w:r>
          </w:p>
        </w:tc>
      </w:tr>
      <w:tr w:rsidR="00586629" w:rsidRPr="00447E83" w:rsidTr="00134F37">
        <w:trPr>
          <w:trHeight w:val="300"/>
          <w:jc w:val="center"/>
        </w:trPr>
        <w:tc>
          <w:tcPr>
            <w:tcW w:w="2800"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Long Form</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1,000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3.00 </w:t>
            </w:r>
          </w:p>
        </w:tc>
        <w:tc>
          <w:tcPr>
            <w:tcW w:w="1140" w:type="dxa"/>
            <w:tcBorders>
              <w:top w:val="single" w:sz="4" w:space="0" w:color="auto"/>
              <w:left w:val="nil"/>
              <w:bottom w:val="single" w:sz="4" w:space="0" w:color="auto"/>
              <w:right w:val="single" w:sz="8"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3,000 </w:t>
            </w:r>
          </w:p>
        </w:tc>
      </w:tr>
      <w:tr w:rsidR="00586629" w:rsidRPr="00447E83" w:rsidTr="00134F3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Short Form</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2,200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2.00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4,400 </w:t>
            </w:r>
          </w:p>
        </w:tc>
      </w:tr>
      <w:tr w:rsidR="00586629" w:rsidRPr="00447E83" w:rsidTr="00134F37">
        <w:trPr>
          <w:trHeight w:val="390"/>
          <w:jc w:val="center"/>
        </w:trPr>
        <w:tc>
          <w:tcPr>
            <w:tcW w:w="2800" w:type="dxa"/>
            <w:tcBorders>
              <w:top w:val="nil"/>
              <w:left w:val="single" w:sz="4" w:space="0" w:color="auto"/>
              <w:bottom w:val="single" w:sz="8"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Total Sample</w:t>
            </w:r>
          </w:p>
        </w:tc>
        <w:tc>
          <w:tcPr>
            <w:tcW w:w="1220" w:type="dxa"/>
            <w:tcBorders>
              <w:top w:val="nil"/>
              <w:left w:val="nil"/>
              <w:bottom w:val="single" w:sz="8"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 xml:space="preserve"> 3,200 </w:t>
            </w:r>
          </w:p>
        </w:tc>
        <w:tc>
          <w:tcPr>
            <w:tcW w:w="1369" w:type="dxa"/>
            <w:tcBorders>
              <w:top w:val="nil"/>
              <w:left w:val="nil"/>
              <w:bottom w:val="single" w:sz="8"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Pr>
                <w:bCs/>
                <w:color w:val="000000"/>
              </w:rPr>
              <w:t>2.3</w:t>
            </w:r>
          </w:p>
        </w:tc>
        <w:tc>
          <w:tcPr>
            <w:tcW w:w="114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7,400 </w:t>
            </w:r>
          </w:p>
        </w:tc>
      </w:tr>
      <w:tr w:rsidR="00586629" w:rsidRPr="00447E83" w:rsidTr="00134F37">
        <w:trPr>
          <w:trHeight w:val="60"/>
          <w:jc w:val="center"/>
        </w:trPr>
        <w:tc>
          <w:tcPr>
            <w:tcW w:w="2800" w:type="dxa"/>
            <w:tcBorders>
              <w:top w:val="nil"/>
              <w:left w:val="single" w:sz="4" w:space="0" w:color="auto"/>
              <w:bottom w:val="single" w:sz="8" w:space="0" w:color="000000"/>
              <w:right w:val="single" w:sz="4" w:space="0" w:color="auto"/>
            </w:tcBorders>
            <w:vAlign w:val="center"/>
            <w:hideMark/>
          </w:tcPr>
          <w:p w:rsidR="00586629" w:rsidRPr="00B6441D" w:rsidRDefault="00586629" w:rsidP="00134F37">
            <w:pPr>
              <w:rPr>
                <w:bCs/>
                <w:color w:val="000000"/>
              </w:rPr>
            </w:pPr>
          </w:p>
        </w:tc>
        <w:tc>
          <w:tcPr>
            <w:tcW w:w="3729" w:type="dxa"/>
            <w:gridSpan w:val="3"/>
            <w:tcBorders>
              <w:top w:val="nil"/>
              <w:left w:val="nil"/>
              <w:bottom w:val="single" w:sz="8" w:space="0" w:color="auto"/>
              <w:right w:val="single" w:sz="4" w:space="0" w:color="000000"/>
            </w:tcBorders>
            <w:shd w:val="clear" w:color="auto" w:fill="EEECE1" w:themeFill="background2"/>
            <w:noWrap/>
            <w:vAlign w:val="bottom"/>
            <w:hideMark/>
          </w:tcPr>
          <w:p w:rsidR="00586629" w:rsidRPr="00B6441D" w:rsidRDefault="00586629" w:rsidP="00134F37">
            <w:pPr>
              <w:jc w:val="center"/>
              <w:rPr>
                <w:bCs/>
                <w:color w:val="000000"/>
              </w:rPr>
            </w:pPr>
            <w:r w:rsidRPr="00B6441D">
              <w:rPr>
                <w:bCs/>
                <w:color w:val="000000"/>
              </w:rPr>
              <w:t xml:space="preserve">2012 </w:t>
            </w:r>
            <w:r>
              <w:rPr>
                <w:bCs/>
                <w:color w:val="000000"/>
              </w:rPr>
              <w:t xml:space="preserve">LEMAS </w:t>
            </w:r>
            <w:r w:rsidRPr="00B6441D">
              <w:rPr>
                <w:bCs/>
                <w:color w:val="000000"/>
              </w:rPr>
              <w:t>Tested Instrument</w:t>
            </w:r>
          </w:p>
        </w:tc>
      </w:tr>
      <w:tr w:rsidR="00586629" w:rsidRPr="00447E83" w:rsidTr="00134F3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Total Sample</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 xml:space="preserve"> 3,500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 xml:space="preserve">4.35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 xml:space="preserve">15,225 </w:t>
            </w:r>
          </w:p>
        </w:tc>
      </w:tr>
      <w:tr w:rsidR="00586629" w:rsidRPr="00447E83" w:rsidTr="00134F3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w:t>
            </w:r>
          </w:p>
        </w:tc>
      </w:tr>
      <w:tr w:rsidR="00586629" w:rsidRPr="00447E83" w:rsidTr="00134F3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Large Agencies</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1,000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5.14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5,140 </w:t>
            </w:r>
          </w:p>
        </w:tc>
      </w:tr>
      <w:tr w:rsidR="00586629" w:rsidRPr="00447E83" w:rsidTr="00134F3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Small Agencies</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2,500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3.00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7,500 </w:t>
            </w:r>
          </w:p>
        </w:tc>
      </w:tr>
      <w:tr w:rsidR="00586629" w:rsidRPr="00447E83" w:rsidTr="00134F37">
        <w:trPr>
          <w:trHeight w:val="390"/>
          <w:jc w:val="center"/>
        </w:trPr>
        <w:tc>
          <w:tcPr>
            <w:tcW w:w="2800" w:type="dxa"/>
            <w:tcBorders>
              <w:top w:val="nil"/>
              <w:left w:val="single" w:sz="4" w:space="0" w:color="auto"/>
              <w:bottom w:val="single" w:sz="8"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Weighted Sample</w:t>
            </w:r>
          </w:p>
        </w:tc>
        <w:tc>
          <w:tcPr>
            <w:tcW w:w="1220" w:type="dxa"/>
            <w:tcBorders>
              <w:top w:val="nil"/>
              <w:left w:val="nil"/>
              <w:bottom w:val="single" w:sz="8"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 xml:space="preserve">3,500 </w:t>
            </w:r>
          </w:p>
        </w:tc>
        <w:tc>
          <w:tcPr>
            <w:tcW w:w="1369" w:type="dxa"/>
            <w:tcBorders>
              <w:top w:val="nil"/>
              <w:left w:val="nil"/>
              <w:bottom w:val="single" w:sz="8"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Pr>
                <w:bCs/>
                <w:color w:val="000000"/>
              </w:rPr>
              <w:t>5.05</w:t>
            </w:r>
            <w:r w:rsidRPr="00B6441D">
              <w:rPr>
                <w:bCs/>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color w:val="000000"/>
              </w:rPr>
              <w:t>12,640</w:t>
            </w:r>
            <w:r w:rsidRPr="00B6441D">
              <w:rPr>
                <w:bCs/>
                <w:color w:val="000000"/>
              </w:rPr>
              <w:t xml:space="preserve"> </w:t>
            </w:r>
          </w:p>
        </w:tc>
      </w:tr>
      <w:tr w:rsidR="00586629" w:rsidRPr="00447E83" w:rsidTr="00134F37">
        <w:trPr>
          <w:trHeight w:val="330"/>
          <w:jc w:val="center"/>
        </w:trPr>
        <w:tc>
          <w:tcPr>
            <w:tcW w:w="2800" w:type="dxa"/>
            <w:tcBorders>
              <w:top w:val="nil"/>
              <w:left w:val="single" w:sz="4" w:space="0" w:color="auto"/>
              <w:bottom w:val="single" w:sz="8" w:space="0" w:color="000000"/>
              <w:right w:val="single" w:sz="4" w:space="0" w:color="auto"/>
            </w:tcBorders>
            <w:vAlign w:val="center"/>
            <w:hideMark/>
          </w:tcPr>
          <w:p w:rsidR="00586629" w:rsidRPr="00B6441D" w:rsidRDefault="00586629" w:rsidP="00134F37">
            <w:pPr>
              <w:rPr>
                <w:bCs/>
                <w:color w:val="000000"/>
              </w:rPr>
            </w:pPr>
          </w:p>
        </w:tc>
        <w:tc>
          <w:tcPr>
            <w:tcW w:w="3729" w:type="dxa"/>
            <w:gridSpan w:val="3"/>
            <w:tcBorders>
              <w:top w:val="nil"/>
              <w:left w:val="nil"/>
              <w:bottom w:val="single" w:sz="8" w:space="0" w:color="auto"/>
              <w:right w:val="single" w:sz="4" w:space="0" w:color="000000"/>
            </w:tcBorders>
            <w:shd w:val="clear" w:color="auto" w:fill="EEECE1" w:themeFill="background2"/>
            <w:noWrap/>
            <w:vAlign w:val="bottom"/>
            <w:hideMark/>
          </w:tcPr>
          <w:p w:rsidR="00586629" w:rsidRPr="00B6441D" w:rsidRDefault="00586629" w:rsidP="00134F37">
            <w:pPr>
              <w:jc w:val="center"/>
              <w:rPr>
                <w:bCs/>
                <w:color w:val="000000"/>
              </w:rPr>
            </w:pPr>
            <w:r w:rsidRPr="00B6441D">
              <w:rPr>
                <w:bCs/>
                <w:color w:val="000000"/>
              </w:rPr>
              <w:t xml:space="preserve">2012 </w:t>
            </w:r>
            <w:r>
              <w:rPr>
                <w:bCs/>
                <w:color w:val="000000"/>
              </w:rPr>
              <w:t xml:space="preserve">LEMAS </w:t>
            </w:r>
            <w:r w:rsidRPr="00B6441D">
              <w:rPr>
                <w:bCs/>
                <w:color w:val="000000"/>
              </w:rPr>
              <w:t>Reduced Instrument</w:t>
            </w:r>
          </w:p>
        </w:tc>
      </w:tr>
      <w:tr w:rsidR="00586629" w:rsidRPr="00447E83" w:rsidTr="00134F3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Large Agencies</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1,000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 4.37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4,369 </w:t>
            </w:r>
          </w:p>
        </w:tc>
      </w:tr>
      <w:tr w:rsidR="00586629" w:rsidRPr="00447E83" w:rsidTr="00134F37">
        <w:trPr>
          <w:trHeight w:val="30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Small Agencies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2,500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2.55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6,375 </w:t>
            </w:r>
          </w:p>
        </w:tc>
      </w:tr>
      <w:tr w:rsidR="00586629" w:rsidRPr="00447E83" w:rsidTr="00134F37">
        <w:trPr>
          <w:trHeight w:val="375"/>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Weighted Sample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 xml:space="preserve">3,500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Pr>
                <w:bCs/>
                <w:color w:val="000000"/>
              </w:rPr>
              <w:t>3.07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rPr>
              <w:t xml:space="preserve"> 10,744 </w:t>
            </w:r>
          </w:p>
        </w:tc>
      </w:tr>
    </w:tbl>
    <w:p w:rsidR="00586629" w:rsidRDefault="00586629" w:rsidP="00586629">
      <w:pPr>
        <w:pStyle w:val="Default"/>
        <w:rPr>
          <w:rFonts w:ascii="Times New Roman" w:hAnsi="Times New Roman" w:cs="Times New Roman"/>
        </w:rPr>
      </w:pPr>
    </w:p>
    <w:p w:rsidR="00586629" w:rsidRDefault="00586629" w:rsidP="00586629">
      <w:pPr>
        <w:pStyle w:val="Default"/>
        <w:rPr>
          <w:rFonts w:ascii="Times New Roman" w:hAnsi="Times New Roman" w:cs="Times New Roman"/>
        </w:rPr>
      </w:pPr>
    </w:p>
    <w:p w:rsidR="00586629" w:rsidRPr="00B6441D"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B6441D">
        <w:rPr>
          <w:b/>
        </w:rPr>
        <w:t xml:space="preserve">Table 3: Burden Estimate for 2012 </w:t>
      </w:r>
      <w:r>
        <w:rPr>
          <w:b/>
        </w:rPr>
        <w:t>LEMAS</w:t>
      </w: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rPr>
      </w:pPr>
      <w:r w:rsidRPr="00B6441D">
        <w:rPr>
          <w:b/>
        </w:rPr>
        <w:t>Using Sample Size Used in 2007 LEMAS Estimate</w:t>
      </w:r>
    </w:p>
    <w:tbl>
      <w:tblPr>
        <w:tblW w:w="0" w:type="auto"/>
        <w:jc w:val="center"/>
        <w:tblLook w:val="04A0" w:firstRow="1" w:lastRow="0" w:firstColumn="1" w:lastColumn="0" w:noHBand="0" w:noVBand="1"/>
      </w:tblPr>
      <w:tblGrid>
        <w:gridCol w:w="2211"/>
        <w:gridCol w:w="936"/>
        <w:gridCol w:w="1176"/>
        <w:gridCol w:w="1216"/>
      </w:tblGrid>
      <w:tr w:rsidR="00586629" w:rsidRPr="00B6441D" w:rsidTr="00134F37">
        <w:trPr>
          <w:jc w:val="center"/>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szCs w:val="22"/>
              </w:rPr>
            </w:pP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center"/>
              <w:rPr>
                <w:bCs/>
                <w:color w:val="000000"/>
                <w:szCs w:val="22"/>
              </w:rPr>
            </w:pPr>
            <w:r>
              <w:rPr>
                <w:bCs/>
                <w:color w:val="000000"/>
                <w:szCs w:val="22"/>
              </w:rPr>
              <w:t>Sample Size</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center"/>
              <w:rPr>
                <w:bCs/>
                <w:color w:val="000000"/>
                <w:szCs w:val="22"/>
              </w:rPr>
            </w:pPr>
            <w:r>
              <w:rPr>
                <w:bCs/>
                <w:color w:val="000000"/>
                <w:szCs w:val="22"/>
              </w:rPr>
              <w:t>Estimated Burden (in hours)</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center"/>
              <w:rPr>
                <w:bCs/>
                <w:color w:val="000000"/>
                <w:szCs w:val="22"/>
              </w:rPr>
            </w:pPr>
            <w:r>
              <w:rPr>
                <w:bCs/>
                <w:color w:val="000000"/>
                <w:szCs w:val="22"/>
              </w:rPr>
              <w:t>Total Burden (in hours)</w:t>
            </w:r>
          </w:p>
        </w:tc>
      </w:tr>
      <w:tr w:rsidR="00586629" w:rsidRPr="00B6441D" w:rsidTr="00134F37">
        <w:trPr>
          <w:trHeight w:val="300"/>
          <w:jc w:val="center"/>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szCs w:val="22"/>
              </w:rPr>
              <w:t>Large Agencies</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szCs w:val="22"/>
              </w:rPr>
              <w:t xml:space="preserve">1,000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szCs w:val="22"/>
              </w:rPr>
              <w:t xml:space="preserve">4.37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szCs w:val="22"/>
              </w:rPr>
              <w:t xml:space="preserve">4,369 </w:t>
            </w:r>
          </w:p>
        </w:tc>
      </w:tr>
      <w:tr w:rsidR="00586629" w:rsidRPr="00B6441D" w:rsidTr="00134F37">
        <w:trPr>
          <w:trHeight w:val="300"/>
          <w:jc w:val="center"/>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szCs w:val="22"/>
              </w:rPr>
              <w:t>Small Agencies</w:t>
            </w:r>
          </w:p>
        </w:tc>
        <w:tc>
          <w:tcPr>
            <w:tcW w:w="936"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szCs w:val="22"/>
              </w:rPr>
              <w:t xml:space="preserve">2,200 </w:t>
            </w:r>
          </w:p>
        </w:tc>
        <w:tc>
          <w:tcPr>
            <w:tcW w:w="1176"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szCs w:val="22"/>
              </w:rPr>
              <w:t xml:space="preserve">2.55 </w:t>
            </w:r>
          </w:p>
        </w:tc>
        <w:tc>
          <w:tcPr>
            <w:tcW w:w="1216"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szCs w:val="22"/>
              </w:rPr>
              <w:t xml:space="preserve">5,610 </w:t>
            </w:r>
          </w:p>
        </w:tc>
      </w:tr>
      <w:tr w:rsidR="00586629" w:rsidRPr="00B6441D" w:rsidTr="00134F37">
        <w:trPr>
          <w:trHeight w:val="350"/>
          <w:jc w:val="center"/>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szCs w:val="22"/>
              </w:rPr>
              <w:t>Weighted Sample</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sidRPr="00B6441D">
              <w:rPr>
                <w:bCs/>
                <w:color w:val="000000"/>
              </w:rPr>
              <w:t>3</w:t>
            </w:r>
            <w:r w:rsidRPr="00B6441D">
              <w:rPr>
                <w:bCs/>
                <w:color w:val="000000"/>
                <w:szCs w:val="22"/>
              </w:rPr>
              <w:t xml:space="preserve">,200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bCs/>
                <w:color w:val="000000"/>
              </w:rPr>
            </w:pPr>
            <w:r>
              <w:rPr>
                <w:bCs/>
                <w:color w:val="000000"/>
                <w:szCs w:val="22"/>
              </w:rPr>
              <w:t>3.12</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134F37">
            <w:pPr>
              <w:jc w:val="right"/>
              <w:rPr>
                <w:color w:val="000000"/>
              </w:rPr>
            </w:pPr>
            <w:r w:rsidRPr="00B6441D">
              <w:rPr>
                <w:color w:val="000000"/>
                <w:szCs w:val="22"/>
              </w:rPr>
              <w:t xml:space="preserve">9,979 </w:t>
            </w:r>
          </w:p>
        </w:tc>
      </w:tr>
    </w:tbl>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Another consideration is that the methodology for estimating the 2007 instrument’s burden was different than the methodology used to estimate the burden for the 2012 LEMAS instrument.  While the 2012 estimate is derived from a more concrete process, the sample used was small and unrepresentative.  The 2007 burden estimate was based on a more generalized experience of fielding a similar survey over 7 previous waves but was not directly linked to a test of the 2007 instrument.</w:t>
      </w: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Lastly, the increased burden of the 2012 LEMAS stems in part because BJS chose to go beyond measuring the characteristics of agencies and their employees to attempt to capture details about the behavior of law enforcement officers, as recommended by the National Research Council.  </w:t>
      </w:r>
      <w:r>
        <w:lastRenderedPageBreak/>
        <w:t xml:space="preserve">While many of the 2012 LEMAS items are derived from the 2007 LEMAS instrument, the shift to measuring and reporting performance are the substantive changes which could be responsible for most of the increases in burden on respondents.  The design of the 2012 LEMAS limits the burden of these performance measures.  For instance, we ask only about the total number of use of force incidents, not the numbers for various types of force.  Similarly, we </w:t>
      </w:r>
      <w:r w:rsidRPr="00513255">
        <w:t>considered but decided not to ask</w:t>
      </w:r>
      <w:r>
        <w:t xml:space="preserve"> about the total number of personnel working as crime analysts, the characteristics of those personnel or the number of calls, offenses, or arrests.</w:t>
      </w: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D7CC0" w:rsidRPr="008D7CC0" w:rsidRDefault="008D7CC0" w:rsidP="008D7CC0">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D7CC0">
        <w:rPr>
          <w:b/>
          <w:u w:val="single"/>
        </w:rPr>
        <w:t>Project Schedule</w:t>
      </w:r>
    </w:p>
    <w:p w:rsidR="008D7CC0" w:rsidRPr="00B31E5D" w:rsidRDefault="008D7CC0"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D7CC0" w:rsidRDefault="008D7CC0"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data collection for 2012 LEMAS Survey is scheduled to begin in October 2012.  The data collection period is 9 months.  BJS plans to issue the first report from this project by September 1, 2013.  BJS has determined that the shortened schedule for data collection is feasible because of paradata from the 2007 LEMAS data collection shows an 80% response rate within 6 months.  In addition, BJS has provided substantial resources for the 2012 data collection and emphasized web-based data collection.  </w:t>
      </w:r>
    </w:p>
    <w:p w:rsidR="008D7CC0" w:rsidRDefault="008D7CC0"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D7CC0" w:rsidRDefault="008D7CC0"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design of the 2012 LEMAS program calls for the initiation of data analyses including the assessment of nonresponse biases when the response rate hits 50%.   While this program anticipates a final response rate in excess of 90%, BJS is prepared to conduct and report national estimates based on response rates greater than 80%, if that is necessary to meet the deadline for the release of published findings by the end of September 2013.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7399" w:type="dxa"/>
        <w:tblInd w:w="738" w:type="dxa"/>
        <w:tblLook w:val="00A0" w:firstRow="1" w:lastRow="0" w:firstColumn="1" w:lastColumn="0" w:noHBand="0" w:noVBand="0"/>
      </w:tblPr>
      <w:tblGrid>
        <w:gridCol w:w="5407"/>
        <w:gridCol w:w="276"/>
        <w:gridCol w:w="1716"/>
      </w:tblGrid>
      <w:tr w:rsidR="00297E51" w:rsidRPr="00725B26" w:rsidTr="005C0507">
        <w:trPr>
          <w:trHeight w:val="315"/>
        </w:trPr>
        <w:tc>
          <w:tcPr>
            <w:tcW w:w="5407" w:type="dxa"/>
            <w:tcBorders>
              <w:top w:val="nil"/>
              <w:left w:val="nil"/>
              <w:right w:val="nil"/>
            </w:tcBorders>
            <w:noWrap/>
            <w:vAlign w:val="bottom"/>
          </w:tcPr>
          <w:p w:rsidR="00297E51" w:rsidRPr="00725B26" w:rsidRDefault="00297E51" w:rsidP="004608B3">
            <w:pPr>
              <w:rPr>
                <w:color w:val="000000"/>
              </w:rPr>
            </w:pPr>
          </w:p>
        </w:tc>
        <w:tc>
          <w:tcPr>
            <w:tcW w:w="276" w:type="dxa"/>
            <w:tcBorders>
              <w:top w:val="nil"/>
              <w:left w:val="nil"/>
              <w:right w:val="nil"/>
            </w:tcBorders>
            <w:noWrap/>
            <w:vAlign w:val="bottom"/>
          </w:tcPr>
          <w:p w:rsidR="00297E51" w:rsidRPr="00725B26" w:rsidRDefault="00297E51" w:rsidP="004608B3">
            <w:pPr>
              <w:rPr>
                <w:color w:val="000000"/>
              </w:rPr>
            </w:pPr>
          </w:p>
        </w:tc>
        <w:tc>
          <w:tcPr>
            <w:tcW w:w="1716" w:type="dxa"/>
            <w:tcBorders>
              <w:top w:val="nil"/>
              <w:left w:val="nil"/>
              <w:right w:val="nil"/>
            </w:tcBorders>
            <w:noWrap/>
            <w:vAlign w:val="bottom"/>
          </w:tcPr>
          <w:p w:rsidR="00297E51" w:rsidRPr="00725B26" w:rsidRDefault="00297E51" w:rsidP="004608B3">
            <w:pPr>
              <w:rPr>
                <w:color w:val="000000"/>
              </w:rPr>
            </w:pPr>
          </w:p>
        </w:tc>
      </w:tr>
      <w:tr w:rsidR="00297E51" w:rsidRPr="00725B26" w:rsidTr="005C0507">
        <w:trPr>
          <w:trHeight w:val="315"/>
        </w:trPr>
        <w:tc>
          <w:tcPr>
            <w:tcW w:w="7399" w:type="dxa"/>
            <w:gridSpan w:val="3"/>
            <w:tcBorders>
              <w:bottom w:val="single" w:sz="4" w:space="0" w:color="auto"/>
            </w:tcBorders>
            <w:shd w:val="clear" w:color="auto" w:fill="auto"/>
            <w:noWrap/>
            <w:vAlign w:val="bottom"/>
          </w:tcPr>
          <w:p w:rsidR="00297E51" w:rsidRPr="00297E51" w:rsidRDefault="005C0507" w:rsidP="00E93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color w:val="000000"/>
              </w:rPr>
            </w:pPr>
            <w:r>
              <w:rPr>
                <w:b/>
                <w:bCs/>
                <w:color w:val="000000"/>
              </w:rPr>
              <w:t xml:space="preserve">Table 4: </w:t>
            </w:r>
            <w:r w:rsidR="00297E51" w:rsidRPr="00297E51">
              <w:rPr>
                <w:b/>
                <w:bCs/>
                <w:color w:val="000000"/>
              </w:rPr>
              <w:t xml:space="preserve">Estimated Costs for the </w:t>
            </w:r>
            <w:r w:rsidR="00E935BA">
              <w:rPr>
                <w:b/>
                <w:bCs/>
                <w:color w:val="000000"/>
              </w:rPr>
              <w:t xml:space="preserve">2012 LEMAS </w:t>
            </w:r>
            <w:r w:rsidR="00297E51" w:rsidRPr="00297E51">
              <w:rPr>
                <w:b/>
                <w:bCs/>
                <w:color w:val="000000"/>
              </w:rPr>
              <w:t>Survey</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E51" w:rsidRPr="00297E51" w:rsidRDefault="00297E51" w:rsidP="00297E51">
            <w:pPr>
              <w:spacing w:before="120"/>
              <w:rPr>
                <w:color w:val="000000"/>
                <w:u w:val="single"/>
              </w:rPr>
            </w:pPr>
            <w:r w:rsidRPr="00297E51">
              <w:rPr>
                <w:b/>
                <w:bCs/>
                <w:color w:val="000000"/>
                <w:u w:val="single"/>
              </w:rPr>
              <w:t>Bureau of Justice Statistics</w:t>
            </w:r>
          </w:p>
        </w:tc>
        <w:tc>
          <w:tcPr>
            <w:tcW w:w="276" w:type="dxa"/>
            <w:tcBorders>
              <w:top w:val="single" w:sz="4" w:space="0" w:color="auto"/>
              <w:left w:val="nil"/>
              <w:bottom w:val="single" w:sz="4" w:space="0" w:color="auto"/>
              <w:right w:val="single" w:sz="4" w:space="0" w:color="auto"/>
            </w:tcBorders>
            <w:shd w:val="clear" w:color="auto" w:fill="auto"/>
            <w:noWrap/>
            <w:vAlign w:val="bottom"/>
          </w:tcPr>
          <w:p w:rsidR="00297E51" w:rsidRPr="00725B26" w:rsidRDefault="00297E51" w:rsidP="00297E51">
            <w:pPr>
              <w:spacing w:before="120"/>
              <w:rPr>
                <w:color w:val="000000"/>
              </w:rPr>
            </w:pPr>
            <w:r w:rsidRPr="00725B26">
              <w:rPr>
                <w:color w:val="000000"/>
              </w:rPr>
              <w:t> </w:t>
            </w:r>
          </w:p>
        </w:tc>
        <w:tc>
          <w:tcPr>
            <w:tcW w:w="1716" w:type="dxa"/>
            <w:tcBorders>
              <w:top w:val="single" w:sz="4" w:space="0" w:color="auto"/>
              <w:left w:val="nil"/>
              <w:bottom w:val="single" w:sz="4" w:space="0" w:color="auto"/>
              <w:right w:val="single" w:sz="4" w:space="0" w:color="auto"/>
            </w:tcBorders>
            <w:shd w:val="clear" w:color="auto" w:fill="auto"/>
            <w:noWrap/>
            <w:vAlign w:val="bottom"/>
          </w:tcPr>
          <w:p w:rsidR="00297E51" w:rsidRPr="00725B26" w:rsidRDefault="00297E51" w:rsidP="00297E51">
            <w:pPr>
              <w:spacing w:before="120"/>
              <w:rPr>
                <w:color w:val="000000"/>
              </w:rPr>
            </w:pPr>
            <w:r w:rsidRPr="00725B26">
              <w:rPr>
                <w:color w:val="000000"/>
              </w:rPr>
              <w:t>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297E51" w:rsidRDefault="00297E51" w:rsidP="004608B3">
            <w:pPr>
              <w:rPr>
                <w:b/>
                <w:bCs/>
                <w:color w:val="000000"/>
              </w:rPr>
            </w:pPr>
            <w:r w:rsidRPr="00297E51">
              <w:rPr>
                <w:b/>
                <w:bCs/>
                <w:color w:val="000000"/>
              </w:rPr>
              <w:t>Staff salaries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 </w:t>
            </w:r>
          </w:p>
        </w:tc>
      </w:tr>
      <w:tr w:rsidR="009A7BB0" w:rsidRPr="00725B26" w:rsidTr="00FC412D">
        <w:trPr>
          <w:trHeight w:val="117"/>
        </w:trPr>
        <w:tc>
          <w:tcPr>
            <w:tcW w:w="5407" w:type="dxa"/>
            <w:tcBorders>
              <w:top w:val="single" w:sz="4" w:space="0" w:color="auto"/>
              <w:left w:val="single" w:sz="4" w:space="0" w:color="auto"/>
              <w:bottom w:val="single" w:sz="4" w:space="0" w:color="auto"/>
              <w:right w:val="single" w:sz="4" w:space="0" w:color="auto"/>
            </w:tcBorders>
            <w:noWrap/>
            <w:vAlign w:val="center"/>
          </w:tcPr>
          <w:p w:rsidR="009A7BB0" w:rsidRPr="00FC412D" w:rsidRDefault="009A7BB0" w:rsidP="00FC412D">
            <w:pPr>
              <w:jc w:val="center"/>
              <w:rPr>
                <w:b/>
                <w:color w:val="000000"/>
              </w:rPr>
            </w:pPr>
            <w:r w:rsidRPr="00FC412D">
              <w:rPr>
                <w:b/>
                <w:color w:val="000000"/>
              </w:rPr>
              <w:t>2012 Fiscal Year</w:t>
            </w:r>
          </w:p>
        </w:tc>
        <w:tc>
          <w:tcPr>
            <w:tcW w:w="276" w:type="dxa"/>
            <w:tcBorders>
              <w:top w:val="nil"/>
              <w:left w:val="nil"/>
              <w:bottom w:val="single" w:sz="4" w:space="0" w:color="auto"/>
              <w:right w:val="single" w:sz="4" w:space="0" w:color="auto"/>
            </w:tcBorders>
            <w:shd w:val="clear" w:color="000000" w:fill="000000"/>
            <w:noWrap/>
            <w:vAlign w:val="bottom"/>
          </w:tcPr>
          <w:p w:rsidR="009A7BB0" w:rsidRPr="00725B26" w:rsidRDefault="009A7BB0" w:rsidP="004608B3">
            <w:pPr>
              <w:rPr>
                <w:color w:val="000000"/>
              </w:rPr>
            </w:pPr>
          </w:p>
        </w:tc>
        <w:tc>
          <w:tcPr>
            <w:tcW w:w="1716" w:type="dxa"/>
            <w:tcBorders>
              <w:top w:val="nil"/>
              <w:left w:val="nil"/>
              <w:bottom w:val="single" w:sz="4" w:space="0" w:color="auto"/>
              <w:right w:val="single" w:sz="4" w:space="0" w:color="auto"/>
            </w:tcBorders>
            <w:noWrap/>
            <w:vAlign w:val="bottom"/>
          </w:tcPr>
          <w:p w:rsidR="009A7BB0" w:rsidRPr="00725B26" w:rsidRDefault="009A7BB0" w:rsidP="003167E3">
            <w:pPr>
              <w:jc w:val="right"/>
              <w:rPr>
                <w:color w:val="000000"/>
              </w:rPr>
            </w:pPr>
          </w:p>
        </w:tc>
      </w:tr>
      <w:tr w:rsidR="00297E51" w:rsidRPr="00725B26" w:rsidTr="00F77B1E">
        <w:trPr>
          <w:trHeight w:val="377"/>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pPr>
              <w:rPr>
                <w:color w:val="000000"/>
              </w:rPr>
            </w:pPr>
            <w:r w:rsidRPr="00725B26">
              <w:rPr>
                <w:color w:val="000000"/>
              </w:rPr>
              <w:t>GS-12 Statistician (</w:t>
            </w:r>
            <w:r w:rsidR="009A7BB0">
              <w:rPr>
                <w:color w:val="000000"/>
              </w:rPr>
              <w:t>2</w:t>
            </w:r>
            <w:r>
              <w:rPr>
                <w:color w:val="000000"/>
              </w:rPr>
              <w:t>0%</w:t>
            </w:r>
            <w:r w:rsidRPr="00725B26">
              <w:rPr>
                <w:color w:val="000000"/>
              </w:rPr>
              <w: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AE1D01" w:rsidP="005D71C6">
            <w:pPr>
              <w:jc w:val="right"/>
              <w:rPr>
                <w:color w:val="000000"/>
              </w:rPr>
            </w:pPr>
            <w:r>
              <w:rPr>
                <w:color w:val="000000"/>
              </w:rPr>
              <w:t>$</w:t>
            </w:r>
            <w:r w:rsidR="00FD0A82">
              <w:rPr>
                <w:color w:val="000000"/>
              </w:rPr>
              <w:t>14</w:t>
            </w:r>
            <w:r w:rsidR="009E526C">
              <w:rPr>
                <w:color w:val="000000"/>
              </w:rPr>
              <w:t>,</w:t>
            </w:r>
            <w:r w:rsidR="00FD0A82">
              <w:rPr>
                <w:color w:val="000000"/>
              </w:rPr>
              <w:t>380</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pPr>
              <w:rPr>
                <w:color w:val="000000"/>
              </w:rPr>
            </w:pPr>
            <w:r w:rsidRPr="00725B26">
              <w:rPr>
                <w:color w:val="000000"/>
              </w:rPr>
              <w:t>GS-1</w:t>
            </w:r>
            <w:r>
              <w:rPr>
                <w:color w:val="000000"/>
              </w:rPr>
              <w:t>5</w:t>
            </w:r>
            <w:r w:rsidRPr="00725B26">
              <w:rPr>
                <w:color w:val="000000"/>
              </w:rPr>
              <w:t xml:space="preserve"> Senior Statistician (</w:t>
            </w:r>
            <w:r w:rsidR="009A7BB0">
              <w:rPr>
                <w:color w:val="000000"/>
              </w:rPr>
              <w:t>15</w:t>
            </w:r>
            <w:r w:rsidRPr="00725B26">
              <w:rPr>
                <w:color w:val="000000"/>
              </w:rPr>
              <w: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9E526C" w:rsidP="005D71C6">
            <w:pPr>
              <w:jc w:val="right"/>
              <w:rPr>
                <w:color w:val="000000"/>
              </w:rPr>
            </w:pPr>
            <w:r>
              <w:rPr>
                <w:color w:val="000000"/>
              </w:rPr>
              <w:t xml:space="preserve">             $17,827</w:t>
            </w:r>
          </w:p>
        </w:tc>
      </w:tr>
      <w:tr w:rsidR="00FD0A82" w:rsidRPr="00725B26" w:rsidTr="00FC412D">
        <w:trPr>
          <w:trHeight w:val="315"/>
        </w:trPr>
        <w:tc>
          <w:tcPr>
            <w:tcW w:w="5407" w:type="dxa"/>
            <w:tcBorders>
              <w:top w:val="single" w:sz="4" w:space="0" w:color="auto"/>
              <w:left w:val="single" w:sz="4" w:space="0" w:color="auto"/>
              <w:bottom w:val="single" w:sz="4" w:space="0" w:color="auto"/>
              <w:right w:val="single" w:sz="4" w:space="0" w:color="auto"/>
            </w:tcBorders>
            <w:noWrap/>
            <w:vAlign w:val="center"/>
          </w:tcPr>
          <w:p w:rsidR="00FD0A82" w:rsidRPr="00FC412D" w:rsidRDefault="00FD0A82" w:rsidP="00FC412D">
            <w:pPr>
              <w:jc w:val="center"/>
              <w:rPr>
                <w:b/>
                <w:color w:val="000000"/>
              </w:rPr>
            </w:pPr>
            <w:r w:rsidRPr="00FC412D">
              <w:rPr>
                <w:b/>
                <w:color w:val="000000"/>
              </w:rPr>
              <w:t>2013 Fiscal Year</w:t>
            </w:r>
          </w:p>
        </w:tc>
        <w:tc>
          <w:tcPr>
            <w:tcW w:w="276" w:type="dxa"/>
            <w:tcBorders>
              <w:top w:val="nil"/>
              <w:left w:val="nil"/>
              <w:bottom w:val="single" w:sz="4" w:space="0" w:color="auto"/>
              <w:right w:val="single" w:sz="4" w:space="0" w:color="auto"/>
            </w:tcBorders>
            <w:shd w:val="clear" w:color="000000" w:fill="000000"/>
            <w:noWrap/>
            <w:vAlign w:val="bottom"/>
          </w:tcPr>
          <w:p w:rsidR="00FD0A82" w:rsidRPr="00725B26" w:rsidRDefault="00FD0A82" w:rsidP="004608B3">
            <w:pPr>
              <w:rPr>
                <w:color w:val="000000"/>
              </w:rPr>
            </w:pPr>
          </w:p>
        </w:tc>
        <w:tc>
          <w:tcPr>
            <w:tcW w:w="1716" w:type="dxa"/>
            <w:tcBorders>
              <w:top w:val="nil"/>
              <w:left w:val="nil"/>
              <w:bottom w:val="single" w:sz="4" w:space="0" w:color="auto"/>
              <w:right w:val="single" w:sz="4" w:space="0" w:color="auto"/>
            </w:tcBorders>
            <w:noWrap/>
            <w:vAlign w:val="bottom"/>
          </w:tcPr>
          <w:p w:rsidR="00FD0A82" w:rsidRPr="00725B26" w:rsidRDefault="00FD0A82" w:rsidP="003167E3">
            <w:pPr>
              <w:jc w:val="right"/>
              <w:rPr>
                <w:color w:val="000000"/>
              </w:rPr>
            </w:pPr>
          </w:p>
        </w:tc>
      </w:tr>
      <w:tr w:rsidR="00FD0A82"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FD0A82" w:rsidRPr="00725B26" w:rsidRDefault="00FD0A82" w:rsidP="004608B3">
            <w:pPr>
              <w:rPr>
                <w:color w:val="000000"/>
              </w:rPr>
            </w:pPr>
            <w:r>
              <w:rPr>
                <w:color w:val="000000"/>
              </w:rPr>
              <w:t>Gs-12 Statistician (20%)</w:t>
            </w:r>
          </w:p>
        </w:tc>
        <w:tc>
          <w:tcPr>
            <w:tcW w:w="276" w:type="dxa"/>
            <w:tcBorders>
              <w:top w:val="nil"/>
              <w:left w:val="nil"/>
              <w:bottom w:val="single" w:sz="4" w:space="0" w:color="auto"/>
              <w:right w:val="single" w:sz="4" w:space="0" w:color="auto"/>
            </w:tcBorders>
            <w:shd w:val="clear" w:color="000000" w:fill="000000"/>
            <w:noWrap/>
            <w:vAlign w:val="bottom"/>
          </w:tcPr>
          <w:p w:rsidR="00FD0A82" w:rsidRPr="00725B26" w:rsidRDefault="00FD0A82" w:rsidP="004608B3">
            <w:pPr>
              <w:rPr>
                <w:color w:val="000000"/>
              </w:rPr>
            </w:pPr>
          </w:p>
        </w:tc>
        <w:tc>
          <w:tcPr>
            <w:tcW w:w="1716" w:type="dxa"/>
            <w:tcBorders>
              <w:top w:val="nil"/>
              <w:left w:val="nil"/>
              <w:bottom w:val="single" w:sz="4" w:space="0" w:color="auto"/>
              <w:right w:val="single" w:sz="4" w:space="0" w:color="auto"/>
            </w:tcBorders>
            <w:noWrap/>
            <w:vAlign w:val="bottom"/>
          </w:tcPr>
          <w:p w:rsidR="00FD0A82" w:rsidRPr="00725B26" w:rsidRDefault="009E526C" w:rsidP="003167E3">
            <w:pPr>
              <w:jc w:val="right"/>
              <w:rPr>
                <w:color w:val="000000"/>
              </w:rPr>
            </w:pPr>
            <w:r>
              <w:rPr>
                <w:color w:val="000000"/>
              </w:rPr>
              <w:t>$14,380</w:t>
            </w:r>
          </w:p>
        </w:tc>
      </w:tr>
      <w:tr w:rsidR="00FD0A82"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FD0A82" w:rsidRPr="00725B26" w:rsidRDefault="00FD0A82" w:rsidP="004608B3">
            <w:pPr>
              <w:rPr>
                <w:color w:val="000000"/>
              </w:rPr>
            </w:pPr>
            <w:r>
              <w:rPr>
                <w:color w:val="000000"/>
              </w:rPr>
              <w:t>GS-15 Senior Statistician  (20%)</w:t>
            </w:r>
          </w:p>
        </w:tc>
        <w:tc>
          <w:tcPr>
            <w:tcW w:w="276" w:type="dxa"/>
            <w:tcBorders>
              <w:top w:val="nil"/>
              <w:left w:val="nil"/>
              <w:bottom w:val="single" w:sz="4" w:space="0" w:color="auto"/>
              <w:right w:val="single" w:sz="4" w:space="0" w:color="auto"/>
            </w:tcBorders>
            <w:shd w:val="clear" w:color="000000" w:fill="000000"/>
            <w:noWrap/>
            <w:vAlign w:val="bottom"/>
          </w:tcPr>
          <w:p w:rsidR="00FD0A82" w:rsidRPr="00725B26" w:rsidRDefault="00FD0A82" w:rsidP="004608B3">
            <w:pPr>
              <w:rPr>
                <w:color w:val="000000"/>
              </w:rPr>
            </w:pPr>
          </w:p>
        </w:tc>
        <w:tc>
          <w:tcPr>
            <w:tcW w:w="1716" w:type="dxa"/>
            <w:tcBorders>
              <w:top w:val="nil"/>
              <w:left w:val="nil"/>
              <w:bottom w:val="single" w:sz="4" w:space="0" w:color="auto"/>
              <w:right w:val="single" w:sz="4" w:space="0" w:color="auto"/>
            </w:tcBorders>
            <w:noWrap/>
            <w:vAlign w:val="bottom"/>
          </w:tcPr>
          <w:p w:rsidR="00FD0A82" w:rsidRPr="00725B26" w:rsidRDefault="009E526C" w:rsidP="003167E3">
            <w:pPr>
              <w:jc w:val="right"/>
              <w:rPr>
                <w:color w:val="000000"/>
              </w:rPr>
            </w:pPr>
            <w:r>
              <w:rPr>
                <w:color w:val="000000"/>
              </w:rPr>
              <w:t>$17,827</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GS-13 Editor (10%)</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jc w:val="right"/>
              <w:rPr>
                <w:color w:val="000000"/>
              </w:rPr>
            </w:pPr>
            <w:r w:rsidRPr="00725B26">
              <w:rPr>
                <w:color w:val="000000"/>
              </w:rPr>
              <w:t>$</w:t>
            </w:r>
            <w:r w:rsidR="003167E3">
              <w:rPr>
                <w:color w:val="000000"/>
              </w:rPr>
              <w:t>8,550</w:t>
            </w:r>
            <w:r w:rsidRPr="00725B26">
              <w:rPr>
                <w:color w:val="000000"/>
              </w:rPr>
              <w:t xml:space="preserve">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Other Editorial Staff</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sidRPr="00725B26">
              <w:rPr>
                <w:color w:val="000000"/>
              </w:rPr>
              <w:t xml:space="preserve">$5,000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Pr>
                <w:color w:val="000000"/>
              </w:rPr>
              <w:t>Senior BJS Management</w:t>
            </w:r>
            <w:r w:rsidRPr="00725B26">
              <w:rPr>
                <w:color w:val="000000"/>
              </w:rPr>
              <w:t xml:space="preserve"> </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sidRPr="00725B26">
              <w:rPr>
                <w:color w:val="000000"/>
              </w:rPr>
              <w:t xml:space="preserve">$3,000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Subtotal salaries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ind w:left="720"/>
              <w:jc w:val="right"/>
              <w:rPr>
                <w:color w:val="000000"/>
              </w:rPr>
            </w:pPr>
            <w:r>
              <w:rPr>
                <w:color w:val="000000"/>
              </w:rPr>
              <w:t>$</w:t>
            </w:r>
            <w:r w:rsidR="004C0399">
              <w:rPr>
                <w:color w:val="000000"/>
              </w:rPr>
              <w:t>8</w:t>
            </w:r>
            <w:r w:rsidR="003167E3">
              <w:rPr>
                <w:color w:val="000000"/>
              </w:rPr>
              <w:t>0,964</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297E51">
            <w:pPr>
              <w:spacing w:before="120"/>
              <w:rPr>
                <w:color w:val="000000"/>
              </w:rPr>
            </w:pPr>
            <w:r w:rsidRPr="00725B26">
              <w:rPr>
                <w:color w:val="000000"/>
              </w:rPr>
              <w:t>Fringe benefits (28% of salaries)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297E51">
            <w:pPr>
              <w:spacing w:before="120"/>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spacing w:before="120"/>
              <w:jc w:val="right"/>
              <w:rPr>
                <w:color w:val="000000"/>
              </w:rPr>
            </w:pPr>
            <w:r>
              <w:rPr>
                <w:color w:val="000000"/>
              </w:rPr>
              <w:t>$</w:t>
            </w:r>
            <w:r w:rsidR="004C0399">
              <w:rPr>
                <w:color w:val="000000"/>
              </w:rPr>
              <w:t>2</w:t>
            </w:r>
            <w:r w:rsidR="003167E3">
              <w:rPr>
                <w:color w:val="000000"/>
              </w:rPr>
              <w:t>2,670</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Subtotal: Salary &amp; fringe</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jc w:val="right"/>
              <w:rPr>
                <w:color w:val="000000"/>
              </w:rPr>
            </w:pPr>
            <w:r>
              <w:rPr>
                <w:color w:val="000000"/>
              </w:rPr>
              <w:t>$1</w:t>
            </w:r>
            <w:r w:rsidR="004C0399">
              <w:rPr>
                <w:color w:val="000000"/>
              </w:rPr>
              <w:t>0</w:t>
            </w:r>
            <w:r w:rsidR="003167E3">
              <w:rPr>
                <w:color w:val="000000"/>
              </w:rPr>
              <w:t>3,634</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Other administrative costs of salary &amp; fringe (15%)</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jc w:val="right"/>
              <w:rPr>
                <w:color w:val="000000"/>
              </w:rPr>
            </w:pPr>
            <w:r>
              <w:rPr>
                <w:color w:val="000000"/>
              </w:rPr>
              <w:t>$</w:t>
            </w:r>
            <w:r w:rsidR="004C0399">
              <w:rPr>
                <w:color w:val="000000"/>
              </w:rPr>
              <w:t>15,</w:t>
            </w:r>
            <w:r w:rsidR="003167E3">
              <w:rPr>
                <w:color w:val="000000"/>
              </w:rPr>
              <w:t>545</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b/>
                <w:bCs/>
                <w:color w:val="000000"/>
              </w:rPr>
            </w:pPr>
            <w:r w:rsidRPr="00725B26">
              <w:rPr>
                <w:b/>
                <w:bCs/>
                <w:color w:val="000000"/>
              </w:rPr>
              <w:lastRenderedPageBreak/>
              <w:t>Subtotal: BJS costs</w:t>
            </w:r>
          </w:p>
        </w:tc>
        <w:tc>
          <w:tcPr>
            <w:tcW w:w="276" w:type="dxa"/>
            <w:tcBorders>
              <w:top w:val="nil"/>
              <w:left w:val="nil"/>
              <w:bottom w:val="single" w:sz="4" w:space="0" w:color="auto"/>
              <w:right w:val="single" w:sz="4" w:space="0" w:color="auto"/>
            </w:tcBorders>
            <w:noWrap/>
            <w:vAlign w:val="bottom"/>
          </w:tcPr>
          <w:p w:rsidR="00297E51" w:rsidRPr="00725B26" w:rsidRDefault="00297E51" w:rsidP="004608B3">
            <w:pPr>
              <w:rPr>
                <w:b/>
                <w:bCs/>
                <w:color w:val="000000"/>
              </w:rPr>
            </w:pPr>
            <w:r w:rsidRPr="00725B26">
              <w:rPr>
                <w:b/>
                <w:bCs/>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C0399">
            <w:pPr>
              <w:jc w:val="right"/>
              <w:rPr>
                <w:b/>
                <w:bCs/>
                <w:color w:val="000000"/>
              </w:rPr>
            </w:pPr>
            <w:r>
              <w:rPr>
                <w:b/>
                <w:bCs/>
                <w:color w:val="000000"/>
              </w:rPr>
              <w:t>$1</w:t>
            </w:r>
            <w:r w:rsidR="003167E3">
              <w:rPr>
                <w:b/>
                <w:bCs/>
                <w:color w:val="000000"/>
              </w:rPr>
              <w:t>19,179</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 </w:t>
            </w:r>
          </w:p>
        </w:tc>
        <w:tc>
          <w:tcPr>
            <w:tcW w:w="276" w:type="dxa"/>
            <w:tcBorders>
              <w:top w:val="single" w:sz="4" w:space="0" w:color="auto"/>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single" w:sz="4" w:space="0" w:color="auto"/>
              <w:left w:val="nil"/>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b/>
                <w:bCs/>
                <w:color w:val="000000"/>
                <w:u w:val="single"/>
              </w:rPr>
            </w:pPr>
            <w:r w:rsidRPr="00725B26">
              <w:rPr>
                <w:b/>
                <w:bCs/>
                <w:color w:val="000000"/>
                <w:u w:val="single"/>
              </w:rPr>
              <w:t>Data Collection Agen</w:t>
            </w:r>
            <w:r>
              <w:rPr>
                <w:b/>
                <w:bCs/>
                <w:color w:val="000000"/>
                <w:u w:val="single"/>
              </w:rPr>
              <w:t>t (Urban Institute</w:t>
            </w:r>
            <w:r w:rsidRPr="00725B26">
              <w:rPr>
                <w:b/>
                <w:bCs/>
                <w:color w:val="000000"/>
                <w:u w:val="single"/>
              </w:rPr>
              <w: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Personnel</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Pr>
                <w:color w:val="000000"/>
              </w:rPr>
              <w:t>$217,850</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Fringe Benefits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Pr>
                <w:color w:val="000000"/>
              </w:rPr>
              <w:t>$93.054</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Travel</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Default="00297E51" w:rsidP="004608B3">
            <w:pPr>
              <w:jc w:val="right"/>
            </w:pPr>
            <w:r>
              <w:t>0</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Consultant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Pr>
                <w:color w:val="000000"/>
              </w:rPr>
              <w:t>$12,963</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Pr>
                <w:color w:val="000000"/>
              </w:rPr>
              <w:t>Contracts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p>
        </w:tc>
        <w:tc>
          <w:tcPr>
            <w:tcW w:w="1716" w:type="dxa"/>
            <w:tcBorders>
              <w:top w:val="nil"/>
              <w:left w:val="nil"/>
              <w:bottom w:val="single" w:sz="4" w:space="0" w:color="auto"/>
              <w:right w:val="single" w:sz="4" w:space="0" w:color="auto"/>
            </w:tcBorders>
            <w:noWrap/>
            <w:vAlign w:val="bottom"/>
          </w:tcPr>
          <w:p w:rsidR="00297E51" w:rsidRDefault="00297E51" w:rsidP="004608B3">
            <w:pPr>
              <w:jc w:val="right"/>
            </w:pPr>
            <w:r>
              <w:t>$94,049</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Pr>
                <w:color w:val="000000"/>
              </w:rPr>
              <w:t>Other</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p>
        </w:tc>
        <w:tc>
          <w:tcPr>
            <w:tcW w:w="1716" w:type="dxa"/>
            <w:tcBorders>
              <w:top w:val="nil"/>
              <w:left w:val="nil"/>
              <w:bottom w:val="single" w:sz="4" w:space="0" w:color="auto"/>
              <w:right w:val="single" w:sz="4" w:space="0" w:color="auto"/>
            </w:tcBorders>
            <w:noWrap/>
            <w:vAlign w:val="bottom"/>
          </w:tcPr>
          <w:p w:rsidR="00297E51" w:rsidRDefault="00297E51" w:rsidP="004608B3">
            <w:pPr>
              <w:jc w:val="right"/>
            </w:pPr>
            <w:r>
              <w:t>$65,757</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Total Indirect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Pr>
                <w:color w:val="000000"/>
              </w:rPr>
              <w:t>$259,262</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b/>
                <w:bCs/>
                <w:color w:val="000000"/>
              </w:rPr>
            </w:pPr>
            <w:r w:rsidRPr="00725B26">
              <w:rPr>
                <w:b/>
                <w:bCs/>
                <w:color w:val="000000"/>
              </w:rPr>
              <w:t>Subtotal Data Collection Agent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b/>
                <w:bCs/>
                <w:color w:val="000000"/>
              </w:rPr>
            </w:pPr>
            <w:r w:rsidRPr="00725B26">
              <w:rPr>
                <w:b/>
                <w:bCs/>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b/>
                <w:bCs/>
                <w:color w:val="000000"/>
              </w:rPr>
            </w:pPr>
            <w:r>
              <w:rPr>
                <w:b/>
                <w:bCs/>
                <w:color w:val="000000"/>
              </w:rPr>
              <w:t>$649,974</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E51" w:rsidRPr="00725B26" w:rsidRDefault="00297E51" w:rsidP="004608B3">
            <w:pPr>
              <w:rPr>
                <w:b/>
                <w:bCs/>
                <w:color w:val="000000"/>
              </w:rPr>
            </w:pPr>
            <w:r w:rsidRPr="00725B26">
              <w:rPr>
                <w:b/>
                <w:bCs/>
                <w:color w:val="000000"/>
              </w:rPr>
              <w:t>Total estimated costs</w:t>
            </w:r>
          </w:p>
        </w:tc>
        <w:tc>
          <w:tcPr>
            <w:tcW w:w="276" w:type="dxa"/>
            <w:tcBorders>
              <w:top w:val="nil"/>
              <w:left w:val="nil"/>
              <w:bottom w:val="single" w:sz="4" w:space="0" w:color="auto"/>
              <w:right w:val="single" w:sz="4" w:space="0" w:color="auto"/>
            </w:tcBorders>
            <w:shd w:val="clear" w:color="auto" w:fill="auto"/>
            <w:noWrap/>
            <w:vAlign w:val="bottom"/>
          </w:tcPr>
          <w:p w:rsidR="00297E51" w:rsidRPr="00725B26" w:rsidRDefault="00297E51" w:rsidP="004608B3">
            <w:pPr>
              <w:rPr>
                <w:b/>
                <w:bCs/>
                <w:color w:val="000000"/>
              </w:rPr>
            </w:pPr>
            <w:r w:rsidRPr="00725B26">
              <w:rPr>
                <w:b/>
                <w:bCs/>
                <w:color w:val="000000"/>
              </w:rPr>
              <w:t> </w:t>
            </w:r>
          </w:p>
        </w:tc>
        <w:tc>
          <w:tcPr>
            <w:tcW w:w="1716" w:type="dxa"/>
            <w:tcBorders>
              <w:top w:val="nil"/>
              <w:left w:val="nil"/>
              <w:bottom w:val="single" w:sz="4" w:space="0" w:color="auto"/>
              <w:right w:val="single" w:sz="4" w:space="0" w:color="auto"/>
            </w:tcBorders>
            <w:shd w:val="clear" w:color="auto" w:fill="auto"/>
            <w:noWrap/>
            <w:vAlign w:val="bottom"/>
          </w:tcPr>
          <w:p w:rsidR="00297E51" w:rsidRPr="00661CDA" w:rsidRDefault="00297E51" w:rsidP="004C0399">
            <w:pPr>
              <w:jc w:val="right"/>
              <w:rPr>
                <w:b/>
                <w:bCs/>
                <w:color w:val="000000"/>
                <w:highlight w:val="yellow"/>
              </w:rPr>
            </w:pPr>
            <w:r w:rsidRPr="00297E51">
              <w:rPr>
                <w:b/>
                <w:bCs/>
                <w:color w:val="000000"/>
              </w:rPr>
              <w:t>$</w:t>
            </w:r>
            <w:r w:rsidR="004C0399">
              <w:rPr>
                <w:b/>
                <w:bCs/>
                <w:color w:val="000000"/>
              </w:rPr>
              <w:t>7</w:t>
            </w:r>
            <w:r w:rsidR="003167E3">
              <w:rPr>
                <w:b/>
                <w:bCs/>
                <w:color w:val="000000"/>
              </w:rPr>
              <w:t>68,953</w:t>
            </w:r>
          </w:p>
        </w:tc>
      </w:tr>
    </w:tbl>
    <w:p w:rsidR="000829BF" w:rsidRPr="000829BF" w:rsidRDefault="000829BF" w:rsidP="000829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FB536D" w:rsidRDefault="00FB536D"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D7CC0">
        <w:rPr>
          <w:b/>
          <w:u w:val="single"/>
        </w:rPr>
        <w:t>Display of Expiration Date</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expiration date will be shown on the survey form.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Exception to the Certificate Statement</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20D1">
        <w:t xml:space="preserve">BJS is not requesting an exception to the certification of this information collection.  </w:t>
      </w: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B0" w:rsidRPr="008D7CC0" w:rsidRDefault="00A96FB0" w:rsidP="00A96FB0">
      <w:pPr>
        <w:pStyle w:val="ListParagraph"/>
        <w:numPr>
          <w:ilvl w:val="0"/>
          <w:numId w:val="5"/>
        </w:numPr>
        <w:ind w:left="360"/>
        <w:rPr>
          <w:b/>
          <w:u w:val="single"/>
        </w:rPr>
      </w:pPr>
      <w:r w:rsidRPr="008D7CC0">
        <w:rPr>
          <w:b/>
          <w:u w:val="single"/>
        </w:rPr>
        <w:lastRenderedPageBreak/>
        <w:t>Contacts for Statistical Aspects and Data Collection</w:t>
      </w:r>
    </w:p>
    <w:p w:rsidR="00A96FB0" w:rsidRPr="00DA3002" w:rsidRDefault="00A96FB0" w:rsidP="00A96FB0"/>
    <w:p w:rsidR="00A96FB0" w:rsidRDefault="00A96FB0" w:rsidP="00B6441D">
      <w:pPr>
        <w:pStyle w:val="ListParagraph"/>
        <w:numPr>
          <w:ilvl w:val="0"/>
          <w:numId w:val="6"/>
        </w:numPr>
        <w:tabs>
          <w:tab w:val="left" w:pos="360"/>
        </w:tabs>
        <w:ind w:left="0" w:firstLine="0"/>
      </w:pPr>
      <w:r>
        <w:t xml:space="preserve">BJS contacts include </w:t>
      </w:r>
    </w:p>
    <w:p w:rsidR="00BD493F" w:rsidRDefault="00BD493F" w:rsidP="00BD493F">
      <w:pPr>
        <w:pStyle w:val="ListParagraph"/>
        <w:numPr>
          <w:ilvl w:val="0"/>
          <w:numId w:val="10"/>
        </w:numPr>
      </w:pPr>
      <w:r>
        <w:t>Howard Snyder</w:t>
      </w:r>
      <w:r w:rsidR="003D3631">
        <w:t xml:space="preserve"> </w:t>
      </w:r>
    </w:p>
    <w:p w:rsidR="003D3631" w:rsidRDefault="003D3631" w:rsidP="003D3631">
      <w:pPr>
        <w:ind w:left="720"/>
      </w:pPr>
      <w:r>
        <w:t>202-</w:t>
      </w:r>
      <w:r w:rsidR="00787478">
        <w:t>616-8305</w:t>
      </w:r>
    </w:p>
    <w:p w:rsidR="00787478" w:rsidRDefault="00151957" w:rsidP="003D3631">
      <w:pPr>
        <w:ind w:left="720"/>
      </w:pPr>
      <w:hyperlink r:id="rId9" w:history="1">
        <w:r w:rsidR="00787478" w:rsidRPr="005D2A58">
          <w:rPr>
            <w:rStyle w:val="Hyperlink"/>
          </w:rPr>
          <w:t>Howard.Snyder@usdoj.gov</w:t>
        </w:r>
      </w:hyperlink>
    </w:p>
    <w:p w:rsidR="00787478" w:rsidRDefault="00787478" w:rsidP="003D3631">
      <w:pPr>
        <w:ind w:left="720"/>
      </w:pPr>
    </w:p>
    <w:p w:rsidR="00B6441D" w:rsidRDefault="00A96FB0" w:rsidP="00BD493F">
      <w:pPr>
        <w:pStyle w:val="ListParagraph"/>
        <w:numPr>
          <w:ilvl w:val="0"/>
          <w:numId w:val="10"/>
        </w:numPr>
      </w:pPr>
      <w:r>
        <w:t>Ron Malega</w:t>
      </w:r>
    </w:p>
    <w:p w:rsidR="00A96FB0" w:rsidRDefault="00787478" w:rsidP="00A96FB0">
      <w:pPr>
        <w:pStyle w:val="ListParagraph"/>
      </w:pPr>
      <w:r>
        <w:t>202-353-0487</w:t>
      </w:r>
    </w:p>
    <w:p w:rsidR="00787478" w:rsidRDefault="00151957" w:rsidP="00787478">
      <w:pPr>
        <w:pStyle w:val="ListParagraph"/>
      </w:pPr>
      <w:hyperlink r:id="rId10" w:history="1">
        <w:r w:rsidR="00787478" w:rsidRPr="005D2A58">
          <w:rPr>
            <w:rStyle w:val="Hyperlink"/>
          </w:rPr>
          <w:t>Ron.Malega@usdoj.gov</w:t>
        </w:r>
      </w:hyperlink>
    </w:p>
    <w:p w:rsidR="00787478" w:rsidRDefault="00787478" w:rsidP="00787478">
      <w:pPr>
        <w:pStyle w:val="ListParagraph"/>
      </w:pPr>
    </w:p>
    <w:p w:rsidR="00A96FB0" w:rsidRDefault="00A96FB0" w:rsidP="00B6441D">
      <w:pPr>
        <w:pStyle w:val="ListParagraph"/>
        <w:numPr>
          <w:ilvl w:val="0"/>
          <w:numId w:val="6"/>
        </w:numPr>
        <w:tabs>
          <w:tab w:val="left" w:pos="360"/>
        </w:tabs>
        <w:ind w:left="0" w:firstLine="0"/>
      </w:pPr>
      <w:r>
        <w:t>Persons consulted on statistical methodology:</w:t>
      </w:r>
    </w:p>
    <w:p w:rsidR="00A96FB0" w:rsidRDefault="00A96FB0" w:rsidP="00B6441D">
      <w:pPr>
        <w:pStyle w:val="ListParagraph"/>
        <w:numPr>
          <w:ilvl w:val="0"/>
          <w:numId w:val="11"/>
        </w:numPr>
      </w:pPr>
      <w:r>
        <w:t>Rob Santos</w:t>
      </w:r>
      <w:r w:rsidR="00B6441D">
        <w:t>, The Urban Institute</w:t>
      </w:r>
    </w:p>
    <w:p w:rsidR="00A96FB0" w:rsidRDefault="00A96FB0" w:rsidP="00A96FB0"/>
    <w:p w:rsidR="00A96FB0" w:rsidRDefault="00A96FB0" w:rsidP="00B6441D">
      <w:pPr>
        <w:pStyle w:val="ListParagraph"/>
        <w:numPr>
          <w:ilvl w:val="0"/>
          <w:numId w:val="6"/>
        </w:numPr>
        <w:tabs>
          <w:tab w:val="left" w:pos="360"/>
        </w:tabs>
        <w:ind w:left="0" w:firstLine="0"/>
      </w:pPr>
      <w:r>
        <w:t>Persons consulted on data collection and analysis:</w:t>
      </w:r>
    </w:p>
    <w:p w:rsidR="00A96FB0" w:rsidRDefault="00A96FB0" w:rsidP="00B6441D">
      <w:pPr>
        <w:pStyle w:val="ListParagraph"/>
        <w:numPr>
          <w:ilvl w:val="0"/>
          <w:numId w:val="11"/>
        </w:numPr>
      </w:pPr>
      <w:r>
        <w:t>David Hayeslip</w:t>
      </w:r>
      <w:r w:rsidR="00B6441D">
        <w:t>, The Urban Institute</w:t>
      </w:r>
    </w:p>
    <w:p w:rsidR="00787478" w:rsidRDefault="00787478" w:rsidP="00787478">
      <w:pPr>
        <w:pStyle w:val="ListParagraph"/>
      </w:pPr>
    </w:p>
    <w:p w:rsidR="00F11688" w:rsidRDefault="00F11688" w:rsidP="00F11688">
      <w:pPr>
        <w:pStyle w:val="ListParagraph"/>
        <w:numPr>
          <w:ilvl w:val="0"/>
          <w:numId w:val="11"/>
        </w:numPr>
      </w:pPr>
      <w:r>
        <w:t>Allen Beck</w:t>
      </w:r>
      <w:r w:rsidR="00AE1D01">
        <w:t>, Bureau of Justice Statistics</w:t>
      </w:r>
    </w:p>
    <w:p w:rsidR="00787478" w:rsidRDefault="00787478" w:rsidP="00787478">
      <w:pPr>
        <w:pStyle w:val="ListParagraph"/>
      </w:pPr>
      <w:r>
        <w:t>202-616-3277</w:t>
      </w:r>
    </w:p>
    <w:p w:rsidR="00787478" w:rsidRDefault="00151957" w:rsidP="00787478">
      <w:pPr>
        <w:pStyle w:val="ListParagraph"/>
      </w:pPr>
      <w:hyperlink r:id="rId11" w:history="1">
        <w:r w:rsidR="00787478" w:rsidRPr="005D2A58">
          <w:rPr>
            <w:rStyle w:val="Hyperlink"/>
          </w:rPr>
          <w:t>Allen.Beck@usdoj.gov</w:t>
        </w:r>
      </w:hyperlink>
    </w:p>
    <w:p w:rsidR="00787478" w:rsidRDefault="00787478" w:rsidP="00787478">
      <w:pPr>
        <w:pStyle w:val="ListParagraph"/>
      </w:pPr>
    </w:p>
    <w:p w:rsidR="00A96FB0" w:rsidRPr="00AF4DEA" w:rsidRDefault="00A9636E" w:rsidP="00A96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u w:val="single"/>
        </w:rPr>
      </w:pPr>
      <w:r>
        <w:rPr>
          <w:b/>
          <w:sz w:val="28"/>
          <w:szCs w:val="28"/>
          <w:u w:val="single"/>
        </w:rPr>
        <w:br w:type="column"/>
      </w:r>
      <w:r w:rsidR="00A96FB0" w:rsidRPr="00233BF2">
        <w:rPr>
          <w:b/>
          <w:sz w:val="28"/>
          <w:szCs w:val="28"/>
          <w:u w:val="single"/>
        </w:rPr>
        <w:lastRenderedPageBreak/>
        <w:t>References Cited</w:t>
      </w:r>
    </w:p>
    <w:p w:rsidR="00A96FB0" w:rsidRDefault="00A96FB0" w:rsidP="00A96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B0" w:rsidRDefault="00A96FB0" w:rsidP="00BC665A">
      <w:pPr>
        <w:autoSpaceDE w:val="0"/>
        <w:autoSpaceDN w:val="0"/>
        <w:adjustRightInd w:val="0"/>
        <w:spacing w:after="120"/>
        <w:ind w:left="720" w:hanging="720"/>
      </w:pPr>
      <w:r w:rsidRPr="00233BF2">
        <w:t xml:space="preserve">Bureau of Justice Statistics. </w:t>
      </w:r>
      <w:r>
        <w:t xml:space="preserve">2011. </w:t>
      </w:r>
      <w:r w:rsidRPr="00233BF2">
        <w:t>Law Enforcement Management and Administrative</w:t>
      </w:r>
      <w:r>
        <w:t xml:space="preserve"> </w:t>
      </w:r>
      <w:r w:rsidRPr="00233BF2">
        <w:t>Statistics (LEMAS), 2007 [Computer file]. ICPSR31161-v1. Ann Arbor, MI: Inter-university Consortium</w:t>
      </w:r>
      <w:r>
        <w:t xml:space="preserve"> </w:t>
      </w:r>
      <w:r w:rsidRPr="00233BF2">
        <w:t>for Political and Social Rese</w:t>
      </w:r>
      <w:r>
        <w:t>arch [producer and distributor].</w:t>
      </w:r>
    </w:p>
    <w:p w:rsidR="00A96FB0" w:rsidRPr="00294DC0" w:rsidRDefault="00A96FB0" w:rsidP="00BC665A">
      <w:pPr>
        <w:autoSpaceDE w:val="0"/>
        <w:autoSpaceDN w:val="0"/>
        <w:adjustRightInd w:val="0"/>
        <w:spacing w:after="120"/>
        <w:ind w:left="720" w:hanging="720"/>
      </w:pPr>
      <w:r w:rsidRPr="00233BF2">
        <w:t>Bromley, Max and Brian Reaves. 1998. Comparing campus and city police</w:t>
      </w:r>
      <w:r w:rsidR="00BD493F">
        <w:t xml:space="preserve"> </w:t>
      </w:r>
      <w:r w:rsidRPr="00233BF2">
        <w:t xml:space="preserve">operational practices. </w:t>
      </w:r>
      <w:r w:rsidRPr="00233BF2">
        <w:rPr>
          <w:i/>
        </w:rPr>
        <w:t>Journal of Security Administration</w:t>
      </w:r>
      <w:r w:rsidRPr="00233BF2">
        <w:t xml:space="preserve"> 21 (2):41-54.</w:t>
      </w:r>
    </w:p>
    <w:p w:rsidR="00A96FB0" w:rsidRDefault="00A96FB0" w:rsidP="00BC66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t>Ellis, Yukiko. 1997. Documentation of the Sample Selection for the 1997 Sample Survey of Law Enforcement Agencies.  U.S. Bureau of the Census. Unpublished memorandum.</w:t>
      </w:r>
    </w:p>
    <w:p w:rsidR="00A96FB0" w:rsidRPr="00233BF2" w:rsidRDefault="00A96FB0" w:rsidP="00BC665A">
      <w:pPr>
        <w:autoSpaceDE w:val="0"/>
        <w:autoSpaceDN w:val="0"/>
        <w:adjustRightInd w:val="0"/>
        <w:spacing w:after="120"/>
        <w:ind w:left="720" w:hanging="720"/>
        <w:rPr>
          <w:i/>
        </w:rPr>
      </w:pPr>
      <w:r w:rsidRPr="00233BF2">
        <w:t>Groves, Robert and Daniel Cork. 2009</w:t>
      </w:r>
      <w:r>
        <w:t>.</w:t>
      </w:r>
      <w:r w:rsidRPr="00233BF2">
        <w:t xml:space="preserve"> </w:t>
      </w:r>
      <w:r w:rsidRPr="00233BF2">
        <w:rPr>
          <w:i/>
        </w:rPr>
        <w:t>Ensuring the Quality, Credibility,</w:t>
      </w:r>
      <w:r>
        <w:rPr>
          <w:i/>
        </w:rPr>
        <w:t xml:space="preserve"> </w:t>
      </w:r>
      <w:r w:rsidRPr="00233BF2">
        <w:rPr>
          <w:i/>
        </w:rPr>
        <w:t>and Relevance of U.S. Justice Statistics</w:t>
      </w:r>
      <w:r>
        <w:rPr>
          <w:i/>
        </w:rPr>
        <w:t xml:space="preserve">. </w:t>
      </w:r>
      <w:r w:rsidRPr="00233BF2">
        <w:t>Washington, D.C. National Academies Press.</w:t>
      </w:r>
    </w:p>
    <w:p w:rsidR="00A96FB0" w:rsidRPr="00294DC0" w:rsidRDefault="00A96FB0" w:rsidP="00BC665A">
      <w:pPr>
        <w:autoSpaceDE w:val="0"/>
        <w:autoSpaceDN w:val="0"/>
        <w:adjustRightInd w:val="0"/>
        <w:spacing w:after="120"/>
        <w:ind w:left="720" w:hanging="720"/>
      </w:pPr>
      <w:r w:rsidRPr="00233BF2">
        <w:t xml:space="preserve">Hickman, Matthew and Alex Piquero. 2009. Organizational, administrative, and environmental correlates of complaints about police use of force: Does minority representation matter? </w:t>
      </w:r>
      <w:r w:rsidRPr="00233BF2">
        <w:rPr>
          <w:i/>
        </w:rPr>
        <w:t>Crime and Delinquency</w:t>
      </w:r>
      <w:r w:rsidRPr="00233BF2">
        <w:t xml:space="preserve"> 15 (1):3-27.</w:t>
      </w:r>
    </w:p>
    <w:p w:rsidR="00A96FB0" w:rsidRDefault="00A96FB0" w:rsidP="00BC66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t xml:space="preserve">Kish, Leslie. 1965. </w:t>
      </w:r>
      <w:r w:rsidRPr="00233BF2">
        <w:rPr>
          <w:i/>
        </w:rPr>
        <w:t>Survey Sampling</w:t>
      </w:r>
      <w:r>
        <w:t>. New York. John Wiley and Sons.</w:t>
      </w:r>
    </w:p>
    <w:p w:rsidR="00A96FB0" w:rsidRDefault="00A96FB0" w:rsidP="00BC66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t>Langton, Lynn.  2010. Women in Law Enforcement, 1987 – 2008.  Washington, D.C.: Bureau of Justice Statistics.</w:t>
      </w:r>
    </w:p>
    <w:tbl>
      <w:tblPr>
        <w:tblW w:w="4750" w:type="pct"/>
        <w:tblCellSpacing w:w="0" w:type="dxa"/>
        <w:tblCellMar>
          <w:left w:w="0" w:type="dxa"/>
          <w:right w:w="0" w:type="dxa"/>
        </w:tblCellMar>
        <w:tblLook w:val="04A0" w:firstRow="1" w:lastRow="0" w:firstColumn="1" w:lastColumn="0" w:noHBand="0" w:noVBand="1"/>
      </w:tblPr>
      <w:tblGrid>
        <w:gridCol w:w="8892"/>
      </w:tblGrid>
      <w:tr w:rsidR="00A96FB0" w:rsidRPr="00D82F96" w:rsidTr="00441966">
        <w:trPr>
          <w:tblCellSpacing w:w="0" w:type="dxa"/>
        </w:trPr>
        <w:tc>
          <w:tcPr>
            <w:tcW w:w="0" w:type="auto"/>
            <w:vAlign w:val="center"/>
            <w:hideMark/>
          </w:tcPr>
          <w:p w:rsidR="00A96FB0" w:rsidRDefault="00A96FB0" w:rsidP="00BC665A">
            <w:pPr>
              <w:spacing w:after="120"/>
              <w:ind w:left="720" w:hanging="720"/>
            </w:pPr>
            <w:r>
              <w:t xml:space="preserve">Melekian, Bernard. 2012. </w:t>
            </w:r>
            <w:r w:rsidRPr="00233BF2">
              <w:t>Policing in the New Economy: A New Report on the Emerging Trends from the Office of Community Oriented Policing Services</w:t>
            </w:r>
            <w:r>
              <w:t xml:space="preserve">. </w:t>
            </w:r>
            <w:r w:rsidRPr="00233BF2">
              <w:rPr>
                <w:i/>
              </w:rPr>
              <w:t>Police Chief</w:t>
            </w:r>
            <w:r w:rsidRPr="00233BF2">
              <w:t>.</w:t>
            </w:r>
            <w:r>
              <w:t xml:space="preserve"> 79 (January 2012): 16–19.</w:t>
            </w:r>
          </w:p>
          <w:p w:rsidR="002C1E5A" w:rsidRDefault="002C1E5A" w:rsidP="00BC665A">
            <w:pPr>
              <w:spacing w:after="120"/>
              <w:ind w:left="720" w:hanging="720"/>
            </w:pPr>
            <w:r>
              <w:t>Reaves, Brian  2011. Census of State and Local Law Enforcement Agencies, 2008. Washington, D.C., Bureau of Justice Statistics.</w:t>
            </w:r>
          </w:p>
          <w:p w:rsidR="002C1E5A" w:rsidRDefault="002C1E5A" w:rsidP="00BC665A">
            <w:pPr>
              <w:spacing w:after="120"/>
              <w:ind w:left="720" w:hanging="720"/>
            </w:pPr>
            <w:r>
              <w:t>Reaves, Brian, 2012. Federal Law Enforcement Officers, 2008. Washington, D.C., Bureau of Justice Statistics.</w:t>
            </w:r>
          </w:p>
          <w:p w:rsidR="00A96FB0" w:rsidRPr="00D82F96" w:rsidRDefault="00A96FB0" w:rsidP="00BC665A">
            <w:pPr>
              <w:spacing w:after="120"/>
              <w:ind w:left="720" w:hanging="720"/>
              <w:rPr>
                <w:sz w:val="22"/>
                <w:szCs w:val="22"/>
              </w:rPr>
            </w:pPr>
            <w:r w:rsidRPr="00233BF2">
              <w:t xml:space="preserve">U.S. Department of Justice, </w:t>
            </w:r>
            <w:r>
              <w:t>2011</w:t>
            </w:r>
            <w:r w:rsidRPr="00233BF2">
              <w:t xml:space="preserve"> </w:t>
            </w:r>
            <w:r w:rsidRPr="00233BF2">
              <w:rPr>
                <w:i/>
              </w:rPr>
              <w:t>The Impact of the Economic Downturn on American Police Agencies</w:t>
            </w:r>
            <w:r w:rsidRPr="00EF74A7">
              <w:t>.</w:t>
            </w:r>
            <w:r w:rsidRPr="00233BF2">
              <w:t xml:space="preserve"> Washington, D.C.; Community Oriented Police Service.</w:t>
            </w:r>
          </w:p>
        </w:tc>
      </w:tr>
      <w:tr w:rsidR="00A96FB0" w:rsidRPr="00D82F96" w:rsidTr="00441966">
        <w:trPr>
          <w:tblCellSpacing w:w="0" w:type="dxa"/>
        </w:trPr>
        <w:tc>
          <w:tcPr>
            <w:tcW w:w="0" w:type="auto"/>
            <w:vAlign w:val="center"/>
            <w:hideMark/>
          </w:tcPr>
          <w:p w:rsidR="00A96FB0" w:rsidRDefault="00A96FB0"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Pr="00D82F96" w:rsidRDefault="00586629" w:rsidP="00441966">
            <w:pPr>
              <w:spacing w:before="100" w:beforeAutospacing="1" w:after="100" w:afterAutospacing="1"/>
              <w:rPr>
                <w:sz w:val="22"/>
                <w:szCs w:val="22"/>
              </w:rPr>
            </w:pPr>
          </w:p>
        </w:tc>
      </w:tr>
    </w:tbl>
    <w:p w:rsidR="00DB668B" w:rsidRPr="0086421D" w:rsidRDefault="00DB668B" w:rsidP="00014D8C">
      <w:pPr>
        <w:spacing w:after="120"/>
        <w:rPr>
          <w:b/>
          <w:sz w:val="28"/>
          <w:szCs w:val="28"/>
          <w:u w:val="single"/>
        </w:rPr>
      </w:pPr>
      <w:r w:rsidRPr="0086421D">
        <w:rPr>
          <w:b/>
          <w:sz w:val="28"/>
          <w:szCs w:val="28"/>
          <w:u w:val="single"/>
        </w:rPr>
        <w:lastRenderedPageBreak/>
        <w:t>Attachments:</w:t>
      </w:r>
    </w:p>
    <w:p w:rsidR="00DB668B" w:rsidRDefault="00DB668B" w:rsidP="00014D8C">
      <w:pPr>
        <w:pStyle w:val="ListParagraph"/>
        <w:numPr>
          <w:ilvl w:val="0"/>
          <w:numId w:val="19"/>
        </w:numPr>
        <w:spacing w:after="120"/>
        <w:contextualSpacing w:val="0"/>
      </w:pPr>
      <w:r>
        <w:t>Title 42</w:t>
      </w:r>
    </w:p>
    <w:p w:rsidR="003F0ECC" w:rsidRDefault="003F0ECC" w:rsidP="00014D8C">
      <w:pPr>
        <w:pStyle w:val="ListParagraph"/>
        <w:numPr>
          <w:ilvl w:val="0"/>
          <w:numId w:val="19"/>
        </w:numPr>
        <w:spacing w:after="120"/>
        <w:contextualSpacing w:val="0"/>
      </w:pPr>
      <w:r>
        <w:t xml:space="preserve">Listing of Survey Items Identifying Core, Supplement and Trend Variables </w:t>
      </w:r>
    </w:p>
    <w:p w:rsidR="003F0ECC" w:rsidRDefault="003F0ECC" w:rsidP="00014D8C">
      <w:pPr>
        <w:pStyle w:val="ListParagraph"/>
        <w:numPr>
          <w:ilvl w:val="0"/>
          <w:numId w:val="19"/>
        </w:numPr>
        <w:spacing w:after="120"/>
        <w:contextualSpacing w:val="0"/>
      </w:pPr>
      <w:r>
        <w:t xml:space="preserve">Bibliography of Publications from LEMAS Surveys </w:t>
      </w:r>
    </w:p>
    <w:p w:rsidR="00DB668B" w:rsidRDefault="00BD493F" w:rsidP="00014D8C">
      <w:pPr>
        <w:pStyle w:val="ListParagraph"/>
        <w:numPr>
          <w:ilvl w:val="0"/>
          <w:numId w:val="19"/>
        </w:numPr>
        <w:spacing w:after="120"/>
        <w:contextualSpacing w:val="0"/>
      </w:pPr>
      <w:r>
        <w:t>2012 Law Enforcement Management and Administrative Statistics Survey</w:t>
      </w:r>
    </w:p>
    <w:p w:rsidR="000E55AE" w:rsidRDefault="000E55AE" w:rsidP="00014D8C">
      <w:pPr>
        <w:pStyle w:val="ListParagraph"/>
        <w:numPr>
          <w:ilvl w:val="0"/>
          <w:numId w:val="19"/>
        </w:numPr>
        <w:spacing w:after="120"/>
        <w:contextualSpacing w:val="0"/>
      </w:pPr>
      <w:r>
        <w:t>Draft example of web version of LEMAS survey</w:t>
      </w:r>
    </w:p>
    <w:p w:rsidR="00473AFB" w:rsidRDefault="000E55AE" w:rsidP="00014D8C">
      <w:pPr>
        <w:pStyle w:val="ListParagraph"/>
        <w:numPr>
          <w:ilvl w:val="0"/>
          <w:numId w:val="19"/>
        </w:numPr>
        <w:spacing w:after="120"/>
        <w:contextualSpacing w:val="0"/>
      </w:pPr>
      <w:r>
        <w:t xml:space="preserve">Intro </w:t>
      </w:r>
      <w:r w:rsidR="00473AFB">
        <w:t>Letter from the BJS Director.</w:t>
      </w:r>
    </w:p>
    <w:p w:rsidR="009E5379" w:rsidRDefault="00A71107" w:rsidP="00014D8C">
      <w:pPr>
        <w:pStyle w:val="ListParagraph"/>
        <w:numPr>
          <w:ilvl w:val="0"/>
          <w:numId w:val="19"/>
        </w:numPr>
        <w:spacing w:after="120"/>
        <w:contextualSpacing w:val="0"/>
      </w:pPr>
      <w:r>
        <w:t>Draft Scripts for Respondent Contacts</w:t>
      </w:r>
    </w:p>
    <w:p w:rsidR="00DB668B" w:rsidRPr="00561C5B" w:rsidRDefault="00DB668B" w:rsidP="00014D8C">
      <w:pPr>
        <w:pStyle w:val="ListParagraph"/>
        <w:numPr>
          <w:ilvl w:val="0"/>
          <w:numId w:val="19"/>
        </w:numPr>
        <w:spacing w:after="120"/>
        <w:contextualSpacing w:val="0"/>
      </w:pPr>
      <w:r w:rsidRPr="00FF127F">
        <w:t xml:space="preserve">60-day ICR notice </w:t>
      </w:r>
    </w:p>
    <w:p w:rsidR="009E5379" w:rsidRDefault="00DB668B" w:rsidP="00BD493F">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pPr>
      <w:r w:rsidRPr="00FF127F">
        <w:t xml:space="preserve">30-day ICR notice </w:t>
      </w:r>
    </w:p>
    <w:sectPr w:rsidR="009E5379" w:rsidSect="0074628D">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01" w:rsidRDefault="00553C01" w:rsidP="00AF7585">
      <w:r>
        <w:separator/>
      </w:r>
    </w:p>
  </w:endnote>
  <w:endnote w:type="continuationSeparator" w:id="0">
    <w:p w:rsidR="00553C01" w:rsidRDefault="00553C01" w:rsidP="00AF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01" w:rsidRDefault="00553C01">
    <w:pPr>
      <w:pStyle w:val="Footer"/>
      <w:jc w:val="center"/>
    </w:pPr>
    <w:r>
      <w:fldChar w:fldCharType="begin"/>
    </w:r>
    <w:r>
      <w:instrText xml:space="preserve"> PAGE   \* MERGEFORMAT </w:instrText>
    </w:r>
    <w:r>
      <w:fldChar w:fldCharType="separate"/>
    </w:r>
    <w:r w:rsidR="00151957">
      <w:rPr>
        <w:noProof/>
      </w:rPr>
      <w:t>13</w:t>
    </w:r>
    <w:r>
      <w:rPr>
        <w:noProof/>
      </w:rPr>
      <w:fldChar w:fldCharType="end"/>
    </w:r>
  </w:p>
  <w:p w:rsidR="00553C01" w:rsidRDefault="00553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01" w:rsidRDefault="00553C01" w:rsidP="00AF7585">
      <w:r>
        <w:separator/>
      </w:r>
    </w:p>
  </w:footnote>
  <w:footnote w:type="continuationSeparator" w:id="0">
    <w:p w:rsidR="00553C01" w:rsidRDefault="00553C01" w:rsidP="00AF7585">
      <w:r>
        <w:continuationSeparator/>
      </w:r>
    </w:p>
  </w:footnote>
  <w:footnote w:id="1">
    <w:p w:rsidR="00553C01" w:rsidRDefault="00553C01">
      <w:pPr>
        <w:pStyle w:val="FootnoteText"/>
      </w:pPr>
      <w:r>
        <w:rPr>
          <w:rStyle w:val="FootnoteReference"/>
        </w:rPr>
        <w:footnoteRef/>
      </w:r>
      <w:r>
        <w:t xml:space="preserve"> In the 60-day and 30-day notices this work was called the </w:t>
      </w:r>
      <w:r w:rsidRPr="00B235CF">
        <w:rPr>
          <w:i/>
        </w:rPr>
        <w:t>Survey of General Purpose Law Enforcement Agencies</w:t>
      </w:r>
      <w:r>
        <w:t xml:space="preserve"> (or SGPLEA). After comments from the field, the decision was made to return to the survey’s original title </w:t>
      </w:r>
      <w:r w:rsidRPr="00B235CF">
        <w:rPr>
          <w:i/>
        </w:rPr>
        <w:t>LEMAS</w:t>
      </w:r>
      <w:r>
        <w:t>.</w:t>
      </w:r>
    </w:p>
  </w:footnote>
  <w:footnote w:id="2">
    <w:p w:rsidR="00553C01" w:rsidRDefault="00553C01" w:rsidP="004835E3">
      <w:pPr>
        <w:pStyle w:val="FootnoteText"/>
      </w:pPr>
      <w:r>
        <w:rPr>
          <w:rStyle w:val="FootnoteReference"/>
        </w:rPr>
        <w:footnoteRef/>
      </w:r>
      <w:r>
        <w:t xml:space="preserve"> The campus survey includes police departments run by private colleges and universities as well as departments operated by state and local government agencies. </w:t>
      </w:r>
    </w:p>
  </w:footnote>
  <w:footnote w:id="3">
    <w:p w:rsidR="00553C01" w:rsidRDefault="00553C01">
      <w:pPr>
        <w:pStyle w:val="FootnoteText"/>
      </w:pPr>
      <w:r>
        <w:rPr>
          <w:rStyle w:val="FootnoteReference"/>
        </w:rPr>
        <w:footnoteRef/>
      </w:r>
      <w:r>
        <w:t xml:space="preserve"> The FBI collects some data on police personnel in its Uniform Crime Reporting Program, but these data differ from those collected by the LEMAS surveys in a number of ways that will be discussed later in this paper.</w:t>
      </w:r>
    </w:p>
  </w:footnote>
  <w:footnote w:id="4">
    <w:p w:rsidR="00553C01" w:rsidRDefault="00553C01" w:rsidP="00AF7585">
      <w:pPr>
        <w:pStyle w:val="FootnoteText"/>
      </w:pPr>
      <w:r>
        <w:rPr>
          <w:rStyle w:val="FootnoteReference"/>
        </w:rPr>
        <w:footnoteRef/>
      </w:r>
      <w:r>
        <w:t xml:space="preserve"> Beginning with the first LEMAS survey, BJS has provided free access to public-use data files at National Archive of Criminal Justice Data at the University of Michigan.</w:t>
      </w:r>
    </w:p>
  </w:footnote>
  <w:footnote w:id="5">
    <w:p w:rsidR="00553C01" w:rsidRDefault="00553C01">
      <w:pPr>
        <w:pStyle w:val="FootnoteText"/>
      </w:pPr>
      <w:r>
        <w:rPr>
          <w:rStyle w:val="FootnoteReference"/>
        </w:rPr>
        <w:footnoteRef/>
      </w:r>
      <w:r>
        <w:t xml:space="preserve"> </w:t>
      </w:r>
      <w:r w:rsidRPr="00B56D33">
        <w:t xml:space="preserve">BJS’ Census of State and Local Law Enforcement Agencies, from which the LEMAS sample is drawn, also includes measures of the number of law enforcement personnel.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5">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F4B34"/>
    <w:multiLevelType w:val="hybridMultilevel"/>
    <w:tmpl w:val="BAD04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3"/>
  </w:num>
  <w:num w:numId="7">
    <w:abstractNumId w:val="5"/>
  </w:num>
  <w:num w:numId="8">
    <w:abstractNumId w:val="14"/>
  </w:num>
  <w:num w:numId="9">
    <w:abstractNumId w:val="4"/>
  </w:num>
  <w:num w:numId="10">
    <w:abstractNumId w:val="19"/>
  </w:num>
  <w:num w:numId="11">
    <w:abstractNumId w:val="12"/>
  </w:num>
  <w:num w:numId="12">
    <w:abstractNumId w:val="0"/>
  </w:num>
  <w:num w:numId="13">
    <w:abstractNumId w:val="17"/>
  </w:num>
  <w:num w:numId="14">
    <w:abstractNumId w:val="13"/>
  </w:num>
  <w:num w:numId="15">
    <w:abstractNumId w:val="2"/>
  </w:num>
  <w:num w:numId="16">
    <w:abstractNumId w:val="10"/>
  </w:num>
  <w:num w:numId="17">
    <w:abstractNumId w:val="1"/>
  </w:num>
  <w:num w:numId="18">
    <w:abstractNumId w:val="15"/>
  </w:num>
  <w:num w:numId="19">
    <w:abstractNumId w:val="16"/>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85"/>
    <w:rsid w:val="00002117"/>
    <w:rsid w:val="00014D8C"/>
    <w:rsid w:val="00015C7B"/>
    <w:rsid w:val="000163E6"/>
    <w:rsid w:val="00017E40"/>
    <w:rsid w:val="0003174C"/>
    <w:rsid w:val="00054BA9"/>
    <w:rsid w:val="00054F21"/>
    <w:rsid w:val="000572E6"/>
    <w:rsid w:val="00057B82"/>
    <w:rsid w:val="00064AC4"/>
    <w:rsid w:val="000815A9"/>
    <w:rsid w:val="000829BF"/>
    <w:rsid w:val="00083EC8"/>
    <w:rsid w:val="000941A5"/>
    <w:rsid w:val="000B0998"/>
    <w:rsid w:val="000B2E6B"/>
    <w:rsid w:val="000C29DC"/>
    <w:rsid w:val="000C2FF5"/>
    <w:rsid w:val="000D32F1"/>
    <w:rsid w:val="000D7A23"/>
    <w:rsid w:val="000E0605"/>
    <w:rsid w:val="000E2FE3"/>
    <w:rsid w:val="000E55AE"/>
    <w:rsid w:val="00112738"/>
    <w:rsid w:val="00134F37"/>
    <w:rsid w:val="00140C91"/>
    <w:rsid w:val="001452C7"/>
    <w:rsid w:val="001478E0"/>
    <w:rsid w:val="00151878"/>
    <w:rsid w:val="00151957"/>
    <w:rsid w:val="00155575"/>
    <w:rsid w:val="00162650"/>
    <w:rsid w:val="00162E64"/>
    <w:rsid w:val="00167138"/>
    <w:rsid w:val="00174A98"/>
    <w:rsid w:val="00176F0F"/>
    <w:rsid w:val="00180054"/>
    <w:rsid w:val="00194973"/>
    <w:rsid w:val="001A2EA8"/>
    <w:rsid w:val="001A3BDB"/>
    <w:rsid w:val="001A538D"/>
    <w:rsid w:val="001B5CCD"/>
    <w:rsid w:val="001B7FC0"/>
    <w:rsid w:val="001C0DA6"/>
    <w:rsid w:val="001D089E"/>
    <w:rsid w:val="001D2124"/>
    <w:rsid w:val="001D30CD"/>
    <w:rsid w:val="001E2A3E"/>
    <w:rsid w:val="00212EFE"/>
    <w:rsid w:val="00214EAE"/>
    <w:rsid w:val="002242A0"/>
    <w:rsid w:val="002258DE"/>
    <w:rsid w:val="00231622"/>
    <w:rsid w:val="00236A09"/>
    <w:rsid w:val="002655D7"/>
    <w:rsid w:val="00265D45"/>
    <w:rsid w:val="002756CF"/>
    <w:rsid w:val="002847DD"/>
    <w:rsid w:val="002873C6"/>
    <w:rsid w:val="00297E51"/>
    <w:rsid w:val="002B19FB"/>
    <w:rsid w:val="002C1E5A"/>
    <w:rsid w:val="002C6ED1"/>
    <w:rsid w:val="002D0760"/>
    <w:rsid w:val="003167E3"/>
    <w:rsid w:val="00322D3B"/>
    <w:rsid w:val="00323365"/>
    <w:rsid w:val="003273E3"/>
    <w:rsid w:val="0033353B"/>
    <w:rsid w:val="00334260"/>
    <w:rsid w:val="00337115"/>
    <w:rsid w:val="003441BF"/>
    <w:rsid w:val="00353F1A"/>
    <w:rsid w:val="003608A5"/>
    <w:rsid w:val="00362C39"/>
    <w:rsid w:val="00376F7F"/>
    <w:rsid w:val="00381611"/>
    <w:rsid w:val="00382D35"/>
    <w:rsid w:val="003A21C1"/>
    <w:rsid w:val="003A4091"/>
    <w:rsid w:val="003A40C4"/>
    <w:rsid w:val="003B71F1"/>
    <w:rsid w:val="003C0041"/>
    <w:rsid w:val="003C0236"/>
    <w:rsid w:val="003D093D"/>
    <w:rsid w:val="003D3631"/>
    <w:rsid w:val="003D402D"/>
    <w:rsid w:val="003E0868"/>
    <w:rsid w:val="003E235B"/>
    <w:rsid w:val="003E68F0"/>
    <w:rsid w:val="003F0ECC"/>
    <w:rsid w:val="003F36FC"/>
    <w:rsid w:val="003F3E45"/>
    <w:rsid w:val="0040077B"/>
    <w:rsid w:val="00410121"/>
    <w:rsid w:val="00421912"/>
    <w:rsid w:val="00423E20"/>
    <w:rsid w:val="00441966"/>
    <w:rsid w:val="004426D6"/>
    <w:rsid w:val="00442953"/>
    <w:rsid w:val="004608B3"/>
    <w:rsid w:val="00473AFB"/>
    <w:rsid w:val="00481FCA"/>
    <w:rsid w:val="004835E3"/>
    <w:rsid w:val="0049790D"/>
    <w:rsid w:val="004A70AC"/>
    <w:rsid w:val="004C0399"/>
    <w:rsid w:val="004D13ED"/>
    <w:rsid w:val="004E0FD0"/>
    <w:rsid w:val="00503321"/>
    <w:rsid w:val="00507FBE"/>
    <w:rsid w:val="00513255"/>
    <w:rsid w:val="00530734"/>
    <w:rsid w:val="005342A2"/>
    <w:rsid w:val="005358ED"/>
    <w:rsid w:val="0054565D"/>
    <w:rsid w:val="005468B0"/>
    <w:rsid w:val="00553C01"/>
    <w:rsid w:val="0055719F"/>
    <w:rsid w:val="00571F9D"/>
    <w:rsid w:val="00574C7F"/>
    <w:rsid w:val="00575F27"/>
    <w:rsid w:val="00577DFE"/>
    <w:rsid w:val="00584C6A"/>
    <w:rsid w:val="00586629"/>
    <w:rsid w:val="005A3925"/>
    <w:rsid w:val="005A4C95"/>
    <w:rsid w:val="005B374D"/>
    <w:rsid w:val="005C0507"/>
    <w:rsid w:val="005D0FB0"/>
    <w:rsid w:val="005D193F"/>
    <w:rsid w:val="005D71C6"/>
    <w:rsid w:val="005E3701"/>
    <w:rsid w:val="00625115"/>
    <w:rsid w:val="00637CA9"/>
    <w:rsid w:val="00642C10"/>
    <w:rsid w:val="006477A2"/>
    <w:rsid w:val="00682A43"/>
    <w:rsid w:val="00685039"/>
    <w:rsid w:val="006874D5"/>
    <w:rsid w:val="006A67AA"/>
    <w:rsid w:val="006C3EFF"/>
    <w:rsid w:val="006D0048"/>
    <w:rsid w:val="006D6E11"/>
    <w:rsid w:val="006E16C4"/>
    <w:rsid w:val="006E7592"/>
    <w:rsid w:val="0070115D"/>
    <w:rsid w:val="00712813"/>
    <w:rsid w:val="00732F46"/>
    <w:rsid w:val="00735ABE"/>
    <w:rsid w:val="0074628D"/>
    <w:rsid w:val="00747719"/>
    <w:rsid w:val="00754E5A"/>
    <w:rsid w:val="0078235E"/>
    <w:rsid w:val="00787478"/>
    <w:rsid w:val="007914FC"/>
    <w:rsid w:val="007A1513"/>
    <w:rsid w:val="007B739F"/>
    <w:rsid w:val="007E0195"/>
    <w:rsid w:val="007E12D0"/>
    <w:rsid w:val="007E2249"/>
    <w:rsid w:val="007F105F"/>
    <w:rsid w:val="007F2C9B"/>
    <w:rsid w:val="007F4C03"/>
    <w:rsid w:val="00804E09"/>
    <w:rsid w:val="00837762"/>
    <w:rsid w:val="0086421D"/>
    <w:rsid w:val="00876A3A"/>
    <w:rsid w:val="008A4DF0"/>
    <w:rsid w:val="008B29DD"/>
    <w:rsid w:val="008C352D"/>
    <w:rsid w:val="008C61EB"/>
    <w:rsid w:val="008D04D0"/>
    <w:rsid w:val="008D7CC0"/>
    <w:rsid w:val="008E2B2D"/>
    <w:rsid w:val="008E3C00"/>
    <w:rsid w:val="009114FD"/>
    <w:rsid w:val="00911D1F"/>
    <w:rsid w:val="0091513D"/>
    <w:rsid w:val="00916D85"/>
    <w:rsid w:val="00917D6F"/>
    <w:rsid w:val="009611E0"/>
    <w:rsid w:val="00973F49"/>
    <w:rsid w:val="009745C2"/>
    <w:rsid w:val="009965CF"/>
    <w:rsid w:val="009A7BB0"/>
    <w:rsid w:val="009A7C79"/>
    <w:rsid w:val="009B0885"/>
    <w:rsid w:val="009B7599"/>
    <w:rsid w:val="009C4FB0"/>
    <w:rsid w:val="009D207D"/>
    <w:rsid w:val="009E526C"/>
    <w:rsid w:val="009E5379"/>
    <w:rsid w:val="009F52B5"/>
    <w:rsid w:val="009F651E"/>
    <w:rsid w:val="00A31FE5"/>
    <w:rsid w:val="00A323E8"/>
    <w:rsid w:val="00A405F1"/>
    <w:rsid w:val="00A549DA"/>
    <w:rsid w:val="00A55C8F"/>
    <w:rsid w:val="00A67682"/>
    <w:rsid w:val="00A71107"/>
    <w:rsid w:val="00A9636E"/>
    <w:rsid w:val="00A96FB0"/>
    <w:rsid w:val="00AA6E48"/>
    <w:rsid w:val="00AB3726"/>
    <w:rsid w:val="00AB6A62"/>
    <w:rsid w:val="00AC6B1C"/>
    <w:rsid w:val="00AE071B"/>
    <w:rsid w:val="00AE1D01"/>
    <w:rsid w:val="00AF49E3"/>
    <w:rsid w:val="00AF7585"/>
    <w:rsid w:val="00B04275"/>
    <w:rsid w:val="00B054C2"/>
    <w:rsid w:val="00B235CF"/>
    <w:rsid w:val="00B32700"/>
    <w:rsid w:val="00B34023"/>
    <w:rsid w:val="00B56D33"/>
    <w:rsid w:val="00B6441D"/>
    <w:rsid w:val="00B76F8D"/>
    <w:rsid w:val="00B82DAD"/>
    <w:rsid w:val="00BB16C3"/>
    <w:rsid w:val="00BB1FEC"/>
    <w:rsid w:val="00BC2206"/>
    <w:rsid w:val="00BC665A"/>
    <w:rsid w:val="00BD493F"/>
    <w:rsid w:val="00BD6A42"/>
    <w:rsid w:val="00BE24C6"/>
    <w:rsid w:val="00BF0E95"/>
    <w:rsid w:val="00C02640"/>
    <w:rsid w:val="00C061BE"/>
    <w:rsid w:val="00C063A5"/>
    <w:rsid w:val="00C21D3D"/>
    <w:rsid w:val="00C339B0"/>
    <w:rsid w:val="00C356B4"/>
    <w:rsid w:val="00C47124"/>
    <w:rsid w:val="00C63AFE"/>
    <w:rsid w:val="00C675C8"/>
    <w:rsid w:val="00C67EE2"/>
    <w:rsid w:val="00CA7116"/>
    <w:rsid w:val="00CB7FB2"/>
    <w:rsid w:val="00CD0E51"/>
    <w:rsid w:val="00CD4494"/>
    <w:rsid w:val="00CD57BA"/>
    <w:rsid w:val="00CE4DB3"/>
    <w:rsid w:val="00CE689E"/>
    <w:rsid w:val="00CF35EF"/>
    <w:rsid w:val="00CF4330"/>
    <w:rsid w:val="00CF44AC"/>
    <w:rsid w:val="00D00848"/>
    <w:rsid w:val="00D02A41"/>
    <w:rsid w:val="00D20ACA"/>
    <w:rsid w:val="00D33E52"/>
    <w:rsid w:val="00D41A9C"/>
    <w:rsid w:val="00D445A5"/>
    <w:rsid w:val="00D6259B"/>
    <w:rsid w:val="00D65767"/>
    <w:rsid w:val="00D66C0B"/>
    <w:rsid w:val="00D87E7F"/>
    <w:rsid w:val="00D906A6"/>
    <w:rsid w:val="00D9304C"/>
    <w:rsid w:val="00DA596F"/>
    <w:rsid w:val="00DB00D3"/>
    <w:rsid w:val="00DB668B"/>
    <w:rsid w:val="00DC384F"/>
    <w:rsid w:val="00DC62A4"/>
    <w:rsid w:val="00DE48F9"/>
    <w:rsid w:val="00E01611"/>
    <w:rsid w:val="00E0267A"/>
    <w:rsid w:val="00E03EB1"/>
    <w:rsid w:val="00E074E2"/>
    <w:rsid w:val="00E1730A"/>
    <w:rsid w:val="00E5390E"/>
    <w:rsid w:val="00E55E76"/>
    <w:rsid w:val="00E632B8"/>
    <w:rsid w:val="00E75F19"/>
    <w:rsid w:val="00E77263"/>
    <w:rsid w:val="00E877C8"/>
    <w:rsid w:val="00E90335"/>
    <w:rsid w:val="00E935BA"/>
    <w:rsid w:val="00E93C55"/>
    <w:rsid w:val="00E950D8"/>
    <w:rsid w:val="00E950FC"/>
    <w:rsid w:val="00E952D3"/>
    <w:rsid w:val="00EA3FD8"/>
    <w:rsid w:val="00EB144D"/>
    <w:rsid w:val="00EC0A89"/>
    <w:rsid w:val="00EC7F34"/>
    <w:rsid w:val="00ED7E46"/>
    <w:rsid w:val="00EE630A"/>
    <w:rsid w:val="00EF3585"/>
    <w:rsid w:val="00F11688"/>
    <w:rsid w:val="00F24C1B"/>
    <w:rsid w:val="00F46129"/>
    <w:rsid w:val="00F661D3"/>
    <w:rsid w:val="00F73ED2"/>
    <w:rsid w:val="00F74626"/>
    <w:rsid w:val="00F77B1E"/>
    <w:rsid w:val="00F80447"/>
    <w:rsid w:val="00F93B77"/>
    <w:rsid w:val="00F94904"/>
    <w:rsid w:val="00FA651A"/>
    <w:rsid w:val="00FA7CEC"/>
    <w:rsid w:val="00FB536D"/>
    <w:rsid w:val="00FC0C85"/>
    <w:rsid w:val="00FC412D"/>
    <w:rsid w:val="00FD0A82"/>
    <w:rsid w:val="00FF0F79"/>
    <w:rsid w:val="00FF1D82"/>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semiHidden/>
    <w:rsid w:val="00AF7585"/>
    <w:rPr>
      <w:sz w:val="20"/>
      <w:szCs w:val="20"/>
    </w:rPr>
  </w:style>
  <w:style w:type="character" w:customStyle="1" w:styleId="FootnoteTextChar">
    <w:name w:val="Footnote Text Char"/>
    <w:basedOn w:val="DefaultParagraphFont"/>
    <w:link w:val="FootnoteText"/>
    <w:uiPriority w:val="99"/>
    <w:semiHidden/>
    <w:rsid w:val="00AF7585"/>
  </w:style>
  <w:style w:type="character" w:styleId="FootnoteReference">
    <w:name w:val="footnote reference"/>
    <w:basedOn w:val="DefaultParagraphFont"/>
    <w:uiPriority w:val="99"/>
    <w:semiHidden/>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uiPriority w:val="99"/>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uiPriority w:val="99"/>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semiHidden/>
    <w:rsid w:val="00AF7585"/>
    <w:rPr>
      <w:sz w:val="20"/>
      <w:szCs w:val="20"/>
    </w:rPr>
  </w:style>
  <w:style w:type="character" w:customStyle="1" w:styleId="FootnoteTextChar">
    <w:name w:val="Footnote Text Char"/>
    <w:basedOn w:val="DefaultParagraphFont"/>
    <w:link w:val="FootnoteText"/>
    <w:uiPriority w:val="99"/>
    <w:semiHidden/>
    <w:rsid w:val="00AF7585"/>
  </w:style>
  <w:style w:type="character" w:styleId="FootnoteReference">
    <w:name w:val="footnote reference"/>
    <w:basedOn w:val="DefaultParagraphFont"/>
    <w:uiPriority w:val="99"/>
    <w:semiHidden/>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uiPriority w:val="99"/>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uiPriority w:val="99"/>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00287">
      <w:bodyDiv w:val="1"/>
      <w:marLeft w:val="0"/>
      <w:marRight w:val="0"/>
      <w:marTop w:val="0"/>
      <w:marBottom w:val="0"/>
      <w:divBdr>
        <w:top w:val="none" w:sz="0" w:space="0" w:color="auto"/>
        <w:left w:val="none" w:sz="0" w:space="0" w:color="auto"/>
        <w:bottom w:val="none" w:sz="0" w:space="0" w:color="auto"/>
        <w:right w:val="none" w:sz="0" w:space="0" w:color="auto"/>
      </w:divBdr>
    </w:div>
    <w:div w:id="1253275320">
      <w:bodyDiv w:val="1"/>
      <w:marLeft w:val="0"/>
      <w:marRight w:val="0"/>
      <w:marTop w:val="0"/>
      <w:marBottom w:val="0"/>
      <w:divBdr>
        <w:top w:val="none" w:sz="0" w:space="0" w:color="auto"/>
        <w:left w:val="none" w:sz="0" w:space="0" w:color="auto"/>
        <w:bottom w:val="none" w:sz="0" w:space="0" w:color="auto"/>
        <w:right w:val="none" w:sz="0" w:space="0" w:color="auto"/>
      </w:divBdr>
    </w:div>
    <w:div w:id="18518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len.Beck@usdoj.gov" TargetMode="External"/><Relationship Id="rId5" Type="http://schemas.openxmlformats.org/officeDocument/2006/relationships/settings" Target="settings.xml"/><Relationship Id="rId10" Type="http://schemas.openxmlformats.org/officeDocument/2006/relationships/hyperlink" Target="mailto:Ron.Malega@usdoj.gov" TargetMode="External"/><Relationship Id="rId4" Type="http://schemas.microsoft.com/office/2007/relationships/stylesWithEffects" Target="stylesWithEffects.xml"/><Relationship Id="rId9" Type="http://schemas.openxmlformats.org/officeDocument/2006/relationships/hyperlink" Target="mailto:Howard.Snyder@usdoj.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C58B-74F4-433E-943E-5BCB81E4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9100</Words>
  <Characters>51872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60851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Snyder</dc:creator>
  <cp:lastModifiedBy>adamsd</cp:lastModifiedBy>
  <cp:revision>2</cp:revision>
  <cp:lastPrinted>2012-07-19T15:16:00Z</cp:lastPrinted>
  <dcterms:created xsi:type="dcterms:W3CDTF">2012-10-25T16:14:00Z</dcterms:created>
  <dcterms:modified xsi:type="dcterms:W3CDTF">2012-10-25T16:14:00Z</dcterms:modified>
</cp:coreProperties>
</file>