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D02" w:rsidRPr="00C97D02" w:rsidRDefault="00C97D02" w:rsidP="00C97D02">
      <w:pPr>
        <w:spacing w:after="0" w:line="240" w:lineRule="auto"/>
        <w:jc w:val="center"/>
        <w:rPr>
          <w:rFonts w:ascii="Times New Roman" w:eastAsia="Times New Roman" w:hAnsi="Times New Roman" w:cs="Times New Roman"/>
          <w:b/>
          <w:color w:val="000000"/>
          <w:sz w:val="24"/>
        </w:rPr>
      </w:pPr>
      <w:r w:rsidRPr="00C97D02">
        <w:rPr>
          <w:rFonts w:ascii="Times New Roman" w:eastAsia="Times New Roman" w:hAnsi="Times New Roman" w:cs="Times New Roman"/>
          <w:b/>
          <w:color w:val="000000"/>
          <w:sz w:val="24"/>
        </w:rPr>
        <w:t>F</w:t>
      </w:r>
      <w:r w:rsidR="00E45924">
        <w:rPr>
          <w:rFonts w:ascii="Times New Roman" w:eastAsia="Times New Roman" w:hAnsi="Times New Roman" w:cs="Times New Roman"/>
          <w:b/>
          <w:color w:val="000000"/>
          <w:sz w:val="24"/>
        </w:rPr>
        <w:t xml:space="preserve">unding Opportunity </w:t>
      </w:r>
      <w:r w:rsidR="001C4718">
        <w:rPr>
          <w:rFonts w:ascii="Times New Roman" w:eastAsia="Times New Roman" w:hAnsi="Times New Roman" w:cs="Times New Roman"/>
          <w:b/>
          <w:color w:val="000000"/>
          <w:sz w:val="24"/>
        </w:rPr>
        <w:t>Announcement</w:t>
      </w:r>
    </w:p>
    <w:p w:rsidR="00C97D02" w:rsidRPr="00C97D02" w:rsidRDefault="003B181A" w:rsidP="00C97D0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Training to Work</w:t>
      </w:r>
      <w:r w:rsidR="00E45924">
        <w:rPr>
          <w:rFonts w:ascii="Times New Roman" w:eastAsia="Times New Roman" w:hAnsi="Times New Roman" w:cs="Times New Roman"/>
          <w:b/>
          <w:sz w:val="24"/>
          <w:szCs w:val="24"/>
        </w:rPr>
        <w:t xml:space="preserve"> 3 – </w:t>
      </w:r>
      <w:r>
        <w:rPr>
          <w:rFonts w:ascii="Times New Roman" w:eastAsia="Times New Roman" w:hAnsi="Times New Roman" w:cs="Times New Roman"/>
          <w:b/>
          <w:sz w:val="24"/>
          <w:szCs w:val="24"/>
        </w:rPr>
        <w:t>Adult Reentry</w:t>
      </w:r>
      <w:r w:rsidR="00C97D02" w:rsidRPr="00C97D02">
        <w:rPr>
          <w:rFonts w:ascii="Times New Roman" w:eastAsia="Times New Roman" w:hAnsi="Times New Roman" w:cs="Times New Roman"/>
          <w:b/>
          <w:sz w:val="24"/>
          <w:szCs w:val="24"/>
        </w:rPr>
        <w:t xml:space="preserve"> </w:t>
      </w:r>
    </w:p>
    <w:p w:rsidR="0051557A" w:rsidRDefault="0051557A" w:rsidP="00C97D02">
      <w:pPr>
        <w:widowControl w:val="0"/>
        <w:spacing w:after="0" w:line="240" w:lineRule="auto"/>
        <w:jc w:val="center"/>
        <w:rPr>
          <w:rFonts w:ascii="Times New Roman" w:eastAsia="Times New Roman" w:hAnsi="Times New Roman" w:cs="Times New Roman"/>
          <w:b/>
          <w:sz w:val="24"/>
          <w:szCs w:val="24"/>
        </w:rPr>
      </w:pPr>
    </w:p>
    <w:p w:rsidR="00C97D02" w:rsidRPr="00C97D02" w:rsidRDefault="00C97D02" w:rsidP="00C97D02">
      <w:pPr>
        <w:widowControl w:val="0"/>
        <w:spacing w:after="0" w:line="240" w:lineRule="auto"/>
        <w:jc w:val="center"/>
        <w:rPr>
          <w:rFonts w:ascii="Times New Roman" w:eastAsia="Times New Roman" w:hAnsi="Times New Roman" w:cs="Times New Roman"/>
          <w:sz w:val="24"/>
          <w:szCs w:val="24"/>
        </w:rPr>
      </w:pPr>
      <w:r w:rsidRPr="00C97D02">
        <w:rPr>
          <w:rFonts w:ascii="Times New Roman" w:eastAsia="Times New Roman" w:hAnsi="Times New Roman" w:cs="Times New Roman"/>
          <w:b/>
          <w:sz w:val="24"/>
          <w:szCs w:val="24"/>
        </w:rPr>
        <w:t>Supplemental Justification</w:t>
      </w:r>
    </w:p>
    <w:p w:rsidR="00C97D02" w:rsidRPr="00C97D02" w:rsidRDefault="00C97D02" w:rsidP="00C97D02">
      <w:pPr>
        <w:spacing w:after="0" w:line="240" w:lineRule="auto"/>
        <w:jc w:val="center"/>
        <w:rPr>
          <w:rFonts w:ascii="Times New Roman Bold" w:eastAsia="Times New Roman" w:hAnsi="Times New Roman Bold" w:cs="Arial"/>
          <w:b/>
          <w:color w:val="000000"/>
          <w:sz w:val="24"/>
        </w:rPr>
      </w:pPr>
    </w:p>
    <w:p w:rsidR="00C97D02" w:rsidRPr="00C97D02" w:rsidRDefault="00C97D02" w:rsidP="00C97D02">
      <w:pPr>
        <w:autoSpaceDE w:val="0"/>
        <w:autoSpaceDN w:val="0"/>
        <w:adjustRightInd w:val="0"/>
        <w:spacing w:after="0" w:line="240" w:lineRule="auto"/>
        <w:rPr>
          <w:rFonts w:ascii="Times New Roman" w:eastAsia="Times New Roman" w:hAnsi="Times New Roman" w:cs="BookAntiqua"/>
          <w:b/>
          <w:i/>
          <w:color w:val="000000"/>
          <w:sz w:val="24"/>
          <w:szCs w:val="24"/>
          <w:u w:val="single"/>
        </w:rPr>
      </w:pPr>
      <w:r w:rsidRPr="00C97D02">
        <w:rPr>
          <w:rFonts w:ascii="Times New Roman" w:eastAsia="Times New Roman" w:hAnsi="Times New Roman" w:cs="BookAntiqua"/>
          <w:b/>
          <w:i/>
          <w:color w:val="000000"/>
          <w:sz w:val="24"/>
          <w:szCs w:val="24"/>
          <w:u w:val="single"/>
        </w:rPr>
        <w:t>Supplemental Supporting Statement A: Justification</w:t>
      </w:r>
    </w:p>
    <w:p w:rsidR="00C97D02" w:rsidRPr="00C97D02" w:rsidRDefault="00C97D02" w:rsidP="00C97D02">
      <w:pPr>
        <w:autoSpaceDE w:val="0"/>
        <w:autoSpaceDN w:val="0"/>
        <w:adjustRightInd w:val="0"/>
        <w:spacing w:after="0" w:line="240" w:lineRule="auto"/>
        <w:rPr>
          <w:rFonts w:ascii="Times New Roman" w:eastAsia="Times New Roman" w:hAnsi="Times New Roman" w:cs="Arial"/>
          <w:b/>
          <w:color w:val="000000"/>
          <w:sz w:val="24"/>
          <w:szCs w:val="24"/>
          <w:u w:val="single"/>
        </w:rPr>
      </w:pPr>
    </w:p>
    <w:p w:rsidR="0041166A" w:rsidRDefault="00C97D02" w:rsidP="0051557A">
      <w:pPr>
        <w:spacing w:after="0" w:line="240" w:lineRule="auto"/>
        <w:rPr>
          <w:rFonts w:ascii="Times New Roman" w:hAnsi="Times New Roman" w:cs="Times New Roman"/>
          <w:sz w:val="24"/>
          <w:szCs w:val="24"/>
        </w:rPr>
      </w:pPr>
      <w:bookmarkStart w:id="0" w:name="_Toc207778202"/>
      <w:bookmarkStart w:id="1" w:name="_Toc208654602"/>
      <w:bookmarkStart w:id="2" w:name="_Toc228885476"/>
      <w:bookmarkStart w:id="3" w:name="_Toc229889134"/>
      <w:r w:rsidRPr="00C97D02">
        <w:rPr>
          <w:rFonts w:ascii="Times New Roman" w:eastAsia="Times New Roman" w:hAnsi="Times New Roman" w:cs="Times New Roman"/>
          <w:sz w:val="24"/>
          <w:szCs w:val="24"/>
        </w:rPr>
        <w:t xml:space="preserve">This request seeks OMB approval under the Paperwork Reduction Act for the unique information collection requirements in the </w:t>
      </w:r>
      <w:r w:rsidR="00607433">
        <w:rPr>
          <w:rFonts w:ascii="Times New Roman" w:eastAsia="Times New Roman" w:hAnsi="Times New Roman" w:cs="Times New Roman"/>
          <w:sz w:val="24"/>
          <w:szCs w:val="24"/>
        </w:rPr>
        <w:t>Training to Work 3 – Adult Reentry</w:t>
      </w:r>
      <w:r w:rsidR="00626D51">
        <w:rPr>
          <w:rFonts w:ascii="Times New Roman" w:eastAsia="Times New Roman" w:hAnsi="Times New Roman" w:cs="Times New Roman"/>
          <w:sz w:val="24"/>
          <w:szCs w:val="24"/>
        </w:rPr>
        <w:t xml:space="preserve"> </w:t>
      </w:r>
      <w:r w:rsidRPr="00C97D02">
        <w:rPr>
          <w:rFonts w:ascii="Times New Roman" w:eastAsia="Times New Roman" w:hAnsi="Times New Roman" w:cs="Times New Roman"/>
          <w:sz w:val="24"/>
          <w:szCs w:val="24"/>
        </w:rPr>
        <w:t>Funding Opportunity Announcement (FOA).  The Employment and Training Administration (ETA), U.S. Department of Labor (DOL), announce</w:t>
      </w:r>
      <w:r w:rsidR="00DC1648">
        <w:rPr>
          <w:rFonts w:ascii="Times New Roman" w:eastAsia="Times New Roman" w:hAnsi="Times New Roman" w:cs="Times New Roman"/>
          <w:sz w:val="24"/>
          <w:szCs w:val="24"/>
        </w:rPr>
        <w:t>s</w:t>
      </w:r>
      <w:r w:rsidRPr="00C97D02">
        <w:rPr>
          <w:rFonts w:ascii="Times New Roman" w:eastAsia="Times New Roman" w:hAnsi="Times New Roman" w:cs="Times New Roman"/>
          <w:sz w:val="24"/>
          <w:szCs w:val="24"/>
        </w:rPr>
        <w:t xml:space="preserve"> the availability of </w:t>
      </w:r>
      <w:r w:rsidR="000278E8" w:rsidRPr="00C97D02">
        <w:rPr>
          <w:rFonts w:ascii="Times New Roman" w:eastAsia="Times New Roman" w:hAnsi="Times New Roman" w:cs="Times New Roman"/>
          <w:sz w:val="24"/>
          <w:szCs w:val="24"/>
        </w:rPr>
        <w:t>approximately</w:t>
      </w:r>
      <w:r w:rsidR="00C56380">
        <w:rPr>
          <w:rFonts w:ascii="Times New Roman" w:eastAsia="Times New Roman" w:hAnsi="Times New Roman" w:cs="Times New Roman"/>
          <w:sz w:val="24"/>
          <w:szCs w:val="24"/>
        </w:rPr>
        <w:t xml:space="preserve"> </w:t>
      </w:r>
      <w:r w:rsidR="00DC1648">
        <w:rPr>
          <w:rFonts w:ascii="Times New Roman" w:hAnsi="Times New Roman" w:cs="Times New Roman"/>
          <w:sz w:val="24"/>
          <w:szCs w:val="24"/>
        </w:rPr>
        <w:t>$</w:t>
      </w:r>
      <w:r w:rsidR="00607433">
        <w:rPr>
          <w:rFonts w:ascii="Times New Roman" w:hAnsi="Times New Roman" w:cs="Times New Roman"/>
          <w:sz w:val="24"/>
          <w:szCs w:val="24"/>
        </w:rPr>
        <w:t>27 million</w:t>
      </w:r>
      <w:r w:rsidR="00DC1648">
        <w:rPr>
          <w:rFonts w:ascii="Times New Roman" w:hAnsi="Times New Roman" w:cs="Times New Roman"/>
          <w:sz w:val="24"/>
          <w:szCs w:val="24"/>
        </w:rPr>
        <w:t xml:space="preserve"> in grant funds authorized by Section171, Pilot and Demonstration Projects, of the Workforce Investment Act (WIA)</w:t>
      </w:r>
      <w:r w:rsidR="00607433">
        <w:rPr>
          <w:rFonts w:ascii="Times New Roman" w:hAnsi="Times New Roman" w:cs="Times New Roman"/>
          <w:sz w:val="24"/>
          <w:szCs w:val="24"/>
        </w:rPr>
        <w:t>, and Section 212 of the Second Chance act of 2007 to assist returning citizens</w:t>
      </w:r>
      <w:r w:rsidR="003B181A">
        <w:rPr>
          <w:rFonts w:ascii="Times New Roman" w:hAnsi="Times New Roman" w:cs="Times New Roman"/>
          <w:sz w:val="24"/>
          <w:szCs w:val="24"/>
        </w:rPr>
        <w:t>’</w:t>
      </w:r>
      <w:r w:rsidR="00607433">
        <w:rPr>
          <w:rFonts w:ascii="Times New Roman" w:hAnsi="Times New Roman" w:cs="Times New Roman"/>
          <w:sz w:val="24"/>
          <w:szCs w:val="24"/>
        </w:rPr>
        <w:t xml:space="preserve"> transition back into their communities by gaining industry-recognized credentials and securing employment. </w:t>
      </w:r>
      <w:r w:rsidR="002E0740">
        <w:rPr>
          <w:rFonts w:ascii="Times New Roman" w:hAnsi="Times New Roman" w:cs="Times New Roman"/>
          <w:sz w:val="24"/>
          <w:szCs w:val="24"/>
        </w:rPr>
        <w:t xml:space="preserve"> These grants will offer organizations the opportunity to develop and implement </w:t>
      </w:r>
      <w:r w:rsidR="00607433">
        <w:rPr>
          <w:rFonts w:ascii="Times New Roman" w:hAnsi="Times New Roman" w:cs="Times New Roman"/>
          <w:sz w:val="24"/>
          <w:szCs w:val="24"/>
        </w:rPr>
        <w:t>career pathways programs in demand sectors and occupations for men and women, including veterans, who are at least 18 years old and who are enrolled in work release programs (WRP).</w:t>
      </w:r>
      <w:r w:rsidR="002E0740">
        <w:rPr>
          <w:rFonts w:ascii="Times New Roman" w:hAnsi="Times New Roman" w:cs="Times New Roman"/>
          <w:sz w:val="24"/>
          <w:szCs w:val="24"/>
        </w:rPr>
        <w:t xml:space="preserve"> </w:t>
      </w:r>
    </w:p>
    <w:p w:rsidR="00607433" w:rsidRDefault="00607433" w:rsidP="0051557A">
      <w:pPr>
        <w:spacing w:after="0" w:line="240" w:lineRule="auto"/>
        <w:rPr>
          <w:rFonts w:ascii="Times New Roman" w:hAnsi="Times New Roman" w:cs="Times New Roman"/>
          <w:sz w:val="24"/>
          <w:szCs w:val="24"/>
        </w:rPr>
      </w:pPr>
    </w:p>
    <w:p w:rsidR="00C97D02" w:rsidRPr="00C97D02" w:rsidRDefault="00AA4FB1" w:rsidP="0051557A">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W</w:t>
      </w:r>
      <w:r w:rsidR="0051557A">
        <w:rPr>
          <w:rFonts w:ascii="Times New Roman" w:hAnsi="Times New Roman" w:cs="Times New Roman"/>
          <w:sz w:val="24"/>
          <w:szCs w:val="24"/>
        </w:rPr>
        <w:t xml:space="preserve">e expect to </w:t>
      </w:r>
      <w:r w:rsidR="002E0740">
        <w:rPr>
          <w:rFonts w:ascii="Times New Roman" w:hAnsi="Times New Roman" w:cs="Times New Roman"/>
          <w:sz w:val="24"/>
          <w:szCs w:val="24"/>
        </w:rPr>
        <w:t>a</w:t>
      </w:r>
      <w:r w:rsidR="003B58AD">
        <w:rPr>
          <w:rFonts w:ascii="Times New Roman" w:hAnsi="Times New Roman" w:cs="Times New Roman"/>
          <w:sz w:val="24"/>
          <w:szCs w:val="24"/>
        </w:rPr>
        <w:t xml:space="preserve">ward </w:t>
      </w:r>
      <w:r w:rsidR="00607433">
        <w:rPr>
          <w:rFonts w:ascii="Times New Roman" w:hAnsi="Times New Roman" w:cs="Times New Roman"/>
          <w:sz w:val="24"/>
          <w:szCs w:val="24"/>
        </w:rPr>
        <w:t xml:space="preserve">approximately 20 grants of up to $1,360,000 each to serve male and female ex-offenders, referred to in the FOA as returning citizens. </w:t>
      </w:r>
      <w:r w:rsidR="002E0740">
        <w:rPr>
          <w:rFonts w:ascii="Times New Roman" w:hAnsi="Times New Roman" w:cs="Times New Roman"/>
          <w:sz w:val="24"/>
          <w:szCs w:val="24"/>
        </w:rPr>
        <w:t xml:space="preserve"> </w:t>
      </w:r>
      <w:r w:rsidR="00607433">
        <w:rPr>
          <w:rFonts w:ascii="Times New Roman" w:hAnsi="Times New Roman" w:cs="Times New Roman"/>
          <w:sz w:val="24"/>
          <w:szCs w:val="24"/>
        </w:rPr>
        <w:t xml:space="preserve">These grants have a performance period of operation of 39-months, which includes a planning period, implementation phase, and follow-up period.  Additionally, grants will be awarded to grantees operating in areas with high-poverty and high-crime rates and have a large proportion of returning citizens that typically experience higher rates of recidivism. </w:t>
      </w:r>
      <w:r w:rsidR="000278E8">
        <w:rPr>
          <w:rFonts w:ascii="Times New Roman" w:hAnsi="Times New Roman" w:cs="Times New Roman"/>
          <w:sz w:val="24"/>
          <w:szCs w:val="24"/>
        </w:rPr>
        <w:t xml:space="preserve"> </w:t>
      </w:r>
      <w:r w:rsidR="003B181A" w:rsidRPr="003B181A">
        <w:rPr>
          <w:rFonts w:ascii="Times New Roman" w:hAnsi="Times New Roman" w:cs="Times New Roman"/>
          <w:sz w:val="24"/>
          <w:szCs w:val="24"/>
        </w:rPr>
        <w:t>Successful applicants will: 1) establish a committed Career Pathways Collaborative (CPC) led by the grantee (a nonprofit organization, such as a faith-based or community-based organization) and including representatives from the workforce system, WRP, and employers and/or industry associations.  The CPC leadership team will create a career pathways program(s) with identified career pathways in a demand sector(s) within their community and defined, specific roles and responsibilities for each organization; and 2) provide an integrated set of critical participant-level services, such as case management and skills training, that enable participants to enter and advance along the identified career pathways as they acquire additional skills.</w:t>
      </w:r>
    </w:p>
    <w:p w:rsidR="00C97D02" w:rsidRPr="00C97D02" w:rsidRDefault="00C97D02" w:rsidP="00C97D02">
      <w:pPr>
        <w:spacing w:after="0" w:line="240" w:lineRule="auto"/>
        <w:rPr>
          <w:rFonts w:ascii="Times New Roman" w:eastAsia="Times New Roman" w:hAnsi="Times New Roman" w:cs="Times New Roman"/>
          <w:sz w:val="24"/>
          <w:szCs w:val="24"/>
        </w:rPr>
      </w:pPr>
    </w:p>
    <w:p w:rsidR="00C97D02" w:rsidRPr="00C97D02" w:rsidRDefault="00C97D02" w:rsidP="00C97D02">
      <w:pPr>
        <w:autoSpaceDE w:val="0"/>
        <w:autoSpaceDN w:val="0"/>
        <w:adjustRightInd w:val="0"/>
        <w:spacing w:after="0" w:line="240" w:lineRule="auto"/>
        <w:rPr>
          <w:rFonts w:ascii="Times New Roman" w:eastAsia="Times New Roman" w:hAnsi="Times New Roman" w:cs="Arial Unicode MS"/>
          <w:color w:val="000000"/>
        </w:rPr>
      </w:pPr>
      <w:r w:rsidRPr="00C97D02">
        <w:rPr>
          <w:rFonts w:ascii="Times New Roman" w:eastAsia="Times New Roman" w:hAnsi="Times New Roman" w:cs="Times New Roman"/>
          <w:color w:val="000000"/>
          <w:sz w:val="24"/>
          <w:szCs w:val="24"/>
        </w:rPr>
        <w:t xml:space="preserve">Applications will include the following information collections:  </w:t>
      </w:r>
      <w:r w:rsidRPr="00C97D02">
        <w:rPr>
          <w:rFonts w:ascii="Times New Roman" w:eastAsia="Times New Roman" w:hAnsi="Times New Roman" w:cs="Times New Roman"/>
          <w:sz w:val="24"/>
          <w:szCs w:val="24"/>
        </w:rPr>
        <w:t xml:space="preserve">1) Form SF-424 “Application for Federal Assistance,” separately cleared under OMB control number </w:t>
      </w:r>
      <w:r w:rsidR="00517E2A">
        <w:rPr>
          <w:rFonts w:ascii="Times New Roman" w:eastAsia="Times New Roman" w:hAnsi="Times New Roman" w:cs="Times New Roman"/>
          <w:sz w:val="24"/>
          <w:szCs w:val="24"/>
        </w:rPr>
        <w:t>4040-0004</w:t>
      </w:r>
      <w:r w:rsidRPr="00C97D02">
        <w:rPr>
          <w:rFonts w:ascii="Times New Roman" w:eastAsia="Times New Roman" w:hAnsi="Times New Roman" w:cs="Times New Roman"/>
          <w:sz w:val="24"/>
          <w:szCs w:val="24"/>
        </w:rPr>
        <w:t xml:space="preserve">, 2) Project Budget, 3) Project Narrative, and 4) Attachments to the Project Narrative.  </w:t>
      </w:r>
    </w:p>
    <w:bookmarkEnd w:id="0"/>
    <w:bookmarkEnd w:id="1"/>
    <w:bookmarkEnd w:id="2"/>
    <w:bookmarkEnd w:id="3"/>
    <w:p w:rsidR="00C97D02" w:rsidRPr="00C97D02" w:rsidRDefault="00C97D02" w:rsidP="00C97D02">
      <w:pPr>
        <w:spacing w:after="0" w:line="240" w:lineRule="auto"/>
        <w:rPr>
          <w:rFonts w:ascii="Times New Roman" w:eastAsia="Times New Roman" w:hAnsi="Times New Roman" w:cs="Times New Roman"/>
          <w:sz w:val="24"/>
          <w:szCs w:val="24"/>
        </w:rPr>
      </w:pPr>
    </w:p>
    <w:p w:rsidR="00C97D02" w:rsidRPr="00C97D02" w:rsidRDefault="00C97D02" w:rsidP="00C97D02">
      <w:pPr>
        <w:spacing w:after="0" w:line="240" w:lineRule="auto"/>
        <w:rPr>
          <w:rFonts w:ascii="Times New Roman" w:eastAsia="Times New Roman" w:hAnsi="Times New Roman" w:cs="Times New Roman"/>
          <w:b/>
          <w:color w:val="000000"/>
          <w:sz w:val="24"/>
          <w:szCs w:val="24"/>
          <w:u w:val="single"/>
        </w:rPr>
      </w:pPr>
      <w:r w:rsidRPr="00C97D02">
        <w:rPr>
          <w:rFonts w:ascii="Times New Roman" w:eastAsia="Times New Roman" w:hAnsi="Times New Roman" w:cs="Times New Roman"/>
          <w:b/>
          <w:color w:val="000000"/>
          <w:sz w:val="24"/>
          <w:szCs w:val="24"/>
          <w:u w:val="single"/>
        </w:rPr>
        <w:t>Electronic availability:</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color w:val="000000"/>
          <w:sz w:val="24"/>
          <w:szCs w:val="24"/>
        </w:rPr>
      </w:pPr>
      <w:r w:rsidRPr="00C97D02">
        <w:rPr>
          <w:rFonts w:ascii="Times New Roman" w:eastAsia="Times New Roman" w:hAnsi="Times New Roman" w:cs="Times New Roman"/>
          <w:color w:val="000000"/>
          <w:sz w:val="24"/>
          <w:szCs w:val="24"/>
        </w:rPr>
        <w:t xml:space="preserve">This grant solicitation is available on the grants.gov Web site.  Based on past DOL experience, the Department anticipates </w:t>
      </w:r>
      <w:r w:rsidR="00C56380">
        <w:rPr>
          <w:rFonts w:ascii="Times New Roman" w:eastAsia="Times New Roman" w:hAnsi="Times New Roman" w:cs="Times New Roman"/>
          <w:color w:val="000000"/>
          <w:sz w:val="24"/>
          <w:szCs w:val="24"/>
        </w:rPr>
        <w:t>75</w:t>
      </w:r>
      <w:r w:rsidRPr="00C97D02">
        <w:rPr>
          <w:rFonts w:ascii="Times New Roman" w:eastAsia="Times New Roman" w:hAnsi="Times New Roman" w:cs="Times New Roman"/>
          <w:color w:val="000000"/>
          <w:sz w:val="24"/>
          <w:szCs w:val="24"/>
        </w:rPr>
        <w:t xml:space="preserve"> percent of responses will be submitted electronically.</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b/>
          <w:color w:val="000000"/>
          <w:sz w:val="24"/>
          <w:szCs w:val="24"/>
          <w:u w:val="single"/>
        </w:rPr>
      </w:pPr>
      <w:r w:rsidRPr="00C97D02">
        <w:rPr>
          <w:rFonts w:ascii="Times New Roman" w:eastAsia="Times New Roman" w:hAnsi="Times New Roman" w:cs="Times New Roman"/>
          <w:b/>
          <w:color w:val="000000"/>
          <w:sz w:val="24"/>
          <w:szCs w:val="24"/>
          <w:u w:val="single"/>
        </w:rPr>
        <w:t>Small Entities:</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color w:val="000000"/>
          <w:sz w:val="24"/>
          <w:szCs w:val="24"/>
        </w:rPr>
      </w:pPr>
      <w:r w:rsidRPr="00C97D02">
        <w:rPr>
          <w:rFonts w:ascii="Times New Roman" w:eastAsia="Times New Roman" w:hAnsi="Times New Roman" w:cs="Times New Roman"/>
          <w:color w:val="000000"/>
          <w:sz w:val="24"/>
          <w:szCs w:val="24"/>
        </w:rPr>
        <w:t>This information collection will not have a significant impact on a substantial number of small entities.</w:t>
      </w:r>
    </w:p>
    <w:p w:rsidR="00C97D02" w:rsidRPr="00C97D02" w:rsidRDefault="00C97D02" w:rsidP="00C97D02">
      <w:pPr>
        <w:autoSpaceDE w:val="0"/>
        <w:autoSpaceDN w:val="0"/>
        <w:adjustRightInd w:val="0"/>
        <w:spacing w:after="0" w:line="240" w:lineRule="auto"/>
        <w:rPr>
          <w:rFonts w:ascii="Times New Roman" w:eastAsia="Times New Roman" w:hAnsi="Times New Roman" w:cs="BookAntiqua"/>
          <w:b/>
          <w:color w:val="000000"/>
          <w:sz w:val="24"/>
          <w:szCs w:val="24"/>
          <w:u w:val="single"/>
        </w:rPr>
      </w:pPr>
      <w:r w:rsidRPr="00C97D02">
        <w:rPr>
          <w:rFonts w:ascii="Times New Roman" w:eastAsia="Times New Roman" w:hAnsi="Times New Roman" w:cs="BookAntiqua"/>
          <w:b/>
          <w:color w:val="000000"/>
          <w:sz w:val="24"/>
          <w:szCs w:val="24"/>
          <w:u w:val="single"/>
        </w:rPr>
        <w:lastRenderedPageBreak/>
        <w:t>Assurances of confidentiality:</w:t>
      </w:r>
    </w:p>
    <w:p w:rsidR="00C97D02" w:rsidRPr="00C97D02" w:rsidRDefault="00C97D02" w:rsidP="00C97D02">
      <w:pPr>
        <w:spacing w:after="0" w:line="240" w:lineRule="auto"/>
        <w:rPr>
          <w:rFonts w:ascii="Times New Roman" w:eastAsia="Times New Roman" w:hAnsi="Times New Roman" w:cs="BookAntiqua"/>
          <w:color w:val="000000"/>
          <w:sz w:val="24"/>
          <w:szCs w:val="24"/>
        </w:rPr>
      </w:pPr>
    </w:p>
    <w:p w:rsidR="00C97D02" w:rsidRPr="00C97D02" w:rsidRDefault="00C97D02" w:rsidP="00C97D02">
      <w:pPr>
        <w:spacing w:after="0" w:line="240" w:lineRule="auto"/>
        <w:rPr>
          <w:rFonts w:ascii="Times New Roman" w:eastAsia="Times New Roman" w:hAnsi="Times New Roman" w:cs="Times New Roman"/>
          <w:color w:val="000000"/>
          <w:sz w:val="24"/>
          <w:szCs w:val="24"/>
        </w:rPr>
      </w:pPr>
      <w:r w:rsidRPr="00C97D02">
        <w:rPr>
          <w:rFonts w:ascii="Times New Roman" w:eastAsia="Times New Roman" w:hAnsi="Times New Roman" w:cs="BookAntiqua"/>
          <w:color w:val="000000"/>
          <w:sz w:val="24"/>
          <w:szCs w:val="24"/>
        </w:rPr>
        <w:t>These grant solicitations do not offer applicants assurances of confidentiality.</w:t>
      </w:r>
    </w:p>
    <w:p w:rsidR="00C97D02" w:rsidRPr="00C97D02" w:rsidRDefault="00C97D02" w:rsidP="00C97D02">
      <w:pPr>
        <w:spacing w:after="0" w:line="240" w:lineRule="auto"/>
        <w:rPr>
          <w:rFonts w:ascii="Times New Roman" w:eastAsia="Times New Roman" w:hAnsi="Times New Roman" w:cs="BookAntiqua"/>
          <w:color w:val="000000"/>
          <w:sz w:val="24"/>
          <w:szCs w:val="24"/>
        </w:rPr>
      </w:pPr>
    </w:p>
    <w:p w:rsidR="00C97D02" w:rsidRPr="00C97D02" w:rsidRDefault="00C97D02" w:rsidP="00C97D02">
      <w:pPr>
        <w:spacing w:after="0" w:line="240" w:lineRule="auto"/>
        <w:rPr>
          <w:rFonts w:ascii="Times New Roman" w:eastAsia="Times New Roman" w:hAnsi="Times New Roman" w:cs="BookAntiqua"/>
          <w:b/>
          <w:color w:val="000000"/>
          <w:sz w:val="24"/>
          <w:szCs w:val="24"/>
          <w:u w:val="single"/>
        </w:rPr>
      </w:pPr>
      <w:r w:rsidRPr="00C97D02">
        <w:rPr>
          <w:rFonts w:ascii="Times New Roman" w:eastAsia="Times New Roman" w:hAnsi="Times New Roman" w:cs="BookAntiqua"/>
          <w:b/>
          <w:color w:val="000000"/>
          <w:sz w:val="24"/>
          <w:szCs w:val="24"/>
          <w:u w:val="single"/>
        </w:rPr>
        <w:t>Special circumstances:</w:t>
      </w:r>
    </w:p>
    <w:p w:rsidR="00C97D02" w:rsidRPr="00C97D02" w:rsidRDefault="00C97D02" w:rsidP="00C97D02">
      <w:pPr>
        <w:spacing w:after="0" w:line="240" w:lineRule="auto"/>
        <w:rPr>
          <w:rFonts w:ascii="Times New Roman" w:eastAsia="Times New Roman" w:hAnsi="Times New Roman" w:cs="BookAntiqua"/>
          <w:color w:val="000000"/>
          <w:sz w:val="24"/>
          <w:szCs w:val="24"/>
        </w:rPr>
      </w:pPr>
    </w:p>
    <w:p w:rsidR="00C97D02" w:rsidRPr="00C97D02" w:rsidRDefault="00C97D02" w:rsidP="00C97D02">
      <w:pPr>
        <w:spacing w:after="0" w:line="240" w:lineRule="auto"/>
        <w:rPr>
          <w:rFonts w:ascii="Times New Roman" w:eastAsia="Times New Roman" w:hAnsi="Times New Roman" w:cs="BookAntiqua"/>
          <w:color w:val="000000"/>
          <w:sz w:val="24"/>
          <w:szCs w:val="24"/>
        </w:rPr>
      </w:pPr>
      <w:r w:rsidRPr="00C97D02">
        <w:rPr>
          <w:rFonts w:ascii="Times New Roman" w:eastAsia="Times New Roman" w:hAnsi="Times New Roman" w:cs="BookAntiqua"/>
          <w:color w:val="000000"/>
          <w:sz w:val="24"/>
          <w:szCs w:val="24"/>
        </w:rPr>
        <w:t>This FOA implicates no special circumstances.</w:t>
      </w:r>
    </w:p>
    <w:p w:rsidR="00C97D02" w:rsidRPr="00C97D02" w:rsidRDefault="00C97D02" w:rsidP="00C97D02">
      <w:pPr>
        <w:spacing w:after="0" w:line="240" w:lineRule="auto"/>
        <w:rPr>
          <w:rFonts w:ascii="Times New Roman" w:eastAsia="Times New Roman" w:hAnsi="Times New Roman" w:cs="Times New Roman"/>
          <w:b/>
          <w:color w:val="000000"/>
          <w:sz w:val="24"/>
          <w:szCs w:val="24"/>
          <w:u w:val="single"/>
        </w:rPr>
      </w:pPr>
    </w:p>
    <w:p w:rsidR="00C97D02" w:rsidRPr="00C97D02" w:rsidRDefault="00C97D02" w:rsidP="00C97D02">
      <w:pPr>
        <w:spacing w:after="0" w:line="240" w:lineRule="auto"/>
        <w:rPr>
          <w:rFonts w:ascii="Times New Roman" w:eastAsia="Times New Roman" w:hAnsi="Times New Roman" w:cs="Times New Roman"/>
          <w:b/>
          <w:color w:val="000000"/>
          <w:sz w:val="24"/>
          <w:szCs w:val="24"/>
          <w:u w:val="single"/>
        </w:rPr>
      </w:pPr>
      <w:r w:rsidRPr="00C97D02">
        <w:rPr>
          <w:rFonts w:ascii="Times New Roman" w:eastAsia="Times New Roman" w:hAnsi="Times New Roman" w:cs="Times New Roman"/>
          <w:b/>
          <w:color w:val="000000"/>
          <w:sz w:val="24"/>
          <w:szCs w:val="24"/>
          <w:u w:val="single"/>
        </w:rPr>
        <w:t>Burden:</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Calibri" w:hAnsi="Times New Roman" w:cs="Times New Roman"/>
          <w:color w:val="000000"/>
          <w:sz w:val="24"/>
          <w:szCs w:val="24"/>
        </w:rPr>
      </w:pPr>
      <w:r w:rsidRPr="00C97D02">
        <w:rPr>
          <w:rFonts w:ascii="Times New Roman" w:eastAsia="Calibri" w:hAnsi="Times New Roman" w:cs="Times New Roman"/>
          <w:color w:val="000000"/>
          <w:sz w:val="24"/>
          <w:szCs w:val="24"/>
        </w:rPr>
        <w:t xml:space="preserve">Based on past experience, the DOL expects to receive approximately </w:t>
      </w:r>
      <w:r w:rsidR="003B58AD">
        <w:rPr>
          <w:rFonts w:ascii="Times New Roman" w:eastAsia="Calibri" w:hAnsi="Times New Roman" w:cs="Times New Roman"/>
          <w:color w:val="000000"/>
          <w:sz w:val="24"/>
          <w:szCs w:val="24"/>
        </w:rPr>
        <w:t>1</w:t>
      </w:r>
      <w:r w:rsidR="003B181A">
        <w:rPr>
          <w:rFonts w:ascii="Times New Roman" w:eastAsia="Calibri" w:hAnsi="Times New Roman" w:cs="Times New Roman"/>
          <w:color w:val="000000"/>
          <w:sz w:val="24"/>
          <w:szCs w:val="24"/>
        </w:rPr>
        <w:t>25</w:t>
      </w:r>
      <w:r w:rsidRPr="00C97D02">
        <w:rPr>
          <w:rFonts w:ascii="Times New Roman" w:eastAsia="Calibri" w:hAnsi="Times New Roman" w:cs="Times New Roman"/>
          <w:color w:val="000000"/>
          <w:sz w:val="24"/>
          <w:szCs w:val="24"/>
        </w:rPr>
        <w:t xml:space="preserve"> applications from an equal number of respondents.  The ETA estimates public reporting burden for the information collection to average </w:t>
      </w:r>
      <w:r w:rsidR="00C56380">
        <w:rPr>
          <w:rFonts w:ascii="Times New Roman" w:eastAsia="Calibri" w:hAnsi="Times New Roman" w:cs="Times New Roman"/>
          <w:color w:val="000000"/>
          <w:sz w:val="24"/>
          <w:szCs w:val="24"/>
        </w:rPr>
        <w:t>20</w:t>
      </w:r>
      <w:r w:rsidRPr="00C97D02">
        <w:rPr>
          <w:rFonts w:ascii="Times New Roman" w:eastAsia="Calibri" w:hAnsi="Times New Roman" w:cs="Times New Roman"/>
          <w:color w:val="000000"/>
          <w:sz w:val="24"/>
          <w:szCs w:val="24"/>
        </w:rPr>
        <w:t xml:space="preserve"> hours per response for reviewing instructions, searching existing data sources, gathering and maintaining needed data, and completing and reviewing the collection of information.</w:t>
      </w:r>
    </w:p>
    <w:p w:rsidR="00C97D02" w:rsidRPr="00C97D02" w:rsidRDefault="00C97D02" w:rsidP="00C97D02">
      <w:pPr>
        <w:spacing w:after="0" w:line="240" w:lineRule="auto"/>
        <w:rPr>
          <w:rFonts w:ascii="Times New Roman" w:eastAsia="Calibri" w:hAnsi="Times New Roman" w:cs="Times New Roman"/>
          <w:color w:val="000000"/>
          <w:sz w:val="24"/>
          <w:szCs w:val="24"/>
        </w:rPr>
      </w:pPr>
    </w:p>
    <w:p w:rsidR="00C97D02" w:rsidRPr="00C97D02" w:rsidRDefault="003B58AD" w:rsidP="00C97D02">
      <w:pPr>
        <w:spacing w:after="0" w:line="240" w:lineRule="auto"/>
        <w:rPr>
          <w:rFonts w:ascii="Times New Roman" w:eastAsia="Calibri" w:hAnsi="Times New Roman" w:cs="Times New Roman"/>
          <w:color w:val="000000"/>
          <w:sz w:val="24"/>
          <w:szCs w:val="24"/>
        </w:rPr>
      </w:pPr>
      <w:proofErr w:type="gramStart"/>
      <w:r>
        <w:rPr>
          <w:rFonts w:ascii="Times New Roman" w:eastAsia="Calibri" w:hAnsi="Times New Roman" w:cs="Times New Roman"/>
          <w:color w:val="000000"/>
          <w:sz w:val="24"/>
          <w:szCs w:val="24"/>
        </w:rPr>
        <w:t>1</w:t>
      </w:r>
      <w:r w:rsidR="003B181A">
        <w:rPr>
          <w:rFonts w:ascii="Times New Roman" w:eastAsia="Calibri" w:hAnsi="Times New Roman" w:cs="Times New Roman"/>
          <w:color w:val="000000"/>
          <w:sz w:val="24"/>
          <w:szCs w:val="24"/>
        </w:rPr>
        <w:t>25</w:t>
      </w:r>
      <w:r w:rsidR="00C97D02" w:rsidRPr="00C97D02">
        <w:rPr>
          <w:rFonts w:ascii="Times New Roman" w:eastAsia="Calibri" w:hAnsi="Times New Roman" w:cs="Times New Roman"/>
          <w:color w:val="000000"/>
          <w:sz w:val="24"/>
          <w:szCs w:val="24"/>
        </w:rPr>
        <w:t xml:space="preserve"> applications x </w:t>
      </w:r>
      <w:r w:rsidR="00C54AA8">
        <w:rPr>
          <w:rFonts w:ascii="Times New Roman" w:eastAsia="Calibri" w:hAnsi="Times New Roman" w:cs="Times New Roman"/>
          <w:color w:val="000000"/>
          <w:sz w:val="24"/>
          <w:szCs w:val="24"/>
        </w:rPr>
        <w:t>20</w:t>
      </w:r>
      <w:r w:rsidR="00C97D02" w:rsidRPr="00C97D02">
        <w:rPr>
          <w:rFonts w:ascii="Times New Roman" w:eastAsia="Calibri" w:hAnsi="Times New Roman" w:cs="Times New Roman"/>
          <w:color w:val="000000"/>
          <w:sz w:val="24"/>
          <w:szCs w:val="24"/>
        </w:rPr>
        <w:t xml:space="preserve"> hours =</w:t>
      </w:r>
      <w:r w:rsidR="00C97D02">
        <w:rPr>
          <w:rFonts w:ascii="Times New Roman" w:eastAsia="Calibri" w:hAnsi="Times New Roman" w:cs="Times New Roman"/>
          <w:color w:val="000000"/>
          <w:sz w:val="24"/>
          <w:szCs w:val="24"/>
        </w:rPr>
        <w:t xml:space="preserve"> </w:t>
      </w:r>
      <w:r w:rsidR="003B181A">
        <w:rPr>
          <w:rFonts w:ascii="Times New Roman" w:eastAsia="Calibri" w:hAnsi="Times New Roman" w:cs="Times New Roman"/>
          <w:color w:val="000000"/>
          <w:sz w:val="24"/>
          <w:szCs w:val="24"/>
        </w:rPr>
        <w:t>2500</w:t>
      </w:r>
      <w:r w:rsidR="00C97D02" w:rsidRPr="00C97D02">
        <w:rPr>
          <w:rFonts w:ascii="Times New Roman" w:eastAsia="Calibri" w:hAnsi="Times New Roman" w:cs="Times New Roman"/>
          <w:color w:val="000000"/>
          <w:sz w:val="24"/>
          <w:szCs w:val="24"/>
        </w:rPr>
        <w:t xml:space="preserve"> hours.</w:t>
      </w:r>
      <w:proofErr w:type="gramEnd"/>
    </w:p>
    <w:p w:rsidR="00C97D02" w:rsidRPr="00C97D02" w:rsidRDefault="00C97D02" w:rsidP="00C97D02">
      <w:pPr>
        <w:spacing w:after="0" w:line="240" w:lineRule="auto"/>
        <w:rPr>
          <w:rFonts w:ascii="Times New Roman" w:eastAsia="Calibri" w:hAnsi="Times New Roman" w:cs="Times New Roman"/>
          <w:color w:val="000000"/>
          <w:sz w:val="24"/>
          <w:szCs w:val="24"/>
        </w:rPr>
      </w:pPr>
    </w:p>
    <w:p w:rsidR="00C97D02" w:rsidRPr="00C97D02" w:rsidRDefault="00C97D02" w:rsidP="00C97D02">
      <w:pPr>
        <w:spacing w:after="0" w:line="240" w:lineRule="auto"/>
        <w:rPr>
          <w:rFonts w:ascii="Times New Roman" w:eastAsia="Calibri" w:hAnsi="Times New Roman" w:cs="Times New Roman"/>
          <w:color w:val="000000"/>
          <w:sz w:val="24"/>
          <w:szCs w:val="24"/>
        </w:rPr>
      </w:pPr>
      <w:r w:rsidRPr="00C97D02">
        <w:rPr>
          <w:rFonts w:ascii="Times New Roman" w:eastAsia="Calibri" w:hAnsi="Times New Roman" w:cs="Times New Roman"/>
          <w:color w:val="000000"/>
          <w:sz w:val="24"/>
          <w:szCs w:val="24"/>
        </w:rPr>
        <w:t>The DOL has increased the</w:t>
      </w:r>
      <w:r>
        <w:rPr>
          <w:rFonts w:ascii="Times New Roman" w:eastAsia="Calibri" w:hAnsi="Times New Roman" w:cs="Times New Roman"/>
          <w:color w:val="000000"/>
          <w:sz w:val="24"/>
          <w:szCs w:val="24"/>
        </w:rPr>
        <w:t xml:space="preserve"> </w:t>
      </w:r>
      <w:r w:rsidR="00C56380">
        <w:rPr>
          <w:rFonts w:ascii="Times New Roman" w:eastAsia="Calibri" w:hAnsi="Times New Roman" w:cs="Times New Roman"/>
          <w:color w:val="000000"/>
          <w:sz w:val="24"/>
          <w:szCs w:val="24"/>
        </w:rPr>
        <w:t>October</w:t>
      </w:r>
      <w:r w:rsidR="00D70C6D" w:rsidRPr="00C97D02">
        <w:rPr>
          <w:rFonts w:ascii="Times New Roman" w:eastAsia="Calibri" w:hAnsi="Times New Roman" w:cs="Times New Roman"/>
          <w:color w:val="000000"/>
          <w:sz w:val="24"/>
          <w:szCs w:val="24"/>
        </w:rPr>
        <w:t xml:space="preserve"> </w:t>
      </w:r>
      <w:r w:rsidRPr="00C97D02">
        <w:rPr>
          <w:rFonts w:ascii="Times New Roman" w:eastAsia="Calibri" w:hAnsi="Times New Roman" w:cs="Times New Roman"/>
          <w:color w:val="000000"/>
          <w:sz w:val="24"/>
          <w:szCs w:val="24"/>
        </w:rPr>
        <w:t xml:space="preserve">2014, average hourly earnings in the professional and business services industry of $29.29 per hour by </w:t>
      </w:r>
      <w:r w:rsidR="00D70C6D">
        <w:rPr>
          <w:rFonts w:ascii="Times New Roman" w:eastAsia="Calibri" w:hAnsi="Times New Roman" w:cs="Times New Roman"/>
          <w:color w:val="000000"/>
          <w:sz w:val="24"/>
          <w:szCs w:val="24"/>
        </w:rPr>
        <w:t>4</w:t>
      </w:r>
      <w:r w:rsidR="000306E2">
        <w:rPr>
          <w:rFonts w:ascii="Times New Roman" w:eastAsia="Calibri" w:hAnsi="Times New Roman" w:cs="Times New Roman"/>
          <w:color w:val="000000"/>
          <w:sz w:val="24"/>
          <w:szCs w:val="24"/>
        </w:rPr>
        <w:t>0</w:t>
      </w:r>
      <w:r w:rsidRPr="00C97D02">
        <w:rPr>
          <w:rFonts w:ascii="Times New Roman" w:eastAsia="Calibri" w:hAnsi="Times New Roman" w:cs="Times New Roman"/>
          <w:color w:val="000000"/>
          <w:sz w:val="24"/>
          <w:szCs w:val="24"/>
        </w:rPr>
        <w:t xml:space="preserve"> percent (total</w:t>
      </w:r>
      <w:r>
        <w:rPr>
          <w:rFonts w:ascii="Times New Roman" w:eastAsia="Calibri" w:hAnsi="Times New Roman" w:cs="Times New Roman"/>
          <w:color w:val="000000"/>
          <w:sz w:val="24"/>
          <w:szCs w:val="24"/>
        </w:rPr>
        <w:t xml:space="preserve"> </w:t>
      </w:r>
      <w:r w:rsidRPr="00C97D02">
        <w:rPr>
          <w:rFonts w:ascii="Times New Roman" w:eastAsia="Calibri" w:hAnsi="Times New Roman" w:cs="Times New Roman"/>
          <w:color w:val="000000"/>
          <w:sz w:val="24"/>
          <w:szCs w:val="24"/>
        </w:rPr>
        <w:t xml:space="preserve">$41.01 per hour) to monetize this burden.  </w:t>
      </w:r>
      <w:r w:rsidRPr="00C97D02">
        <w:rPr>
          <w:rFonts w:ascii="Times New Roman" w:eastAsia="Calibri" w:hAnsi="Times New Roman" w:cs="Times New Roman"/>
          <w:i/>
          <w:iCs/>
          <w:color w:val="000000"/>
          <w:sz w:val="24"/>
          <w:szCs w:val="24"/>
        </w:rPr>
        <w:t>See The Employment Situation—</w:t>
      </w:r>
      <w:r w:rsidR="00D70C6D">
        <w:rPr>
          <w:rFonts w:ascii="Times New Roman" w:eastAsia="Calibri" w:hAnsi="Times New Roman" w:cs="Times New Roman"/>
          <w:i/>
          <w:iCs/>
          <w:color w:val="000000"/>
          <w:sz w:val="24"/>
          <w:szCs w:val="24"/>
        </w:rPr>
        <w:t>October</w:t>
      </w:r>
      <w:r w:rsidR="00D70C6D" w:rsidRPr="00C97D02">
        <w:rPr>
          <w:rFonts w:ascii="Times New Roman" w:eastAsia="Calibri" w:hAnsi="Times New Roman" w:cs="Times New Roman"/>
          <w:i/>
          <w:iCs/>
          <w:color w:val="000000"/>
          <w:sz w:val="24"/>
          <w:szCs w:val="24"/>
        </w:rPr>
        <w:t xml:space="preserve"> </w:t>
      </w:r>
      <w:r w:rsidRPr="00C97D02">
        <w:rPr>
          <w:rFonts w:ascii="Times New Roman" w:eastAsia="Calibri" w:hAnsi="Times New Roman" w:cs="Times New Roman"/>
          <w:i/>
          <w:iCs/>
          <w:color w:val="000000"/>
          <w:sz w:val="24"/>
          <w:szCs w:val="24"/>
        </w:rPr>
        <w:t>2014</w:t>
      </w:r>
      <w:r w:rsidRPr="00C97D02">
        <w:rPr>
          <w:rFonts w:ascii="Times New Roman" w:eastAsia="Calibri" w:hAnsi="Times New Roman" w:cs="Times New Roman"/>
          <w:color w:val="000000"/>
          <w:sz w:val="24"/>
          <w:szCs w:val="24"/>
        </w:rPr>
        <w:t>, DOL, Bureau of Labor Statistics</w:t>
      </w:r>
      <w:proofErr w:type="gramStart"/>
      <w:r w:rsidRPr="00C97D02">
        <w:rPr>
          <w:rFonts w:ascii="Times New Roman" w:eastAsia="Calibri" w:hAnsi="Times New Roman" w:cs="Times New Roman"/>
          <w:color w:val="000000"/>
          <w:sz w:val="24"/>
          <w:szCs w:val="24"/>
        </w:rPr>
        <w:t xml:space="preserve">, </w:t>
      </w:r>
      <w:r w:rsidR="00D70C6D">
        <w:rPr>
          <w:rFonts w:ascii="Times New Roman" w:eastAsia="Calibri" w:hAnsi="Times New Roman" w:cs="Times New Roman"/>
          <w:color w:val="000000"/>
          <w:sz w:val="24"/>
          <w:szCs w:val="24"/>
        </w:rPr>
        <w:t xml:space="preserve"> </w:t>
      </w:r>
      <w:proofErr w:type="gramEnd"/>
      <w:hyperlink r:id="rId8" w:history="1">
        <w:r w:rsidR="00BC1CD0" w:rsidRPr="0038457C">
          <w:rPr>
            <w:rStyle w:val="Hyperlink"/>
            <w:rFonts w:ascii="Times New Roman" w:eastAsia="Calibri" w:hAnsi="Times New Roman" w:cs="Times New Roman"/>
            <w:sz w:val="24"/>
            <w:szCs w:val="24"/>
          </w:rPr>
          <w:t>http://www.bls.gov/news.release/archives/empsit_11072014.pdf</w:t>
        </w:r>
      </w:hyperlink>
      <w:r w:rsidR="00BC1CD0">
        <w:rPr>
          <w:rFonts w:ascii="Times New Roman" w:eastAsia="Calibri" w:hAnsi="Times New Roman" w:cs="Times New Roman"/>
          <w:color w:val="000000"/>
          <w:sz w:val="24"/>
          <w:szCs w:val="24"/>
        </w:rPr>
        <w:t xml:space="preserve"> at page 32. </w:t>
      </w:r>
    </w:p>
    <w:p w:rsidR="00C97D02" w:rsidRPr="00C97D02" w:rsidRDefault="00C97D02" w:rsidP="00C97D02">
      <w:pPr>
        <w:spacing w:after="0" w:line="240" w:lineRule="auto"/>
        <w:rPr>
          <w:rFonts w:ascii="Times New Roman" w:eastAsia="Calibri" w:hAnsi="Times New Roman" w:cs="Times New Roman"/>
          <w:color w:val="000000"/>
          <w:sz w:val="24"/>
          <w:szCs w:val="24"/>
        </w:rPr>
      </w:pPr>
    </w:p>
    <w:p w:rsidR="00C97D02" w:rsidRPr="00C97D02" w:rsidRDefault="003B181A" w:rsidP="00C97D02">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25</w:t>
      </w:r>
      <w:r w:rsidR="00C54AA8">
        <w:rPr>
          <w:rFonts w:ascii="Times New Roman" w:eastAsia="Calibri" w:hAnsi="Times New Roman" w:cs="Times New Roman"/>
          <w:color w:val="000000"/>
          <w:sz w:val="24"/>
          <w:szCs w:val="24"/>
        </w:rPr>
        <w:t>00</w:t>
      </w:r>
      <w:r w:rsidR="00C97D02" w:rsidRPr="00C97D02">
        <w:rPr>
          <w:rFonts w:ascii="Times New Roman" w:eastAsia="Calibri" w:hAnsi="Times New Roman" w:cs="Times New Roman"/>
          <w:color w:val="000000"/>
          <w:sz w:val="24"/>
          <w:szCs w:val="24"/>
        </w:rPr>
        <w:t xml:space="preserve"> hours x $41.01</w:t>
      </w:r>
      <w:r w:rsidR="00C97D02">
        <w:rPr>
          <w:rFonts w:ascii="Times New Roman" w:eastAsia="Calibri" w:hAnsi="Times New Roman" w:cs="Times New Roman"/>
          <w:color w:val="000000"/>
          <w:sz w:val="24"/>
          <w:szCs w:val="24"/>
        </w:rPr>
        <w:t xml:space="preserve"> </w:t>
      </w:r>
      <w:r w:rsidR="00C97D02" w:rsidRPr="00C97D02">
        <w:rPr>
          <w:rFonts w:ascii="Times New Roman" w:eastAsia="Calibri" w:hAnsi="Times New Roman" w:cs="Times New Roman"/>
          <w:color w:val="000000"/>
          <w:sz w:val="24"/>
          <w:szCs w:val="24"/>
        </w:rPr>
        <w:t>=</w:t>
      </w:r>
      <w:r w:rsidR="00C97D02">
        <w:rPr>
          <w:rFonts w:ascii="Times New Roman" w:eastAsia="Calibri" w:hAnsi="Times New Roman" w:cs="Times New Roman"/>
          <w:color w:val="000000"/>
          <w:sz w:val="24"/>
          <w:szCs w:val="24"/>
        </w:rPr>
        <w:t xml:space="preserve"> </w:t>
      </w:r>
      <w:r w:rsidR="00C97D02" w:rsidRPr="00C97D02">
        <w:rPr>
          <w:rFonts w:ascii="Times New Roman" w:eastAsia="Calibri" w:hAnsi="Times New Roman" w:cs="Times New Roman"/>
          <w:color w:val="000000"/>
          <w:sz w:val="24"/>
          <w:szCs w:val="24"/>
        </w:rPr>
        <w:t>$</w:t>
      </w:r>
      <w:r w:rsidR="003B58AD">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rPr>
        <w:t>02,525</w:t>
      </w:r>
      <w:r w:rsidR="00C97D02" w:rsidRPr="00C97D02">
        <w:rPr>
          <w:rFonts w:ascii="Times New Roman" w:eastAsia="Calibri" w:hAnsi="Times New Roman" w:cs="Times New Roman"/>
          <w:color w:val="000000"/>
          <w:sz w:val="24"/>
          <w:szCs w:val="24"/>
        </w:rPr>
        <w:t>.</w:t>
      </w:r>
      <w:r w:rsidR="003B58AD">
        <w:rPr>
          <w:rFonts w:ascii="Times New Roman" w:eastAsia="Calibri" w:hAnsi="Times New Roman" w:cs="Times New Roman"/>
          <w:color w:val="000000"/>
          <w:sz w:val="24"/>
          <w:szCs w:val="24"/>
        </w:rPr>
        <w:t>00</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bookmarkStart w:id="4" w:name="_GoBack"/>
      <w:bookmarkEnd w:id="4"/>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color w:val="000000"/>
          <w:sz w:val="24"/>
          <w:szCs w:val="24"/>
        </w:rPr>
      </w:pPr>
      <w:r w:rsidRPr="00C97D02">
        <w:rPr>
          <w:rFonts w:ascii="Times New Roman" w:eastAsia="Times New Roman" w:hAnsi="Times New Roman" w:cs="Times New Roman"/>
          <w:color w:val="000000"/>
          <w:sz w:val="24"/>
          <w:szCs w:val="24"/>
        </w:rPr>
        <w:t>The DOL associates no other burden costs with this information collection.  In addition to the application, each grantee will be required to submit quarterly financial, performance, and narrative reports to the ETA.  Those information collection requirements will be cleared under a separate control number.</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i/>
          <w:color w:val="000000"/>
          <w:sz w:val="24"/>
          <w:szCs w:val="24"/>
        </w:rPr>
      </w:pPr>
      <w:r w:rsidRPr="00C97D02">
        <w:rPr>
          <w:rFonts w:ascii="Times New Roman" w:eastAsia="Times New Roman" w:hAnsi="Times New Roman" w:cs="Times New Roman"/>
          <w:i/>
          <w:color w:val="000000"/>
          <w:sz w:val="24"/>
          <w:szCs w:val="24"/>
        </w:rPr>
        <w:t xml:space="preserve">Total burden: </w:t>
      </w:r>
      <w:r w:rsidR="003B58AD">
        <w:rPr>
          <w:rFonts w:ascii="Times New Roman" w:eastAsia="Times New Roman" w:hAnsi="Times New Roman" w:cs="Times New Roman"/>
          <w:i/>
          <w:color w:val="000000"/>
          <w:sz w:val="24"/>
          <w:szCs w:val="24"/>
        </w:rPr>
        <w:t>1</w:t>
      </w:r>
      <w:r w:rsidR="003B181A">
        <w:rPr>
          <w:rFonts w:ascii="Times New Roman" w:eastAsia="Times New Roman" w:hAnsi="Times New Roman" w:cs="Times New Roman"/>
          <w:i/>
          <w:color w:val="000000"/>
          <w:sz w:val="24"/>
          <w:szCs w:val="24"/>
        </w:rPr>
        <w:t>2</w:t>
      </w:r>
      <w:r w:rsidR="003B58AD">
        <w:rPr>
          <w:rFonts w:ascii="Times New Roman" w:eastAsia="Times New Roman" w:hAnsi="Times New Roman" w:cs="Times New Roman"/>
          <w:i/>
          <w:color w:val="000000"/>
          <w:sz w:val="24"/>
          <w:szCs w:val="24"/>
        </w:rPr>
        <w:t>5</w:t>
      </w:r>
      <w:r w:rsidRPr="00C97D02">
        <w:rPr>
          <w:rFonts w:ascii="Times New Roman" w:eastAsia="Times New Roman" w:hAnsi="Times New Roman" w:cs="Times New Roman"/>
          <w:i/>
          <w:color w:val="000000"/>
          <w:sz w:val="24"/>
          <w:szCs w:val="24"/>
        </w:rPr>
        <w:t xml:space="preserve"> respondents,</w:t>
      </w:r>
      <w:r w:rsidR="00C56380">
        <w:rPr>
          <w:rFonts w:ascii="Times New Roman" w:eastAsia="Times New Roman" w:hAnsi="Times New Roman" w:cs="Times New Roman"/>
          <w:i/>
          <w:color w:val="000000"/>
          <w:sz w:val="24"/>
          <w:szCs w:val="24"/>
        </w:rPr>
        <w:t xml:space="preserve"> </w:t>
      </w:r>
      <w:r w:rsidR="003B58AD">
        <w:rPr>
          <w:rFonts w:ascii="Times New Roman" w:eastAsia="Times New Roman" w:hAnsi="Times New Roman" w:cs="Times New Roman"/>
          <w:i/>
          <w:color w:val="000000"/>
          <w:sz w:val="24"/>
          <w:szCs w:val="24"/>
        </w:rPr>
        <w:t>1</w:t>
      </w:r>
      <w:r w:rsidR="003B181A">
        <w:rPr>
          <w:rFonts w:ascii="Times New Roman" w:eastAsia="Times New Roman" w:hAnsi="Times New Roman" w:cs="Times New Roman"/>
          <w:i/>
          <w:color w:val="000000"/>
          <w:sz w:val="24"/>
          <w:szCs w:val="24"/>
        </w:rPr>
        <w:t>25</w:t>
      </w:r>
      <w:r w:rsidRPr="00C97D02">
        <w:rPr>
          <w:rFonts w:ascii="Times New Roman" w:eastAsia="Times New Roman" w:hAnsi="Times New Roman" w:cs="Times New Roman"/>
          <w:i/>
          <w:color w:val="000000"/>
          <w:sz w:val="24"/>
          <w:szCs w:val="24"/>
        </w:rPr>
        <w:t xml:space="preserve"> responses,</w:t>
      </w:r>
      <w:r w:rsidR="00C56380">
        <w:rPr>
          <w:rFonts w:ascii="Times New Roman" w:eastAsia="Times New Roman" w:hAnsi="Times New Roman" w:cs="Times New Roman"/>
          <w:i/>
          <w:color w:val="000000"/>
          <w:sz w:val="24"/>
          <w:szCs w:val="24"/>
        </w:rPr>
        <w:t xml:space="preserve"> </w:t>
      </w:r>
      <w:r w:rsidR="003B181A">
        <w:rPr>
          <w:rFonts w:ascii="Times New Roman" w:eastAsia="Times New Roman" w:hAnsi="Times New Roman" w:cs="Times New Roman"/>
          <w:i/>
          <w:color w:val="000000"/>
          <w:sz w:val="24"/>
          <w:szCs w:val="24"/>
        </w:rPr>
        <w:t>250</w:t>
      </w:r>
      <w:r w:rsidR="00C56380">
        <w:rPr>
          <w:rFonts w:ascii="Times New Roman" w:eastAsia="Times New Roman" w:hAnsi="Times New Roman" w:cs="Times New Roman"/>
          <w:i/>
          <w:color w:val="000000"/>
          <w:sz w:val="24"/>
          <w:szCs w:val="24"/>
        </w:rPr>
        <w:t>0</w:t>
      </w:r>
      <w:r w:rsidRPr="00C97D02">
        <w:rPr>
          <w:rFonts w:ascii="Times New Roman" w:eastAsia="Times New Roman" w:hAnsi="Times New Roman" w:cs="Times New Roman"/>
          <w:i/>
          <w:color w:val="000000"/>
          <w:sz w:val="24"/>
          <w:szCs w:val="24"/>
        </w:rPr>
        <w:t xml:space="preserve"> hours, $</w:t>
      </w:r>
      <w:r w:rsidR="000306E2">
        <w:rPr>
          <w:rFonts w:ascii="Times New Roman" w:eastAsia="Times New Roman" w:hAnsi="Times New Roman" w:cs="Times New Roman"/>
          <w:i/>
          <w:color w:val="000000"/>
          <w:sz w:val="24"/>
          <w:szCs w:val="24"/>
        </w:rPr>
        <w:t>0</w:t>
      </w:r>
      <w:r w:rsidRPr="00C97D02">
        <w:rPr>
          <w:rFonts w:ascii="Times New Roman" w:eastAsia="Times New Roman" w:hAnsi="Times New Roman" w:cs="Times New Roman"/>
          <w:i/>
          <w:color w:val="000000"/>
          <w:sz w:val="24"/>
          <w:szCs w:val="24"/>
        </w:rPr>
        <w:t xml:space="preserve"> other cost burden.</w:t>
      </w:r>
    </w:p>
    <w:p w:rsidR="00C97D02" w:rsidRPr="00C97D02" w:rsidRDefault="00C97D02" w:rsidP="00C97D02">
      <w:pPr>
        <w:spacing w:after="0" w:line="240" w:lineRule="auto"/>
        <w:rPr>
          <w:rFonts w:ascii="Times New Roman" w:eastAsia="Times New Roman" w:hAnsi="Times New Roman" w:cs="BookAntiqua"/>
          <w:b/>
          <w:color w:val="000000"/>
          <w:sz w:val="24"/>
          <w:szCs w:val="24"/>
          <w:u w:val="single"/>
        </w:rPr>
      </w:pPr>
    </w:p>
    <w:p w:rsidR="00C97D02" w:rsidRPr="00C97D02" w:rsidRDefault="00C97D02" w:rsidP="00C97D02">
      <w:pPr>
        <w:spacing w:after="0" w:line="240" w:lineRule="auto"/>
        <w:rPr>
          <w:rFonts w:ascii="Times New Roman" w:eastAsia="Times New Roman" w:hAnsi="Times New Roman" w:cs="BookAntiqua"/>
          <w:b/>
          <w:i/>
          <w:color w:val="000000"/>
          <w:sz w:val="24"/>
          <w:szCs w:val="24"/>
          <w:u w:val="single"/>
        </w:rPr>
      </w:pPr>
      <w:r w:rsidRPr="00C97D02">
        <w:rPr>
          <w:rFonts w:ascii="Times New Roman" w:eastAsia="Times New Roman" w:hAnsi="Times New Roman" w:cs="BookAntiqua"/>
          <w:b/>
          <w:i/>
          <w:color w:val="000000"/>
          <w:sz w:val="24"/>
          <w:szCs w:val="24"/>
          <w:u w:val="single"/>
        </w:rPr>
        <w:t>Supplemental Supporting Statement B: Statistical Methods</w:t>
      </w:r>
    </w:p>
    <w:p w:rsidR="00C97D02" w:rsidRPr="00C97D02" w:rsidRDefault="00C97D02" w:rsidP="00C97D02">
      <w:pPr>
        <w:spacing w:after="0" w:line="240" w:lineRule="auto"/>
        <w:rPr>
          <w:rFonts w:ascii="Times New Roman" w:eastAsia="Times New Roman" w:hAnsi="Times New Roman" w:cs="BookAntiqua"/>
          <w:color w:val="000000"/>
          <w:sz w:val="24"/>
          <w:szCs w:val="24"/>
        </w:rPr>
      </w:pPr>
    </w:p>
    <w:p w:rsidR="00C97D02" w:rsidRPr="00C97D02" w:rsidRDefault="00C97D02" w:rsidP="00C97D02">
      <w:pPr>
        <w:spacing w:after="0" w:line="240" w:lineRule="auto"/>
        <w:rPr>
          <w:rFonts w:ascii="Times New Roman" w:eastAsia="Times New Roman" w:hAnsi="Times New Roman" w:cs="BookAntiqua"/>
          <w:color w:val="000000"/>
          <w:sz w:val="24"/>
          <w:szCs w:val="24"/>
        </w:rPr>
      </w:pPr>
      <w:r w:rsidRPr="00C97D02">
        <w:rPr>
          <w:rFonts w:ascii="Times New Roman" w:eastAsia="Times New Roman" w:hAnsi="Times New Roman" w:cs="BookAntiqua"/>
          <w:color w:val="000000"/>
          <w:sz w:val="24"/>
          <w:szCs w:val="24"/>
        </w:rPr>
        <w:t>This information collection does not employ statistical methods.</w:t>
      </w:r>
    </w:p>
    <w:p w:rsidR="00033FCA" w:rsidRDefault="00033FCA"/>
    <w:p w:rsidR="00033FCA" w:rsidRDefault="00033FCA"/>
    <w:p w:rsidR="00033FCA" w:rsidRDefault="00033FCA"/>
    <w:p w:rsidR="00033FCA" w:rsidRDefault="00033FCA"/>
    <w:sectPr w:rsidR="00033FC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4A9" w:rsidRDefault="005C74A9" w:rsidP="00C97D02">
      <w:pPr>
        <w:spacing w:after="0" w:line="240" w:lineRule="auto"/>
      </w:pPr>
      <w:r>
        <w:separator/>
      </w:r>
    </w:p>
  </w:endnote>
  <w:endnote w:type="continuationSeparator" w:id="0">
    <w:p w:rsidR="005C74A9" w:rsidRDefault="005C74A9" w:rsidP="00C9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variable"/>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4D1" w:rsidRDefault="00ED64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16011"/>
      <w:docPartObj>
        <w:docPartGallery w:val="Page Numbers (Bottom of Page)"/>
        <w:docPartUnique/>
      </w:docPartObj>
    </w:sdtPr>
    <w:sdtEndPr>
      <w:rPr>
        <w:noProof/>
      </w:rPr>
    </w:sdtEndPr>
    <w:sdtContent>
      <w:p w:rsidR="0051557A" w:rsidRDefault="0051557A">
        <w:pPr>
          <w:pStyle w:val="Footer"/>
          <w:jc w:val="center"/>
        </w:pPr>
        <w:r>
          <w:fldChar w:fldCharType="begin"/>
        </w:r>
        <w:r>
          <w:instrText xml:space="preserve"> PAGE   \* MERGEFORMAT </w:instrText>
        </w:r>
        <w:r>
          <w:fldChar w:fldCharType="separate"/>
        </w:r>
        <w:r w:rsidR="00BC1CD0">
          <w:rPr>
            <w:noProof/>
          </w:rPr>
          <w:t>2</w:t>
        </w:r>
        <w:r>
          <w:rPr>
            <w:noProof/>
          </w:rPr>
          <w:fldChar w:fldCharType="end"/>
        </w:r>
      </w:p>
    </w:sdtContent>
  </w:sdt>
  <w:p w:rsidR="0051557A" w:rsidRDefault="005155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4D1" w:rsidRDefault="00ED64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4A9" w:rsidRDefault="005C74A9" w:rsidP="00C97D02">
      <w:pPr>
        <w:spacing w:after="0" w:line="240" w:lineRule="auto"/>
      </w:pPr>
      <w:r>
        <w:separator/>
      </w:r>
    </w:p>
  </w:footnote>
  <w:footnote w:type="continuationSeparator" w:id="0">
    <w:p w:rsidR="005C74A9" w:rsidRDefault="005C74A9" w:rsidP="00C97D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4D1" w:rsidRDefault="00ED64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4D1" w:rsidRDefault="00ED64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4D1" w:rsidRDefault="00ED64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B63ED"/>
    <w:multiLevelType w:val="hybridMultilevel"/>
    <w:tmpl w:val="9A9CB8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02"/>
    <w:rsid w:val="00000897"/>
    <w:rsid w:val="00006DE9"/>
    <w:rsid w:val="000278E8"/>
    <w:rsid w:val="000306E2"/>
    <w:rsid w:val="00033FCA"/>
    <w:rsid w:val="00036333"/>
    <w:rsid w:val="00075A18"/>
    <w:rsid w:val="000A4A71"/>
    <w:rsid w:val="000C2781"/>
    <w:rsid w:val="000D0095"/>
    <w:rsid w:val="000D77F4"/>
    <w:rsid w:val="000E36A8"/>
    <w:rsid w:val="000E6452"/>
    <w:rsid w:val="001127D3"/>
    <w:rsid w:val="001142E2"/>
    <w:rsid w:val="00126CC3"/>
    <w:rsid w:val="00131D17"/>
    <w:rsid w:val="001331CD"/>
    <w:rsid w:val="00137E47"/>
    <w:rsid w:val="0015387B"/>
    <w:rsid w:val="00167E40"/>
    <w:rsid w:val="001B6554"/>
    <w:rsid w:val="001C4718"/>
    <w:rsid w:val="001C5076"/>
    <w:rsid w:val="001D1F85"/>
    <w:rsid w:val="001F3A5D"/>
    <w:rsid w:val="002220B6"/>
    <w:rsid w:val="0024004B"/>
    <w:rsid w:val="002460A8"/>
    <w:rsid w:val="002528B1"/>
    <w:rsid w:val="0025433B"/>
    <w:rsid w:val="00276526"/>
    <w:rsid w:val="00280875"/>
    <w:rsid w:val="00282C52"/>
    <w:rsid w:val="00296DDE"/>
    <w:rsid w:val="002B3647"/>
    <w:rsid w:val="002B3B0A"/>
    <w:rsid w:val="002C4631"/>
    <w:rsid w:val="002D1A6C"/>
    <w:rsid w:val="002D1EC1"/>
    <w:rsid w:val="002D2A16"/>
    <w:rsid w:val="002E0740"/>
    <w:rsid w:val="003021B4"/>
    <w:rsid w:val="00303A73"/>
    <w:rsid w:val="00320E77"/>
    <w:rsid w:val="00323359"/>
    <w:rsid w:val="00332BE0"/>
    <w:rsid w:val="00357969"/>
    <w:rsid w:val="003664FB"/>
    <w:rsid w:val="003719E6"/>
    <w:rsid w:val="003B181A"/>
    <w:rsid w:val="003B58AD"/>
    <w:rsid w:val="003C249A"/>
    <w:rsid w:val="0041166A"/>
    <w:rsid w:val="00413F86"/>
    <w:rsid w:val="0043347F"/>
    <w:rsid w:val="00474DAA"/>
    <w:rsid w:val="00474E78"/>
    <w:rsid w:val="0048667B"/>
    <w:rsid w:val="004B40ED"/>
    <w:rsid w:val="004B5DD0"/>
    <w:rsid w:val="004B760D"/>
    <w:rsid w:val="004C3B63"/>
    <w:rsid w:val="004D3316"/>
    <w:rsid w:val="004D3BA3"/>
    <w:rsid w:val="004E5D51"/>
    <w:rsid w:val="004F00C4"/>
    <w:rsid w:val="004F4A2C"/>
    <w:rsid w:val="0051557A"/>
    <w:rsid w:val="00515A5A"/>
    <w:rsid w:val="00517E2A"/>
    <w:rsid w:val="00526F79"/>
    <w:rsid w:val="0056684F"/>
    <w:rsid w:val="00587656"/>
    <w:rsid w:val="005934FD"/>
    <w:rsid w:val="005B3BCB"/>
    <w:rsid w:val="005B667B"/>
    <w:rsid w:val="005C4DA7"/>
    <w:rsid w:val="005C74A9"/>
    <w:rsid w:val="005E1A27"/>
    <w:rsid w:val="005E6A31"/>
    <w:rsid w:val="005F42D6"/>
    <w:rsid w:val="00607433"/>
    <w:rsid w:val="00624753"/>
    <w:rsid w:val="00626D51"/>
    <w:rsid w:val="00633991"/>
    <w:rsid w:val="00655DEC"/>
    <w:rsid w:val="00661610"/>
    <w:rsid w:val="00664A39"/>
    <w:rsid w:val="00665A0C"/>
    <w:rsid w:val="006808AA"/>
    <w:rsid w:val="0068481D"/>
    <w:rsid w:val="006A6570"/>
    <w:rsid w:val="006F3105"/>
    <w:rsid w:val="00715E3B"/>
    <w:rsid w:val="00753F76"/>
    <w:rsid w:val="00754A05"/>
    <w:rsid w:val="00760C81"/>
    <w:rsid w:val="00763E01"/>
    <w:rsid w:val="00776DE2"/>
    <w:rsid w:val="00784C72"/>
    <w:rsid w:val="007A74DE"/>
    <w:rsid w:val="007A75C7"/>
    <w:rsid w:val="007B283B"/>
    <w:rsid w:val="007B76A8"/>
    <w:rsid w:val="007C0285"/>
    <w:rsid w:val="007D756D"/>
    <w:rsid w:val="007F013B"/>
    <w:rsid w:val="00804B47"/>
    <w:rsid w:val="00810904"/>
    <w:rsid w:val="008218BF"/>
    <w:rsid w:val="008315E9"/>
    <w:rsid w:val="00834C46"/>
    <w:rsid w:val="00851DB7"/>
    <w:rsid w:val="00851FB8"/>
    <w:rsid w:val="008766D8"/>
    <w:rsid w:val="00897D92"/>
    <w:rsid w:val="008A44E6"/>
    <w:rsid w:val="008A57DF"/>
    <w:rsid w:val="008B3547"/>
    <w:rsid w:val="008D0FA9"/>
    <w:rsid w:val="008D179A"/>
    <w:rsid w:val="008D573D"/>
    <w:rsid w:val="008E0B8D"/>
    <w:rsid w:val="008F4B48"/>
    <w:rsid w:val="00913352"/>
    <w:rsid w:val="00926998"/>
    <w:rsid w:val="00931874"/>
    <w:rsid w:val="00931D79"/>
    <w:rsid w:val="009335C1"/>
    <w:rsid w:val="00934F65"/>
    <w:rsid w:val="00956787"/>
    <w:rsid w:val="0095680F"/>
    <w:rsid w:val="0095681D"/>
    <w:rsid w:val="00966104"/>
    <w:rsid w:val="00966A2D"/>
    <w:rsid w:val="009870B0"/>
    <w:rsid w:val="00991433"/>
    <w:rsid w:val="009A5F3A"/>
    <w:rsid w:val="009F00EE"/>
    <w:rsid w:val="00A02531"/>
    <w:rsid w:val="00A249EF"/>
    <w:rsid w:val="00A50716"/>
    <w:rsid w:val="00A53500"/>
    <w:rsid w:val="00A55AFF"/>
    <w:rsid w:val="00A63065"/>
    <w:rsid w:val="00AA4FB1"/>
    <w:rsid w:val="00AC1A3D"/>
    <w:rsid w:val="00AC23D5"/>
    <w:rsid w:val="00AC6E24"/>
    <w:rsid w:val="00AE2A86"/>
    <w:rsid w:val="00AE691D"/>
    <w:rsid w:val="00AF084F"/>
    <w:rsid w:val="00B0326F"/>
    <w:rsid w:val="00B12344"/>
    <w:rsid w:val="00B137D2"/>
    <w:rsid w:val="00B452CC"/>
    <w:rsid w:val="00B56961"/>
    <w:rsid w:val="00B618CB"/>
    <w:rsid w:val="00B67BC2"/>
    <w:rsid w:val="00B72F5F"/>
    <w:rsid w:val="00BA1A09"/>
    <w:rsid w:val="00BA1DE7"/>
    <w:rsid w:val="00BC0E37"/>
    <w:rsid w:val="00BC0F38"/>
    <w:rsid w:val="00BC1CD0"/>
    <w:rsid w:val="00BE355C"/>
    <w:rsid w:val="00BF0768"/>
    <w:rsid w:val="00BF4378"/>
    <w:rsid w:val="00BF792F"/>
    <w:rsid w:val="00C048EC"/>
    <w:rsid w:val="00C11B68"/>
    <w:rsid w:val="00C34505"/>
    <w:rsid w:val="00C54AA8"/>
    <w:rsid w:val="00C56380"/>
    <w:rsid w:val="00C57116"/>
    <w:rsid w:val="00C80CCE"/>
    <w:rsid w:val="00C97D02"/>
    <w:rsid w:val="00CA586F"/>
    <w:rsid w:val="00CD079A"/>
    <w:rsid w:val="00CF7E6B"/>
    <w:rsid w:val="00D07AF1"/>
    <w:rsid w:val="00D107B1"/>
    <w:rsid w:val="00D35E0E"/>
    <w:rsid w:val="00D47F8F"/>
    <w:rsid w:val="00D521FD"/>
    <w:rsid w:val="00D62192"/>
    <w:rsid w:val="00D623D4"/>
    <w:rsid w:val="00D70C6D"/>
    <w:rsid w:val="00D71F8F"/>
    <w:rsid w:val="00D94816"/>
    <w:rsid w:val="00DA7C6B"/>
    <w:rsid w:val="00DC095D"/>
    <w:rsid w:val="00DC1648"/>
    <w:rsid w:val="00DD7F4D"/>
    <w:rsid w:val="00E03DC4"/>
    <w:rsid w:val="00E216E5"/>
    <w:rsid w:val="00E235C6"/>
    <w:rsid w:val="00E242D9"/>
    <w:rsid w:val="00E3370F"/>
    <w:rsid w:val="00E41241"/>
    <w:rsid w:val="00E45924"/>
    <w:rsid w:val="00E5450F"/>
    <w:rsid w:val="00E9234F"/>
    <w:rsid w:val="00EC62C8"/>
    <w:rsid w:val="00EC686C"/>
    <w:rsid w:val="00ED0C8E"/>
    <w:rsid w:val="00ED64D1"/>
    <w:rsid w:val="00ED74FA"/>
    <w:rsid w:val="00EE1F57"/>
    <w:rsid w:val="00EF7F10"/>
    <w:rsid w:val="00F3022A"/>
    <w:rsid w:val="00F327C3"/>
    <w:rsid w:val="00F5653C"/>
    <w:rsid w:val="00F66511"/>
    <w:rsid w:val="00F71A4D"/>
    <w:rsid w:val="00F95D02"/>
    <w:rsid w:val="00FB757B"/>
    <w:rsid w:val="00FE7030"/>
    <w:rsid w:val="00FF2B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semiHidden/>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semiHidden/>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6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archives/empsit_11072014.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2015-03-19T15:25:00Z</dcterms:created>
  <dcterms:modified xsi:type="dcterms:W3CDTF">2015-03-19T15:33:00Z</dcterms:modified>
</cp:coreProperties>
</file>