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bookmarkStart w:id="0" w:name="_GoBack"/>
      <w:bookmarkEnd w:id="0"/>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5E79E9" w:rsidRDefault="005E79E9" w:rsidP="00C97D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H-1B TechHire Partnership Grants</w:t>
      </w:r>
    </w:p>
    <w:p w:rsidR="005E79E9" w:rsidRDefault="005E79E9" w:rsidP="00C97D02">
      <w:pPr>
        <w:widowControl w:val="0"/>
        <w:spacing w:after="0" w:line="240" w:lineRule="auto"/>
        <w:jc w:val="center"/>
        <w:rPr>
          <w:rFonts w:ascii="Times New Roman" w:eastAsia="Times New Roman" w:hAnsi="Times New Roman" w:cs="Times New Roman"/>
          <w:b/>
          <w:sz w:val="24"/>
          <w:szCs w:val="24"/>
        </w:rPr>
      </w:pP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2B6BCF" w:rsidRPr="002B6BCF" w:rsidRDefault="00C97D02" w:rsidP="002B6BCF">
      <w:pPr>
        <w:spacing w:after="0" w:line="240" w:lineRule="auto"/>
        <w:rPr>
          <w:rFonts w:ascii="Times New Roman" w:hAnsi="Times New Roman" w:cs="Times New Roman"/>
          <w:sz w:val="24"/>
          <w:szCs w:val="24"/>
        </w:rPr>
      </w:pPr>
      <w:bookmarkStart w:id="1" w:name="_Toc207778202"/>
      <w:bookmarkStart w:id="2" w:name="_Toc208654602"/>
      <w:bookmarkStart w:id="3" w:name="_Toc228885476"/>
      <w:bookmarkStart w:id="4" w:name="_Toc229889134"/>
      <w:r w:rsidRPr="00C97D02">
        <w:rPr>
          <w:rFonts w:ascii="Times New Roman" w:eastAsia="Times New Roman" w:hAnsi="Times New Roman" w:cs="Times New Roman"/>
          <w:sz w:val="24"/>
          <w:szCs w:val="24"/>
        </w:rPr>
        <w:t xml:space="preserve">This request seeks OMB approval under the Paperwork Reduction Act for the unique information collection requirements in the </w:t>
      </w:r>
      <w:r w:rsidR="005E79E9">
        <w:rPr>
          <w:rFonts w:ascii="Times New Roman" w:eastAsia="Times New Roman" w:hAnsi="Times New Roman" w:cs="Times New Roman"/>
          <w:sz w:val="24"/>
          <w:szCs w:val="24"/>
        </w:rPr>
        <w:t>H-1B TechHire Partnership Grants</w:t>
      </w:r>
      <w:r w:rsidR="00626D51">
        <w:rPr>
          <w:rFonts w:ascii="Times New Roman" w:eastAsia="Times New Roman" w:hAnsi="Times New Roman" w:cs="Times New Roman"/>
          <w:sz w:val="24"/>
          <w:szCs w:val="24"/>
        </w:rPr>
        <w:t xml:space="preserve"> </w:t>
      </w:r>
      <w:r w:rsidRPr="00C97D02">
        <w:rPr>
          <w:rFonts w:ascii="Times New Roman" w:eastAsia="Times New Roman" w:hAnsi="Times New Roman" w:cs="Times New Roman"/>
          <w:sz w:val="24"/>
          <w:szCs w:val="24"/>
        </w:rPr>
        <w:t xml:space="preserve">Funding Opportunity Announcement (FOA). The Employment and Training Administration (ETA), U.S. Department of Labor (DOL), </w:t>
      </w:r>
      <w:r w:rsidR="006D41DF">
        <w:rPr>
          <w:rFonts w:ascii="Times New Roman" w:eastAsia="Times New Roman" w:hAnsi="Times New Roman" w:cs="Times New Roman"/>
          <w:sz w:val="24"/>
          <w:szCs w:val="24"/>
        </w:rPr>
        <w:t xml:space="preserve">will </w:t>
      </w:r>
      <w:r w:rsidRPr="00C97D02">
        <w:rPr>
          <w:rFonts w:ascii="Times New Roman" w:eastAsia="Times New Roman" w:hAnsi="Times New Roman" w:cs="Times New Roman"/>
          <w:sz w:val="24"/>
          <w:szCs w:val="24"/>
        </w:rPr>
        <w:t xml:space="preserve">announce the availability of </w:t>
      </w:r>
      <w:r w:rsidR="000278E8" w:rsidRPr="00C97D02">
        <w:rPr>
          <w:rFonts w:ascii="Times New Roman" w:eastAsia="Times New Roman" w:hAnsi="Times New Roman" w:cs="Times New Roman"/>
          <w:sz w:val="24"/>
          <w:szCs w:val="24"/>
        </w:rPr>
        <w:t>approximately</w:t>
      </w:r>
      <w:r w:rsidR="00C56380">
        <w:rPr>
          <w:rFonts w:ascii="Times New Roman" w:eastAsia="Times New Roman" w:hAnsi="Times New Roman" w:cs="Times New Roman"/>
          <w:sz w:val="24"/>
          <w:szCs w:val="24"/>
        </w:rPr>
        <w:t xml:space="preserve"> </w:t>
      </w:r>
      <w:r w:rsidR="00DC1648">
        <w:rPr>
          <w:rFonts w:ascii="Times New Roman" w:hAnsi="Times New Roman" w:cs="Times New Roman"/>
          <w:sz w:val="24"/>
          <w:szCs w:val="24"/>
        </w:rPr>
        <w:t>$</w:t>
      </w:r>
      <w:r w:rsidR="005E79E9">
        <w:rPr>
          <w:rFonts w:ascii="Times New Roman" w:hAnsi="Times New Roman" w:cs="Times New Roman"/>
          <w:sz w:val="24"/>
          <w:szCs w:val="24"/>
        </w:rPr>
        <w:t>100,0</w:t>
      </w:r>
      <w:r w:rsidR="00655DEC">
        <w:rPr>
          <w:rFonts w:ascii="Times New Roman" w:hAnsi="Times New Roman" w:cs="Times New Roman"/>
          <w:sz w:val="24"/>
          <w:szCs w:val="24"/>
        </w:rPr>
        <w:t>00,000</w:t>
      </w:r>
      <w:r w:rsidR="00DC1648">
        <w:rPr>
          <w:rFonts w:ascii="Times New Roman" w:hAnsi="Times New Roman" w:cs="Times New Roman"/>
          <w:sz w:val="24"/>
          <w:szCs w:val="24"/>
        </w:rPr>
        <w:t xml:space="preserve"> in grant funds authorized by </w:t>
      </w:r>
      <w:r w:rsidR="005E79E9" w:rsidRPr="005E79E9">
        <w:rPr>
          <w:rFonts w:ascii="Times New Roman" w:hAnsi="Times New Roman" w:cs="Times New Roman"/>
          <w:sz w:val="24"/>
          <w:szCs w:val="24"/>
        </w:rPr>
        <w:t>Section 414(c) of the American Competitiveness and Workforce Improvement Act of 1998 (ACWIA), as amended (codified at 29 U</w:t>
      </w:r>
      <w:r w:rsidR="006D41DF">
        <w:rPr>
          <w:rFonts w:ascii="Times New Roman" w:hAnsi="Times New Roman" w:cs="Times New Roman"/>
          <w:sz w:val="24"/>
          <w:szCs w:val="24"/>
        </w:rPr>
        <w:t>.</w:t>
      </w:r>
      <w:r w:rsidR="005E79E9" w:rsidRPr="005E79E9">
        <w:rPr>
          <w:rFonts w:ascii="Times New Roman" w:hAnsi="Times New Roman" w:cs="Times New Roman"/>
          <w:sz w:val="24"/>
          <w:szCs w:val="24"/>
        </w:rPr>
        <w:t>S</w:t>
      </w:r>
      <w:r w:rsidR="006D41DF">
        <w:rPr>
          <w:rFonts w:ascii="Times New Roman" w:hAnsi="Times New Roman" w:cs="Times New Roman"/>
          <w:sz w:val="24"/>
          <w:szCs w:val="24"/>
        </w:rPr>
        <w:t>.</w:t>
      </w:r>
      <w:r w:rsidR="005E79E9" w:rsidRPr="005E79E9">
        <w:rPr>
          <w:rFonts w:ascii="Times New Roman" w:hAnsi="Times New Roman" w:cs="Times New Roman"/>
          <w:sz w:val="24"/>
          <w:szCs w:val="24"/>
        </w:rPr>
        <w:t>C</w:t>
      </w:r>
      <w:r w:rsidR="006D41DF">
        <w:rPr>
          <w:rFonts w:ascii="Times New Roman" w:hAnsi="Times New Roman" w:cs="Times New Roman"/>
          <w:sz w:val="24"/>
          <w:szCs w:val="24"/>
        </w:rPr>
        <w:t>.</w:t>
      </w:r>
      <w:r w:rsidR="005E79E9" w:rsidRPr="005E79E9">
        <w:rPr>
          <w:rFonts w:ascii="Times New Roman" w:hAnsi="Times New Roman" w:cs="Times New Roman"/>
          <w:sz w:val="24"/>
          <w:szCs w:val="24"/>
        </w:rPr>
        <w:t xml:space="preserve"> </w:t>
      </w:r>
      <w:r w:rsidR="006D41DF">
        <w:rPr>
          <w:rFonts w:ascii="Times New Roman" w:hAnsi="Times New Roman" w:cs="Times New Roman"/>
          <w:sz w:val="24"/>
          <w:szCs w:val="24"/>
        </w:rPr>
        <w:t>§ </w:t>
      </w:r>
      <w:r w:rsidR="005E79E9" w:rsidRPr="005E79E9">
        <w:rPr>
          <w:rFonts w:ascii="Times New Roman" w:hAnsi="Times New Roman" w:cs="Times New Roman"/>
          <w:sz w:val="24"/>
          <w:szCs w:val="24"/>
        </w:rPr>
        <w:t>3224a)</w:t>
      </w:r>
      <w:r w:rsidR="00626D51">
        <w:rPr>
          <w:rFonts w:ascii="Times New Roman" w:hAnsi="Times New Roman" w:cs="Times New Roman"/>
          <w:sz w:val="24"/>
          <w:szCs w:val="24"/>
        </w:rPr>
        <w:t xml:space="preserve"> </w:t>
      </w:r>
      <w:r w:rsidR="0041166A">
        <w:rPr>
          <w:rFonts w:ascii="Times New Roman" w:hAnsi="Times New Roman" w:cs="Times New Roman"/>
          <w:sz w:val="24"/>
          <w:szCs w:val="24"/>
        </w:rPr>
        <w:t xml:space="preserve">to </w:t>
      </w:r>
      <w:r w:rsidR="005E79E9" w:rsidRPr="005E79E9">
        <w:rPr>
          <w:rFonts w:ascii="Times New Roman" w:hAnsi="Times New Roman" w:cs="Times New Roman"/>
          <w:sz w:val="24"/>
          <w:szCs w:val="24"/>
        </w:rPr>
        <w:t>train workers with the information technology (IT) skills required for well-paying, middle- and high-skilled, and high-growth jobs across a diversity of H-1B industries such as IT, healthcare, advanced manufacturing, financial services, and broadband.</w:t>
      </w:r>
      <w:r w:rsidR="002E0740">
        <w:rPr>
          <w:rFonts w:ascii="Times New Roman" w:hAnsi="Times New Roman" w:cs="Times New Roman"/>
          <w:sz w:val="24"/>
          <w:szCs w:val="24"/>
        </w:rPr>
        <w:t xml:space="preserve"> </w:t>
      </w:r>
      <w:r w:rsidR="002B6BCF" w:rsidRPr="002B6BCF">
        <w:rPr>
          <w:rFonts w:ascii="Times New Roman" w:hAnsi="Times New Roman" w:cs="Times New Roman"/>
          <w:sz w:val="24"/>
          <w:szCs w:val="24"/>
        </w:rPr>
        <w:t>The TechHire grant program will focus on individuals who are at least 17 years of age, out-of-secondary school, and have barriers to training and employment opportunities, including:</w:t>
      </w:r>
    </w:p>
    <w:p w:rsidR="002B6BCF" w:rsidRPr="002B6BCF" w:rsidRDefault="002B6BCF" w:rsidP="002B6BCF">
      <w:pPr>
        <w:spacing w:after="0" w:line="240" w:lineRule="auto"/>
        <w:rPr>
          <w:rFonts w:ascii="Times New Roman" w:hAnsi="Times New Roman" w:cs="Times New Roman"/>
          <w:sz w:val="24"/>
          <w:szCs w:val="24"/>
        </w:rPr>
      </w:pPr>
    </w:p>
    <w:p w:rsidR="002B6BCF" w:rsidRPr="002B6BCF" w:rsidRDefault="002B6BCF" w:rsidP="002B6BCF">
      <w:pPr>
        <w:numPr>
          <w:ilvl w:val="0"/>
          <w:numId w:val="2"/>
        </w:numPr>
        <w:spacing w:after="0" w:line="240" w:lineRule="auto"/>
        <w:rPr>
          <w:rFonts w:ascii="Times New Roman" w:hAnsi="Times New Roman" w:cs="Times New Roman"/>
          <w:sz w:val="24"/>
          <w:szCs w:val="24"/>
        </w:rPr>
      </w:pPr>
      <w:r w:rsidRPr="002B6BCF">
        <w:rPr>
          <w:rFonts w:ascii="Times New Roman" w:hAnsi="Times New Roman" w:cs="Times New Roman"/>
          <w:sz w:val="24"/>
          <w:szCs w:val="24"/>
        </w:rPr>
        <w:t>Youth and young adults who are out-of-secondary school, between the ages of 17 and 29, and have barriers to training and employment; and</w:t>
      </w:r>
    </w:p>
    <w:p w:rsidR="002B6BCF" w:rsidRPr="002B6BCF" w:rsidRDefault="002B6BCF" w:rsidP="002B6BCF">
      <w:pPr>
        <w:numPr>
          <w:ilvl w:val="0"/>
          <w:numId w:val="2"/>
        </w:numPr>
        <w:spacing w:after="0" w:line="240" w:lineRule="auto"/>
        <w:rPr>
          <w:rFonts w:ascii="Times New Roman" w:hAnsi="Times New Roman" w:cs="Times New Roman"/>
          <w:sz w:val="24"/>
          <w:szCs w:val="24"/>
        </w:rPr>
      </w:pPr>
      <w:r w:rsidRPr="002B6BCF">
        <w:rPr>
          <w:rFonts w:ascii="Times New Roman" w:hAnsi="Times New Roman" w:cs="Times New Roman"/>
          <w:sz w:val="24"/>
          <w:szCs w:val="24"/>
        </w:rPr>
        <w:t>Special populations: individuals with disabilities, individuals with limited English proficiency, or individuals with criminal records with barriers to training and employment.</w:t>
      </w:r>
    </w:p>
    <w:p w:rsidR="0051557A" w:rsidRDefault="0051557A" w:rsidP="0051557A">
      <w:pPr>
        <w:spacing w:after="0" w:line="240" w:lineRule="auto"/>
        <w:rPr>
          <w:rFonts w:ascii="Times New Roman" w:hAnsi="Times New Roman" w:cs="Times New Roman"/>
          <w:sz w:val="24"/>
          <w:szCs w:val="24"/>
        </w:rPr>
      </w:pPr>
    </w:p>
    <w:p w:rsidR="002B6BCF" w:rsidRDefault="002B6BCF" w:rsidP="0051557A">
      <w:pPr>
        <w:spacing w:after="0" w:line="240" w:lineRule="auto"/>
        <w:rPr>
          <w:rFonts w:ascii="Times New Roman" w:hAnsi="Times New Roman" w:cs="Times New Roman"/>
          <w:sz w:val="24"/>
          <w:szCs w:val="24"/>
        </w:rPr>
      </w:pPr>
      <w:r w:rsidRPr="002B6BCF">
        <w:rPr>
          <w:rFonts w:ascii="Times New Roman" w:hAnsi="Times New Roman" w:cs="Times New Roman"/>
          <w:sz w:val="24"/>
          <w:szCs w:val="24"/>
        </w:rPr>
        <w:t xml:space="preserve">Projects funded by this grant program will help participants begin careers in H-1B occupations and industries which are in-demand and/or high growth in the area applicants are proposing to serve. On a limited basis, this grant program will also enable applicants to work with companies on increasing the skills of existing workers in lower-skilled jobs to move into more highly skilled positions requiring technology-related skills.  </w:t>
      </w:r>
    </w:p>
    <w:p w:rsidR="0041166A" w:rsidRDefault="0041166A" w:rsidP="0051557A">
      <w:pPr>
        <w:spacing w:after="0" w:line="240" w:lineRule="auto"/>
        <w:rPr>
          <w:rFonts w:ascii="Times New Roman" w:hAnsi="Times New Roman" w:cs="Times New Roman"/>
          <w:sz w:val="24"/>
          <w:szCs w:val="24"/>
        </w:rPr>
      </w:pPr>
    </w:p>
    <w:p w:rsidR="00C97D02" w:rsidRDefault="00AA4FB1" w:rsidP="00C97D02">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51557A">
        <w:rPr>
          <w:rFonts w:ascii="Times New Roman" w:hAnsi="Times New Roman" w:cs="Times New Roman"/>
          <w:sz w:val="24"/>
          <w:szCs w:val="24"/>
        </w:rPr>
        <w:t xml:space="preserve">e expect to </w:t>
      </w:r>
      <w:r w:rsidR="002E0740">
        <w:rPr>
          <w:rFonts w:ascii="Times New Roman" w:hAnsi="Times New Roman" w:cs="Times New Roman"/>
          <w:sz w:val="24"/>
          <w:szCs w:val="24"/>
        </w:rPr>
        <w:t>a</w:t>
      </w:r>
      <w:r w:rsidR="003B58AD">
        <w:rPr>
          <w:rFonts w:ascii="Times New Roman" w:hAnsi="Times New Roman" w:cs="Times New Roman"/>
          <w:sz w:val="24"/>
          <w:szCs w:val="24"/>
        </w:rPr>
        <w:t xml:space="preserve">ward </w:t>
      </w:r>
      <w:r w:rsidR="002B6BCF">
        <w:rPr>
          <w:rFonts w:ascii="Times New Roman" w:hAnsi="Times New Roman" w:cs="Times New Roman"/>
          <w:sz w:val="24"/>
          <w:szCs w:val="24"/>
        </w:rPr>
        <w:t>approximately 30-40 grants</w:t>
      </w:r>
      <w:r w:rsidR="002B6BCF" w:rsidRPr="002B6BCF">
        <w:t xml:space="preserve"> </w:t>
      </w:r>
      <w:r w:rsidR="002B6BCF" w:rsidRPr="002B6BCF">
        <w:rPr>
          <w:rFonts w:ascii="Times New Roman" w:hAnsi="Times New Roman" w:cs="Times New Roman"/>
          <w:sz w:val="24"/>
          <w:szCs w:val="24"/>
        </w:rPr>
        <w:t xml:space="preserve">with individual grant amounts ranging from $2 million to $5 million. At least $50 million will be awarded to support projects designated to serve out-of-secondary school youth and young adults with barriers to training and employment as the primary target population and no more than $50 million will be awarded to support projects designed to serve special populations. </w:t>
      </w:r>
      <w:r w:rsidR="00285E2D">
        <w:rPr>
          <w:rFonts w:ascii="Times New Roman" w:hAnsi="Times New Roman" w:cs="Times New Roman"/>
          <w:sz w:val="24"/>
          <w:szCs w:val="24"/>
        </w:rPr>
        <w:t>The period of performance is 48 months.</w:t>
      </w:r>
      <w:r w:rsidR="000278E8">
        <w:rPr>
          <w:rFonts w:ascii="Times New Roman" w:hAnsi="Times New Roman" w:cs="Times New Roman"/>
          <w:sz w:val="24"/>
          <w:szCs w:val="24"/>
        </w:rPr>
        <w:t xml:space="preserve"> </w:t>
      </w:r>
      <w:r w:rsidR="00285E2D" w:rsidRPr="00285E2D">
        <w:rPr>
          <w:rFonts w:ascii="Times New Roman" w:hAnsi="Times New Roman" w:cs="Times New Roman"/>
          <w:sz w:val="24"/>
          <w:szCs w:val="24"/>
        </w:rPr>
        <w:t>Applicants should request funding that is commensurate with the scope and scale of the project. As such, regional partnerships are encouraged to apply and support smaller scale projects and programs serving rural communities. Additionally, applicants that request total funding of more than $4 million must provide evidence for the training approach(es) proposed in a separate attachment that will be evaluated by a panel of experts based on the definitions of strong, moderate, and preliminary evidence</w:t>
      </w:r>
      <w:r w:rsidR="00285E2D">
        <w:rPr>
          <w:rFonts w:ascii="Times New Roman" w:hAnsi="Times New Roman" w:cs="Times New Roman"/>
          <w:sz w:val="24"/>
          <w:szCs w:val="24"/>
        </w:rPr>
        <w:t xml:space="preserve">. </w:t>
      </w:r>
      <w:r w:rsidR="00285E2D" w:rsidRPr="00285E2D">
        <w:rPr>
          <w:rFonts w:ascii="Times New Roman" w:hAnsi="Times New Roman" w:cs="Times New Roman"/>
          <w:sz w:val="24"/>
          <w:szCs w:val="24"/>
        </w:rPr>
        <w:t xml:space="preserve">Applicants that propose projects of more than $4 million and up to $5 million must propose to replicate, at multiple sites and/or with the targeted and other populations, strategies that have been shown by prior research to have evidence of positive impacts on education and/or employment outcomes.  </w:t>
      </w:r>
    </w:p>
    <w:p w:rsidR="00285E2D" w:rsidRPr="00C97D02" w:rsidRDefault="00285E2D" w:rsidP="00C97D02">
      <w:pPr>
        <w:spacing w:after="0" w:line="240" w:lineRule="auto"/>
        <w:rPr>
          <w:rFonts w:ascii="Times New Roman" w:eastAsia="Times New Roman" w:hAnsi="Times New Roman" w:cs="Times New Roman"/>
          <w:sz w:val="24"/>
          <w:szCs w:val="24"/>
        </w:rPr>
      </w:pPr>
    </w:p>
    <w:p w:rsidR="00C97D02" w:rsidRPr="00C97D02" w:rsidRDefault="00C97D02" w:rsidP="006D41DF">
      <w:pPr>
        <w:autoSpaceDE w:val="0"/>
        <w:autoSpaceDN w:val="0"/>
        <w:adjustRightInd w:val="0"/>
        <w:spacing w:after="0" w:line="240" w:lineRule="auto"/>
        <w:rPr>
          <w:rFonts w:ascii="Times New Roman" w:eastAsia="Times New Roman" w:hAnsi="Times New Roman" w:cs="Times New Roman"/>
          <w:sz w:val="24"/>
          <w:szCs w:val="24"/>
        </w:rPr>
      </w:pPr>
      <w:r w:rsidRPr="00C97D02">
        <w:rPr>
          <w:rFonts w:ascii="Times New Roman" w:eastAsia="Times New Roman" w:hAnsi="Times New Roman" w:cs="Times New Roman"/>
          <w:color w:val="000000"/>
          <w:sz w:val="24"/>
          <w:szCs w:val="24"/>
        </w:rPr>
        <w:lastRenderedPageBreak/>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2) Project Budget, 3) Project Narrative, and 4) Attachments to the Project Narrative.</w:t>
      </w:r>
      <w:bookmarkEnd w:id="1"/>
      <w:bookmarkEnd w:id="2"/>
      <w:bookmarkEnd w:id="3"/>
      <w:bookmarkEnd w:id="4"/>
    </w:p>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3B58AD" w:rsidRPr="005A34DF">
        <w:rPr>
          <w:rFonts w:ascii="Times New Roman" w:eastAsia="Calibri" w:hAnsi="Times New Roman" w:cs="Times New Roman"/>
          <w:color w:val="000000"/>
          <w:sz w:val="24"/>
          <w:szCs w:val="24"/>
        </w:rPr>
        <w:t>150</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3B58AD" w:rsidP="00C97D02">
      <w:pPr>
        <w:spacing w:after="0" w:line="240" w:lineRule="auto"/>
        <w:rPr>
          <w:rFonts w:ascii="Times New Roman" w:eastAsia="Calibri" w:hAnsi="Times New Roman" w:cs="Times New Roman"/>
          <w:color w:val="000000"/>
          <w:sz w:val="24"/>
          <w:szCs w:val="24"/>
        </w:rPr>
      </w:pPr>
      <w:r w:rsidRPr="005A34DF">
        <w:rPr>
          <w:rFonts w:ascii="Times New Roman" w:eastAsia="Calibri" w:hAnsi="Times New Roman" w:cs="Times New Roman"/>
          <w:color w:val="000000"/>
          <w:sz w:val="24"/>
          <w:szCs w:val="24"/>
        </w:rPr>
        <w:t>150</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sidRPr="005A34DF">
        <w:rPr>
          <w:rFonts w:ascii="Times New Roman" w:eastAsia="Calibri" w:hAnsi="Times New Roman" w:cs="Times New Roman"/>
          <w:color w:val="000000"/>
          <w:sz w:val="24"/>
          <w:szCs w:val="24"/>
        </w:rPr>
        <w:t>3</w:t>
      </w:r>
      <w:r w:rsidR="006D41DF">
        <w:rPr>
          <w:rFonts w:ascii="Times New Roman" w:eastAsia="Calibri" w:hAnsi="Times New Roman" w:cs="Times New Roman"/>
          <w:color w:val="000000"/>
          <w:sz w:val="24"/>
          <w:szCs w:val="24"/>
        </w:rPr>
        <w:t>,</w:t>
      </w:r>
      <w:r w:rsidRPr="005A34DF">
        <w:rPr>
          <w:rFonts w:ascii="Times New Roman" w:eastAsia="Calibri" w:hAnsi="Times New Roman" w:cs="Times New Roman"/>
          <w:color w:val="000000"/>
          <w:sz w:val="24"/>
          <w:szCs w:val="24"/>
        </w:rPr>
        <w:t>0</w:t>
      </w:r>
      <w:r w:rsidR="00C54AA8" w:rsidRPr="005A34DF">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The DOL has increased the</w:t>
      </w:r>
      <w:r>
        <w:rPr>
          <w:rFonts w:ascii="Times New Roman" w:eastAsia="Calibri" w:hAnsi="Times New Roman" w:cs="Times New Roman"/>
          <w:color w:val="000000"/>
          <w:sz w:val="24"/>
          <w:szCs w:val="24"/>
        </w:rPr>
        <w:t xml:space="preserve"> </w:t>
      </w:r>
      <w:r w:rsidR="00C56380">
        <w:rPr>
          <w:rFonts w:ascii="Times New Roman" w:eastAsia="Calibri" w:hAnsi="Times New Roman" w:cs="Times New Roman"/>
          <w:color w:val="000000"/>
          <w:sz w:val="24"/>
          <w:szCs w:val="24"/>
        </w:rPr>
        <w:t>October</w:t>
      </w:r>
      <w:r w:rsidR="00D70C6D" w:rsidRPr="00C97D02">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2014, average hourly earnings in the professional and business services industry of $29.29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percent (total</w:t>
      </w:r>
      <w:r>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$41.01 per hour) to monetize this burden.  </w:t>
      </w:r>
      <w:r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Pr="00C97D02">
        <w:rPr>
          <w:rFonts w:ascii="Times New Roman" w:eastAsia="Calibri" w:hAnsi="Times New Roman" w:cs="Times New Roman"/>
          <w:i/>
          <w:iCs/>
          <w:color w:val="000000"/>
          <w:sz w:val="24"/>
          <w:szCs w:val="24"/>
        </w:rPr>
        <w:t>2014</w:t>
      </w:r>
      <w:r w:rsidRPr="00C97D02">
        <w:rPr>
          <w:rFonts w:ascii="Times New Roman" w:eastAsia="Calibri" w:hAnsi="Times New Roman" w:cs="Times New Roman"/>
          <w:color w:val="000000"/>
          <w:sz w:val="24"/>
          <w:szCs w:val="24"/>
        </w:rPr>
        <w:t>, DOL, Bureau of Labor Statistics</w:t>
      </w:r>
      <w:r w:rsidR="006E45EB" w:rsidRPr="00C97D02">
        <w:rPr>
          <w:rFonts w:ascii="Times New Roman" w:eastAsia="Calibri" w:hAnsi="Times New Roman" w:cs="Times New Roman"/>
          <w:color w:val="000000"/>
          <w:sz w:val="24"/>
          <w:szCs w:val="24"/>
        </w:rPr>
        <w:t xml:space="preserve">, </w:t>
      </w:r>
      <w:hyperlink r:id="rId8" w:history="1">
        <w:r w:rsidR="00D70C6D" w:rsidRPr="006E45EB">
          <w:rPr>
            <w:rStyle w:val="Hyperlink"/>
            <w:rFonts w:ascii="Book Antiqua" w:eastAsia="Calibri" w:hAnsi="Book Antiqua" w:cs="Times New Roman"/>
            <w:sz w:val="24"/>
            <w:szCs w:val="24"/>
          </w:rPr>
          <w:t>http://www.bls.gov/news.release/archives/empsit_11072014.pdf</w:t>
        </w:r>
      </w:hyperlink>
      <w:r w:rsidR="00D70C6D" w:rsidRPr="006E45EB">
        <w:rPr>
          <w:rFonts w:ascii="Book Antiqua" w:eastAsia="Calibri" w:hAnsi="Book Antiqua" w:cs="Times New Roman"/>
          <w:sz w:val="24"/>
          <w:szCs w:val="24"/>
        </w:rPr>
        <w:t xml:space="preserve"> </w:t>
      </w:r>
      <w:r w:rsidR="00D70C6D" w:rsidRPr="006E45EB">
        <w:rPr>
          <w:rFonts w:ascii="Times New Roman" w:eastAsia="Calibri" w:hAnsi="Times New Roman" w:cs="Times New Roman"/>
          <w:sz w:val="24"/>
          <w:szCs w:val="24"/>
        </w:rPr>
        <w:t>at page 32</w:t>
      </w:r>
      <w:r w:rsidRPr="00C97D02">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3B58AD" w:rsidP="00C97D02">
      <w:pPr>
        <w:spacing w:after="0" w:line="240" w:lineRule="auto"/>
        <w:rPr>
          <w:rFonts w:ascii="Times New Roman" w:eastAsia="Calibri" w:hAnsi="Times New Roman" w:cs="Times New Roman"/>
          <w:color w:val="000000"/>
          <w:sz w:val="24"/>
          <w:szCs w:val="24"/>
        </w:rPr>
      </w:pPr>
      <w:r w:rsidRPr="005A34DF">
        <w:rPr>
          <w:rFonts w:ascii="Times New Roman" w:eastAsia="Calibri" w:hAnsi="Times New Roman" w:cs="Times New Roman"/>
          <w:color w:val="000000"/>
          <w:sz w:val="24"/>
          <w:szCs w:val="24"/>
        </w:rPr>
        <w:t>3</w:t>
      </w:r>
      <w:r w:rsidR="006D41DF">
        <w:rPr>
          <w:rFonts w:ascii="Times New Roman" w:eastAsia="Calibri" w:hAnsi="Times New Roman" w:cs="Times New Roman"/>
          <w:color w:val="000000"/>
          <w:sz w:val="24"/>
          <w:szCs w:val="24"/>
        </w:rPr>
        <w:t>,</w:t>
      </w:r>
      <w:r w:rsidRPr="005A34DF">
        <w:rPr>
          <w:rFonts w:ascii="Times New Roman" w:eastAsia="Calibri" w:hAnsi="Times New Roman" w:cs="Times New Roman"/>
          <w:color w:val="000000"/>
          <w:sz w:val="24"/>
          <w:szCs w:val="24"/>
        </w:rPr>
        <w:t>0</w:t>
      </w:r>
      <w:r w:rsidR="00C54AA8" w:rsidRPr="005A34DF">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 x $41.01</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5A34DF">
        <w:rPr>
          <w:rFonts w:ascii="Times New Roman" w:eastAsia="Calibri" w:hAnsi="Times New Roman" w:cs="Times New Roman"/>
          <w:color w:val="000000"/>
          <w:sz w:val="24"/>
          <w:szCs w:val="24"/>
        </w:rPr>
        <w:t>$</w:t>
      </w:r>
      <w:r w:rsidRPr="005A34DF">
        <w:rPr>
          <w:rFonts w:ascii="Times New Roman" w:eastAsia="Calibri" w:hAnsi="Times New Roman" w:cs="Times New Roman"/>
          <w:color w:val="000000"/>
          <w:sz w:val="24"/>
          <w:szCs w:val="24"/>
        </w:rPr>
        <w:t>123,030</w:t>
      </w:r>
      <w:r w:rsidR="00C97D02" w:rsidRPr="005A34DF">
        <w:rPr>
          <w:rFonts w:ascii="Times New Roman" w:eastAsia="Calibri" w:hAnsi="Times New Roman" w:cs="Times New Roman"/>
          <w:color w:val="000000"/>
          <w:sz w:val="24"/>
          <w:szCs w:val="24"/>
        </w:rPr>
        <w:t>.</w:t>
      </w:r>
      <w:r w:rsidRPr="005A34DF">
        <w:rPr>
          <w:rFonts w:ascii="Times New Roman" w:eastAsia="Calibri" w:hAnsi="Times New Roman" w:cs="Times New Roman"/>
          <w:color w:val="000000"/>
          <w:sz w:val="24"/>
          <w:szCs w:val="24"/>
        </w:rPr>
        <w:t>00</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3B58AD" w:rsidRPr="005A34DF">
        <w:rPr>
          <w:rFonts w:ascii="Times New Roman" w:eastAsia="Times New Roman" w:hAnsi="Times New Roman" w:cs="Times New Roman"/>
          <w:i/>
          <w:color w:val="000000"/>
          <w:sz w:val="24"/>
          <w:szCs w:val="24"/>
        </w:rPr>
        <w:t>150</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3B58AD" w:rsidRPr="005A34DF">
        <w:rPr>
          <w:rFonts w:ascii="Times New Roman" w:eastAsia="Times New Roman" w:hAnsi="Times New Roman" w:cs="Times New Roman"/>
          <w:i/>
          <w:color w:val="000000"/>
          <w:sz w:val="24"/>
          <w:szCs w:val="24"/>
        </w:rPr>
        <w:t>150</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3B58AD">
        <w:rPr>
          <w:rFonts w:ascii="Times New Roman" w:eastAsia="Times New Roman" w:hAnsi="Times New Roman" w:cs="Times New Roman"/>
          <w:i/>
          <w:color w:val="000000"/>
          <w:sz w:val="24"/>
          <w:szCs w:val="24"/>
        </w:rPr>
        <w:t>30</w:t>
      </w:r>
      <w:r w:rsidR="00C56380">
        <w:rPr>
          <w:rFonts w:ascii="Times New Roman" w:eastAsia="Times New Roman" w:hAnsi="Times New Roman" w:cs="Times New Roman"/>
          <w:i/>
          <w:color w:val="000000"/>
          <w:sz w:val="24"/>
          <w:szCs w:val="24"/>
        </w:rPr>
        <w:t>00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lastRenderedPageBreak/>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033FCA" w:rsidRPr="006D41DF" w:rsidRDefault="00C97D02" w:rsidP="006D41DF">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information collection does not employ statistical methods.</w:t>
      </w:r>
    </w:p>
    <w:sectPr w:rsidR="00033FCA" w:rsidRPr="006D41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C7" w:rsidRDefault="006934C7" w:rsidP="00C97D02">
      <w:pPr>
        <w:spacing w:after="0" w:line="240" w:lineRule="auto"/>
      </w:pPr>
      <w:r>
        <w:separator/>
      </w:r>
    </w:p>
  </w:endnote>
  <w:endnote w:type="continuationSeparator" w:id="0">
    <w:p w:rsidR="006934C7" w:rsidRDefault="006934C7"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C6" w:rsidRDefault="008F7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6D41DF">
          <w:rPr>
            <w:noProof/>
          </w:rPr>
          <w:t>2</w:t>
        </w:r>
        <w:r>
          <w:rPr>
            <w:noProof/>
          </w:rPr>
          <w:fldChar w:fldCharType="end"/>
        </w:r>
      </w:p>
    </w:sdtContent>
  </w:sdt>
  <w:p w:rsidR="0051557A" w:rsidRDefault="00515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C6" w:rsidRDefault="008F7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C7" w:rsidRDefault="006934C7" w:rsidP="00C97D02">
      <w:pPr>
        <w:spacing w:after="0" w:line="240" w:lineRule="auto"/>
      </w:pPr>
      <w:r>
        <w:separator/>
      </w:r>
    </w:p>
  </w:footnote>
  <w:footnote w:type="continuationSeparator" w:id="0">
    <w:p w:rsidR="006934C7" w:rsidRDefault="006934C7" w:rsidP="00C9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C6" w:rsidRDefault="008F7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C6" w:rsidRDefault="008F70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C6" w:rsidRDefault="008F7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78E8"/>
    <w:rsid w:val="000306E2"/>
    <w:rsid w:val="00033FCA"/>
    <w:rsid w:val="00036333"/>
    <w:rsid w:val="00075A18"/>
    <w:rsid w:val="000A4A71"/>
    <w:rsid w:val="000C2781"/>
    <w:rsid w:val="000D0095"/>
    <w:rsid w:val="000D07A0"/>
    <w:rsid w:val="000D77F4"/>
    <w:rsid w:val="000E36A8"/>
    <w:rsid w:val="000E6452"/>
    <w:rsid w:val="001127D3"/>
    <w:rsid w:val="001142E2"/>
    <w:rsid w:val="00126CC3"/>
    <w:rsid w:val="00131D17"/>
    <w:rsid w:val="001331CD"/>
    <w:rsid w:val="00137E47"/>
    <w:rsid w:val="0015387B"/>
    <w:rsid w:val="00167E40"/>
    <w:rsid w:val="001B6554"/>
    <w:rsid w:val="001C4718"/>
    <w:rsid w:val="001C5076"/>
    <w:rsid w:val="001D1F85"/>
    <w:rsid w:val="001F3A5D"/>
    <w:rsid w:val="002220B6"/>
    <w:rsid w:val="0024004B"/>
    <w:rsid w:val="002460A8"/>
    <w:rsid w:val="002528B1"/>
    <w:rsid w:val="0025433B"/>
    <w:rsid w:val="00276526"/>
    <w:rsid w:val="00280875"/>
    <w:rsid w:val="00282C52"/>
    <w:rsid w:val="00285E2D"/>
    <w:rsid w:val="00296DDE"/>
    <w:rsid w:val="002B3647"/>
    <w:rsid w:val="002B3B0A"/>
    <w:rsid w:val="002B6BCF"/>
    <w:rsid w:val="002C4631"/>
    <w:rsid w:val="002D1A6C"/>
    <w:rsid w:val="002D1EC1"/>
    <w:rsid w:val="002D2A16"/>
    <w:rsid w:val="002E0740"/>
    <w:rsid w:val="003021B4"/>
    <w:rsid w:val="00320E77"/>
    <w:rsid w:val="00323359"/>
    <w:rsid w:val="0033099A"/>
    <w:rsid w:val="00332BE0"/>
    <w:rsid w:val="00357969"/>
    <w:rsid w:val="003664FB"/>
    <w:rsid w:val="003719E6"/>
    <w:rsid w:val="003B58AD"/>
    <w:rsid w:val="003C249A"/>
    <w:rsid w:val="0041166A"/>
    <w:rsid w:val="00413F86"/>
    <w:rsid w:val="0043347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6F79"/>
    <w:rsid w:val="0056684F"/>
    <w:rsid w:val="00587656"/>
    <w:rsid w:val="005934FD"/>
    <w:rsid w:val="005A34DF"/>
    <w:rsid w:val="005B3BCB"/>
    <w:rsid w:val="005B667B"/>
    <w:rsid w:val="005C4DA7"/>
    <w:rsid w:val="005E1A27"/>
    <w:rsid w:val="005E6A31"/>
    <w:rsid w:val="005E79E9"/>
    <w:rsid w:val="005F078E"/>
    <w:rsid w:val="005F42D6"/>
    <w:rsid w:val="00624753"/>
    <w:rsid w:val="00626D51"/>
    <w:rsid w:val="00633991"/>
    <w:rsid w:val="00655DEC"/>
    <w:rsid w:val="00661610"/>
    <w:rsid w:val="00664A39"/>
    <w:rsid w:val="00665A0C"/>
    <w:rsid w:val="006808AA"/>
    <w:rsid w:val="0068481D"/>
    <w:rsid w:val="006934C7"/>
    <w:rsid w:val="006A6570"/>
    <w:rsid w:val="006D41DF"/>
    <w:rsid w:val="006E45EB"/>
    <w:rsid w:val="006F3105"/>
    <w:rsid w:val="00715E3B"/>
    <w:rsid w:val="00753F76"/>
    <w:rsid w:val="00754A05"/>
    <w:rsid w:val="00760C81"/>
    <w:rsid w:val="00763E01"/>
    <w:rsid w:val="00776DE2"/>
    <w:rsid w:val="00784C72"/>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766D8"/>
    <w:rsid w:val="00897D92"/>
    <w:rsid w:val="008A44E6"/>
    <w:rsid w:val="008B3547"/>
    <w:rsid w:val="008D0FA9"/>
    <w:rsid w:val="008D179A"/>
    <w:rsid w:val="008D573D"/>
    <w:rsid w:val="008E0B8D"/>
    <w:rsid w:val="008F4B48"/>
    <w:rsid w:val="008F70C6"/>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C31A7"/>
    <w:rsid w:val="009F00EE"/>
    <w:rsid w:val="00A02531"/>
    <w:rsid w:val="00A249EF"/>
    <w:rsid w:val="00A50716"/>
    <w:rsid w:val="00A53500"/>
    <w:rsid w:val="00A55AFF"/>
    <w:rsid w:val="00A63065"/>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A1A09"/>
    <w:rsid w:val="00BA1DE7"/>
    <w:rsid w:val="00BC0E37"/>
    <w:rsid w:val="00BC0F38"/>
    <w:rsid w:val="00BE355C"/>
    <w:rsid w:val="00BF0768"/>
    <w:rsid w:val="00BF4378"/>
    <w:rsid w:val="00BF792F"/>
    <w:rsid w:val="00C048EC"/>
    <w:rsid w:val="00C11B68"/>
    <w:rsid w:val="00C34505"/>
    <w:rsid w:val="00C54AA8"/>
    <w:rsid w:val="00C56380"/>
    <w:rsid w:val="00C57116"/>
    <w:rsid w:val="00C80CCE"/>
    <w:rsid w:val="00C97D02"/>
    <w:rsid w:val="00CA586F"/>
    <w:rsid w:val="00CD079A"/>
    <w:rsid w:val="00CF7E6B"/>
    <w:rsid w:val="00D07AF1"/>
    <w:rsid w:val="00D107B1"/>
    <w:rsid w:val="00D35E0E"/>
    <w:rsid w:val="00D47F8F"/>
    <w:rsid w:val="00D521FD"/>
    <w:rsid w:val="00D62192"/>
    <w:rsid w:val="00D623D4"/>
    <w:rsid w:val="00D70C6D"/>
    <w:rsid w:val="00D71F8F"/>
    <w:rsid w:val="00D94816"/>
    <w:rsid w:val="00DA7C6B"/>
    <w:rsid w:val="00DC095D"/>
    <w:rsid w:val="00DC1648"/>
    <w:rsid w:val="00DD7F4D"/>
    <w:rsid w:val="00E03DC4"/>
    <w:rsid w:val="00E216E5"/>
    <w:rsid w:val="00E235C6"/>
    <w:rsid w:val="00E242D9"/>
    <w:rsid w:val="00E3370F"/>
    <w:rsid w:val="00E41241"/>
    <w:rsid w:val="00E45924"/>
    <w:rsid w:val="00E5450F"/>
    <w:rsid w:val="00E9234F"/>
    <w:rsid w:val="00EC62C8"/>
    <w:rsid w:val="00EC686C"/>
    <w:rsid w:val="00ED0C8E"/>
    <w:rsid w:val="00ED74FA"/>
    <w:rsid w:val="00EE1F57"/>
    <w:rsid w:val="00EE48F5"/>
    <w:rsid w:val="00EF7F10"/>
    <w:rsid w:val="00F3022A"/>
    <w:rsid w:val="00F327C3"/>
    <w:rsid w:val="00F5653C"/>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6E45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6E4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11072014.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2015-11-12T21:19:00Z</dcterms:created>
  <dcterms:modified xsi:type="dcterms:W3CDTF">2015-11-12T21:19:00Z</dcterms:modified>
</cp:coreProperties>
</file>