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0BA" w:rsidRPr="0016287D" w:rsidRDefault="005830BA">
      <w:pPr>
        <w:pStyle w:val="Title"/>
        <w:rPr>
          <w:sz w:val="28"/>
          <w:szCs w:val="28"/>
        </w:rPr>
      </w:pPr>
      <w:r w:rsidRPr="0016287D">
        <w:rPr>
          <w:sz w:val="28"/>
          <w:szCs w:val="28"/>
        </w:rPr>
        <w:t>SUPPORTING STATEMENT FOR</w:t>
      </w:r>
    </w:p>
    <w:p w:rsidR="00B601AB" w:rsidRPr="0016287D" w:rsidRDefault="00B601AB" w:rsidP="005830BA">
      <w:pPr>
        <w:pStyle w:val="Title"/>
        <w:rPr>
          <w:sz w:val="28"/>
          <w:szCs w:val="28"/>
        </w:rPr>
      </w:pPr>
      <w:r w:rsidRPr="0016287D">
        <w:rPr>
          <w:sz w:val="28"/>
          <w:szCs w:val="28"/>
        </w:rPr>
        <w:t>PAPE</w:t>
      </w:r>
      <w:r w:rsidR="002B2345" w:rsidRPr="0016287D">
        <w:rPr>
          <w:sz w:val="28"/>
          <w:szCs w:val="28"/>
        </w:rPr>
        <w:t>RWORK REDUCTION ACT SUBMISSION</w:t>
      </w:r>
    </w:p>
    <w:p w:rsidR="00B601AB" w:rsidRPr="0016287D" w:rsidRDefault="00B601AB">
      <w:pPr>
        <w:ind w:firstLine="360"/>
        <w:jc w:val="center"/>
        <w:rPr>
          <w:sz w:val="28"/>
          <w:szCs w:val="28"/>
        </w:rPr>
      </w:pPr>
    </w:p>
    <w:p w:rsidR="00B369C4" w:rsidRPr="0016287D" w:rsidRDefault="00B141FA" w:rsidP="00F81813">
      <w:pPr>
        <w:jc w:val="center"/>
        <w:rPr>
          <w:b/>
          <w:sz w:val="28"/>
          <w:szCs w:val="28"/>
        </w:rPr>
      </w:pPr>
      <w:r w:rsidRPr="0016287D">
        <w:rPr>
          <w:b/>
          <w:sz w:val="28"/>
          <w:szCs w:val="28"/>
        </w:rPr>
        <w:t>Request to Change End-User, End-</w:t>
      </w:r>
      <w:r w:rsidR="00B369C4" w:rsidRPr="0016287D">
        <w:rPr>
          <w:b/>
          <w:sz w:val="28"/>
          <w:szCs w:val="28"/>
        </w:rPr>
        <w:t xml:space="preserve">Use and/or Destination of Hardware </w:t>
      </w:r>
    </w:p>
    <w:p w:rsidR="00F81813" w:rsidRPr="0016287D" w:rsidRDefault="00B369C4" w:rsidP="00F81813">
      <w:pPr>
        <w:jc w:val="center"/>
        <w:rPr>
          <w:b/>
          <w:sz w:val="28"/>
          <w:szCs w:val="28"/>
        </w:rPr>
      </w:pPr>
      <w:r w:rsidRPr="0016287D">
        <w:rPr>
          <w:b/>
          <w:sz w:val="28"/>
          <w:szCs w:val="28"/>
        </w:rPr>
        <w:t>OMB No. 1405-0173</w:t>
      </w:r>
    </w:p>
    <w:p w:rsidR="00B601AB" w:rsidRPr="0016287D" w:rsidRDefault="00B601AB">
      <w:pPr>
        <w:jc w:val="center"/>
        <w:rPr>
          <w:b/>
          <w:sz w:val="28"/>
          <w:szCs w:val="28"/>
        </w:rPr>
      </w:pPr>
    </w:p>
    <w:p w:rsidR="00B601AB" w:rsidRPr="0016287D" w:rsidRDefault="00B601AB">
      <w:pPr>
        <w:pStyle w:val="Heading2"/>
        <w:jc w:val="left"/>
        <w:rPr>
          <w:color w:val="auto"/>
          <w:sz w:val="28"/>
          <w:szCs w:val="28"/>
        </w:rPr>
      </w:pPr>
      <w:r w:rsidRPr="0016287D">
        <w:rPr>
          <w:color w:val="auto"/>
          <w:sz w:val="28"/>
          <w:szCs w:val="28"/>
        </w:rPr>
        <w:t>A.  Justification</w:t>
      </w:r>
    </w:p>
    <w:p w:rsidR="00B601AB" w:rsidRPr="0016287D" w:rsidRDefault="00B601AB">
      <w:pPr>
        <w:jc w:val="center"/>
        <w:rPr>
          <w:b/>
          <w:sz w:val="28"/>
          <w:szCs w:val="28"/>
        </w:rPr>
      </w:pPr>
    </w:p>
    <w:p w:rsidR="00B601AB" w:rsidRPr="0016287D" w:rsidRDefault="00B176E1">
      <w:pPr>
        <w:pStyle w:val="BodyText2"/>
        <w:rPr>
          <w:szCs w:val="28"/>
        </w:rPr>
      </w:pPr>
      <w:r w:rsidRPr="0016287D">
        <w:rPr>
          <w:szCs w:val="28"/>
        </w:rPr>
        <w:t>1.</w:t>
      </w:r>
      <w:r w:rsidR="00B601AB" w:rsidRPr="0016287D">
        <w:rPr>
          <w:szCs w:val="28"/>
        </w:rPr>
        <w:tab/>
      </w:r>
      <w:r w:rsidR="002B2345" w:rsidRPr="0016287D">
        <w:rPr>
          <w:szCs w:val="28"/>
        </w:rPr>
        <w:t xml:space="preserve">The Directorate of Defense Trade Controls (DDTC), Bureau of Political-Military Affairs, U.S. Department of State, in accordance with the Arms Export Control Act (AECA) (22 U.S.C. 2751 </w:t>
      </w:r>
      <w:r w:rsidR="002B2345" w:rsidRPr="0016287D">
        <w:rPr>
          <w:i/>
          <w:szCs w:val="28"/>
        </w:rPr>
        <w:t>et seq</w:t>
      </w:r>
      <w:r w:rsidR="002B2345" w:rsidRPr="0016287D">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16287D">
        <w:rPr>
          <w:szCs w:val="28"/>
        </w:rPr>
        <w:t>,</w:t>
      </w:r>
      <w:r w:rsidR="002B2345" w:rsidRPr="0016287D">
        <w:rPr>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B601AB" w:rsidRPr="0016287D" w:rsidRDefault="00B601AB">
      <w:pPr>
        <w:rPr>
          <w:sz w:val="28"/>
          <w:szCs w:val="28"/>
        </w:rPr>
      </w:pPr>
    </w:p>
    <w:p w:rsidR="00B601AB" w:rsidRPr="0016287D" w:rsidRDefault="00F30B5B">
      <w:pPr>
        <w:rPr>
          <w:sz w:val="28"/>
          <w:szCs w:val="28"/>
        </w:rPr>
      </w:pPr>
      <w:r w:rsidRPr="0016287D">
        <w:rPr>
          <w:sz w:val="28"/>
          <w:szCs w:val="28"/>
        </w:rPr>
        <w:tab/>
      </w:r>
      <w:r w:rsidR="002B2345" w:rsidRPr="0016287D">
        <w:rPr>
          <w:sz w:val="28"/>
          <w:szCs w:val="28"/>
        </w:rPr>
        <w:t xml:space="preserve">Under the AECA, the President is charged with the review of munitions license applications and technical assistance and manufacturing license agreement requests to determine, </w:t>
      </w:r>
      <w:r w:rsidR="002B2345" w:rsidRPr="0016287D">
        <w:rPr>
          <w:i/>
          <w:sz w:val="28"/>
          <w:szCs w:val="28"/>
        </w:rPr>
        <w:t>inter alia</w:t>
      </w:r>
      <w:r w:rsidR="002B2345" w:rsidRPr="0016287D">
        <w:rPr>
          <w:sz w:val="28"/>
          <w:szCs w:val="28"/>
        </w:rPr>
        <w:t>:</w:t>
      </w:r>
    </w:p>
    <w:p w:rsidR="00B601AB" w:rsidRPr="0016287D" w:rsidRDefault="00B601AB">
      <w:pPr>
        <w:rPr>
          <w:sz w:val="28"/>
          <w:szCs w:val="28"/>
        </w:rPr>
      </w:pPr>
    </w:p>
    <w:p w:rsidR="00B601AB" w:rsidRPr="0016287D" w:rsidRDefault="00B601AB">
      <w:pPr>
        <w:numPr>
          <w:ilvl w:val="0"/>
          <w:numId w:val="1"/>
        </w:numPr>
        <w:rPr>
          <w:sz w:val="28"/>
          <w:szCs w:val="28"/>
        </w:rPr>
      </w:pPr>
      <w:r w:rsidRPr="0016287D">
        <w:rPr>
          <w:sz w:val="28"/>
          <w:szCs w:val="28"/>
        </w:rPr>
        <w:t>Whether the transactions further U.S. foreign policy objectives, national security interests, and world peace;</w:t>
      </w:r>
    </w:p>
    <w:p w:rsidR="00B601AB" w:rsidRPr="0016287D" w:rsidRDefault="00B601AB">
      <w:pPr>
        <w:rPr>
          <w:sz w:val="28"/>
          <w:szCs w:val="28"/>
        </w:rPr>
      </w:pPr>
    </w:p>
    <w:p w:rsidR="00B601AB" w:rsidRPr="0016287D" w:rsidRDefault="00B601AB">
      <w:pPr>
        <w:numPr>
          <w:ilvl w:val="0"/>
          <w:numId w:val="2"/>
        </w:numPr>
        <w:rPr>
          <w:sz w:val="28"/>
          <w:szCs w:val="28"/>
        </w:rPr>
      </w:pPr>
      <w:r w:rsidRPr="0016287D">
        <w:rPr>
          <w:sz w:val="28"/>
          <w:szCs w:val="28"/>
        </w:rPr>
        <w:t>Eligibility of parties (</w:t>
      </w:r>
      <w:r w:rsidRPr="0016287D">
        <w:rPr>
          <w:i/>
          <w:sz w:val="28"/>
          <w:szCs w:val="28"/>
        </w:rPr>
        <w:t>e.g.</w:t>
      </w:r>
      <w:r w:rsidRPr="0016287D">
        <w:rPr>
          <w:sz w:val="28"/>
          <w:szCs w:val="28"/>
        </w:rPr>
        <w:t>, applicants, consignees, end-users) to participate in U.S. defense trade;</w:t>
      </w:r>
    </w:p>
    <w:p w:rsidR="00B601AB" w:rsidRPr="0016287D" w:rsidRDefault="00B601AB">
      <w:pPr>
        <w:rPr>
          <w:sz w:val="28"/>
          <w:szCs w:val="28"/>
        </w:rPr>
      </w:pPr>
    </w:p>
    <w:p w:rsidR="00B601AB" w:rsidRPr="0016287D" w:rsidRDefault="00B601AB">
      <w:pPr>
        <w:numPr>
          <w:ilvl w:val="0"/>
          <w:numId w:val="3"/>
        </w:numPr>
        <w:rPr>
          <w:sz w:val="28"/>
          <w:szCs w:val="28"/>
        </w:rPr>
      </w:pPr>
      <w:r w:rsidRPr="0016287D">
        <w:rPr>
          <w:sz w:val="28"/>
          <w:szCs w:val="28"/>
        </w:rPr>
        <w:t xml:space="preserve">Appropriate end-use of commodities subject to U. S. Government approval of munitions exports and transfers; </w:t>
      </w:r>
    </w:p>
    <w:p w:rsidR="00B601AB" w:rsidRPr="0016287D" w:rsidRDefault="00B601AB">
      <w:pPr>
        <w:rPr>
          <w:sz w:val="28"/>
          <w:szCs w:val="28"/>
        </w:rPr>
      </w:pPr>
    </w:p>
    <w:p w:rsidR="00B601AB" w:rsidRPr="0016287D" w:rsidRDefault="00B601AB">
      <w:pPr>
        <w:numPr>
          <w:ilvl w:val="0"/>
          <w:numId w:val="9"/>
        </w:numPr>
        <w:rPr>
          <w:sz w:val="28"/>
          <w:szCs w:val="28"/>
        </w:rPr>
      </w:pPr>
      <w:r w:rsidRPr="0016287D">
        <w:rPr>
          <w:sz w:val="28"/>
          <w:szCs w:val="28"/>
        </w:rPr>
        <w:t>Whether law enforcement concerns have been adequately addressed; and</w:t>
      </w:r>
    </w:p>
    <w:p w:rsidR="00B601AB" w:rsidRPr="0016287D" w:rsidRDefault="00B601AB">
      <w:pPr>
        <w:rPr>
          <w:sz w:val="28"/>
          <w:szCs w:val="28"/>
        </w:rPr>
      </w:pPr>
    </w:p>
    <w:p w:rsidR="00B601AB" w:rsidRPr="0016287D" w:rsidRDefault="002B2345" w:rsidP="002B2345">
      <w:pPr>
        <w:numPr>
          <w:ilvl w:val="0"/>
          <w:numId w:val="8"/>
        </w:numPr>
        <w:rPr>
          <w:sz w:val="28"/>
          <w:szCs w:val="28"/>
        </w:rPr>
      </w:pPr>
      <w:r w:rsidRPr="0016287D">
        <w:rPr>
          <w:sz w:val="28"/>
          <w:szCs w:val="28"/>
        </w:rPr>
        <w:t>Whether appropriate offers or payment of political contributions, gifts, commissions, and fees, have been adequately addressed.</w:t>
      </w:r>
    </w:p>
    <w:p w:rsidR="00B601AB" w:rsidRPr="0016287D" w:rsidRDefault="00B601AB">
      <w:pPr>
        <w:rPr>
          <w:sz w:val="28"/>
          <w:szCs w:val="28"/>
        </w:rPr>
      </w:pPr>
    </w:p>
    <w:p w:rsidR="00D72557" w:rsidRPr="0016287D" w:rsidRDefault="002B2345" w:rsidP="007714CA">
      <w:pPr>
        <w:ind w:firstLine="720"/>
        <w:rPr>
          <w:sz w:val="28"/>
          <w:szCs w:val="28"/>
        </w:rPr>
      </w:pPr>
      <w:r w:rsidRPr="0016287D">
        <w:rPr>
          <w:sz w:val="28"/>
          <w:szCs w:val="28"/>
        </w:rPr>
        <w:t xml:space="preserve">The statutory authority of the President to promulgate regulations with respect to the export and the temporary import of defense articles and the provision </w:t>
      </w:r>
      <w:r w:rsidRPr="0016287D">
        <w:rPr>
          <w:sz w:val="28"/>
          <w:szCs w:val="28"/>
        </w:rPr>
        <w:lastRenderedPageBreak/>
        <w:t xml:space="preserve">of defense services was delegated to the Secretary of State by Executive Order 11958, as amended.  These regulations are primarily administered by the Deputy Assistant Secretary of State for Defense Trade </w:t>
      </w:r>
      <w:r w:rsidR="00BD0013">
        <w:rPr>
          <w:sz w:val="28"/>
          <w:szCs w:val="28"/>
        </w:rPr>
        <w:t xml:space="preserve">and Regional Security </w:t>
      </w:r>
      <w:r w:rsidRPr="0016287D">
        <w:rPr>
          <w:sz w:val="28"/>
          <w:szCs w:val="28"/>
        </w:rPr>
        <w:t>and the Directorate of Defense Trade Controls, Bureau of Political-Military Affairs.</w:t>
      </w:r>
    </w:p>
    <w:p w:rsidR="00D72557" w:rsidRPr="0016287D" w:rsidRDefault="00D72557" w:rsidP="007714CA">
      <w:pPr>
        <w:rPr>
          <w:sz w:val="28"/>
          <w:szCs w:val="28"/>
        </w:rPr>
      </w:pPr>
    </w:p>
    <w:p w:rsidR="00B176E1" w:rsidRPr="0016287D" w:rsidRDefault="00B141FA" w:rsidP="007714CA">
      <w:pPr>
        <w:ind w:firstLine="720"/>
        <w:rPr>
          <w:sz w:val="28"/>
          <w:szCs w:val="28"/>
        </w:rPr>
      </w:pPr>
      <w:r w:rsidRPr="0016287D">
        <w:rPr>
          <w:sz w:val="28"/>
          <w:szCs w:val="28"/>
        </w:rPr>
        <w:t>The “Request to Change End-User, End-</w:t>
      </w:r>
      <w:r w:rsidR="00B369C4" w:rsidRPr="0016287D">
        <w:rPr>
          <w:sz w:val="28"/>
          <w:szCs w:val="28"/>
        </w:rPr>
        <w:t>Use and/or Destination of Hardware” information collection is used to request DDTC approval prior to any sale, transfer, transshipment, or disposal, whether permanent or temporary, of classified or unclassif</w:t>
      </w:r>
      <w:r w:rsidRPr="0016287D">
        <w:rPr>
          <w:sz w:val="28"/>
          <w:szCs w:val="28"/>
        </w:rPr>
        <w:t>ied defense articles to any end-user, end-</w:t>
      </w:r>
      <w:r w:rsidR="00B369C4" w:rsidRPr="0016287D">
        <w:rPr>
          <w:sz w:val="28"/>
          <w:szCs w:val="28"/>
        </w:rPr>
        <w:t>use or destination other than as stated on a license or other approval.</w:t>
      </w:r>
    </w:p>
    <w:p w:rsidR="00B601AB" w:rsidRPr="0016287D" w:rsidRDefault="00B601AB" w:rsidP="007714CA">
      <w:pPr>
        <w:rPr>
          <w:sz w:val="28"/>
          <w:szCs w:val="28"/>
        </w:rPr>
      </w:pPr>
    </w:p>
    <w:p w:rsidR="00B601AB" w:rsidRPr="0016287D" w:rsidRDefault="00B176E1" w:rsidP="007714CA">
      <w:pPr>
        <w:rPr>
          <w:sz w:val="28"/>
          <w:szCs w:val="28"/>
        </w:rPr>
      </w:pPr>
      <w:r w:rsidRPr="0016287D">
        <w:rPr>
          <w:sz w:val="28"/>
          <w:szCs w:val="28"/>
        </w:rPr>
        <w:t>2.</w:t>
      </w:r>
      <w:r w:rsidR="00B601AB" w:rsidRPr="0016287D">
        <w:rPr>
          <w:sz w:val="28"/>
          <w:szCs w:val="28"/>
        </w:rPr>
        <w:tab/>
      </w:r>
      <w:r w:rsidRPr="0016287D">
        <w:rPr>
          <w:sz w:val="28"/>
          <w:szCs w:val="28"/>
        </w:rPr>
        <w:t xml:space="preserve">DDTC </w:t>
      </w:r>
      <w:r w:rsidR="00B369C4" w:rsidRPr="0016287D">
        <w:rPr>
          <w:sz w:val="28"/>
          <w:szCs w:val="28"/>
        </w:rPr>
        <w:t>re</w:t>
      </w:r>
      <w:r w:rsidR="00B141FA" w:rsidRPr="0016287D">
        <w:rPr>
          <w:sz w:val="28"/>
          <w:szCs w:val="28"/>
        </w:rPr>
        <w:t>views the request to change end-user, end-</w:t>
      </w:r>
      <w:r w:rsidR="00B369C4" w:rsidRPr="0016287D">
        <w:rPr>
          <w:sz w:val="28"/>
          <w:szCs w:val="28"/>
        </w:rPr>
        <w:t>use and/or destination of hardware to determine whether to approve the request in accordance with foreign policy and national security interests</w:t>
      </w:r>
      <w:r w:rsidRPr="0016287D">
        <w:rPr>
          <w:sz w:val="28"/>
          <w:szCs w:val="28"/>
        </w:rPr>
        <w:t>.</w:t>
      </w:r>
    </w:p>
    <w:p w:rsidR="00B601AB" w:rsidRPr="0016287D" w:rsidRDefault="00B601AB" w:rsidP="00B176E1">
      <w:pPr>
        <w:rPr>
          <w:sz w:val="28"/>
          <w:szCs w:val="28"/>
        </w:rPr>
      </w:pPr>
    </w:p>
    <w:p w:rsidR="00B601AB" w:rsidRDefault="00B176E1">
      <w:pPr>
        <w:rPr>
          <w:sz w:val="28"/>
          <w:szCs w:val="28"/>
        </w:rPr>
      </w:pPr>
      <w:r w:rsidRPr="0016287D">
        <w:rPr>
          <w:sz w:val="28"/>
          <w:szCs w:val="28"/>
        </w:rPr>
        <w:t>3.</w:t>
      </w:r>
      <w:r w:rsidR="00B601AB" w:rsidRPr="0016287D">
        <w:rPr>
          <w:sz w:val="28"/>
          <w:szCs w:val="28"/>
        </w:rPr>
        <w:tab/>
      </w:r>
      <w:r w:rsidR="001277FE" w:rsidRPr="0016287D">
        <w:rPr>
          <w:sz w:val="28"/>
          <w:szCs w:val="28"/>
        </w:rPr>
        <w:t>Currently, there is no option of electronic submission of this information.  Submissions are made via hardcopy documentation.  Applicants are referred to ITAR §12</w:t>
      </w:r>
      <w:r w:rsidR="00B369C4" w:rsidRPr="0016287D">
        <w:rPr>
          <w:sz w:val="28"/>
          <w:szCs w:val="28"/>
        </w:rPr>
        <w:t>3</w:t>
      </w:r>
      <w:r w:rsidR="001277FE" w:rsidRPr="0016287D">
        <w:rPr>
          <w:sz w:val="28"/>
          <w:szCs w:val="28"/>
        </w:rPr>
        <w:t xml:space="preserve">.9 for guidance on information to submit regarding the request </w:t>
      </w:r>
      <w:r w:rsidR="00B369C4" w:rsidRPr="0016287D">
        <w:rPr>
          <w:sz w:val="28"/>
          <w:szCs w:val="28"/>
        </w:rPr>
        <w:t>to c</w:t>
      </w:r>
      <w:r w:rsidR="00B141FA" w:rsidRPr="0016287D">
        <w:rPr>
          <w:sz w:val="28"/>
          <w:szCs w:val="28"/>
        </w:rPr>
        <w:t>hange end-user, end-</w:t>
      </w:r>
      <w:r w:rsidR="00B369C4" w:rsidRPr="0016287D">
        <w:rPr>
          <w:sz w:val="28"/>
          <w:szCs w:val="28"/>
        </w:rPr>
        <w:t>use and/or destination of hardware</w:t>
      </w:r>
      <w:r w:rsidR="00A744C9">
        <w:rPr>
          <w:sz w:val="28"/>
          <w:szCs w:val="28"/>
        </w:rPr>
        <w:t xml:space="preserve">.  </w:t>
      </w:r>
      <w:r w:rsidR="00DC7E4D">
        <w:rPr>
          <w:sz w:val="28"/>
          <w:szCs w:val="28"/>
        </w:rPr>
        <w:t>While DDTC plans to provide the option for electronic submission of this information, one complication has been the type of person who uses this information collection.  By its very nature, predominantly foreign persons submit this information collection, as they typically are the end</w:t>
      </w:r>
      <w:r w:rsidR="00E63A6C">
        <w:rPr>
          <w:sz w:val="28"/>
          <w:szCs w:val="28"/>
        </w:rPr>
        <w:t>-</w:t>
      </w:r>
      <w:r w:rsidR="00DC7E4D">
        <w:rPr>
          <w:sz w:val="28"/>
          <w:szCs w:val="28"/>
        </w:rPr>
        <w:t xml:space="preserve">users of exported defense articles.  DDTC’s current electronic system is premised on use by registered persons, who predominantly are U.S. persons.  Also, pursuant to the President’s Export Control Reform initiative, DDTC is in the process of adopting the Department of Defense’s </w:t>
      </w:r>
      <w:proofErr w:type="spellStart"/>
      <w:r w:rsidR="00DC7E4D">
        <w:rPr>
          <w:sz w:val="28"/>
          <w:szCs w:val="28"/>
        </w:rPr>
        <w:t>USXports</w:t>
      </w:r>
      <w:proofErr w:type="spellEnd"/>
      <w:r w:rsidR="00DC7E4D">
        <w:rPr>
          <w:sz w:val="28"/>
          <w:szCs w:val="28"/>
        </w:rPr>
        <w:t xml:space="preserve"> electronic licensing system, which does not accommodate this information collection.  Once transition to </w:t>
      </w:r>
      <w:proofErr w:type="spellStart"/>
      <w:r w:rsidR="00DC7E4D">
        <w:rPr>
          <w:sz w:val="28"/>
          <w:szCs w:val="28"/>
        </w:rPr>
        <w:t>USXports</w:t>
      </w:r>
      <w:proofErr w:type="spellEnd"/>
      <w:r w:rsidR="00DC7E4D">
        <w:rPr>
          <w:sz w:val="28"/>
          <w:szCs w:val="28"/>
        </w:rPr>
        <w:t xml:space="preserve"> is completed, the focus of which is on information collections that are already electronic and more frequently used by the defense industry, DDTC will inquire into incorporating other information collections into the system, to include this information collection.</w:t>
      </w:r>
    </w:p>
    <w:p w:rsidR="00BB1C81" w:rsidRDefault="00BB1C81">
      <w:pPr>
        <w:rPr>
          <w:sz w:val="28"/>
          <w:szCs w:val="28"/>
        </w:rPr>
      </w:pPr>
    </w:p>
    <w:p w:rsidR="0087613F" w:rsidRPr="0087613F" w:rsidRDefault="00BB1C81" w:rsidP="0087613F">
      <w:pPr>
        <w:rPr>
          <w:iCs/>
          <w:sz w:val="28"/>
          <w:szCs w:val="28"/>
        </w:rPr>
      </w:pPr>
      <w:r>
        <w:rPr>
          <w:sz w:val="28"/>
          <w:szCs w:val="28"/>
        </w:rPr>
        <w:tab/>
        <w:t xml:space="preserve">Due to incorrect reporting in the prior OMB reauthorization period, a draft form (form DS-6004) was characterized as the means by which this information is collected.  Although DDTC did describe this draft form in the prior supporting statement, </w:t>
      </w:r>
      <w:r w:rsidR="00785F80">
        <w:rPr>
          <w:sz w:val="28"/>
          <w:szCs w:val="28"/>
        </w:rPr>
        <w:t>it intended to</w:t>
      </w:r>
      <w:r>
        <w:rPr>
          <w:sz w:val="28"/>
          <w:szCs w:val="28"/>
        </w:rPr>
        <w:t xml:space="preserve"> indicate that it made it available to the public as guidance on the types of information to be submitted by the respondent pursuant to this collection</w:t>
      </w:r>
      <w:r w:rsidR="00785F80">
        <w:rPr>
          <w:sz w:val="28"/>
          <w:szCs w:val="28"/>
        </w:rPr>
        <w:t xml:space="preserve">.  </w:t>
      </w:r>
      <w:r>
        <w:rPr>
          <w:sz w:val="28"/>
          <w:szCs w:val="28"/>
        </w:rPr>
        <w:t xml:space="preserve">DDTC did not intend to report the form as operational, and has never used it for the purposes of collecting information.  Because of the change in licensing IT systems, as described above, DDTC </w:t>
      </w:r>
      <w:r w:rsidR="00785F80">
        <w:rPr>
          <w:sz w:val="28"/>
          <w:szCs w:val="28"/>
        </w:rPr>
        <w:t xml:space="preserve">has discontinued making the draft </w:t>
      </w:r>
      <w:r w:rsidR="00785F80">
        <w:rPr>
          <w:sz w:val="28"/>
          <w:szCs w:val="28"/>
        </w:rPr>
        <w:lastRenderedPageBreak/>
        <w:t>form available as guidance to respondents.  Instead, it will</w:t>
      </w:r>
      <w:r w:rsidR="00901C80" w:rsidRPr="00901C80">
        <w:rPr>
          <w:iCs/>
          <w:sz w:val="28"/>
          <w:szCs w:val="28"/>
        </w:rPr>
        <w:t xml:space="preserve"> rely on the reporting procedures outlined in ITAR §123.9.</w:t>
      </w:r>
      <w:r w:rsidR="00785F80">
        <w:rPr>
          <w:iCs/>
          <w:sz w:val="28"/>
          <w:szCs w:val="28"/>
        </w:rPr>
        <w:t xml:space="preserve"> </w:t>
      </w:r>
      <w:r w:rsidR="00901C80" w:rsidRPr="00901C80">
        <w:rPr>
          <w:iCs/>
          <w:sz w:val="28"/>
          <w:szCs w:val="28"/>
        </w:rPr>
        <w:t xml:space="preserve"> This process change will not affect the reporting burden</w:t>
      </w:r>
      <w:r w:rsidR="00785F80">
        <w:rPr>
          <w:iCs/>
          <w:sz w:val="28"/>
          <w:szCs w:val="28"/>
        </w:rPr>
        <w:t>.</w:t>
      </w:r>
      <w:r w:rsidR="00D43D78">
        <w:rPr>
          <w:iCs/>
          <w:sz w:val="28"/>
          <w:szCs w:val="28"/>
        </w:rPr>
        <w:t xml:space="preserve">  DDTC requests that OMB discontinue associating the draft DS-600</w:t>
      </w:r>
      <w:r w:rsidR="00BE4C31">
        <w:rPr>
          <w:iCs/>
          <w:sz w:val="28"/>
          <w:szCs w:val="28"/>
        </w:rPr>
        <w:t>4</w:t>
      </w:r>
      <w:r w:rsidR="00D43D78">
        <w:rPr>
          <w:iCs/>
          <w:sz w:val="28"/>
          <w:szCs w:val="28"/>
        </w:rPr>
        <w:t xml:space="preserve"> form with this information collection.</w:t>
      </w:r>
    </w:p>
    <w:p w:rsidR="00B601AB" w:rsidRPr="0016287D" w:rsidRDefault="00B601AB">
      <w:pPr>
        <w:rPr>
          <w:sz w:val="28"/>
          <w:szCs w:val="28"/>
        </w:rPr>
      </w:pPr>
    </w:p>
    <w:p w:rsidR="00B601AB" w:rsidRPr="0016287D" w:rsidRDefault="00B601AB">
      <w:pPr>
        <w:rPr>
          <w:sz w:val="28"/>
          <w:szCs w:val="28"/>
        </w:rPr>
      </w:pPr>
      <w:r w:rsidRPr="0016287D">
        <w:rPr>
          <w:sz w:val="28"/>
          <w:szCs w:val="28"/>
        </w:rPr>
        <w:t>4.</w:t>
      </w:r>
      <w:r w:rsidRPr="0016287D">
        <w:rPr>
          <w:sz w:val="28"/>
          <w:szCs w:val="28"/>
        </w:rPr>
        <w:tab/>
        <w:t>The Department of State is unaware of any other U.S. Government requirements that would cause U.S. industry to duplicate this reporting requirement.</w:t>
      </w:r>
    </w:p>
    <w:p w:rsidR="00B601AB" w:rsidRPr="0016287D" w:rsidRDefault="00B601AB">
      <w:pPr>
        <w:rPr>
          <w:sz w:val="28"/>
          <w:szCs w:val="28"/>
        </w:rPr>
      </w:pPr>
    </w:p>
    <w:p w:rsidR="00F036AC" w:rsidRPr="0016287D" w:rsidRDefault="00B601AB" w:rsidP="00F036AC">
      <w:pPr>
        <w:rPr>
          <w:sz w:val="28"/>
          <w:szCs w:val="28"/>
        </w:rPr>
      </w:pPr>
      <w:r w:rsidRPr="0016287D">
        <w:rPr>
          <w:sz w:val="28"/>
          <w:szCs w:val="28"/>
        </w:rPr>
        <w:t>5.</w:t>
      </w:r>
      <w:r w:rsidRPr="0016287D">
        <w:rPr>
          <w:sz w:val="28"/>
          <w:szCs w:val="28"/>
        </w:rPr>
        <w:tab/>
      </w:r>
      <w:r w:rsidR="005E5350" w:rsidRPr="0016287D">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r w:rsidR="00F036AC" w:rsidRPr="0016287D">
        <w:rPr>
          <w:sz w:val="28"/>
          <w:szCs w:val="28"/>
        </w:rPr>
        <w:t>Submitting a “</w:t>
      </w:r>
      <w:r w:rsidR="00B141FA" w:rsidRPr="0016287D">
        <w:rPr>
          <w:sz w:val="28"/>
          <w:szCs w:val="28"/>
        </w:rPr>
        <w:t>Request to Change End-User, End-</w:t>
      </w:r>
      <w:r w:rsidR="004F5519" w:rsidRPr="0016287D">
        <w:rPr>
          <w:sz w:val="28"/>
          <w:szCs w:val="28"/>
        </w:rPr>
        <w:t>Use and/or Destination of Hardware</w:t>
      </w:r>
      <w:r w:rsidR="00F036AC" w:rsidRPr="0016287D">
        <w:rPr>
          <w:sz w:val="28"/>
          <w:szCs w:val="28"/>
        </w:rPr>
        <w:t>” applies only to small businesses and small entities when they are “in the business” of defense trade.</w:t>
      </w:r>
    </w:p>
    <w:p w:rsidR="00B601AB" w:rsidRPr="0016287D" w:rsidRDefault="00B601AB">
      <w:pPr>
        <w:rPr>
          <w:sz w:val="28"/>
          <w:szCs w:val="28"/>
        </w:rPr>
      </w:pPr>
    </w:p>
    <w:p w:rsidR="00B601AB" w:rsidRPr="0016287D" w:rsidRDefault="00B601AB" w:rsidP="00981A55">
      <w:pPr>
        <w:pStyle w:val="BodyText2"/>
        <w:rPr>
          <w:szCs w:val="28"/>
        </w:rPr>
      </w:pPr>
      <w:r w:rsidRPr="0016287D">
        <w:rPr>
          <w:szCs w:val="28"/>
        </w:rPr>
        <w:t>6.</w:t>
      </w:r>
      <w:r w:rsidRPr="0016287D">
        <w:rPr>
          <w:szCs w:val="28"/>
        </w:rPr>
        <w:tab/>
      </w:r>
      <w:r w:rsidR="00FE01C2" w:rsidRPr="0016287D">
        <w:rPr>
          <w:szCs w:val="28"/>
        </w:rPr>
        <w:t xml:space="preserve">The AECA and the ITAR established the frequency of information collection.  The information required for the proper </w:t>
      </w:r>
      <w:r w:rsidR="00BE745E" w:rsidRPr="0016287D">
        <w:rPr>
          <w:szCs w:val="28"/>
        </w:rPr>
        <w:t>assessment</w:t>
      </w:r>
      <w:r w:rsidR="00FE01C2" w:rsidRPr="0016287D">
        <w:rPr>
          <w:szCs w:val="28"/>
        </w:rPr>
        <w:t xml:space="preserve"> of a propos</w:t>
      </w:r>
      <w:r w:rsidR="006C27CF" w:rsidRPr="0016287D">
        <w:rPr>
          <w:szCs w:val="28"/>
        </w:rPr>
        <w:t>al</w:t>
      </w:r>
      <w:r w:rsidR="00FE01C2" w:rsidRPr="0016287D">
        <w:rPr>
          <w:szCs w:val="28"/>
        </w:rPr>
        <w:t xml:space="preserve"> </w:t>
      </w:r>
      <w:r w:rsidR="006C27CF" w:rsidRPr="0016287D">
        <w:rPr>
          <w:szCs w:val="28"/>
        </w:rPr>
        <w:t>to c</w:t>
      </w:r>
      <w:r w:rsidR="00B141FA" w:rsidRPr="0016287D">
        <w:rPr>
          <w:szCs w:val="28"/>
        </w:rPr>
        <w:t>hange end-user, end-</w:t>
      </w:r>
      <w:r w:rsidR="006C27CF" w:rsidRPr="0016287D">
        <w:rPr>
          <w:szCs w:val="28"/>
        </w:rPr>
        <w:t xml:space="preserve">use and/or destination of hardware </w:t>
      </w:r>
      <w:r w:rsidR="00FE01C2" w:rsidRPr="0016287D">
        <w:rPr>
          <w:szCs w:val="28"/>
        </w:rPr>
        <w:t xml:space="preserve">is reviewed on a case-by-case basis and is specific to the transaction under consideration.  </w:t>
      </w:r>
      <w:r w:rsidRPr="0016287D">
        <w:rPr>
          <w:szCs w:val="28"/>
        </w:rPr>
        <w:t xml:space="preserve">Absent this </w:t>
      </w:r>
      <w:r w:rsidR="005F4264" w:rsidRPr="0016287D">
        <w:rPr>
          <w:szCs w:val="28"/>
        </w:rPr>
        <w:t>procedure for the collection of this information</w:t>
      </w:r>
      <w:r w:rsidRPr="0016287D">
        <w:rPr>
          <w:szCs w:val="28"/>
        </w:rPr>
        <w:t xml:space="preserve">, </w:t>
      </w:r>
      <w:r w:rsidR="005F4264" w:rsidRPr="0016287D">
        <w:rPr>
          <w:szCs w:val="28"/>
        </w:rPr>
        <w:t xml:space="preserve">the Department would not have a process </w:t>
      </w:r>
      <w:r w:rsidR="006C27CF" w:rsidRPr="0016287D">
        <w:rPr>
          <w:szCs w:val="28"/>
        </w:rPr>
        <w:t>reviewing and responding t</w:t>
      </w:r>
      <w:r w:rsidR="005F4264" w:rsidRPr="0016287D">
        <w:rPr>
          <w:szCs w:val="28"/>
        </w:rPr>
        <w:t xml:space="preserve">o </w:t>
      </w:r>
      <w:r w:rsidR="006C27CF" w:rsidRPr="0016287D">
        <w:rPr>
          <w:szCs w:val="28"/>
        </w:rPr>
        <w:t>such requests</w:t>
      </w:r>
      <w:r w:rsidR="00981A55" w:rsidRPr="0016287D">
        <w:rPr>
          <w:szCs w:val="28"/>
        </w:rPr>
        <w:t>.</w:t>
      </w:r>
    </w:p>
    <w:p w:rsidR="00B601AB" w:rsidRPr="0016287D" w:rsidRDefault="00B601AB" w:rsidP="00981A55">
      <w:pPr>
        <w:rPr>
          <w:sz w:val="28"/>
          <w:szCs w:val="28"/>
        </w:rPr>
      </w:pPr>
    </w:p>
    <w:p w:rsidR="00B601AB" w:rsidRPr="0016287D" w:rsidRDefault="00B601AB">
      <w:pPr>
        <w:rPr>
          <w:sz w:val="28"/>
          <w:szCs w:val="28"/>
        </w:rPr>
      </w:pPr>
      <w:r w:rsidRPr="0016287D">
        <w:rPr>
          <w:sz w:val="28"/>
          <w:szCs w:val="28"/>
        </w:rPr>
        <w:t>7.</w:t>
      </w:r>
      <w:r w:rsidRPr="0016287D">
        <w:rPr>
          <w:sz w:val="28"/>
          <w:szCs w:val="28"/>
        </w:rPr>
        <w:tab/>
        <w:t xml:space="preserve">The ITAR requires </w:t>
      </w:r>
      <w:r w:rsidR="00E513BD">
        <w:rPr>
          <w:sz w:val="28"/>
          <w:szCs w:val="28"/>
        </w:rPr>
        <w:t xml:space="preserve">any person who is required to register with DDTC </w:t>
      </w:r>
      <w:r w:rsidR="00205E2C">
        <w:rPr>
          <w:sz w:val="28"/>
          <w:szCs w:val="28"/>
        </w:rPr>
        <w:t xml:space="preserve">to </w:t>
      </w:r>
      <w:r w:rsidRPr="0016287D">
        <w:rPr>
          <w:sz w:val="28"/>
          <w:szCs w:val="28"/>
        </w:rPr>
        <w:t>maint</w:t>
      </w:r>
      <w:r w:rsidR="00205E2C">
        <w:rPr>
          <w:sz w:val="28"/>
          <w:szCs w:val="28"/>
        </w:rPr>
        <w:t>ain</w:t>
      </w:r>
      <w:r w:rsidRPr="0016287D">
        <w:rPr>
          <w:sz w:val="28"/>
          <w:szCs w:val="28"/>
        </w:rPr>
        <w:t xml:space="preserve"> records for a minimum period of five years.</w:t>
      </w:r>
    </w:p>
    <w:p w:rsidR="00B601AB" w:rsidRPr="0016287D" w:rsidRDefault="00B601AB">
      <w:pPr>
        <w:rPr>
          <w:sz w:val="28"/>
          <w:szCs w:val="28"/>
        </w:rPr>
      </w:pPr>
    </w:p>
    <w:p w:rsidR="00B601AB" w:rsidRDefault="00B601AB">
      <w:pPr>
        <w:rPr>
          <w:sz w:val="28"/>
        </w:rPr>
      </w:pPr>
      <w:r w:rsidRPr="0016287D">
        <w:rPr>
          <w:sz w:val="28"/>
          <w:szCs w:val="28"/>
        </w:rPr>
        <w:t>8.</w:t>
      </w:r>
      <w:r w:rsidRPr="0016287D">
        <w:rPr>
          <w:sz w:val="28"/>
          <w:szCs w:val="28"/>
        </w:rPr>
        <w:tab/>
      </w:r>
      <w:r w:rsidR="00073CDA">
        <w:rPr>
          <w:sz w:val="28"/>
        </w:rPr>
        <w:t xml:space="preserve">The Department has published a notice in the </w:t>
      </w:r>
      <w:r w:rsidR="00073CDA">
        <w:rPr>
          <w:i/>
          <w:iCs/>
          <w:sz w:val="28"/>
        </w:rPr>
        <w:t>Federal Register</w:t>
      </w:r>
      <w:r w:rsidR="00073CDA">
        <w:rPr>
          <w:sz w:val="28"/>
        </w:rPr>
        <w:t xml:space="preserve"> (77 FR 29443) in accordance with 5 CFR 1320.8(d) soliciting public comments on this collection and notifying the public that this collection has been submitted to OMB for review and approval.  No comments were received during the comment period.</w:t>
      </w:r>
    </w:p>
    <w:p w:rsidR="00073CDA" w:rsidRPr="0016287D" w:rsidRDefault="00073CDA">
      <w:pPr>
        <w:rPr>
          <w:sz w:val="28"/>
          <w:szCs w:val="28"/>
        </w:rPr>
      </w:pPr>
    </w:p>
    <w:p w:rsidR="00B601AB" w:rsidRPr="0016287D" w:rsidRDefault="00981A55">
      <w:pPr>
        <w:rPr>
          <w:sz w:val="28"/>
          <w:szCs w:val="28"/>
        </w:rPr>
      </w:pPr>
      <w:r w:rsidRPr="0016287D">
        <w:rPr>
          <w:sz w:val="28"/>
          <w:szCs w:val="28"/>
        </w:rPr>
        <w:t>9.</w:t>
      </w:r>
      <w:r w:rsidR="00B601AB" w:rsidRPr="0016287D">
        <w:rPr>
          <w:sz w:val="28"/>
          <w:szCs w:val="28"/>
        </w:rPr>
        <w:tab/>
        <w:t>No payment or gift has been or will be provided to any respondent.</w:t>
      </w:r>
    </w:p>
    <w:p w:rsidR="00B601AB" w:rsidRPr="0016287D" w:rsidRDefault="00B601AB">
      <w:pPr>
        <w:rPr>
          <w:sz w:val="28"/>
          <w:szCs w:val="28"/>
        </w:rPr>
      </w:pPr>
    </w:p>
    <w:p w:rsidR="00B601AB" w:rsidRPr="0016287D" w:rsidRDefault="00B601AB" w:rsidP="002B2345">
      <w:pPr>
        <w:rPr>
          <w:sz w:val="28"/>
          <w:szCs w:val="28"/>
        </w:rPr>
      </w:pPr>
      <w:r w:rsidRPr="0016287D">
        <w:rPr>
          <w:sz w:val="28"/>
          <w:szCs w:val="28"/>
        </w:rPr>
        <w:t>10.</w:t>
      </w:r>
      <w:r w:rsidRPr="0016287D">
        <w:rPr>
          <w:sz w:val="28"/>
          <w:szCs w:val="28"/>
        </w:rPr>
        <w:tab/>
      </w:r>
      <w:r w:rsidR="002B2345" w:rsidRPr="0016287D">
        <w:rPr>
          <w:sz w:val="28"/>
          <w:szCs w:val="28"/>
        </w:rPr>
        <w:t xml:space="preserve">Respondents are engaged in the business of exporting or temporarily importing defense articles/services or brokering thereof, have registered with DDTC pursuant to the ITAR (22 CFR Subchapter M), and correspondingly use the ITAR in the regular course of business.  Thus, respondents would be familiar with §126.10 of the ITAR, which describes protection of confidentiality given to respondents’ information.  Other than provisions for confidentiality or nondisclosure included in the Freedom of Information Act, the ITAR, or other </w:t>
      </w:r>
      <w:r w:rsidR="002B2345" w:rsidRPr="0016287D">
        <w:rPr>
          <w:sz w:val="28"/>
          <w:szCs w:val="28"/>
        </w:rPr>
        <w:lastRenderedPageBreak/>
        <w:t>Federal regulations, no promises of confidentiality have been made to the respondent.</w:t>
      </w:r>
    </w:p>
    <w:p w:rsidR="002B2345" w:rsidRPr="0016287D" w:rsidRDefault="002B2345" w:rsidP="002B2345">
      <w:pPr>
        <w:rPr>
          <w:sz w:val="28"/>
          <w:szCs w:val="28"/>
        </w:rPr>
      </w:pPr>
    </w:p>
    <w:p w:rsidR="00B601AB" w:rsidRPr="0016287D" w:rsidRDefault="00B601AB">
      <w:pPr>
        <w:rPr>
          <w:sz w:val="28"/>
          <w:szCs w:val="28"/>
        </w:rPr>
      </w:pPr>
      <w:r w:rsidRPr="0016287D">
        <w:rPr>
          <w:sz w:val="28"/>
          <w:szCs w:val="28"/>
        </w:rPr>
        <w:t>11.</w:t>
      </w:r>
      <w:r w:rsidRPr="0016287D">
        <w:rPr>
          <w:sz w:val="28"/>
          <w:szCs w:val="28"/>
        </w:rPr>
        <w:tab/>
      </w:r>
      <w:r w:rsidR="00F44121" w:rsidRPr="0016287D">
        <w:rPr>
          <w:sz w:val="28"/>
          <w:szCs w:val="28"/>
        </w:rPr>
        <w:t xml:space="preserve">The Department of State is </w:t>
      </w:r>
      <w:r w:rsidRPr="0016287D">
        <w:rPr>
          <w:sz w:val="28"/>
          <w:szCs w:val="28"/>
        </w:rPr>
        <w:t>not solicit</w:t>
      </w:r>
      <w:r w:rsidR="00F44121" w:rsidRPr="0016287D">
        <w:rPr>
          <w:sz w:val="28"/>
          <w:szCs w:val="28"/>
        </w:rPr>
        <w:t>ing</w:t>
      </w:r>
      <w:r w:rsidRPr="0016287D">
        <w:rPr>
          <w:sz w:val="28"/>
          <w:szCs w:val="28"/>
        </w:rPr>
        <w:t xml:space="preserve"> any information regarding questions of a sensitive nature or matters commonly considered private.</w:t>
      </w:r>
    </w:p>
    <w:p w:rsidR="00B601AB" w:rsidRPr="0016287D" w:rsidRDefault="00B601AB">
      <w:pPr>
        <w:rPr>
          <w:sz w:val="28"/>
          <w:szCs w:val="28"/>
        </w:rPr>
      </w:pPr>
    </w:p>
    <w:p w:rsidR="00B601AB" w:rsidRPr="0016287D" w:rsidRDefault="00F44121">
      <w:pPr>
        <w:rPr>
          <w:sz w:val="28"/>
          <w:szCs w:val="28"/>
        </w:rPr>
      </w:pPr>
      <w:r w:rsidRPr="0016287D">
        <w:rPr>
          <w:sz w:val="28"/>
          <w:szCs w:val="28"/>
        </w:rPr>
        <w:t>12.</w:t>
      </w:r>
      <w:r w:rsidR="00B601AB" w:rsidRPr="0016287D">
        <w:rPr>
          <w:sz w:val="28"/>
          <w:szCs w:val="28"/>
        </w:rPr>
        <w:tab/>
        <w:t xml:space="preserve">The Department of State has reason to believe that the information </w:t>
      </w:r>
      <w:r w:rsidR="004B2241" w:rsidRPr="0016287D">
        <w:rPr>
          <w:sz w:val="28"/>
          <w:szCs w:val="28"/>
        </w:rPr>
        <w:t>requested in an advisory opinion</w:t>
      </w:r>
      <w:r w:rsidR="00B601AB" w:rsidRPr="0016287D">
        <w:rPr>
          <w:sz w:val="28"/>
          <w:szCs w:val="28"/>
        </w:rPr>
        <w:t xml:space="preserve"> </w:t>
      </w:r>
      <w:r w:rsidR="004B2241" w:rsidRPr="0016287D">
        <w:rPr>
          <w:sz w:val="28"/>
          <w:szCs w:val="28"/>
        </w:rPr>
        <w:t>is already available to respondents as an aspect of their customary and usual business practices</w:t>
      </w:r>
      <w:r w:rsidR="00B601AB" w:rsidRPr="0016287D">
        <w:rPr>
          <w:sz w:val="28"/>
          <w:szCs w:val="28"/>
        </w:rPr>
        <w:t xml:space="preserve">.  </w:t>
      </w:r>
      <w:r w:rsidR="00B233E8" w:rsidRPr="0016287D">
        <w:rPr>
          <w:sz w:val="28"/>
          <w:szCs w:val="28"/>
        </w:rPr>
        <w:t xml:space="preserve">An estimated </w:t>
      </w:r>
      <w:r w:rsidR="006C27CF" w:rsidRPr="0016287D">
        <w:rPr>
          <w:sz w:val="28"/>
          <w:szCs w:val="28"/>
        </w:rPr>
        <w:t>2,700</w:t>
      </w:r>
      <w:r w:rsidR="00B233E8" w:rsidRPr="0016287D">
        <w:rPr>
          <w:sz w:val="28"/>
          <w:szCs w:val="28"/>
        </w:rPr>
        <w:t xml:space="preserve"> annual responses are expected from </w:t>
      </w:r>
      <w:r w:rsidR="00AC364C" w:rsidRPr="0016287D">
        <w:rPr>
          <w:sz w:val="28"/>
          <w:szCs w:val="28"/>
        </w:rPr>
        <w:t>2</w:t>
      </w:r>
      <w:r w:rsidR="006C27CF" w:rsidRPr="0016287D">
        <w:rPr>
          <w:sz w:val="28"/>
          <w:szCs w:val="28"/>
        </w:rPr>
        <w:t>,70</w:t>
      </w:r>
      <w:r w:rsidR="00AC364C" w:rsidRPr="0016287D">
        <w:rPr>
          <w:sz w:val="28"/>
          <w:szCs w:val="28"/>
        </w:rPr>
        <w:t>0</w:t>
      </w:r>
      <w:r w:rsidR="00B233E8" w:rsidRPr="0016287D">
        <w:rPr>
          <w:sz w:val="28"/>
          <w:szCs w:val="28"/>
        </w:rPr>
        <w:t xml:space="preserve"> respondents</w:t>
      </w:r>
      <w:r w:rsidR="00B601AB" w:rsidRPr="0016287D">
        <w:rPr>
          <w:sz w:val="28"/>
          <w:szCs w:val="28"/>
        </w:rPr>
        <w:t xml:space="preserve">.  Frequency of response is on occasion.  </w:t>
      </w:r>
      <w:r w:rsidR="00367B66" w:rsidRPr="0016287D">
        <w:rPr>
          <w:sz w:val="28"/>
          <w:szCs w:val="28"/>
        </w:rPr>
        <w:t>The estimated time</w:t>
      </w:r>
      <w:r w:rsidR="00B601AB" w:rsidRPr="0016287D">
        <w:rPr>
          <w:sz w:val="28"/>
          <w:szCs w:val="28"/>
        </w:rPr>
        <w:t xml:space="preserve"> that the respondent devotes </w:t>
      </w:r>
      <w:r w:rsidR="00367B66" w:rsidRPr="0016287D">
        <w:rPr>
          <w:sz w:val="28"/>
          <w:szCs w:val="28"/>
        </w:rPr>
        <w:t xml:space="preserve">to each submission is approximately </w:t>
      </w:r>
      <w:r w:rsidR="00B601AB" w:rsidRPr="0016287D">
        <w:rPr>
          <w:sz w:val="28"/>
          <w:szCs w:val="28"/>
        </w:rPr>
        <w:t>one hour.  Consequently, it can be reasonably assumed that the cost to industry in terms of money, time</w:t>
      </w:r>
      <w:r w:rsidR="00BA33D5" w:rsidRPr="0016287D">
        <w:rPr>
          <w:sz w:val="28"/>
          <w:szCs w:val="28"/>
        </w:rPr>
        <w:t>,</w:t>
      </w:r>
      <w:r w:rsidR="00B601AB" w:rsidRPr="0016287D">
        <w:rPr>
          <w:sz w:val="28"/>
          <w:szCs w:val="28"/>
        </w:rPr>
        <w:t xml:space="preserve"> and other resources is minimal.  </w:t>
      </w:r>
      <w:r w:rsidR="00367B66" w:rsidRPr="0016287D">
        <w:rPr>
          <w:sz w:val="28"/>
          <w:szCs w:val="28"/>
        </w:rPr>
        <w:t>The</w:t>
      </w:r>
      <w:r w:rsidR="00B601AB" w:rsidRPr="0016287D">
        <w:rPr>
          <w:sz w:val="28"/>
          <w:szCs w:val="28"/>
        </w:rPr>
        <w:t xml:space="preserve"> estimated </w:t>
      </w:r>
      <w:r w:rsidR="00367B66" w:rsidRPr="0016287D">
        <w:rPr>
          <w:sz w:val="28"/>
          <w:szCs w:val="28"/>
        </w:rPr>
        <w:t xml:space="preserve">annual hour burden is </w:t>
      </w:r>
      <w:r w:rsidR="00AC364C" w:rsidRPr="0016287D">
        <w:rPr>
          <w:sz w:val="28"/>
          <w:szCs w:val="28"/>
        </w:rPr>
        <w:t>2</w:t>
      </w:r>
      <w:r w:rsidR="006C27CF" w:rsidRPr="0016287D">
        <w:rPr>
          <w:sz w:val="28"/>
          <w:szCs w:val="28"/>
        </w:rPr>
        <w:t>,70</w:t>
      </w:r>
      <w:r w:rsidR="00AC364C" w:rsidRPr="0016287D">
        <w:rPr>
          <w:sz w:val="28"/>
          <w:szCs w:val="28"/>
        </w:rPr>
        <w:t>0</w:t>
      </w:r>
      <w:r w:rsidR="00B601AB" w:rsidRPr="0016287D">
        <w:rPr>
          <w:sz w:val="28"/>
          <w:szCs w:val="28"/>
        </w:rPr>
        <w:t xml:space="preserve"> hours. </w:t>
      </w:r>
    </w:p>
    <w:p w:rsidR="00B601AB" w:rsidRPr="0016287D" w:rsidRDefault="00B601AB">
      <w:pPr>
        <w:rPr>
          <w:sz w:val="28"/>
          <w:szCs w:val="28"/>
        </w:rPr>
      </w:pPr>
    </w:p>
    <w:p w:rsidR="00B601AB" w:rsidRPr="0016287D" w:rsidRDefault="00F44121">
      <w:pPr>
        <w:rPr>
          <w:sz w:val="28"/>
          <w:szCs w:val="28"/>
        </w:rPr>
      </w:pPr>
      <w:r w:rsidRPr="0016287D">
        <w:rPr>
          <w:sz w:val="28"/>
          <w:szCs w:val="28"/>
        </w:rPr>
        <w:t>13.</w:t>
      </w:r>
      <w:r w:rsidR="00B601AB" w:rsidRPr="0016287D">
        <w:rPr>
          <w:sz w:val="28"/>
          <w:szCs w:val="28"/>
        </w:rPr>
        <w:tab/>
      </w:r>
      <w:r w:rsidR="00367B66" w:rsidRPr="0016287D">
        <w:rPr>
          <w:sz w:val="28"/>
          <w:szCs w:val="28"/>
        </w:rPr>
        <w:t>There are no anticipated costs to respondents.</w:t>
      </w:r>
    </w:p>
    <w:p w:rsidR="00367B66" w:rsidRPr="0016287D" w:rsidRDefault="00367B66">
      <w:pPr>
        <w:rPr>
          <w:sz w:val="28"/>
          <w:szCs w:val="28"/>
          <w:u w:val="single"/>
        </w:rPr>
      </w:pPr>
    </w:p>
    <w:p w:rsidR="00B601AB" w:rsidRPr="0016287D" w:rsidRDefault="00711B72">
      <w:pPr>
        <w:rPr>
          <w:sz w:val="28"/>
          <w:szCs w:val="28"/>
        </w:rPr>
      </w:pPr>
      <w:r w:rsidRPr="0016287D">
        <w:rPr>
          <w:sz w:val="28"/>
          <w:szCs w:val="28"/>
        </w:rPr>
        <w:t>14.</w:t>
      </w:r>
      <w:r w:rsidR="00B601AB" w:rsidRPr="0016287D">
        <w:rPr>
          <w:sz w:val="28"/>
          <w:szCs w:val="28"/>
        </w:rPr>
        <w:tab/>
      </w:r>
      <w:r w:rsidR="00205E2C">
        <w:rPr>
          <w:sz w:val="28"/>
          <w:szCs w:val="28"/>
        </w:rPr>
        <w:t>Processing t</w:t>
      </w:r>
      <w:r w:rsidR="00536876" w:rsidRPr="0016287D">
        <w:rPr>
          <w:sz w:val="28"/>
          <w:szCs w:val="28"/>
        </w:rPr>
        <w:t xml:space="preserve">he </w:t>
      </w:r>
      <w:r w:rsidR="00B141FA" w:rsidRPr="0016287D">
        <w:rPr>
          <w:sz w:val="28"/>
          <w:szCs w:val="28"/>
        </w:rPr>
        <w:t>2,700</w:t>
      </w:r>
      <w:r w:rsidR="00536876" w:rsidRPr="0016287D">
        <w:rPr>
          <w:sz w:val="28"/>
          <w:szCs w:val="28"/>
        </w:rPr>
        <w:t xml:space="preserve"> responses received by DDTC during </w:t>
      </w:r>
      <w:r w:rsidR="008F79D4" w:rsidRPr="0016287D">
        <w:rPr>
          <w:sz w:val="28"/>
          <w:szCs w:val="28"/>
        </w:rPr>
        <w:t>CY</w:t>
      </w:r>
      <w:r w:rsidR="00536876" w:rsidRPr="0016287D">
        <w:rPr>
          <w:sz w:val="28"/>
          <w:szCs w:val="28"/>
        </w:rPr>
        <w:t xml:space="preserve"> 20</w:t>
      </w:r>
      <w:r w:rsidR="008F79D4" w:rsidRPr="0016287D">
        <w:rPr>
          <w:sz w:val="28"/>
          <w:szCs w:val="28"/>
        </w:rPr>
        <w:t>1</w:t>
      </w:r>
      <w:r w:rsidR="00831169" w:rsidRPr="0016287D">
        <w:rPr>
          <w:sz w:val="28"/>
          <w:szCs w:val="28"/>
        </w:rPr>
        <w:t>1</w:t>
      </w:r>
      <w:r w:rsidR="00536876" w:rsidRPr="0016287D">
        <w:rPr>
          <w:sz w:val="28"/>
          <w:szCs w:val="28"/>
        </w:rPr>
        <w:t xml:space="preserve"> accounted for approximately </w:t>
      </w:r>
      <w:r w:rsidR="00AC364C" w:rsidRPr="0016287D">
        <w:rPr>
          <w:sz w:val="28"/>
          <w:szCs w:val="28"/>
        </w:rPr>
        <w:t>3</w:t>
      </w:r>
      <w:r w:rsidR="00536876" w:rsidRPr="0016287D">
        <w:rPr>
          <w:sz w:val="28"/>
          <w:szCs w:val="28"/>
        </w:rPr>
        <w:t>% of its budget of $</w:t>
      </w:r>
      <w:r w:rsidR="008F79D4" w:rsidRPr="0016287D">
        <w:rPr>
          <w:sz w:val="28"/>
          <w:szCs w:val="28"/>
        </w:rPr>
        <w:t>36</w:t>
      </w:r>
      <w:r w:rsidR="00536876" w:rsidRPr="0016287D">
        <w:rPr>
          <w:sz w:val="28"/>
          <w:szCs w:val="28"/>
        </w:rPr>
        <w:t xml:space="preserve"> million.  The estimated annualized cost to the Federal Government was </w:t>
      </w:r>
      <w:r w:rsidR="00AC364C" w:rsidRPr="0016287D">
        <w:rPr>
          <w:sz w:val="28"/>
          <w:szCs w:val="28"/>
        </w:rPr>
        <w:t>$7</w:t>
      </w:r>
      <w:r w:rsidR="00545138" w:rsidRPr="0016287D">
        <w:rPr>
          <w:sz w:val="28"/>
          <w:szCs w:val="28"/>
        </w:rPr>
        <w:t>94,286</w:t>
      </w:r>
      <w:r w:rsidR="00536876" w:rsidRPr="0016287D">
        <w:rPr>
          <w:sz w:val="28"/>
          <w:szCs w:val="28"/>
        </w:rPr>
        <w:t xml:space="preserve"> for reviewing these </w:t>
      </w:r>
      <w:r w:rsidR="00831169" w:rsidRPr="0016287D">
        <w:rPr>
          <w:sz w:val="28"/>
          <w:szCs w:val="28"/>
        </w:rPr>
        <w:t>submissions</w:t>
      </w:r>
      <w:r w:rsidR="00536876" w:rsidRPr="0016287D">
        <w:rPr>
          <w:sz w:val="28"/>
          <w:szCs w:val="28"/>
        </w:rPr>
        <w:t>.</w:t>
      </w:r>
    </w:p>
    <w:p w:rsidR="00B601AB" w:rsidRPr="0016287D" w:rsidRDefault="00B601AB">
      <w:pPr>
        <w:rPr>
          <w:sz w:val="28"/>
          <w:szCs w:val="28"/>
          <w:highlight w:val="yellow"/>
        </w:rPr>
      </w:pPr>
    </w:p>
    <w:p w:rsidR="00BB4C13" w:rsidRPr="0016287D" w:rsidRDefault="00711B72" w:rsidP="00BB4C13">
      <w:pPr>
        <w:rPr>
          <w:sz w:val="28"/>
          <w:szCs w:val="28"/>
        </w:rPr>
      </w:pPr>
      <w:r w:rsidRPr="0016287D">
        <w:rPr>
          <w:sz w:val="28"/>
          <w:szCs w:val="28"/>
        </w:rPr>
        <w:t>15.</w:t>
      </w:r>
      <w:r w:rsidR="00B601AB" w:rsidRPr="0016287D">
        <w:rPr>
          <w:sz w:val="28"/>
          <w:szCs w:val="28"/>
        </w:rPr>
        <w:tab/>
      </w:r>
      <w:r w:rsidR="004314E2" w:rsidRPr="0016287D">
        <w:rPr>
          <w:sz w:val="28"/>
          <w:szCs w:val="28"/>
        </w:rPr>
        <w:t>In the previous submission, there was a data entry error regarding th</w:t>
      </w:r>
      <w:r w:rsidR="00313B3F">
        <w:rPr>
          <w:sz w:val="28"/>
          <w:szCs w:val="28"/>
        </w:rPr>
        <w:t>e responses, hours, and cost.  “Nu</w:t>
      </w:r>
      <w:r w:rsidR="004314E2" w:rsidRPr="0016287D">
        <w:rPr>
          <w:sz w:val="28"/>
          <w:szCs w:val="28"/>
        </w:rPr>
        <w:t xml:space="preserve">mber of </w:t>
      </w:r>
      <w:r w:rsidR="00313B3F">
        <w:rPr>
          <w:sz w:val="28"/>
          <w:szCs w:val="28"/>
        </w:rPr>
        <w:t>R</w:t>
      </w:r>
      <w:r w:rsidR="004314E2" w:rsidRPr="0016287D">
        <w:rPr>
          <w:sz w:val="28"/>
          <w:szCs w:val="28"/>
        </w:rPr>
        <w:t>espondents</w:t>
      </w:r>
      <w:r w:rsidR="00313B3F">
        <w:rPr>
          <w:sz w:val="28"/>
          <w:szCs w:val="28"/>
        </w:rPr>
        <w:t>”</w:t>
      </w:r>
      <w:r w:rsidR="004314E2" w:rsidRPr="0016287D">
        <w:rPr>
          <w:sz w:val="28"/>
          <w:szCs w:val="28"/>
        </w:rPr>
        <w:t xml:space="preserve"> should be adjusted from 650 to 2,700</w:t>
      </w:r>
      <w:r w:rsidRPr="0016287D">
        <w:rPr>
          <w:sz w:val="28"/>
          <w:szCs w:val="28"/>
        </w:rPr>
        <w:t xml:space="preserve">.  </w:t>
      </w:r>
      <w:r w:rsidR="00313B3F">
        <w:rPr>
          <w:sz w:val="28"/>
          <w:szCs w:val="28"/>
        </w:rPr>
        <w:t>“</w:t>
      </w:r>
      <w:r w:rsidR="004314E2" w:rsidRPr="0016287D">
        <w:rPr>
          <w:sz w:val="28"/>
          <w:szCs w:val="28"/>
        </w:rPr>
        <w:t xml:space="preserve">Total </w:t>
      </w:r>
      <w:r w:rsidR="00313B3F">
        <w:rPr>
          <w:sz w:val="28"/>
          <w:szCs w:val="28"/>
        </w:rPr>
        <w:t>Annual H</w:t>
      </w:r>
      <w:r w:rsidR="004314E2" w:rsidRPr="0016287D">
        <w:rPr>
          <w:sz w:val="28"/>
          <w:szCs w:val="28"/>
        </w:rPr>
        <w:t xml:space="preserve">ours </w:t>
      </w:r>
      <w:r w:rsidR="00313B3F">
        <w:rPr>
          <w:sz w:val="28"/>
          <w:szCs w:val="28"/>
        </w:rPr>
        <w:t>R</w:t>
      </w:r>
      <w:r w:rsidR="004314E2" w:rsidRPr="0016287D">
        <w:rPr>
          <w:sz w:val="28"/>
          <w:szCs w:val="28"/>
        </w:rPr>
        <w:t>equested</w:t>
      </w:r>
      <w:r w:rsidR="00313B3F">
        <w:rPr>
          <w:sz w:val="28"/>
          <w:szCs w:val="28"/>
        </w:rPr>
        <w:t>”</w:t>
      </w:r>
      <w:r w:rsidR="004314E2" w:rsidRPr="0016287D">
        <w:rPr>
          <w:sz w:val="28"/>
          <w:szCs w:val="28"/>
        </w:rPr>
        <w:t xml:space="preserve"> should be adjusted from 1,470 to 2,700.  </w:t>
      </w:r>
      <w:r w:rsidRPr="0016287D">
        <w:rPr>
          <w:sz w:val="28"/>
          <w:szCs w:val="28"/>
        </w:rPr>
        <w:t>T</w:t>
      </w:r>
      <w:r w:rsidR="004314E2" w:rsidRPr="0016287D">
        <w:rPr>
          <w:sz w:val="28"/>
          <w:szCs w:val="28"/>
        </w:rPr>
        <w:t>he cost should be adjusted from 15,000 to 0.</w:t>
      </w:r>
    </w:p>
    <w:p w:rsidR="00B601AB" w:rsidRPr="0016287D" w:rsidRDefault="00B601AB">
      <w:pPr>
        <w:rPr>
          <w:sz w:val="28"/>
          <w:szCs w:val="28"/>
        </w:rPr>
      </w:pPr>
    </w:p>
    <w:p w:rsidR="00B601AB" w:rsidRPr="0016287D" w:rsidRDefault="00F44121">
      <w:pPr>
        <w:rPr>
          <w:sz w:val="28"/>
          <w:szCs w:val="28"/>
        </w:rPr>
      </w:pPr>
      <w:r w:rsidRPr="0016287D">
        <w:rPr>
          <w:sz w:val="28"/>
          <w:szCs w:val="28"/>
        </w:rPr>
        <w:t>16.</w:t>
      </w:r>
      <w:r w:rsidR="00B601AB" w:rsidRPr="0016287D">
        <w:rPr>
          <w:sz w:val="28"/>
          <w:szCs w:val="28"/>
        </w:rPr>
        <w:tab/>
        <w:t>Publication of the relevant information is not anticipated.</w:t>
      </w:r>
    </w:p>
    <w:p w:rsidR="00B601AB" w:rsidRPr="0016287D" w:rsidRDefault="00B601AB">
      <w:pPr>
        <w:rPr>
          <w:sz w:val="28"/>
          <w:szCs w:val="28"/>
        </w:rPr>
      </w:pPr>
    </w:p>
    <w:p w:rsidR="00B601AB" w:rsidRPr="0016287D" w:rsidRDefault="00F44121">
      <w:pPr>
        <w:rPr>
          <w:sz w:val="28"/>
          <w:szCs w:val="28"/>
        </w:rPr>
      </w:pPr>
      <w:r w:rsidRPr="0016287D">
        <w:rPr>
          <w:sz w:val="28"/>
          <w:szCs w:val="28"/>
        </w:rPr>
        <w:t>17.</w:t>
      </w:r>
      <w:r w:rsidR="00B601AB" w:rsidRPr="0016287D">
        <w:rPr>
          <w:sz w:val="28"/>
          <w:szCs w:val="28"/>
        </w:rPr>
        <w:tab/>
      </w:r>
      <w:r w:rsidR="00367B66" w:rsidRPr="0016287D">
        <w:rPr>
          <w:sz w:val="28"/>
          <w:szCs w:val="28"/>
        </w:rPr>
        <w:t>DDTC is planning to display the expiration date for OMB approval of the information collection on the form</w:t>
      </w:r>
      <w:r w:rsidR="00B601AB" w:rsidRPr="0016287D">
        <w:rPr>
          <w:sz w:val="28"/>
          <w:szCs w:val="28"/>
        </w:rPr>
        <w:t>.</w:t>
      </w:r>
    </w:p>
    <w:p w:rsidR="00B601AB" w:rsidRPr="0016287D" w:rsidRDefault="00B601AB">
      <w:pPr>
        <w:rPr>
          <w:sz w:val="28"/>
          <w:szCs w:val="28"/>
        </w:rPr>
      </w:pPr>
    </w:p>
    <w:p w:rsidR="00B601AB" w:rsidRPr="0016287D" w:rsidRDefault="00F44121">
      <w:pPr>
        <w:rPr>
          <w:sz w:val="28"/>
          <w:szCs w:val="28"/>
        </w:rPr>
      </w:pPr>
      <w:r w:rsidRPr="0016287D">
        <w:rPr>
          <w:sz w:val="28"/>
          <w:szCs w:val="28"/>
        </w:rPr>
        <w:t>18.</w:t>
      </w:r>
      <w:r w:rsidR="00367B66" w:rsidRPr="0016287D">
        <w:rPr>
          <w:sz w:val="28"/>
          <w:szCs w:val="28"/>
        </w:rPr>
        <w:tab/>
      </w:r>
      <w:r w:rsidR="00313B3F" w:rsidRPr="00FE0CCD">
        <w:rPr>
          <w:sz w:val="28"/>
          <w:szCs w:val="28"/>
        </w:rPr>
        <w:t xml:space="preserve">The Department of State does not seek any exception to the </w:t>
      </w:r>
      <w:r w:rsidR="00313B3F">
        <w:rPr>
          <w:sz w:val="28"/>
          <w:szCs w:val="28"/>
        </w:rPr>
        <w:t xml:space="preserve">certification </w:t>
      </w:r>
      <w:r w:rsidR="00313B3F" w:rsidRPr="00FE0CCD">
        <w:rPr>
          <w:sz w:val="28"/>
          <w:szCs w:val="28"/>
        </w:rPr>
        <w:t>statement</w:t>
      </w:r>
      <w:r w:rsidR="00B601AB" w:rsidRPr="0016287D">
        <w:rPr>
          <w:sz w:val="28"/>
          <w:szCs w:val="28"/>
        </w:rPr>
        <w:t>.</w:t>
      </w:r>
    </w:p>
    <w:p w:rsidR="00B601AB" w:rsidRPr="0016287D" w:rsidRDefault="00B601AB">
      <w:pPr>
        <w:rPr>
          <w:sz w:val="28"/>
          <w:szCs w:val="28"/>
        </w:rPr>
      </w:pPr>
    </w:p>
    <w:p w:rsidR="00B601AB" w:rsidRPr="0016287D" w:rsidRDefault="00B601AB">
      <w:pPr>
        <w:pStyle w:val="Heading2"/>
        <w:jc w:val="left"/>
        <w:rPr>
          <w:color w:val="auto"/>
          <w:sz w:val="28"/>
          <w:szCs w:val="28"/>
        </w:rPr>
      </w:pPr>
      <w:r w:rsidRPr="0016287D">
        <w:rPr>
          <w:color w:val="auto"/>
          <w:sz w:val="28"/>
          <w:szCs w:val="28"/>
        </w:rPr>
        <w:t>B.  Collections of Information Employing Statistical Methods</w:t>
      </w:r>
    </w:p>
    <w:p w:rsidR="00B601AB" w:rsidRPr="0016287D" w:rsidRDefault="00B601AB">
      <w:pPr>
        <w:jc w:val="center"/>
        <w:rPr>
          <w:b/>
          <w:sz w:val="28"/>
          <w:szCs w:val="28"/>
        </w:rPr>
      </w:pPr>
    </w:p>
    <w:p w:rsidR="00B601AB" w:rsidRPr="0016287D" w:rsidRDefault="00367B66" w:rsidP="002C15BC">
      <w:pPr>
        <w:rPr>
          <w:sz w:val="28"/>
          <w:szCs w:val="28"/>
        </w:rPr>
      </w:pPr>
      <w:r w:rsidRPr="0016287D">
        <w:rPr>
          <w:sz w:val="28"/>
          <w:szCs w:val="28"/>
        </w:rPr>
        <w:tab/>
      </w:r>
      <w:r w:rsidR="00B601AB" w:rsidRPr="0016287D">
        <w:rPr>
          <w:sz w:val="28"/>
          <w:szCs w:val="28"/>
        </w:rPr>
        <w:t>This collection of information does not employ statistical methods.</w:t>
      </w:r>
    </w:p>
    <w:sectPr w:rsidR="00B601AB" w:rsidRPr="0016287D" w:rsidSect="00427A03">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E8" w:rsidRDefault="001E2CE8">
      <w:r>
        <w:separator/>
      </w:r>
    </w:p>
  </w:endnote>
  <w:endnote w:type="continuationSeparator" w:id="0">
    <w:p w:rsidR="001E2CE8" w:rsidRDefault="001E2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C9" w:rsidRDefault="0078314A" w:rsidP="000D7488">
    <w:pPr>
      <w:pStyle w:val="Footer"/>
      <w:framePr w:wrap="around" w:vAnchor="text" w:hAnchor="margin" w:xAlign="center" w:y="1"/>
      <w:rPr>
        <w:rStyle w:val="PageNumber"/>
      </w:rPr>
    </w:pPr>
    <w:r>
      <w:rPr>
        <w:rStyle w:val="PageNumber"/>
      </w:rPr>
      <w:fldChar w:fldCharType="begin"/>
    </w:r>
    <w:r w:rsidR="00A744C9">
      <w:rPr>
        <w:rStyle w:val="PageNumber"/>
      </w:rPr>
      <w:instrText xml:space="preserve">PAGE  </w:instrText>
    </w:r>
    <w:r>
      <w:rPr>
        <w:rStyle w:val="PageNumber"/>
      </w:rPr>
      <w:fldChar w:fldCharType="end"/>
    </w:r>
  </w:p>
  <w:p w:rsidR="00A744C9" w:rsidRDefault="00A744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C9" w:rsidRPr="00750B93" w:rsidRDefault="0078314A" w:rsidP="000D7488">
    <w:pPr>
      <w:pStyle w:val="Footer"/>
      <w:framePr w:wrap="around" w:vAnchor="text" w:hAnchor="margin" w:xAlign="center" w:y="1"/>
      <w:rPr>
        <w:rStyle w:val="PageNumber"/>
        <w:sz w:val="28"/>
        <w:szCs w:val="28"/>
      </w:rPr>
    </w:pPr>
    <w:r w:rsidRPr="00750B93">
      <w:rPr>
        <w:rStyle w:val="PageNumber"/>
        <w:sz w:val="28"/>
        <w:szCs w:val="28"/>
      </w:rPr>
      <w:fldChar w:fldCharType="begin"/>
    </w:r>
    <w:r w:rsidR="00A744C9" w:rsidRPr="00750B93">
      <w:rPr>
        <w:rStyle w:val="PageNumber"/>
        <w:sz w:val="28"/>
        <w:szCs w:val="28"/>
      </w:rPr>
      <w:instrText xml:space="preserve">PAGE  </w:instrText>
    </w:r>
    <w:r w:rsidRPr="00750B93">
      <w:rPr>
        <w:rStyle w:val="PageNumber"/>
        <w:sz w:val="28"/>
        <w:szCs w:val="28"/>
      </w:rPr>
      <w:fldChar w:fldCharType="separate"/>
    </w:r>
    <w:r w:rsidR="002440FD">
      <w:rPr>
        <w:rStyle w:val="PageNumber"/>
        <w:noProof/>
        <w:sz w:val="28"/>
        <w:szCs w:val="28"/>
      </w:rPr>
      <w:t>2</w:t>
    </w:r>
    <w:r w:rsidRPr="00750B93">
      <w:rPr>
        <w:rStyle w:val="PageNumber"/>
        <w:sz w:val="28"/>
        <w:szCs w:val="28"/>
      </w:rPr>
      <w:fldChar w:fldCharType="end"/>
    </w:r>
  </w:p>
  <w:p w:rsidR="00A744C9" w:rsidRDefault="00A744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E8" w:rsidRDefault="001E2CE8">
      <w:r>
        <w:separator/>
      </w:r>
    </w:p>
  </w:footnote>
  <w:footnote w:type="continuationSeparator" w:id="0">
    <w:p w:rsidR="001E2CE8" w:rsidRDefault="001E2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C9" w:rsidRDefault="0078314A">
    <w:pPr>
      <w:pStyle w:val="Header"/>
      <w:framePr w:wrap="around" w:vAnchor="text" w:hAnchor="margin" w:xAlign="center" w:y="1"/>
      <w:rPr>
        <w:rStyle w:val="PageNumber"/>
      </w:rPr>
    </w:pPr>
    <w:r>
      <w:rPr>
        <w:rStyle w:val="PageNumber"/>
      </w:rPr>
      <w:fldChar w:fldCharType="begin"/>
    </w:r>
    <w:r w:rsidR="00A744C9">
      <w:rPr>
        <w:rStyle w:val="PageNumber"/>
      </w:rPr>
      <w:instrText xml:space="preserve">PAGE  </w:instrText>
    </w:r>
    <w:r>
      <w:rPr>
        <w:rStyle w:val="PageNumber"/>
      </w:rPr>
      <w:fldChar w:fldCharType="separate"/>
    </w:r>
    <w:r w:rsidR="00A744C9">
      <w:rPr>
        <w:rStyle w:val="PageNumber"/>
        <w:noProof/>
      </w:rPr>
      <w:t>1</w:t>
    </w:r>
    <w:r>
      <w:rPr>
        <w:rStyle w:val="PageNumber"/>
      </w:rPr>
      <w:fldChar w:fldCharType="end"/>
    </w:r>
  </w:p>
  <w:p w:rsidR="00A744C9" w:rsidRDefault="00A744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4C9" w:rsidRDefault="00A744C9">
    <w:pPr>
      <w:pStyle w:val="Header"/>
      <w:framePr w:wrap="around" w:vAnchor="text" w:hAnchor="margin" w:xAlign="center" w:y="1"/>
      <w:rPr>
        <w:rStyle w:val="PageNumber"/>
      </w:rPr>
    </w:pPr>
  </w:p>
  <w:p w:rsidR="00A744C9" w:rsidRDefault="00A744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368FA"/>
    <w:rsid w:val="000229A8"/>
    <w:rsid w:val="00024497"/>
    <w:rsid w:val="00036EE2"/>
    <w:rsid w:val="00070125"/>
    <w:rsid w:val="00073CDA"/>
    <w:rsid w:val="000C413B"/>
    <w:rsid w:val="000D17F1"/>
    <w:rsid w:val="000D7488"/>
    <w:rsid w:val="000E2F81"/>
    <w:rsid w:val="00112BF4"/>
    <w:rsid w:val="001217D2"/>
    <w:rsid w:val="001277FE"/>
    <w:rsid w:val="0016287D"/>
    <w:rsid w:val="0017357D"/>
    <w:rsid w:val="001743B0"/>
    <w:rsid w:val="001972F8"/>
    <w:rsid w:val="001C2065"/>
    <w:rsid w:val="001E2CE8"/>
    <w:rsid w:val="00202300"/>
    <w:rsid w:val="00205E2C"/>
    <w:rsid w:val="002440FD"/>
    <w:rsid w:val="002A146A"/>
    <w:rsid w:val="002B2345"/>
    <w:rsid w:val="002B3034"/>
    <w:rsid w:val="002C15BC"/>
    <w:rsid w:val="002E65BB"/>
    <w:rsid w:val="00310AD3"/>
    <w:rsid w:val="00313B3F"/>
    <w:rsid w:val="003275FB"/>
    <w:rsid w:val="003368FA"/>
    <w:rsid w:val="00367B66"/>
    <w:rsid w:val="004265D7"/>
    <w:rsid w:val="00427A03"/>
    <w:rsid w:val="004314E2"/>
    <w:rsid w:val="00434CBB"/>
    <w:rsid w:val="0043637A"/>
    <w:rsid w:val="004541FE"/>
    <w:rsid w:val="00457603"/>
    <w:rsid w:val="00473054"/>
    <w:rsid w:val="0048240C"/>
    <w:rsid w:val="004B2241"/>
    <w:rsid w:val="004B51EC"/>
    <w:rsid w:val="004C1523"/>
    <w:rsid w:val="004D153D"/>
    <w:rsid w:val="004E47CD"/>
    <w:rsid w:val="004F5519"/>
    <w:rsid w:val="004F7E50"/>
    <w:rsid w:val="005103D1"/>
    <w:rsid w:val="00514F44"/>
    <w:rsid w:val="00525D3A"/>
    <w:rsid w:val="00535F5B"/>
    <w:rsid w:val="00536876"/>
    <w:rsid w:val="00545138"/>
    <w:rsid w:val="00551311"/>
    <w:rsid w:val="00577015"/>
    <w:rsid w:val="005830BA"/>
    <w:rsid w:val="005D471A"/>
    <w:rsid w:val="005E5350"/>
    <w:rsid w:val="005F4264"/>
    <w:rsid w:val="006045A6"/>
    <w:rsid w:val="00636756"/>
    <w:rsid w:val="00645473"/>
    <w:rsid w:val="006814EC"/>
    <w:rsid w:val="006C203B"/>
    <w:rsid w:val="006C27CF"/>
    <w:rsid w:val="00711B72"/>
    <w:rsid w:val="007171CB"/>
    <w:rsid w:val="00750B93"/>
    <w:rsid w:val="007714CA"/>
    <w:rsid w:val="0078314A"/>
    <w:rsid w:val="00785F80"/>
    <w:rsid w:val="00787FF6"/>
    <w:rsid w:val="00795067"/>
    <w:rsid w:val="007D06AA"/>
    <w:rsid w:val="007E3F9D"/>
    <w:rsid w:val="007F559F"/>
    <w:rsid w:val="00804F33"/>
    <w:rsid w:val="008209B0"/>
    <w:rsid w:val="008211E4"/>
    <w:rsid w:val="00827373"/>
    <w:rsid w:val="00831169"/>
    <w:rsid w:val="00843AA5"/>
    <w:rsid w:val="00844123"/>
    <w:rsid w:val="0084528B"/>
    <w:rsid w:val="0084710A"/>
    <w:rsid w:val="0087613F"/>
    <w:rsid w:val="008967B3"/>
    <w:rsid w:val="00896FD9"/>
    <w:rsid w:val="008B3F63"/>
    <w:rsid w:val="008C1CA9"/>
    <w:rsid w:val="008C556E"/>
    <w:rsid w:val="008D5714"/>
    <w:rsid w:val="008F35BA"/>
    <w:rsid w:val="008F79D4"/>
    <w:rsid w:val="00901C80"/>
    <w:rsid w:val="00907589"/>
    <w:rsid w:val="009672D8"/>
    <w:rsid w:val="00981988"/>
    <w:rsid w:val="00981A55"/>
    <w:rsid w:val="00981BD2"/>
    <w:rsid w:val="009A5553"/>
    <w:rsid w:val="009E01C5"/>
    <w:rsid w:val="00A2480D"/>
    <w:rsid w:val="00A407E0"/>
    <w:rsid w:val="00A70C7D"/>
    <w:rsid w:val="00A744C9"/>
    <w:rsid w:val="00A74CAB"/>
    <w:rsid w:val="00A779C7"/>
    <w:rsid w:val="00AA11F9"/>
    <w:rsid w:val="00AC35C0"/>
    <w:rsid w:val="00AC364C"/>
    <w:rsid w:val="00B025B4"/>
    <w:rsid w:val="00B120FE"/>
    <w:rsid w:val="00B141FA"/>
    <w:rsid w:val="00B176E1"/>
    <w:rsid w:val="00B22D71"/>
    <w:rsid w:val="00B233E8"/>
    <w:rsid w:val="00B33E34"/>
    <w:rsid w:val="00B369C4"/>
    <w:rsid w:val="00B40525"/>
    <w:rsid w:val="00B601AB"/>
    <w:rsid w:val="00B70000"/>
    <w:rsid w:val="00B74D0E"/>
    <w:rsid w:val="00B9212F"/>
    <w:rsid w:val="00BA0413"/>
    <w:rsid w:val="00BA33D5"/>
    <w:rsid w:val="00BB1C81"/>
    <w:rsid w:val="00BB4C13"/>
    <w:rsid w:val="00BD0013"/>
    <w:rsid w:val="00BE26A0"/>
    <w:rsid w:val="00BE4C31"/>
    <w:rsid w:val="00BE745E"/>
    <w:rsid w:val="00C173BB"/>
    <w:rsid w:val="00C459D3"/>
    <w:rsid w:val="00CA65B0"/>
    <w:rsid w:val="00CB2118"/>
    <w:rsid w:val="00D17314"/>
    <w:rsid w:val="00D25DAD"/>
    <w:rsid w:val="00D312A3"/>
    <w:rsid w:val="00D43D78"/>
    <w:rsid w:val="00D72557"/>
    <w:rsid w:val="00D72DCB"/>
    <w:rsid w:val="00D91F3C"/>
    <w:rsid w:val="00DC7E4D"/>
    <w:rsid w:val="00DD3C8C"/>
    <w:rsid w:val="00E11EF5"/>
    <w:rsid w:val="00E513BD"/>
    <w:rsid w:val="00E63A6C"/>
    <w:rsid w:val="00E654F7"/>
    <w:rsid w:val="00E676F1"/>
    <w:rsid w:val="00E720B1"/>
    <w:rsid w:val="00EE251A"/>
    <w:rsid w:val="00EE2C33"/>
    <w:rsid w:val="00EF2D80"/>
    <w:rsid w:val="00F036AC"/>
    <w:rsid w:val="00F13BA4"/>
    <w:rsid w:val="00F178A7"/>
    <w:rsid w:val="00F24B83"/>
    <w:rsid w:val="00F30B5B"/>
    <w:rsid w:val="00F44121"/>
    <w:rsid w:val="00F81813"/>
    <w:rsid w:val="00FE01C2"/>
    <w:rsid w:val="00FE1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 w:type="character" w:styleId="CommentReference">
    <w:name w:val="annotation reference"/>
    <w:basedOn w:val="DefaultParagraphFont"/>
    <w:rsid w:val="00205E2C"/>
    <w:rPr>
      <w:sz w:val="16"/>
      <w:szCs w:val="16"/>
    </w:rPr>
  </w:style>
  <w:style w:type="paragraph" w:styleId="CommentText">
    <w:name w:val="annotation text"/>
    <w:basedOn w:val="Normal"/>
    <w:link w:val="CommentTextChar"/>
    <w:rsid w:val="00205E2C"/>
    <w:rPr>
      <w:sz w:val="20"/>
    </w:rPr>
  </w:style>
  <w:style w:type="character" w:customStyle="1" w:styleId="CommentTextChar">
    <w:name w:val="Comment Text Char"/>
    <w:basedOn w:val="DefaultParagraphFont"/>
    <w:link w:val="CommentText"/>
    <w:rsid w:val="00205E2C"/>
  </w:style>
  <w:style w:type="paragraph" w:styleId="CommentSubject">
    <w:name w:val="annotation subject"/>
    <w:basedOn w:val="CommentText"/>
    <w:next w:val="CommentText"/>
    <w:link w:val="CommentSubjectChar"/>
    <w:rsid w:val="00205E2C"/>
    <w:rPr>
      <w:b/>
      <w:bCs/>
    </w:rPr>
  </w:style>
  <w:style w:type="character" w:customStyle="1" w:styleId="CommentSubjectChar">
    <w:name w:val="Comment Subject Char"/>
    <w:basedOn w:val="CommentTextChar"/>
    <w:link w:val="CommentSubject"/>
    <w:rsid w:val="00205E2C"/>
    <w:rPr>
      <w:b/>
      <w:bCs/>
    </w:rPr>
  </w:style>
</w:styles>
</file>

<file path=word/webSettings.xml><?xml version="1.0" encoding="utf-8"?>
<w:webSettings xmlns:r="http://schemas.openxmlformats.org/officeDocument/2006/relationships" xmlns:w="http://schemas.openxmlformats.org/wordprocessingml/2006/main">
  <w:divs>
    <w:div w:id="20673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0B44A-FF0E-426F-931A-79C64A9CC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1298</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 </Company>
  <LinksUpToDate>false</LinksUpToDate>
  <CharactersWithSpaces>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subject/>
  <dc:creator>Lana Chumley</dc:creator>
  <cp:keywords/>
  <cp:lastModifiedBy>delaneykt</cp:lastModifiedBy>
  <cp:revision>4</cp:revision>
  <cp:lastPrinted>2001-10-31T14:22:00Z</cp:lastPrinted>
  <dcterms:created xsi:type="dcterms:W3CDTF">2012-10-10T13:24:00Z</dcterms:created>
  <dcterms:modified xsi:type="dcterms:W3CDTF">2012-10-10T16:16:00Z</dcterms:modified>
</cp:coreProperties>
</file>