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075" w:rsidRDefault="00140897" w:rsidP="001A69A7">
      <w:pPr>
        <w:pStyle w:val="Title"/>
        <w:ind w:firstLine="720"/>
        <w:jc w:val="right"/>
        <w:rPr>
          <w:sz w:val="28"/>
        </w:rPr>
      </w:pPr>
      <w:r>
        <w:rPr>
          <w:sz w:val="28"/>
        </w:rPr>
        <w:t xml:space="preserve">February </w:t>
      </w:r>
      <w:r w:rsidR="00B65EEC">
        <w:rPr>
          <w:sz w:val="28"/>
        </w:rPr>
        <w:t>25</w:t>
      </w:r>
      <w:r>
        <w:rPr>
          <w:sz w:val="28"/>
        </w:rPr>
        <w:t>, 2013</w:t>
      </w:r>
    </w:p>
    <w:p w:rsidR="00D5719F" w:rsidRPr="00145653" w:rsidRDefault="00D5719F" w:rsidP="001A69A7">
      <w:pPr>
        <w:pStyle w:val="Title"/>
        <w:ind w:firstLine="720"/>
        <w:jc w:val="right"/>
        <w:rPr>
          <w:sz w:val="28"/>
        </w:rPr>
      </w:pPr>
    </w:p>
    <w:p w:rsidR="00817075" w:rsidRDefault="00817075" w:rsidP="001A69A7">
      <w:pPr>
        <w:pStyle w:val="Title"/>
      </w:pPr>
    </w:p>
    <w:p w:rsidR="00817075" w:rsidRDefault="00817075" w:rsidP="001A69A7">
      <w:pPr>
        <w:pStyle w:val="Title"/>
        <w:rPr>
          <w:rFonts w:ascii="Arial" w:hAnsi="Arial" w:cs="Arial"/>
        </w:rPr>
      </w:pPr>
      <w:r w:rsidRPr="007263B4">
        <w:rPr>
          <w:rFonts w:ascii="Arial" w:hAnsi="Arial" w:cs="Arial"/>
        </w:rPr>
        <w:t xml:space="preserve">Supporting Statement for </w:t>
      </w:r>
    </w:p>
    <w:p w:rsidR="00817075" w:rsidRPr="007263B4" w:rsidRDefault="00817075" w:rsidP="001A69A7">
      <w:pPr>
        <w:pStyle w:val="Title"/>
        <w:rPr>
          <w:rFonts w:ascii="Arial" w:hAnsi="Arial" w:cs="Arial"/>
          <w:color w:val="FF0000"/>
          <w:sz w:val="28"/>
        </w:rPr>
      </w:pPr>
      <w:r w:rsidRPr="007263B4">
        <w:rPr>
          <w:rFonts w:ascii="Arial" w:hAnsi="Arial" w:cs="Arial"/>
        </w:rPr>
        <w:t>Paperwork Reduction Act Submissions</w:t>
      </w:r>
    </w:p>
    <w:p w:rsidR="00817075" w:rsidRDefault="00817075">
      <w:pPr>
        <w:tabs>
          <w:tab w:val="left" w:pos="-720"/>
        </w:tabs>
        <w:suppressAutoHyphens/>
        <w:rPr>
          <w:b/>
          <w:sz w:val="28"/>
        </w:rPr>
      </w:pPr>
    </w:p>
    <w:p w:rsidR="00817075" w:rsidRDefault="00817075">
      <w:pPr>
        <w:tabs>
          <w:tab w:val="left" w:pos="-720"/>
        </w:tabs>
        <w:suppressAutoHyphens/>
        <w:rPr>
          <w:b/>
          <w:sz w:val="28"/>
        </w:rPr>
      </w:pPr>
      <w:r>
        <w:rPr>
          <w:b/>
          <w:sz w:val="28"/>
        </w:rPr>
        <w:t>OMB Control Number:  1660 – 0009</w:t>
      </w:r>
    </w:p>
    <w:p w:rsidR="00817075" w:rsidRDefault="00817075">
      <w:pPr>
        <w:tabs>
          <w:tab w:val="left" w:pos="-720"/>
        </w:tabs>
        <w:suppressAutoHyphens/>
        <w:rPr>
          <w:b/>
          <w:sz w:val="28"/>
        </w:rPr>
      </w:pPr>
    </w:p>
    <w:p w:rsidR="00817075" w:rsidRDefault="00817075" w:rsidP="00C95ADC">
      <w:pPr>
        <w:tabs>
          <w:tab w:val="left" w:pos="-720"/>
        </w:tabs>
        <w:suppressAutoHyphens/>
        <w:rPr>
          <w:b/>
          <w:sz w:val="28"/>
        </w:rPr>
      </w:pPr>
      <w:r>
        <w:rPr>
          <w:b/>
          <w:sz w:val="28"/>
        </w:rPr>
        <w:t xml:space="preserve">Title: The Declaration Process: Requests for Preliminary Damage Assessment (PDA), Requests for </w:t>
      </w:r>
      <w:r w:rsidR="00F05E92">
        <w:rPr>
          <w:b/>
          <w:sz w:val="28"/>
        </w:rPr>
        <w:t>S</w:t>
      </w:r>
      <w:r>
        <w:rPr>
          <w:b/>
          <w:sz w:val="28"/>
        </w:rPr>
        <w:t xml:space="preserve">upplemental Federal </w:t>
      </w:r>
      <w:r w:rsidR="00F05E92">
        <w:rPr>
          <w:b/>
          <w:sz w:val="28"/>
        </w:rPr>
        <w:t>D</w:t>
      </w:r>
      <w:r>
        <w:rPr>
          <w:b/>
          <w:sz w:val="28"/>
        </w:rPr>
        <w:t xml:space="preserve">isaster </w:t>
      </w:r>
      <w:r w:rsidR="00F05E92">
        <w:rPr>
          <w:b/>
          <w:sz w:val="28"/>
        </w:rPr>
        <w:t>A</w:t>
      </w:r>
      <w:r>
        <w:rPr>
          <w:b/>
          <w:sz w:val="28"/>
        </w:rPr>
        <w:t>ssistance, Appeals, and Requests for Cost Share Adjustments</w:t>
      </w:r>
    </w:p>
    <w:p w:rsidR="00817075" w:rsidRDefault="00817075">
      <w:pPr>
        <w:tabs>
          <w:tab w:val="left" w:pos="-720"/>
        </w:tabs>
        <w:suppressAutoHyphens/>
        <w:rPr>
          <w:b/>
          <w:sz w:val="28"/>
        </w:rPr>
      </w:pPr>
    </w:p>
    <w:p w:rsidR="00817075" w:rsidRDefault="00817075">
      <w:pPr>
        <w:tabs>
          <w:tab w:val="left" w:pos="-720"/>
        </w:tabs>
        <w:suppressAutoHyphens/>
        <w:rPr>
          <w:sz w:val="28"/>
        </w:rPr>
      </w:pPr>
      <w:r>
        <w:rPr>
          <w:b/>
          <w:sz w:val="28"/>
        </w:rPr>
        <w:t>Form Number(s):  FEMA Form 010-0-1</w:t>
      </w:r>
      <w:r w:rsidR="001C43E4">
        <w:rPr>
          <w:b/>
          <w:sz w:val="28"/>
        </w:rPr>
        <w:t>3</w:t>
      </w:r>
    </w:p>
    <w:p w:rsidR="00817075" w:rsidRDefault="00817075">
      <w:pPr>
        <w:tabs>
          <w:tab w:val="left" w:pos="-720"/>
        </w:tabs>
        <w:suppressAutoHyphens/>
      </w:pPr>
    </w:p>
    <w:p w:rsidR="00817075" w:rsidRDefault="00817075">
      <w:pPr>
        <w:pStyle w:val="Heading1"/>
      </w:pPr>
      <w:r>
        <w:t>Specific Instructions</w:t>
      </w:r>
    </w:p>
    <w:p w:rsidR="00817075" w:rsidRDefault="00817075">
      <w:pPr>
        <w:tabs>
          <w:tab w:val="left" w:pos="-720"/>
        </w:tabs>
        <w:suppressAutoHyphens/>
      </w:pPr>
    </w:p>
    <w:p w:rsidR="00817075" w:rsidRDefault="00817075">
      <w:pPr>
        <w:pStyle w:val="Heading1"/>
        <w:rPr>
          <w:sz w:val="24"/>
        </w:rPr>
      </w:pPr>
      <w:r>
        <w:t>A.  Justification</w:t>
      </w:r>
    </w:p>
    <w:p w:rsidR="00817075" w:rsidRDefault="00817075"/>
    <w:p w:rsidR="00817075" w:rsidRDefault="00AE2D4C" w:rsidP="00232C69">
      <w:pPr>
        <w:numPr>
          <w:ilvl w:val="0"/>
          <w:numId w:val="10"/>
        </w:numPr>
        <w:rPr>
          <w:b/>
          <w:bCs/>
        </w:rPr>
      </w:pPr>
      <w:r>
        <w:rPr>
          <w:b/>
          <w:bCs/>
        </w:rPr>
        <w:fldChar w:fldCharType="begin"/>
      </w:r>
      <w:r w:rsidR="00817075">
        <w:rPr>
          <w:b/>
          <w:bCs/>
        </w:rPr>
        <w:instrText>ADVANCE \R 0.95</w:instrText>
      </w:r>
      <w:r>
        <w:rPr>
          <w:b/>
          <w:bCs/>
        </w:rPr>
        <w:fldChar w:fldCharType="end"/>
      </w:r>
      <w:r w:rsidR="00817075">
        <w:rPr>
          <w:b/>
          <w:bCs/>
        </w:rPr>
        <w:t>Explain the circumstances that make the collection of information necessary</w:t>
      </w:r>
      <w:r w:rsidR="00817075">
        <w:rPr>
          <w:b/>
          <w:bCs/>
          <w:color w:val="000000"/>
        </w:rPr>
        <w:t>.</w:t>
      </w:r>
      <w:r w:rsidR="00817075">
        <w:rPr>
          <w:b/>
          <w:bCs/>
        </w:rPr>
        <w:t xml:space="preserve"> </w:t>
      </w:r>
    </w:p>
    <w:p w:rsidR="00817075" w:rsidRDefault="00817075" w:rsidP="00232C69">
      <w:pPr>
        <w:rPr>
          <w:b/>
          <w:bCs/>
          <w:color w:val="000000"/>
        </w:rPr>
      </w:pPr>
      <w:r>
        <w:rPr>
          <w:b/>
          <w:bCs/>
        </w:rPr>
        <w:t xml:space="preserve">Identify any legal 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817075" w:rsidRDefault="00817075" w:rsidP="00232C69">
      <w:pPr>
        <w:rPr>
          <w:b/>
          <w:bCs/>
          <w:color w:val="000000"/>
        </w:rPr>
      </w:pPr>
    </w:p>
    <w:p w:rsidR="00817075" w:rsidRDefault="00817075" w:rsidP="00E50C0D">
      <w:pPr>
        <w:tabs>
          <w:tab w:val="left" w:pos="-720"/>
        </w:tabs>
        <w:suppressAutoHyphens/>
        <w:rPr>
          <w:color w:val="000000"/>
        </w:rPr>
      </w:pPr>
      <w:r w:rsidRPr="00FD5051">
        <w:t xml:space="preserve">The </w:t>
      </w:r>
      <w:r w:rsidRPr="00FD5051">
        <w:rPr>
          <w:color w:val="000000"/>
        </w:rPr>
        <w:t>Robert T. Stafford Disaster Relief and Emergency Assistance Act, 42 U.S.C. §§ 5121-5207 (the Stafford Act), requires that all requests for a declaration by the President that a major disaster or emergency exists shall be made by the Governor of the affected State.  Section 401 of the Act stipulates that such a request shall be based on a finding that the disaster is of such severity and magnitude that effective response is beyond the capabilities of the State and the affected local government, and that Federal assistance is necessary.  Section 401 further stipulates that as a part of such request, and as a prerequisite to major disaster assistance under this Act, the Governor shall take appropriate response action under State law and direct the execution of the State’s emergency plan and shall furnish specific information that must be included in a request for a major disaster declaration.  Section 401 stipulates that the request must include specific information on the nature and amount of State and local resources which have been or will be committed to alleviate the results of the disaster.  Section 501(a) requires</w:t>
      </w:r>
      <w:r>
        <w:rPr>
          <w:color w:val="000000"/>
        </w:rPr>
        <w:t xml:space="preserve"> the same information to be provided in requests for declarations of an emergency.  The processes for requests for emergency or major disaster declarations are set forth in further detail in </w:t>
      </w:r>
      <w:r w:rsidRPr="00473A9F">
        <w:t xml:space="preserve">44 C.F.R. §§ 206.35 and 206.36.  </w:t>
      </w:r>
      <w:r w:rsidRPr="00473A9F">
        <w:rPr>
          <w:color w:val="000000"/>
        </w:rPr>
        <w:t>Section 403 (c)</w:t>
      </w:r>
      <w:r>
        <w:rPr>
          <w:color w:val="000000"/>
        </w:rPr>
        <w:t xml:space="preserve"> of the Act stipulates that in the aftermath of an incident that may qualify under title IV of this Act, the Governor may request the President to direct the Secretary of Defense to utilize resources of the Department of Defense for the purposes of performing on public and private lands any </w:t>
      </w:r>
      <w:r>
        <w:rPr>
          <w:color w:val="000000"/>
        </w:rPr>
        <w:lastRenderedPageBreak/>
        <w:t xml:space="preserve">emergency work which is essential to save lives and protect property.  Information required to process a request under this section is set forth in </w:t>
      </w:r>
      <w:r w:rsidRPr="00473A9F">
        <w:rPr>
          <w:color w:val="000000"/>
        </w:rPr>
        <w:t>44 C.F.R.§ 206.34.</w:t>
      </w:r>
      <w:r>
        <w:rPr>
          <w:color w:val="000000"/>
        </w:rPr>
        <w:t xml:space="preserve">  In the event that a Governor’s request for supplemental Federal assistance is denied, the Governor may appeal this denial under the provisions set forth in </w:t>
      </w:r>
      <w:r w:rsidRPr="00473A9F">
        <w:rPr>
          <w:color w:val="000000"/>
        </w:rPr>
        <w:t>44 C.F.R. § 206.46.</w:t>
      </w:r>
      <w:r>
        <w:rPr>
          <w:color w:val="000000"/>
        </w:rPr>
        <w:t xml:space="preserve">  Pursuant to  </w:t>
      </w:r>
      <w:r w:rsidRPr="00473A9F">
        <w:rPr>
          <w:color w:val="000000"/>
        </w:rPr>
        <w:t>44 C.F.R. § 206.47,</w:t>
      </w:r>
      <w:r>
        <w:rPr>
          <w:color w:val="000000"/>
        </w:rPr>
        <w:t xml:space="preserve"> a Governor may request an adjustment of the 75 percent Federal share of the eligible cost of </w:t>
      </w:r>
      <w:r w:rsidRPr="00FD5051">
        <w:rPr>
          <w:color w:val="000000"/>
        </w:rPr>
        <w:t>permanent restorative work under Section 406 of the Stafford Act and for emergency work under Section 403 and Section 407 of the Stafford Act</w:t>
      </w:r>
      <w:r w:rsidR="00494F33">
        <w:rPr>
          <w:color w:val="000000"/>
        </w:rPr>
        <w:t>.</w:t>
      </w:r>
    </w:p>
    <w:p w:rsidR="00140897" w:rsidRPr="00140897" w:rsidRDefault="00140897" w:rsidP="00E50C0D">
      <w:pPr>
        <w:tabs>
          <w:tab w:val="left" w:pos="-720"/>
        </w:tabs>
        <w:suppressAutoHyphens/>
      </w:pPr>
    </w:p>
    <w:p w:rsidR="00140897" w:rsidRPr="00140897" w:rsidRDefault="00140897" w:rsidP="00E50C0D">
      <w:pPr>
        <w:tabs>
          <w:tab w:val="left" w:pos="-720"/>
        </w:tabs>
        <w:suppressAutoHyphens/>
      </w:pPr>
      <w:r w:rsidRPr="00140897">
        <w:t>As a result of passage of Section 1110 of the Sandy Recovery Improvement Act of 2013 (P.L. 113-2), federally recognized tribes may also</w:t>
      </w:r>
      <w:r>
        <w:t xml:space="preserve"> submit requests for disaster declarations.  The same form is used for both states and tribes.  Previously, a state could make requests on behalf of tribes.    </w:t>
      </w:r>
      <w:r w:rsidRPr="00140897">
        <w:t xml:space="preserve"> </w:t>
      </w:r>
    </w:p>
    <w:p w:rsidR="00817075" w:rsidRDefault="00817075">
      <w:pPr>
        <w:rPr>
          <w:spacing w:val="-3"/>
          <w:u w:val="single"/>
        </w:rPr>
      </w:pPr>
    </w:p>
    <w:p w:rsidR="00817075" w:rsidRDefault="00AE2D4C">
      <w:pPr>
        <w:rPr>
          <w:b/>
          <w:bCs/>
          <w:color w:val="000000"/>
        </w:rPr>
      </w:pPr>
      <w:r>
        <w:rPr>
          <w:b/>
          <w:bCs/>
        </w:rPr>
        <w:fldChar w:fldCharType="begin"/>
      </w:r>
      <w:r w:rsidR="00817075">
        <w:rPr>
          <w:b/>
          <w:bCs/>
        </w:rPr>
        <w:instrText>ADVANCE \R 0.95</w:instrText>
      </w:r>
      <w:r>
        <w:rPr>
          <w:b/>
          <w:bCs/>
        </w:rPr>
        <w:fldChar w:fldCharType="end"/>
      </w:r>
      <w:r w:rsidR="00817075">
        <w:rPr>
          <w:b/>
          <w:bCs/>
        </w:rPr>
        <w:t xml:space="preserve">2.  Indicate how, by whom, and for what purpose the information is to be used.  Except for a new collection, indicate the actual use the agency has made of the information received from the current collection. </w:t>
      </w:r>
      <w:r w:rsidR="00817075">
        <w:rPr>
          <w:b/>
          <w:bCs/>
          <w:color w:val="0000FF"/>
        </w:rPr>
        <w:t xml:space="preserve"> </w:t>
      </w:r>
      <w:r w:rsidR="00817075">
        <w:rPr>
          <w:b/>
          <w:bCs/>
          <w:color w:val="000000"/>
        </w:rPr>
        <w:t>Provide a detailed description of: how the information will be shared, if applicable, and for</w:t>
      </w:r>
      <w:r w:rsidR="00817075">
        <w:rPr>
          <w:b/>
          <w:bCs/>
          <w:color w:val="0000FF"/>
        </w:rPr>
        <w:t xml:space="preserve"> </w:t>
      </w:r>
      <w:r w:rsidR="00817075">
        <w:rPr>
          <w:b/>
          <w:bCs/>
          <w:color w:val="000000"/>
        </w:rPr>
        <w:t>what programmatic purpose.</w:t>
      </w:r>
    </w:p>
    <w:p w:rsidR="00817075" w:rsidRDefault="00817075">
      <w:pPr>
        <w:rPr>
          <w:b/>
          <w:bCs/>
          <w:color w:val="000000"/>
        </w:rPr>
      </w:pPr>
      <w:r>
        <w:rPr>
          <w:b/>
          <w:bCs/>
          <w:color w:val="000000"/>
        </w:rPr>
        <w:t xml:space="preserve">   </w:t>
      </w:r>
    </w:p>
    <w:p w:rsidR="00817075" w:rsidRDefault="00817075">
      <w:r>
        <w:t xml:space="preserve">This collection includes a FEMA Form 010-0-13, Request for Presidential Disaster Declaration Major Disaster or Emergency which asks for the same data that were stated and required in the previous narrative Governor’s requests to the President requesting for supplemental Federal assistance, through the appropriate Regional Administrator, combined with the findings of a joint FEMA, State and local Preliminary Damage Assessment (PDA).  </w:t>
      </w:r>
      <w:r w:rsidR="00D5719F">
        <w:t xml:space="preserve">This form was approved for use in June 2012 via emergency processing request.  </w:t>
      </w:r>
      <w:r>
        <w:t>The PDA is analyzed and provides the basis for a Regional Summary, Analysis, and Recommendation, which is submitted to the Assistant Administrator of the Disaster Assistance Directorate.  The information is reviewed and evaluated and the Administrator formulates a recommendation which is submitted to the President for consideration of a disaster or emergency declaration.  The new FEMA form eliminates the need for follow-up communications and reporting during a declaration request</w:t>
      </w:r>
      <w:r w:rsidR="0033058C">
        <w:t>.</w:t>
      </w:r>
    </w:p>
    <w:p w:rsidR="00817075" w:rsidRDefault="00817075"/>
    <w:p w:rsidR="00C460EA" w:rsidRPr="00517B1D" w:rsidRDefault="00817075" w:rsidP="00C460EA">
      <w:r>
        <w:t>Information gathered for the PDA is done primarily by state employees with the assistance of FEMA.  Most of the information gathered for and comprising the PDA is observations of damages and statistics gathered by the state for other purposes such as number of people without electricity or water.  The state already gathers this information irrespective of its PDA and declaration request.</w:t>
      </w:r>
      <w:r w:rsidR="00C460EA">
        <w:t xml:space="preserve"> </w:t>
      </w:r>
      <w:r w:rsidR="00C460EA" w:rsidRPr="00517B1D">
        <w:t>Information related to Public Assistance and Individual Assistance is collected through separate damage assessments teams and processes. The Preliminary Damage Assessment</w:t>
      </w:r>
      <w:r w:rsidR="005926C1">
        <w:t xml:space="preserve"> (PDA)</w:t>
      </w:r>
      <w:r w:rsidR="00C460EA" w:rsidRPr="00517B1D">
        <w:t xml:space="preserve"> for Individual Assistance is a part of this collection but is not subjected to the Paperwork Reduction Act and there is no burden on the public. There are four (4) official FEMA PDA forms:</w:t>
      </w:r>
    </w:p>
    <w:p w:rsidR="00C460EA" w:rsidRPr="00517B1D" w:rsidRDefault="00C460EA" w:rsidP="00C460EA">
      <w:r w:rsidRPr="00517B1D">
        <w:rPr>
          <w:b/>
        </w:rPr>
        <w:t>Detailed Street Sheet</w:t>
      </w:r>
      <w:r w:rsidRPr="00517B1D">
        <w:t xml:space="preserve"> – To be used during a windshield/foot PDA when the inspectors have the capability of capturing addresses and surveying the damage on the ground.</w:t>
      </w:r>
    </w:p>
    <w:p w:rsidR="00C460EA" w:rsidRPr="00517B1D" w:rsidRDefault="00C460EA" w:rsidP="00C460EA">
      <w:r w:rsidRPr="00517B1D">
        <w:rPr>
          <w:b/>
        </w:rPr>
        <w:t>Summary Sheet</w:t>
      </w:r>
      <w:r w:rsidRPr="00517B1D">
        <w:t xml:space="preserve"> – To be used in conjunction with the Street Sheet to add multiple</w:t>
      </w:r>
    </w:p>
    <w:p w:rsidR="00C460EA" w:rsidRPr="00517B1D" w:rsidRDefault="00C460EA" w:rsidP="00C460EA">
      <w:r w:rsidRPr="00517B1D">
        <w:lastRenderedPageBreak/>
        <w:t>pages into one total result.</w:t>
      </w:r>
    </w:p>
    <w:p w:rsidR="00C460EA" w:rsidRPr="00517B1D" w:rsidRDefault="00C460EA" w:rsidP="00C460EA">
      <w:r w:rsidRPr="00517B1D">
        <w:rPr>
          <w:b/>
        </w:rPr>
        <w:t>Tick Sheet</w:t>
      </w:r>
      <w:r w:rsidRPr="00517B1D">
        <w:t xml:space="preserve"> – To be used during an aerial PDA or when the volume of homes is such</w:t>
      </w:r>
    </w:p>
    <w:p w:rsidR="00C460EA" w:rsidRPr="00517B1D" w:rsidRDefault="00C460EA" w:rsidP="00C460EA">
      <w:r w:rsidRPr="00517B1D">
        <w:t>that the street sheet is unnecessarily time consuming.</w:t>
      </w:r>
    </w:p>
    <w:p w:rsidR="00C460EA" w:rsidRPr="00517B1D" w:rsidRDefault="00C460EA" w:rsidP="00C460EA">
      <w:r w:rsidRPr="00517B1D">
        <w:rPr>
          <w:b/>
        </w:rPr>
        <w:t>Narrative Report</w:t>
      </w:r>
      <w:r w:rsidRPr="00517B1D">
        <w:t xml:space="preserve"> – To be used during the briefing with the State, Tribal, and local</w:t>
      </w:r>
    </w:p>
    <w:p w:rsidR="00C460EA" w:rsidRPr="00517B1D" w:rsidRDefault="00C460EA" w:rsidP="00C460EA">
      <w:r w:rsidRPr="00517B1D">
        <w:t>officials to capture information that paints the full picture of the disaster. This form is</w:t>
      </w:r>
    </w:p>
    <w:p w:rsidR="00817075" w:rsidRPr="00517B1D" w:rsidRDefault="00C460EA" w:rsidP="00C460EA">
      <w:r w:rsidRPr="00517B1D">
        <w:t xml:space="preserve">just as important as recording the hard count numbers. </w:t>
      </w:r>
      <w:r w:rsidR="00553792" w:rsidRPr="00517B1D">
        <w:t xml:space="preserve">All four of these </w:t>
      </w:r>
      <w:r w:rsidRPr="00517B1D">
        <w:t>forms will be completed by FEMA personnel or contractors only. See attached document title: Preliminary Damage Assessment for Individual Assistance Operations Manual.</w:t>
      </w:r>
      <w:r w:rsidR="00817075" w:rsidRPr="00517B1D">
        <w:t xml:space="preserve">  </w:t>
      </w:r>
    </w:p>
    <w:p w:rsidR="00817075" w:rsidRPr="00517B1D" w:rsidRDefault="00817075" w:rsidP="00AE3F58"/>
    <w:p w:rsidR="00817075" w:rsidRDefault="00817075" w:rsidP="00AE3F58">
      <w:r w:rsidRPr="00517B1D">
        <w:t xml:space="preserve">FEMA publishes PDA information on its website within 30 days after a determination is made on a declaration request or appeal.  The information contained in the Regional Summary, Analysis, and Recommendation, </w:t>
      </w:r>
      <w:r w:rsidRPr="00517B1D">
        <w:rPr>
          <w:bCs/>
        </w:rPr>
        <w:t>is only releasable to the extent it contains factual information; all opinions, recommendations, conclusions and otherwise deliberative information are protected</w:t>
      </w:r>
      <w:r w:rsidRPr="00517B1D">
        <w:t xml:space="preserve"> under FOIA Exemption 5, 5 U.S.C. § 552(b) (5).  Documents that are inter-agency or intra-agency, which would not be available by law to a party other than an agency in litigation with the agency, are exempt from disclosure.  These records are part of the deliberative process in that they are pre-</w:t>
      </w:r>
      <w:r w:rsidRPr="00FA62B6">
        <w:t>decisional in nature.</w:t>
      </w:r>
    </w:p>
    <w:p w:rsidR="00817075" w:rsidRDefault="00817075" w:rsidP="00AE3F58"/>
    <w:p w:rsidR="00817075" w:rsidRDefault="00817075">
      <w:r w:rsidRPr="006F2927">
        <w:t>Pursuant to 44 C.F.R. § 206.46 the Governor may appeal the denial of a major disaster or emergency request.  The appeal must be submitted, in writing, within 30 days of the date of the letter denying the original request.  This is a one-time request for reconsideration which follows the same process as the original declaration request:  the Governor submits the appeal, including any additional relevant information, to the Regional Administrator, the RA makes a recommendation to FEMA HQ, and FEMA HQ makes a recommendation to the President.</w:t>
      </w:r>
    </w:p>
    <w:p w:rsidR="00351123" w:rsidRDefault="00351123" w:rsidP="00351123"/>
    <w:p w:rsidR="00817075" w:rsidRDefault="00AE2D4C">
      <w:pPr>
        <w:rPr>
          <w:b/>
          <w:bCs/>
        </w:rPr>
      </w:pPr>
      <w:r>
        <w:rPr>
          <w:b/>
          <w:bCs/>
        </w:rPr>
        <w:fldChar w:fldCharType="begin"/>
      </w:r>
      <w:r w:rsidR="00817075">
        <w:rPr>
          <w:b/>
          <w:bCs/>
        </w:rPr>
        <w:instrText>ADVANCE \R 0.95</w:instrText>
      </w:r>
      <w:r>
        <w:rPr>
          <w:b/>
          <w:bCs/>
        </w:rPr>
        <w:fldChar w:fldCharType="end"/>
      </w:r>
      <w:r w:rsidR="00817075">
        <w:rPr>
          <w:b/>
          <w:bCs/>
        </w:rPr>
        <w:t xml:space="preserve">3.  Describe whether, and to what extent, the collection of information involves the use of automated, electronic, mechanical, or other technological collection techniques or other forms of information technology, e.g., permitting </w:t>
      </w:r>
      <w:r w:rsidR="00817075">
        <w:rPr>
          <w:b/>
          <w:bCs/>
        </w:rPr>
        <w:tab/>
        <w:t xml:space="preserve">electronic submission of responses, and the basis for the decision for adopting this means of collection.  Also describe any consideration of using information technology to reduce burden. </w:t>
      </w:r>
    </w:p>
    <w:p w:rsidR="00817075" w:rsidRDefault="00817075">
      <w:pPr>
        <w:rPr>
          <w:b/>
          <w:bCs/>
        </w:rPr>
      </w:pPr>
    </w:p>
    <w:p w:rsidR="00817075" w:rsidRDefault="00817075" w:rsidP="007B3957">
      <w:pPr>
        <w:rPr>
          <w:bCs/>
        </w:rPr>
      </w:pPr>
      <w:r>
        <w:rPr>
          <w:bCs/>
        </w:rPr>
        <w:t>Information in the Request for Presidential Disaster Declaration Major Disaster or Emergency form is received electronically via e-mail.  All documentation is submitted in PDF format.  Original signatures are required to be maintained for each request, and are mailed in separately.</w:t>
      </w:r>
    </w:p>
    <w:p w:rsidR="00817075" w:rsidRPr="00BE7817" w:rsidRDefault="00817075" w:rsidP="007B3957">
      <w:pPr>
        <w:rPr>
          <w:bCs/>
        </w:rPr>
      </w:pPr>
    </w:p>
    <w:p w:rsidR="00817075" w:rsidRDefault="00AE2D4C">
      <w:pPr>
        <w:rPr>
          <w:b/>
          <w:bCs/>
        </w:rPr>
      </w:pPr>
      <w:r>
        <w:fldChar w:fldCharType="begin"/>
      </w:r>
      <w:r w:rsidR="00817075">
        <w:instrText>ADVANCE \R 0.95</w:instrText>
      </w:r>
      <w:r>
        <w:fldChar w:fldCharType="end"/>
      </w:r>
      <w:r w:rsidR="00817075">
        <w:rPr>
          <w:b/>
          <w:bCs/>
        </w:rPr>
        <w:t xml:space="preserve">4.  Describe efforts to identify duplication.   Show specifically why any similar information already available cannot be used or modified for use for the purposes described in Item 2 above.  </w:t>
      </w:r>
    </w:p>
    <w:p w:rsidR="00817075" w:rsidRDefault="00817075">
      <w:pPr>
        <w:rPr>
          <w:b/>
          <w:bCs/>
        </w:rPr>
      </w:pPr>
    </w:p>
    <w:p w:rsidR="00817075" w:rsidRDefault="00817075">
      <w:r>
        <w:t>This information is not collected in any form, and therefore is not duplicated elsewhere</w:t>
      </w:r>
      <w:r w:rsidR="0039673C">
        <w:t>.</w:t>
      </w:r>
    </w:p>
    <w:p w:rsidR="00817075" w:rsidRPr="001124DB" w:rsidRDefault="00817075"/>
    <w:p w:rsidR="00817075" w:rsidRDefault="00817075">
      <w:pPr>
        <w:tabs>
          <w:tab w:val="left" w:pos="360"/>
        </w:tabs>
        <w:rPr>
          <w:b/>
          <w:bCs/>
        </w:rPr>
      </w:pPr>
      <w:r>
        <w:rPr>
          <w:b/>
          <w:bCs/>
        </w:rPr>
        <w:lastRenderedPageBreak/>
        <w:t xml:space="preserve">5.  </w:t>
      </w:r>
      <w:r>
        <w:rPr>
          <w:b/>
          <w:bCs/>
        </w:rPr>
        <w:tab/>
        <w:t>If the collection of information impacts small businesses or other small entities (Item 5 of OMB Form 83-I), describe any methods used to minimize.</w:t>
      </w:r>
    </w:p>
    <w:p w:rsidR="00817075" w:rsidRDefault="00817075">
      <w:pPr>
        <w:tabs>
          <w:tab w:val="left" w:pos="360"/>
        </w:tabs>
        <w:rPr>
          <w:b/>
          <w:bCs/>
        </w:rPr>
      </w:pPr>
    </w:p>
    <w:p w:rsidR="00817075" w:rsidRPr="001124DB" w:rsidRDefault="00817075" w:rsidP="00275B58">
      <w:pPr>
        <w:rPr>
          <w:spacing w:val="-3"/>
        </w:rPr>
      </w:pPr>
      <w:r>
        <w:t>This information collection does not have an impact on small businesses or other small entities</w:t>
      </w:r>
      <w:r w:rsidR="00061B8E">
        <w:t>.</w:t>
      </w:r>
      <w:r w:rsidRPr="001124DB">
        <w:rPr>
          <w:spacing w:val="-3"/>
        </w:rPr>
        <w:t xml:space="preserve">  </w:t>
      </w:r>
    </w:p>
    <w:p w:rsidR="00817075" w:rsidRDefault="00817075">
      <w:pPr>
        <w:rPr>
          <w:spacing w:val="-3"/>
        </w:rPr>
      </w:pPr>
    </w:p>
    <w:p w:rsidR="00817075" w:rsidRDefault="00AE2D4C">
      <w:pPr>
        <w:rPr>
          <w:b/>
          <w:bCs/>
        </w:rPr>
      </w:pPr>
      <w:r>
        <w:rPr>
          <w:b/>
          <w:bCs/>
        </w:rPr>
        <w:fldChar w:fldCharType="begin"/>
      </w:r>
      <w:r w:rsidR="00817075">
        <w:rPr>
          <w:b/>
          <w:bCs/>
        </w:rPr>
        <w:instrText>ADVANCE \R 0.95</w:instrText>
      </w:r>
      <w:r>
        <w:rPr>
          <w:b/>
          <w:bCs/>
        </w:rPr>
        <w:fldChar w:fldCharType="end"/>
      </w:r>
      <w:r w:rsidR="00817075">
        <w:rPr>
          <w:b/>
          <w:bCs/>
        </w:rPr>
        <w:t xml:space="preserve">6.  Describe the consequence to Federal/FEMA program or policy activities if the collection of information is not conducted, or is conducted less frequently as well as any technical or legal obstacles to reducing burden.  </w:t>
      </w:r>
    </w:p>
    <w:p w:rsidR="00817075" w:rsidRDefault="00817075">
      <w:pPr>
        <w:rPr>
          <w:b/>
          <w:bCs/>
        </w:rPr>
      </w:pPr>
    </w:p>
    <w:p w:rsidR="00817075" w:rsidRDefault="00817075" w:rsidP="00FC2B1E">
      <w:pPr>
        <w:rPr>
          <w:color w:val="000000"/>
        </w:rPr>
      </w:pPr>
      <w:r>
        <w:rPr>
          <w:spacing w:val="-3"/>
        </w:rPr>
        <w:t xml:space="preserve">If the information stipulated </w:t>
      </w:r>
      <w:r>
        <w:rPr>
          <w:color w:val="000000"/>
        </w:rPr>
        <w:t>is not provided in FEMA Form 010-0-13, Request for Presidential Disaster Declaration Major Disaster or Emergency for supplemental Federal assistance, the process of declaring a disaster is delayed until such time as the required information is provided through clarification or an amended Governor’s request.  Any amendments are submitted in a follow-up letter/narrative.  With the advent of the new form, we anticipate less need for amendments.</w:t>
      </w:r>
    </w:p>
    <w:p w:rsidR="0000054A" w:rsidRPr="002F2AA9" w:rsidRDefault="0000054A" w:rsidP="00FC2B1E">
      <w:pPr>
        <w:rPr>
          <w:spacing w:val="-3"/>
        </w:rPr>
      </w:pPr>
    </w:p>
    <w:p w:rsidR="00817075" w:rsidRDefault="00AE2D4C">
      <w:pPr>
        <w:rPr>
          <w:b/>
          <w:bCs/>
        </w:rPr>
      </w:pPr>
      <w:r>
        <w:rPr>
          <w:b/>
          <w:bCs/>
        </w:rPr>
        <w:fldChar w:fldCharType="begin"/>
      </w:r>
      <w:r w:rsidR="00817075">
        <w:rPr>
          <w:b/>
          <w:bCs/>
        </w:rPr>
        <w:instrText>ADVANCE \R 0.95</w:instrText>
      </w:r>
      <w:r>
        <w:rPr>
          <w:b/>
          <w:bCs/>
        </w:rPr>
        <w:fldChar w:fldCharType="end"/>
      </w:r>
      <w:r>
        <w:rPr>
          <w:b/>
          <w:bCs/>
        </w:rPr>
        <w:fldChar w:fldCharType="begin"/>
      </w:r>
      <w:r w:rsidR="00817075">
        <w:rPr>
          <w:b/>
          <w:bCs/>
        </w:rPr>
        <w:instrText>ADVANCE \R 0.95</w:instrText>
      </w:r>
      <w:r>
        <w:rPr>
          <w:b/>
          <w:bCs/>
        </w:rPr>
        <w:fldChar w:fldCharType="end"/>
      </w:r>
      <w:r w:rsidR="00817075">
        <w:rPr>
          <w:b/>
          <w:bCs/>
        </w:rPr>
        <w:t>7.  Explain any special circumstances that would cause an information collection to be conducted in a manner:</w:t>
      </w:r>
    </w:p>
    <w:p w:rsidR="00817075" w:rsidRDefault="00817075">
      <w:pPr>
        <w:rPr>
          <w:b/>
          <w:bCs/>
        </w:rPr>
      </w:pPr>
    </w:p>
    <w:p w:rsidR="00817075" w:rsidRDefault="00AE2D4C" w:rsidP="00DF6BB6">
      <w:pPr>
        <w:rPr>
          <w:b/>
          <w:bCs/>
        </w:rPr>
      </w:pPr>
      <w:r>
        <w:rPr>
          <w:b/>
          <w:bCs/>
        </w:rPr>
        <w:fldChar w:fldCharType="begin"/>
      </w:r>
      <w:r w:rsidR="00817075">
        <w:rPr>
          <w:b/>
          <w:bCs/>
        </w:rPr>
        <w:instrText>ADVANCE \R 0.95</w:instrText>
      </w:r>
      <w:r>
        <w:rPr>
          <w:b/>
          <w:bCs/>
        </w:rPr>
        <w:fldChar w:fldCharType="end"/>
      </w:r>
      <w:r w:rsidR="00817075">
        <w:rPr>
          <w:b/>
          <w:bCs/>
        </w:rPr>
        <w:tab/>
        <w:t>(a) Requiring respondents to report information to the agency more often than quarterly.</w:t>
      </w:r>
    </w:p>
    <w:p w:rsidR="00817075" w:rsidRDefault="00AE2D4C" w:rsidP="00DF6BB6">
      <w:r>
        <w:fldChar w:fldCharType="begin"/>
      </w:r>
      <w:r w:rsidR="00817075">
        <w:instrText>ADVANCE \R 0.95</w:instrText>
      </w:r>
      <w:r>
        <w:fldChar w:fldCharType="end"/>
      </w:r>
    </w:p>
    <w:p w:rsidR="00817075" w:rsidRDefault="00AE2D4C" w:rsidP="00DF6BB6">
      <w:pPr>
        <w:rPr>
          <w:b/>
          <w:bCs/>
        </w:rPr>
      </w:pPr>
      <w:r>
        <w:fldChar w:fldCharType="begin"/>
      </w:r>
      <w:r w:rsidR="00817075">
        <w:instrText>ADVANCE \R 0.95</w:instrText>
      </w:r>
      <w:r>
        <w:fldChar w:fldCharType="end"/>
      </w:r>
      <w:r w:rsidR="00817075">
        <w:tab/>
      </w:r>
      <w:r w:rsidR="00817075">
        <w:rPr>
          <w:b/>
          <w:bCs/>
        </w:rPr>
        <w:t>(b) Requiring respondents to prepare a written response to a collection of information in fewer than 30 days after receipt of it.</w:t>
      </w:r>
    </w:p>
    <w:p w:rsidR="00817075" w:rsidRDefault="00AE2D4C" w:rsidP="00DF6BB6">
      <w:r>
        <w:fldChar w:fldCharType="begin"/>
      </w:r>
      <w:r w:rsidR="00817075">
        <w:instrText>ADVANCE \R 0.95</w:instrText>
      </w:r>
      <w:r>
        <w:fldChar w:fldCharType="end"/>
      </w:r>
    </w:p>
    <w:p w:rsidR="00817075" w:rsidRDefault="00817075" w:rsidP="00DF6BB6">
      <w:r>
        <w:t xml:space="preserve">When a disaster or emergency occurs in a State, the Governor, or the Acting Governor in his/her absence, may request that the President declare an emergency.  The request should be submitted to the appropriate Regional Director and must be submitted within five days after the need for assistance, but no more than 30 days after the occurrence of the incident, in order to be considered. </w:t>
      </w:r>
    </w:p>
    <w:p w:rsidR="00817075" w:rsidRDefault="00817075" w:rsidP="00BE4F3C">
      <w:pPr>
        <w:rPr>
          <w:b/>
          <w:bCs/>
        </w:rPr>
      </w:pPr>
      <w:r>
        <w:t xml:space="preserve"> </w:t>
      </w:r>
      <w:r w:rsidR="00AE2D4C">
        <w:fldChar w:fldCharType="begin"/>
      </w:r>
      <w:r>
        <w:instrText>ADVANCE \R 0.95</w:instrText>
      </w:r>
      <w:r w:rsidR="00AE2D4C">
        <w:fldChar w:fldCharType="end"/>
      </w:r>
      <w:r>
        <w:tab/>
      </w:r>
      <w:r>
        <w:tab/>
      </w:r>
    </w:p>
    <w:p w:rsidR="00817075" w:rsidRDefault="00817075" w:rsidP="001124DB">
      <w:pPr>
        <w:ind w:left="720"/>
        <w:rPr>
          <w:b/>
          <w:bCs/>
        </w:rPr>
      </w:pPr>
      <w:r>
        <w:rPr>
          <w:b/>
          <w:bCs/>
        </w:rPr>
        <w:t>(c) Requiring respondents to submit more than an original and two copies of any document.</w:t>
      </w:r>
    </w:p>
    <w:p w:rsidR="00817075" w:rsidRDefault="00AE2D4C" w:rsidP="00DF6BB6">
      <w:r>
        <w:rPr>
          <w:b/>
          <w:bCs/>
        </w:rPr>
        <w:fldChar w:fldCharType="begin"/>
      </w:r>
      <w:r w:rsidR="00817075">
        <w:rPr>
          <w:b/>
          <w:bCs/>
        </w:rPr>
        <w:instrText>ADVANCE \R 0.95</w:instrText>
      </w:r>
      <w:r>
        <w:rPr>
          <w:b/>
          <w:bCs/>
        </w:rPr>
        <w:fldChar w:fldCharType="end"/>
      </w:r>
    </w:p>
    <w:p w:rsidR="00817075" w:rsidRDefault="00AE2D4C" w:rsidP="00DF6BB6">
      <w:r>
        <w:fldChar w:fldCharType="begin"/>
      </w:r>
      <w:r w:rsidR="00817075">
        <w:instrText>ADVANCE \R 0.95</w:instrText>
      </w:r>
      <w:r>
        <w:fldChar w:fldCharType="end"/>
      </w:r>
      <w:r w:rsidR="00817075">
        <w:tab/>
      </w:r>
      <w:r w:rsidR="00817075">
        <w:rPr>
          <w:b/>
          <w:bCs/>
        </w:rPr>
        <w:t>(d) Requiring respondents to retain records, other than health, medical, government contract, grant-in-aid, or tax records for more than three years</w:t>
      </w:r>
      <w:r w:rsidR="00817075">
        <w:t>.</w:t>
      </w:r>
    </w:p>
    <w:p w:rsidR="00817075" w:rsidRDefault="00AE2D4C" w:rsidP="00DF6BB6">
      <w:r>
        <w:fldChar w:fldCharType="begin"/>
      </w:r>
      <w:r w:rsidR="00817075">
        <w:instrText>ADVANCE \R 0.95</w:instrText>
      </w:r>
      <w:r>
        <w:fldChar w:fldCharType="end"/>
      </w:r>
      <w:r w:rsidR="00817075">
        <w:tab/>
      </w:r>
    </w:p>
    <w:p w:rsidR="00817075" w:rsidRDefault="00817075" w:rsidP="00DF6BB6">
      <w:r>
        <w:t xml:space="preserve">            </w:t>
      </w:r>
      <w:r>
        <w:rPr>
          <w:b/>
          <w:bCs/>
        </w:rPr>
        <w:t>(e) In connection with a statistical survey, that is not designed to produce valid and reliable results that can be generalized to the universe of study</w:t>
      </w:r>
      <w:r>
        <w:t>.</w:t>
      </w:r>
    </w:p>
    <w:p w:rsidR="00817075" w:rsidRDefault="00AE2D4C" w:rsidP="00DF6BB6">
      <w:r>
        <w:fldChar w:fldCharType="begin"/>
      </w:r>
      <w:r w:rsidR="00817075">
        <w:instrText>ADVANCE \R 0.95</w:instrText>
      </w:r>
      <w:r>
        <w:fldChar w:fldCharType="end"/>
      </w:r>
      <w:r>
        <w:fldChar w:fldCharType="begin"/>
      </w:r>
      <w:r w:rsidR="00817075">
        <w:instrText>ADVANCE \R 0.95</w:instrText>
      </w:r>
      <w:r>
        <w:fldChar w:fldCharType="end"/>
      </w:r>
      <w:r w:rsidR="00817075">
        <w:tab/>
      </w:r>
      <w:r w:rsidR="00817075">
        <w:tab/>
      </w:r>
    </w:p>
    <w:p w:rsidR="00817075" w:rsidRDefault="00817075" w:rsidP="001124DB">
      <w:pPr>
        <w:ind w:left="720"/>
        <w:rPr>
          <w:b/>
          <w:bCs/>
        </w:rPr>
      </w:pPr>
      <w:r>
        <w:rPr>
          <w:b/>
          <w:bCs/>
        </w:rPr>
        <w:t>(f) Requiring the use of a statistical data classification that has not been reviewed and approved by OMB.</w:t>
      </w:r>
    </w:p>
    <w:p w:rsidR="00817075" w:rsidRDefault="00AE2D4C" w:rsidP="00DF6BB6">
      <w:r>
        <w:fldChar w:fldCharType="begin"/>
      </w:r>
      <w:r w:rsidR="00817075">
        <w:instrText>ADVANCE \R 0.95</w:instrText>
      </w:r>
      <w:r>
        <w:fldChar w:fldCharType="end"/>
      </w:r>
    </w:p>
    <w:p w:rsidR="00817075" w:rsidRDefault="00AE2D4C" w:rsidP="00DF6BB6">
      <w:pPr>
        <w:rPr>
          <w:b/>
          <w:bCs/>
        </w:rPr>
      </w:pPr>
      <w:r>
        <w:fldChar w:fldCharType="begin"/>
      </w:r>
      <w:r w:rsidR="00817075">
        <w:instrText>ADVANCE \R 0.95</w:instrText>
      </w:r>
      <w:r>
        <w:fldChar w:fldCharType="end"/>
      </w:r>
      <w:r w:rsidR="00817075">
        <w:tab/>
      </w:r>
      <w:r w:rsidR="00817075">
        <w:rPr>
          <w:b/>
          <w:bCs/>
        </w:rPr>
        <w:t xml:space="preserve">(g) That includes a pledge of confidentiality that is not supported by authority established in statute or regulation, that is not supported by disclosure </w:t>
      </w:r>
      <w:r w:rsidR="00817075">
        <w:rPr>
          <w:b/>
          <w:bCs/>
        </w:rPr>
        <w:lastRenderedPageBreak/>
        <w:t>and data security policies that are consistent with the pledge, or which unnecessarily impedes sharing of data with other agencies for compatible confidential use.</w:t>
      </w:r>
    </w:p>
    <w:p w:rsidR="00817075" w:rsidRDefault="00AE2D4C" w:rsidP="00DF6BB6">
      <w:r>
        <w:fldChar w:fldCharType="begin"/>
      </w:r>
      <w:r w:rsidR="00817075">
        <w:instrText>ADVANCE \R 0.95</w:instrText>
      </w:r>
      <w:r>
        <w:fldChar w:fldCharType="end"/>
      </w:r>
    </w:p>
    <w:p w:rsidR="00817075" w:rsidRDefault="00AE2D4C" w:rsidP="00DF6BB6">
      <w:pPr>
        <w:rPr>
          <w:b/>
          <w:bCs/>
        </w:rPr>
      </w:pPr>
      <w:r>
        <w:fldChar w:fldCharType="begin"/>
      </w:r>
      <w:r w:rsidR="00817075">
        <w:instrText>ADVANCE \R 0.95</w:instrText>
      </w:r>
      <w:r>
        <w:fldChar w:fldCharType="end"/>
      </w:r>
      <w:r w:rsidR="00817075">
        <w:tab/>
      </w:r>
      <w:r w:rsidR="00817075">
        <w:rPr>
          <w:b/>
          <w:bCs/>
        </w:rPr>
        <w:t>(h) Requiring respondents to submit proprietary trade secret, or other confidential information unless the agency can demonstrate that it has instituted procedures to protect the information’s confidentiality to the extent permitted by law.</w:t>
      </w:r>
    </w:p>
    <w:p w:rsidR="00817075" w:rsidRDefault="00AE2D4C">
      <w:r>
        <w:fldChar w:fldCharType="begin"/>
      </w:r>
      <w:r w:rsidR="00817075">
        <w:instrText>ADVANCE \R 0.95</w:instrText>
      </w:r>
      <w:r>
        <w:fldChar w:fldCharType="end"/>
      </w:r>
      <w:r w:rsidR="00817075">
        <w:t xml:space="preserve"> </w:t>
      </w:r>
      <w:r>
        <w:fldChar w:fldCharType="begin"/>
      </w:r>
      <w:r w:rsidR="00817075">
        <w:instrText>ADVANCE \R 0.95</w:instrText>
      </w:r>
      <w:r>
        <w:fldChar w:fldCharType="end"/>
      </w:r>
    </w:p>
    <w:p w:rsidR="00817075" w:rsidRDefault="00817075">
      <w:r w:rsidRPr="0089268F">
        <w:t>The special circumstances</w:t>
      </w:r>
      <w:r>
        <w:t>, a. and c.-h.,</w:t>
      </w:r>
      <w:r w:rsidRPr="0089268F">
        <w:t xml:space="preserve"> contained in item 7 of the supporting statement are not applicable to this information collection</w:t>
      </w:r>
      <w:r>
        <w:t>.</w:t>
      </w:r>
    </w:p>
    <w:p w:rsidR="00817075" w:rsidRDefault="00817075"/>
    <w:p w:rsidR="00817075" w:rsidRDefault="00AE2D4C">
      <w:pPr>
        <w:rPr>
          <w:b/>
          <w:bCs/>
        </w:rPr>
      </w:pPr>
      <w:r>
        <w:rPr>
          <w:b/>
          <w:bCs/>
        </w:rPr>
        <w:fldChar w:fldCharType="begin"/>
      </w:r>
      <w:r w:rsidR="00817075">
        <w:rPr>
          <w:b/>
          <w:bCs/>
        </w:rPr>
        <w:instrText>ADVANCE \R 0.95</w:instrText>
      </w:r>
      <w:r>
        <w:rPr>
          <w:b/>
          <w:bCs/>
        </w:rPr>
        <w:fldChar w:fldCharType="end"/>
      </w:r>
      <w:r w:rsidR="00817075">
        <w:rPr>
          <w:b/>
          <w:bCs/>
        </w:rPr>
        <w:t xml:space="preserve">8.  Federal Register Notice: </w:t>
      </w:r>
    </w:p>
    <w:p w:rsidR="00817075" w:rsidRDefault="00AE2D4C">
      <w:pPr>
        <w:rPr>
          <w:b/>
          <w:bCs/>
        </w:rPr>
      </w:pPr>
      <w:r>
        <w:rPr>
          <w:b/>
          <w:bCs/>
        </w:rPr>
        <w:fldChar w:fldCharType="begin"/>
      </w:r>
      <w:r w:rsidR="00817075">
        <w:rPr>
          <w:b/>
          <w:bCs/>
        </w:rPr>
        <w:instrText>ADVANCE \R 0.95</w:instrText>
      </w:r>
      <w:r>
        <w:rPr>
          <w:b/>
          <w:bCs/>
        </w:rPr>
        <w:fldChar w:fldCharType="end"/>
      </w:r>
    </w:p>
    <w:p w:rsidR="00817075" w:rsidRDefault="00AE2D4C">
      <w:pPr>
        <w:rPr>
          <w:b/>
          <w:bCs/>
        </w:rPr>
      </w:pPr>
      <w:r>
        <w:rPr>
          <w:b/>
          <w:bCs/>
        </w:rPr>
        <w:fldChar w:fldCharType="begin"/>
      </w:r>
      <w:r w:rsidR="00817075">
        <w:rPr>
          <w:b/>
          <w:bCs/>
        </w:rPr>
        <w:instrText>ADVANCE \R 0.95</w:instrText>
      </w:r>
      <w:r>
        <w:rPr>
          <w:b/>
          <w:bCs/>
        </w:rPr>
        <w:fldChar w:fldCharType="end"/>
      </w:r>
      <w:r w:rsidR="00817075">
        <w:rPr>
          <w:b/>
          <w:bCs/>
        </w:rPr>
        <w:t xml:space="preserve">            a.   Provide a copy and identify the date and page number of publication in the Federal Register of the agency’s notice soliciting comments on the </w:t>
      </w:r>
      <w:r w:rsidR="00817075">
        <w:rPr>
          <w:b/>
          <w:bCs/>
        </w:rPr>
        <w:tab/>
        <w:t>information collection prior to submission to OMB.  Summarize public comments received in response to that notice and describe actions taken by the agency in response to these comments.  Specifically address comments received on cost and hour burden.</w:t>
      </w:r>
    </w:p>
    <w:p w:rsidR="00623900" w:rsidRDefault="00AE2D4C" w:rsidP="00623900">
      <w:r>
        <w:fldChar w:fldCharType="begin"/>
      </w:r>
      <w:r w:rsidR="00817075">
        <w:instrText>ADVANCE \R 0.95</w:instrText>
      </w:r>
      <w:r>
        <w:fldChar w:fldCharType="end"/>
      </w:r>
    </w:p>
    <w:p w:rsidR="00DE6EA8" w:rsidRDefault="00623900" w:rsidP="00DE6EA8">
      <w:pPr>
        <w:rPr>
          <w:b/>
          <w:bCs/>
          <w:color w:val="FF0000"/>
        </w:rPr>
      </w:pPr>
      <w:r>
        <w:rPr>
          <w:color w:val="000000"/>
        </w:rPr>
        <w:t xml:space="preserve">A 60-day Federal </w:t>
      </w:r>
      <w:r w:rsidRPr="0000054A">
        <w:t>Register Notice inviting public comments was published on</w:t>
      </w:r>
      <w:r w:rsidR="0000054A" w:rsidRPr="0000054A">
        <w:t xml:space="preserve"> August 7, 2012, 77 FR 47083. </w:t>
      </w:r>
      <w:r w:rsidRPr="00DE6EA8">
        <w:rPr>
          <w:bCs/>
        </w:rPr>
        <w:t>No comments were received</w:t>
      </w:r>
      <w:r w:rsidR="0000054A" w:rsidRPr="00DE6EA8">
        <w:rPr>
          <w:bCs/>
        </w:rPr>
        <w:t>.</w:t>
      </w:r>
      <w:r w:rsidRPr="0000054A">
        <w:rPr>
          <w:b/>
          <w:bCs/>
        </w:rPr>
        <w:t xml:space="preserve"> </w:t>
      </w:r>
      <w:r w:rsidR="00DE6EA8" w:rsidRPr="00303E9D">
        <w:rPr>
          <w:bCs/>
        </w:rPr>
        <w:t>S</w:t>
      </w:r>
      <w:r w:rsidR="00DE6EA8">
        <w:rPr>
          <w:color w:val="000000"/>
        </w:rPr>
        <w:t>ee attached copy of the published notice included in this package.</w:t>
      </w:r>
    </w:p>
    <w:p w:rsidR="00623900" w:rsidRDefault="00623900" w:rsidP="00DE6EA8">
      <w:r w:rsidRPr="0000054A">
        <w:rPr>
          <w:b/>
          <w:bCs/>
        </w:rPr>
        <w:t xml:space="preserve"> </w:t>
      </w:r>
    </w:p>
    <w:p w:rsidR="00623900" w:rsidRDefault="00623900" w:rsidP="00623900">
      <w:pPr>
        <w:rPr>
          <w:b/>
          <w:bCs/>
          <w:color w:val="FF0000"/>
        </w:rPr>
      </w:pPr>
      <w:r>
        <w:rPr>
          <w:color w:val="000000"/>
        </w:rPr>
        <w:t>A 30-day Federal Register Notice inviting public comments was published on</w:t>
      </w:r>
      <w:r>
        <w:rPr>
          <w:color w:val="FF0000"/>
        </w:rPr>
        <w:t xml:space="preserve"> </w:t>
      </w:r>
      <w:r w:rsidR="00E15F54">
        <w:t>November</w:t>
      </w:r>
      <w:r w:rsidR="00E15F54" w:rsidRPr="0000054A">
        <w:t xml:space="preserve"> 7, 2012, 77 FR </w:t>
      </w:r>
      <w:r w:rsidR="00E15F54">
        <w:t>66858</w:t>
      </w:r>
      <w:r w:rsidR="00E15F54" w:rsidRPr="0000054A">
        <w:t xml:space="preserve">. </w:t>
      </w:r>
      <w:r w:rsidR="00E15F54" w:rsidRPr="00DE6EA8">
        <w:rPr>
          <w:bCs/>
        </w:rPr>
        <w:t>No comments were received.</w:t>
      </w:r>
      <w:r w:rsidR="00E15F54" w:rsidRPr="0000054A">
        <w:rPr>
          <w:b/>
          <w:bCs/>
        </w:rPr>
        <w:t xml:space="preserve"> </w:t>
      </w:r>
      <w:r w:rsidR="00E15F54" w:rsidRPr="00303E9D">
        <w:rPr>
          <w:bCs/>
        </w:rPr>
        <w:t>S</w:t>
      </w:r>
      <w:r w:rsidR="00E15F54">
        <w:rPr>
          <w:color w:val="000000"/>
        </w:rPr>
        <w:t>ee attached copy of the published notice included in this package.</w:t>
      </w:r>
    </w:p>
    <w:p w:rsidR="0005182A" w:rsidRDefault="0005182A" w:rsidP="00623900">
      <w:pPr>
        <w:rPr>
          <w:b/>
          <w:bCs/>
          <w:color w:val="FF0000"/>
        </w:rPr>
      </w:pPr>
    </w:p>
    <w:p w:rsidR="0005182A" w:rsidRDefault="0005182A" w:rsidP="00623900">
      <w:pPr>
        <w:rPr>
          <w:b/>
          <w:bCs/>
          <w:color w:val="FF0000"/>
        </w:rPr>
      </w:pPr>
      <w:r w:rsidRPr="005B2B4E">
        <w:rPr>
          <w:bCs/>
          <w:color w:val="000000" w:themeColor="text1"/>
        </w:rPr>
        <w:t>A 30-day Emergency Change Federal Register Notice inviting public comment was published on May 15, 2012</w:t>
      </w:r>
      <w:r w:rsidR="00B61738">
        <w:rPr>
          <w:bCs/>
          <w:color w:val="000000" w:themeColor="text1"/>
        </w:rPr>
        <w:t>, 77 FR 28615,</w:t>
      </w:r>
      <w:r w:rsidRPr="005B2B4E">
        <w:rPr>
          <w:bCs/>
          <w:color w:val="000000" w:themeColor="text1"/>
        </w:rPr>
        <w:t xml:space="preserve"> announcing the implementation of the new FEMA Form 010-0-3.  FEMA received one comment on June 15, 2012 and has taken that into consideration for its renewal. Use of the new form went into effect on June 20, 2012.   </w:t>
      </w:r>
    </w:p>
    <w:p w:rsidR="00817075" w:rsidRDefault="00817075">
      <w:pPr>
        <w:pStyle w:val="Footer"/>
        <w:tabs>
          <w:tab w:val="clear" w:pos="4320"/>
          <w:tab w:val="clear" w:pos="8640"/>
        </w:tabs>
      </w:pPr>
    </w:p>
    <w:p w:rsidR="00817075" w:rsidRDefault="00AE2D4C">
      <w:pPr>
        <w:tabs>
          <w:tab w:val="left" w:pos="360"/>
        </w:tabs>
        <w:rPr>
          <w:b/>
          <w:bCs/>
        </w:rPr>
      </w:pPr>
      <w:r>
        <w:fldChar w:fldCharType="begin"/>
      </w:r>
      <w:r w:rsidR="00817075">
        <w:instrText>ADVANCE \R 0.95</w:instrText>
      </w:r>
      <w:r>
        <w:fldChar w:fldCharType="end"/>
      </w:r>
      <w:r w:rsidR="00817075">
        <w:tab/>
      </w:r>
      <w:r w:rsidR="00817075">
        <w:tab/>
      </w:r>
      <w:r w:rsidR="00817075">
        <w:rPr>
          <w:b/>
          <w:bCs/>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17075" w:rsidRDefault="00817075">
      <w:pPr>
        <w:rPr>
          <w:color w:val="FF0000"/>
        </w:rPr>
      </w:pPr>
    </w:p>
    <w:p w:rsidR="00817075" w:rsidRPr="00145653" w:rsidRDefault="00817075">
      <w:r w:rsidRPr="00145653">
        <w:t>Consultations with officials</w:t>
      </w:r>
      <w:r>
        <w:t xml:space="preserve"> of the State seeking a declaration</w:t>
      </w:r>
      <w:r w:rsidRPr="00145653">
        <w:t xml:space="preserve"> </w:t>
      </w:r>
      <w:r>
        <w:t xml:space="preserve">for their particular disaster </w:t>
      </w:r>
      <w:r w:rsidRPr="00145653">
        <w:t xml:space="preserve">at various levels of government occur as a result of disaster activity.  All information collected as a result of these consultations </w:t>
      </w:r>
      <w:r w:rsidR="001A7982" w:rsidRPr="00145653">
        <w:t>is</w:t>
      </w:r>
      <w:r w:rsidRPr="00145653">
        <w:t xml:space="preserve"> used to monitor the effectiveness of the declaration process.</w:t>
      </w:r>
    </w:p>
    <w:p w:rsidR="00817075" w:rsidRDefault="00817075">
      <w:pPr>
        <w:rPr>
          <w:color w:val="FF0000"/>
        </w:rPr>
      </w:pPr>
    </w:p>
    <w:p w:rsidR="00817075" w:rsidRDefault="00817075">
      <w:pPr>
        <w:tabs>
          <w:tab w:val="left" w:pos="360"/>
        </w:tabs>
        <w:rPr>
          <w:b/>
          <w:bCs/>
        </w:rPr>
      </w:pPr>
      <w:r>
        <w:rPr>
          <w:b/>
          <w:bCs/>
        </w:rPr>
        <w:tab/>
      </w:r>
      <w:r>
        <w:rPr>
          <w:b/>
          <w:bCs/>
        </w:rPr>
        <w:tab/>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w:t>
      </w:r>
      <w:r>
        <w:rPr>
          <w:b/>
          <w:bCs/>
        </w:rPr>
        <w:lastRenderedPageBreak/>
        <w:t>preclude consultation in a specific situation. These circumstances should be explained.</w:t>
      </w:r>
    </w:p>
    <w:p w:rsidR="00817075" w:rsidRDefault="00817075">
      <w:pPr>
        <w:tabs>
          <w:tab w:val="left" w:pos="360"/>
        </w:tabs>
        <w:rPr>
          <w:b/>
          <w:bCs/>
        </w:rPr>
      </w:pPr>
    </w:p>
    <w:p w:rsidR="00817075" w:rsidRDefault="00817075" w:rsidP="00DF6BB6">
      <w:r>
        <w:t>Consultation with Federal, State and local officials takes place each and every time a request for a PDA is submitted by a State.  This is necessary to obtain accurate information about the incident and affected area/s in order to prepare for and conduct the joint PDA.  With the advent of the new form, we anticipate less of a need for follow-up consultation.</w:t>
      </w:r>
    </w:p>
    <w:p w:rsidR="00817075" w:rsidRDefault="00817075">
      <w:r>
        <w:t xml:space="preserve">          </w:t>
      </w:r>
    </w:p>
    <w:p w:rsidR="00817075" w:rsidRDefault="00AE2D4C" w:rsidP="00C313FA">
      <w:pPr>
        <w:rPr>
          <w:b/>
          <w:bCs/>
        </w:rPr>
      </w:pPr>
      <w:r>
        <w:rPr>
          <w:b/>
          <w:bCs/>
        </w:rPr>
        <w:fldChar w:fldCharType="begin"/>
      </w:r>
      <w:r w:rsidR="00817075">
        <w:rPr>
          <w:b/>
          <w:bCs/>
        </w:rPr>
        <w:instrText>ADVANCE \R 0.95</w:instrText>
      </w:r>
      <w:r>
        <w:rPr>
          <w:b/>
          <w:bCs/>
        </w:rPr>
        <w:fldChar w:fldCharType="end"/>
      </w:r>
      <w:r w:rsidR="00817075">
        <w:rPr>
          <w:b/>
          <w:bCs/>
        </w:rPr>
        <w:t>9.  Explain any decision to provide any payment or gift to respondents, other than remuneration of contractors or grantees.</w:t>
      </w:r>
    </w:p>
    <w:p w:rsidR="00817075" w:rsidRDefault="00817075" w:rsidP="00DF6BB6"/>
    <w:p w:rsidR="00817075" w:rsidRDefault="00817075">
      <w:r>
        <w:t>FEMA does not provide payments or gifts to respondents in exchange for a benefit sought.</w:t>
      </w:r>
    </w:p>
    <w:p w:rsidR="00817075" w:rsidRDefault="00817075"/>
    <w:p w:rsidR="00EA74C4" w:rsidRDefault="00817075" w:rsidP="00BE4F3C">
      <w:pPr>
        <w:tabs>
          <w:tab w:val="left" w:pos="360"/>
        </w:tabs>
      </w:pPr>
      <w:r>
        <w:rPr>
          <w:b/>
          <w:bCs/>
        </w:rPr>
        <w:t xml:space="preserve">10.  Describe any assurance of confidentiality provided to respondents.  Present the basis for the assurance in statute, regulation, or agency policy. </w:t>
      </w:r>
      <w:r w:rsidR="00AE2D4C">
        <w:fldChar w:fldCharType="begin"/>
      </w:r>
      <w:r>
        <w:instrText>ADVANCE \R 0.95</w:instrText>
      </w:r>
      <w:r w:rsidR="00AE2D4C">
        <w:fldChar w:fldCharType="end"/>
      </w:r>
    </w:p>
    <w:p w:rsidR="00EA74C4" w:rsidRDefault="00EA74C4" w:rsidP="00BE4F3C">
      <w:pPr>
        <w:tabs>
          <w:tab w:val="left" w:pos="360"/>
        </w:tabs>
      </w:pPr>
    </w:p>
    <w:p w:rsidR="00623900" w:rsidRDefault="00623900" w:rsidP="00623900">
      <w:r>
        <w:t xml:space="preserve">A Privacy Threshold Analysis (PTA) was completed and approved by the DHS Privacy Office on April 30, 2012 for this collection. The </w:t>
      </w:r>
      <w:r w:rsidRPr="00937BB1">
        <w:t>final</w:t>
      </w:r>
      <w:r>
        <w:t xml:space="preserve"> results of the PTA</w:t>
      </w:r>
      <w:r w:rsidRPr="00937BB1">
        <w:t xml:space="preserve"> have been adjudicated as a privacy sensitive system</w:t>
      </w:r>
      <w:r>
        <w:t xml:space="preserve">. </w:t>
      </w:r>
    </w:p>
    <w:p w:rsidR="00623900" w:rsidRDefault="00623900" w:rsidP="00623900"/>
    <w:p w:rsidR="00623900" w:rsidRDefault="00623900" w:rsidP="00623900">
      <w:r>
        <w:t>The Privacy Impact Assessment (PIA) and System of Records Notice (SORN) are not required because information is not retrievable by personal identifier. Information is retrieved by the State having the disaster.</w:t>
      </w:r>
    </w:p>
    <w:p w:rsidR="00623900" w:rsidRDefault="00623900" w:rsidP="00623900"/>
    <w:p w:rsidR="00817075" w:rsidRDefault="00623900" w:rsidP="00C313FA">
      <w:pPr>
        <w:tabs>
          <w:tab w:val="left" w:pos="360"/>
        </w:tabs>
      </w:pPr>
      <w:r w:rsidRPr="006E578A">
        <w:t>There are no assurances of confidentiality provided to the respondents for this information collection.</w:t>
      </w:r>
    </w:p>
    <w:p w:rsidR="00817075" w:rsidRDefault="00817075" w:rsidP="00C313FA">
      <w:pPr>
        <w:tabs>
          <w:tab w:val="left" w:pos="360"/>
        </w:tabs>
      </w:pPr>
    </w:p>
    <w:p w:rsidR="00817075" w:rsidRDefault="00817075" w:rsidP="00C313FA">
      <w:pPr>
        <w:tabs>
          <w:tab w:val="left" w:pos="360"/>
        </w:tabs>
        <w:rPr>
          <w:b/>
          <w:bCs/>
        </w:rPr>
      </w:pPr>
      <w:r>
        <w:rPr>
          <w:b/>
          <w:bCs/>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17075" w:rsidRDefault="00817075" w:rsidP="00DF6BB6"/>
    <w:p w:rsidR="00817075" w:rsidRPr="001124DB" w:rsidRDefault="00817075" w:rsidP="00DF6BB6">
      <w:r>
        <w:t>There are no questions of a sensitive nature.</w:t>
      </w:r>
    </w:p>
    <w:p w:rsidR="00817075" w:rsidRDefault="00AE2D4C">
      <w:pPr>
        <w:rPr>
          <w:b/>
          <w:bCs/>
        </w:rPr>
      </w:pPr>
      <w:r>
        <w:rPr>
          <w:b/>
          <w:bCs/>
        </w:rPr>
        <w:fldChar w:fldCharType="begin"/>
      </w:r>
      <w:r w:rsidR="00817075">
        <w:rPr>
          <w:b/>
          <w:bCs/>
        </w:rPr>
        <w:instrText>ADVANCE \R 0.95</w:instrText>
      </w:r>
      <w:r>
        <w:rPr>
          <w:b/>
          <w:bCs/>
        </w:rPr>
        <w:fldChar w:fldCharType="end"/>
      </w:r>
      <w:r>
        <w:rPr>
          <w:b/>
          <w:bCs/>
        </w:rPr>
        <w:fldChar w:fldCharType="begin"/>
      </w:r>
      <w:r w:rsidR="00817075">
        <w:rPr>
          <w:b/>
          <w:bCs/>
        </w:rPr>
        <w:instrText>ADVANCE \R 0.95</w:instrText>
      </w:r>
      <w:r>
        <w:rPr>
          <w:b/>
          <w:bCs/>
        </w:rPr>
        <w:fldChar w:fldCharType="end"/>
      </w:r>
    </w:p>
    <w:p w:rsidR="00817075" w:rsidRDefault="00817075">
      <w:pPr>
        <w:rPr>
          <w:b/>
          <w:bCs/>
        </w:rPr>
      </w:pPr>
      <w:r>
        <w:rPr>
          <w:b/>
          <w:bCs/>
        </w:rPr>
        <w:t xml:space="preserve"> 12.  Provide estimates of the hour burden of the collection of information.  The statement should:</w:t>
      </w:r>
    </w:p>
    <w:p w:rsidR="00817075" w:rsidRDefault="00AE2D4C">
      <w:pPr>
        <w:rPr>
          <w:b/>
          <w:bCs/>
          <w:color w:val="FF0000"/>
        </w:rPr>
      </w:pPr>
      <w:r>
        <w:rPr>
          <w:b/>
          <w:bCs/>
        </w:rPr>
        <w:fldChar w:fldCharType="begin"/>
      </w:r>
      <w:r w:rsidR="00817075">
        <w:rPr>
          <w:b/>
          <w:bCs/>
        </w:rPr>
        <w:instrText>ADVANCE \R 0.95</w:instrText>
      </w:r>
      <w:r>
        <w:rPr>
          <w:b/>
          <w:bCs/>
        </w:rPr>
        <w:fldChar w:fldCharType="end"/>
      </w:r>
      <w:r w:rsidR="00817075">
        <w:rPr>
          <w:b/>
          <w:bCs/>
        </w:rPr>
        <w:t xml:space="preserve">                                             </w:t>
      </w:r>
    </w:p>
    <w:p w:rsidR="00817075" w:rsidRDefault="00AE2D4C">
      <w:pPr>
        <w:rPr>
          <w:b/>
          <w:bCs/>
        </w:rPr>
      </w:pPr>
      <w:r>
        <w:rPr>
          <w:b/>
          <w:bCs/>
        </w:rPr>
        <w:fldChar w:fldCharType="begin"/>
      </w:r>
      <w:r w:rsidR="00817075">
        <w:rPr>
          <w:b/>
          <w:bCs/>
        </w:rPr>
        <w:instrText>ADVANCE \R 0.95</w:instrText>
      </w:r>
      <w:r>
        <w:rPr>
          <w:b/>
          <w:bCs/>
        </w:rPr>
        <w:fldChar w:fldCharType="end"/>
      </w:r>
      <w:r w:rsidR="00817075">
        <w:rPr>
          <w:b/>
          <w:bCs/>
        </w:rPr>
        <w:tab/>
      </w:r>
      <w:proofErr w:type="gramStart"/>
      <w:r w:rsidR="00817075">
        <w:rPr>
          <w:b/>
          <w:bCs/>
        </w:rPr>
        <w:t>a.  Indicate</w:t>
      </w:r>
      <w:proofErr w:type="gramEnd"/>
      <w:r w:rsidR="00817075">
        <w:rPr>
          <w:b/>
          <w:bCs/>
        </w:rPr>
        <w:t xml:space="preserve"> the number of respondents, frequency of response, annual hour burden, and an explanation of how the burden was estimated for each collection instrument (separately list each instrument and describe information as requested).  Unless</w:t>
      </w:r>
      <w:r w:rsidR="00817075">
        <w:rPr>
          <w:b/>
          <w:bCs/>
        </w:rPr>
        <w:tab/>
        <w:t xml:space="preserve">directed to do so, agencies should not conduct special surveys to obtain information on which to base hour burden estimates.  Consultation with a sample </w:t>
      </w:r>
      <w:r w:rsidR="00817075">
        <w:rPr>
          <w:b/>
          <w:bCs/>
        </w:rPr>
        <w:lastRenderedPageBreak/>
        <w:t>(fewer than 10) of potential respondents is desired.  If the hour</w:t>
      </w:r>
      <w:r w:rsidR="00817075">
        <w:rPr>
          <w:b/>
          <w:bCs/>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17075" w:rsidRDefault="00817075">
      <w:pPr>
        <w:rPr>
          <w:b/>
          <w:bCs/>
        </w:rPr>
      </w:pPr>
    </w:p>
    <w:p w:rsidR="00817075" w:rsidRPr="001124DB" w:rsidRDefault="00817075">
      <w:pPr>
        <w:rPr>
          <w:bCs/>
        </w:rPr>
      </w:pPr>
      <w:r>
        <w:rPr>
          <w:bCs/>
        </w:rPr>
        <w:t xml:space="preserve">It is estimated that 56 States will complete 6 requests a year, </w:t>
      </w:r>
      <w:r w:rsidR="004D04E3">
        <w:rPr>
          <w:bCs/>
        </w:rPr>
        <w:t>t</w:t>
      </w:r>
      <w:r>
        <w:rPr>
          <w:bCs/>
        </w:rPr>
        <w:t xml:space="preserve">his is based on the average number of requests FEMA receives in a given year. </w:t>
      </w:r>
      <w:r w:rsidR="00360414">
        <w:rPr>
          <w:bCs/>
        </w:rPr>
        <w:t xml:space="preserve"> </w:t>
      </w:r>
      <w:r>
        <w:rPr>
          <w:bCs/>
        </w:rPr>
        <w:t>It is estimated it will take approximately 9 hours to complete the FEMA Form 010-0-13.   Each request averages 33 hours to complete.  The estimated total annual burden will be 11,088 hours.</w:t>
      </w:r>
      <w:r w:rsidR="00A32974">
        <w:rPr>
          <w:bCs/>
        </w:rPr>
        <w:t xml:space="preserve">  As a result of the new law, federally recognized tribal governments will also submit declaration requests.  However, these numbers are much lower on </w:t>
      </w:r>
      <w:r w:rsidR="00140897">
        <w:rPr>
          <w:bCs/>
        </w:rPr>
        <w:t xml:space="preserve">an </w:t>
      </w:r>
      <w:r w:rsidR="00A32974">
        <w:rPr>
          <w:bCs/>
        </w:rPr>
        <w:t>annual</w:t>
      </w:r>
      <w:r w:rsidR="00140897">
        <w:rPr>
          <w:bCs/>
        </w:rPr>
        <w:t xml:space="preserve"> basis. There are 566 tribes that could theoretically request a declaration</w:t>
      </w:r>
      <w:r w:rsidR="00995E11">
        <w:rPr>
          <w:bCs/>
        </w:rPr>
        <w:t xml:space="preserve"> as a result of passage of </w:t>
      </w:r>
      <w:r w:rsidR="00995E11" w:rsidRPr="00995E11">
        <w:t>section 1110 of the Sandy Recovery Improvement Act of 2013 (P.L. 113-2)</w:t>
      </w:r>
      <w:r w:rsidR="00995E11">
        <w:t xml:space="preserve">.  </w:t>
      </w:r>
      <w:r w:rsidR="00140897">
        <w:rPr>
          <w:bCs/>
        </w:rPr>
        <w:t xml:space="preserve">However, our data suggests that in an average year, only 20 declaration requests will come from tribes.  We calculated this based on damage incurred from disasters on federal Indian tribal lands in a given year </w:t>
      </w:r>
      <w:r w:rsidR="00995E11">
        <w:rPr>
          <w:bCs/>
        </w:rPr>
        <w:t xml:space="preserve">over a five year period </w:t>
      </w:r>
      <w:r w:rsidR="00140897">
        <w:rPr>
          <w:bCs/>
        </w:rPr>
        <w:t xml:space="preserve">that met the </w:t>
      </w:r>
      <w:r w:rsidR="00995E11">
        <w:rPr>
          <w:bCs/>
        </w:rPr>
        <w:t xml:space="preserve">damage </w:t>
      </w:r>
      <w:r w:rsidR="00140897">
        <w:rPr>
          <w:bCs/>
        </w:rPr>
        <w:t>threshold to request a declaration.  The form is the same for tribes. Thus, they will expend the same amount of time to f</w:t>
      </w:r>
      <w:r w:rsidR="00995E11">
        <w:rPr>
          <w:bCs/>
        </w:rPr>
        <w:t>ill out a declaration request as states.</w:t>
      </w:r>
    </w:p>
    <w:p w:rsidR="00817075" w:rsidRDefault="00817075">
      <w:pPr>
        <w:rPr>
          <w:b/>
          <w:bCs/>
        </w:rPr>
      </w:pPr>
    </w:p>
    <w:p w:rsidR="00817075" w:rsidRDefault="00AE2D4C">
      <w:pPr>
        <w:rPr>
          <w:b/>
          <w:bCs/>
        </w:rPr>
      </w:pPr>
      <w:r>
        <w:fldChar w:fldCharType="begin"/>
      </w:r>
      <w:r w:rsidR="00817075">
        <w:instrText>ADVANCE \R 0.95</w:instrText>
      </w:r>
      <w:r>
        <w:fldChar w:fldCharType="end"/>
      </w:r>
      <w:r w:rsidR="00817075">
        <w:tab/>
      </w:r>
      <w:r w:rsidR="00817075">
        <w:rPr>
          <w:b/>
          <w:bCs/>
        </w:rPr>
        <w:t>b.  If this request for approval covers more than one form, provide separate hour burden estimates for each form and aggregate the hour burdens in Item 13 of OMB Form 83-I.</w:t>
      </w:r>
    </w:p>
    <w:p w:rsidR="00817075" w:rsidRDefault="00817075">
      <w:pPr>
        <w:rPr>
          <w:b/>
          <w:bCs/>
        </w:rPr>
      </w:pPr>
    </w:p>
    <w:p w:rsidR="00817075" w:rsidRDefault="00817075" w:rsidP="001124DB">
      <w:pPr>
        <w:rPr>
          <w:b/>
          <w:bCs/>
        </w:rPr>
      </w:pPr>
      <w:r>
        <w:rPr>
          <w:b/>
          <w:bCs/>
        </w:rPr>
        <w:tab/>
        <w:t>c.  Provide an estimate of annualized cost to respondents for the hour burdens for collections of information, identifying and using appropriate wage rate categories.  The cost to the respondents of contracting out or paying outside parties for information collection activities should not be included here.  Instead this cost should be included in Item 13.</w:t>
      </w:r>
    </w:p>
    <w:p w:rsidR="00817075" w:rsidRDefault="00817075" w:rsidP="008B0F3B">
      <w:pPr>
        <w:rPr>
          <w:b/>
          <w:bCs/>
        </w:rPr>
      </w:pPr>
    </w:p>
    <w:p w:rsidR="00F37AF7" w:rsidRDefault="00F37AF7" w:rsidP="008B0F3B">
      <w:pPr>
        <w:rPr>
          <w:b/>
          <w:bCs/>
        </w:rPr>
      </w:pPr>
    </w:p>
    <w:p w:rsidR="00F37AF7" w:rsidRDefault="00F37AF7" w:rsidP="008B0F3B">
      <w:pPr>
        <w:rPr>
          <w:b/>
          <w:bCs/>
        </w:rPr>
      </w:pPr>
    </w:p>
    <w:p w:rsidR="00F37AF7" w:rsidRDefault="00F37AF7" w:rsidP="008B0F3B">
      <w:pPr>
        <w:rPr>
          <w:b/>
          <w:bCs/>
        </w:rPr>
      </w:pPr>
    </w:p>
    <w:p w:rsidR="00F37AF7" w:rsidRDefault="00F37AF7" w:rsidP="008B0F3B">
      <w:pPr>
        <w:rPr>
          <w:b/>
          <w:bCs/>
        </w:rPr>
      </w:pPr>
    </w:p>
    <w:p w:rsidR="00F37AF7" w:rsidRDefault="00F37AF7" w:rsidP="008B0F3B">
      <w:pPr>
        <w:rPr>
          <w:b/>
          <w:bCs/>
        </w:rPr>
      </w:pPr>
    </w:p>
    <w:p w:rsidR="00F37AF7" w:rsidRDefault="00F37AF7" w:rsidP="008B0F3B">
      <w:pPr>
        <w:rPr>
          <w:b/>
          <w:bCs/>
        </w:rPr>
      </w:pPr>
    </w:p>
    <w:p w:rsidR="00F37AF7" w:rsidRDefault="00F37AF7" w:rsidP="008B0F3B">
      <w:pPr>
        <w:rPr>
          <w:b/>
          <w:bCs/>
        </w:rPr>
      </w:pPr>
    </w:p>
    <w:p w:rsidR="00F37AF7" w:rsidRDefault="00F37AF7" w:rsidP="008B0F3B">
      <w:pPr>
        <w:rPr>
          <w:b/>
          <w:bCs/>
        </w:rPr>
      </w:pPr>
    </w:p>
    <w:p w:rsidR="00F37AF7" w:rsidRDefault="00F37AF7" w:rsidP="008B0F3B">
      <w:pPr>
        <w:rPr>
          <w:b/>
          <w:bCs/>
        </w:rPr>
      </w:pPr>
    </w:p>
    <w:p w:rsidR="00F37AF7" w:rsidRDefault="00F37AF7" w:rsidP="008B0F3B">
      <w:pPr>
        <w:rPr>
          <w:b/>
          <w:bCs/>
        </w:rPr>
      </w:pPr>
    </w:p>
    <w:p w:rsidR="00F37AF7" w:rsidRDefault="00F37AF7" w:rsidP="008B0F3B">
      <w:pPr>
        <w:rPr>
          <w:b/>
          <w:bCs/>
        </w:rPr>
      </w:pPr>
    </w:p>
    <w:p w:rsidR="00F37AF7" w:rsidRDefault="00F37AF7" w:rsidP="008B0F3B">
      <w:pPr>
        <w:rPr>
          <w:b/>
          <w:bCs/>
        </w:rPr>
      </w:pPr>
    </w:p>
    <w:p w:rsidR="00F37AF7" w:rsidRDefault="00F37AF7" w:rsidP="008B0F3B">
      <w:pPr>
        <w:rPr>
          <w:b/>
          <w:bCs/>
        </w:rPr>
      </w:pPr>
    </w:p>
    <w:p w:rsidR="00F37AF7" w:rsidRDefault="00F37AF7" w:rsidP="008B0F3B">
      <w:pPr>
        <w:rPr>
          <w:b/>
          <w:bCs/>
        </w:rPr>
      </w:pPr>
    </w:p>
    <w:p w:rsidR="00F37AF7" w:rsidRDefault="00F37AF7" w:rsidP="008B0F3B">
      <w:pPr>
        <w:rPr>
          <w:b/>
          <w:bCs/>
        </w:rPr>
      </w:pPr>
    </w:p>
    <w:p w:rsidR="00B52F37" w:rsidRDefault="00B52F37" w:rsidP="008B0F3B">
      <w:pPr>
        <w:rPr>
          <w:b/>
          <w:bCs/>
        </w:rPr>
      </w:pPr>
    </w:p>
    <w:tbl>
      <w:tblPr>
        <w:tblW w:w="9011" w:type="dxa"/>
        <w:tblInd w:w="93" w:type="dxa"/>
        <w:tblLook w:val="0000" w:firstRow="0" w:lastRow="0" w:firstColumn="0" w:lastColumn="0" w:noHBand="0" w:noVBand="0"/>
      </w:tblPr>
      <w:tblGrid>
        <w:gridCol w:w="1373"/>
        <w:gridCol w:w="1284"/>
        <w:gridCol w:w="1016"/>
        <w:gridCol w:w="1016"/>
        <w:gridCol w:w="1172"/>
        <w:gridCol w:w="916"/>
        <w:gridCol w:w="850"/>
        <w:gridCol w:w="1384"/>
      </w:tblGrid>
      <w:tr w:rsidR="00817075" w:rsidTr="00A53CF2">
        <w:trPr>
          <w:trHeight w:val="270"/>
        </w:trPr>
        <w:tc>
          <w:tcPr>
            <w:tcW w:w="9011" w:type="dxa"/>
            <w:gridSpan w:val="8"/>
            <w:tcBorders>
              <w:top w:val="single" w:sz="8" w:space="0" w:color="auto"/>
              <w:left w:val="single" w:sz="8" w:space="0" w:color="auto"/>
              <w:bottom w:val="single" w:sz="8" w:space="0" w:color="auto"/>
              <w:right w:val="single" w:sz="8" w:space="0" w:color="000000"/>
            </w:tcBorders>
            <w:noWrap/>
            <w:vAlign w:val="bottom"/>
          </w:tcPr>
          <w:p w:rsidR="00817075" w:rsidRDefault="00817075" w:rsidP="006B6883">
            <w:pPr>
              <w:jc w:val="center"/>
              <w:rPr>
                <w:rFonts w:ascii="Arial" w:hAnsi="Arial" w:cs="Arial"/>
                <w:sz w:val="20"/>
                <w:szCs w:val="20"/>
              </w:rPr>
            </w:pPr>
            <w:r>
              <w:rPr>
                <w:rFonts w:ascii="Arial" w:hAnsi="Arial" w:cs="Arial"/>
                <w:sz w:val="20"/>
                <w:szCs w:val="20"/>
              </w:rPr>
              <w:lastRenderedPageBreak/>
              <w:t>Table A.12: Estimated Annualized Burden Hours and Costs</w:t>
            </w:r>
          </w:p>
        </w:tc>
      </w:tr>
      <w:tr w:rsidR="00817075" w:rsidTr="00A53CF2">
        <w:trPr>
          <w:trHeight w:val="1042"/>
        </w:trPr>
        <w:tc>
          <w:tcPr>
            <w:tcW w:w="1373" w:type="dxa"/>
            <w:tcBorders>
              <w:top w:val="nil"/>
              <w:left w:val="single" w:sz="8" w:space="0" w:color="auto"/>
              <w:bottom w:val="single" w:sz="8" w:space="0" w:color="auto"/>
              <w:right w:val="single" w:sz="8" w:space="0" w:color="auto"/>
            </w:tcBorders>
            <w:shd w:val="clear" w:color="auto" w:fill="C0C0C0"/>
            <w:vAlign w:val="bottom"/>
          </w:tcPr>
          <w:p w:rsidR="00817075" w:rsidRDefault="00817075" w:rsidP="006B6883">
            <w:pPr>
              <w:jc w:val="center"/>
              <w:rPr>
                <w:rFonts w:ascii="Arial" w:hAnsi="Arial" w:cs="Arial"/>
                <w:b/>
                <w:bCs/>
                <w:sz w:val="20"/>
                <w:szCs w:val="20"/>
              </w:rPr>
            </w:pPr>
            <w:r>
              <w:rPr>
                <w:rFonts w:ascii="Arial" w:hAnsi="Arial" w:cs="Arial"/>
                <w:b/>
                <w:bCs/>
                <w:sz w:val="20"/>
                <w:szCs w:val="20"/>
              </w:rPr>
              <w:t>Type of Respondent</w:t>
            </w:r>
          </w:p>
        </w:tc>
        <w:tc>
          <w:tcPr>
            <w:tcW w:w="1284" w:type="dxa"/>
            <w:tcBorders>
              <w:top w:val="nil"/>
              <w:left w:val="nil"/>
              <w:bottom w:val="single" w:sz="8" w:space="0" w:color="auto"/>
              <w:right w:val="single" w:sz="8" w:space="0" w:color="auto"/>
            </w:tcBorders>
            <w:shd w:val="clear" w:color="auto" w:fill="C0C0C0"/>
            <w:vAlign w:val="bottom"/>
          </w:tcPr>
          <w:p w:rsidR="00817075" w:rsidRDefault="00817075" w:rsidP="006B6883">
            <w:pPr>
              <w:jc w:val="center"/>
              <w:rPr>
                <w:rFonts w:ascii="Arial" w:hAnsi="Arial" w:cs="Arial"/>
                <w:b/>
                <w:bCs/>
                <w:sz w:val="20"/>
                <w:szCs w:val="20"/>
              </w:rPr>
            </w:pPr>
            <w:r>
              <w:rPr>
                <w:rFonts w:ascii="Arial" w:hAnsi="Arial" w:cs="Arial"/>
                <w:b/>
                <w:bCs/>
                <w:sz w:val="20"/>
                <w:szCs w:val="20"/>
              </w:rPr>
              <w:t>Form Name / Form Number</w:t>
            </w:r>
          </w:p>
        </w:tc>
        <w:tc>
          <w:tcPr>
            <w:tcW w:w="1016" w:type="dxa"/>
            <w:tcBorders>
              <w:top w:val="nil"/>
              <w:left w:val="nil"/>
              <w:bottom w:val="single" w:sz="8" w:space="0" w:color="auto"/>
              <w:right w:val="single" w:sz="8" w:space="0" w:color="auto"/>
            </w:tcBorders>
            <w:shd w:val="clear" w:color="auto" w:fill="C0C0C0"/>
            <w:vAlign w:val="bottom"/>
          </w:tcPr>
          <w:p w:rsidR="00817075" w:rsidRDefault="00817075" w:rsidP="006B6883">
            <w:pPr>
              <w:jc w:val="center"/>
              <w:rPr>
                <w:rFonts w:ascii="Arial" w:hAnsi="Arial" w:cs="Arial"/>
                <w:b/>
                <w:bCs/>
                <w:sz w:val="20"/>
                <w:szCs w:val="20"/>
              </w:rPr>
            </w:pPr>
            <w:r>
              <w:rPr>
                <w:rFonts w:ascii="Arial" w:hAnsi="Arial" w:cs="Arial"/>
                <w:b/>
                <w:bCs/>
                <w:sz w:val="20"/>
                <w:szCs w:val="20"/>
              </w:rPr>
              <w:t>No. of Respon-dents</w:t>
            </w:r>
          </w:p>
        </w:tc>
        <w:tc>
          <w:tcPr>
            <w:tcW w:w="1016" w:type="dxa"/>
            <w:tcBorders>
              <w:top w:val="nil"/>
              <w:left w:val="nil"/>
              <w:bottom w:val="single" w:sz="8" w:space="0" w:color="auto"/>
              <w:right w:val="single" w:sz="8" w:space="0" w:color="auto"/>
            </w:tcBorders>
            <w:shd w:val="clear" w:color="auto" w:fill="C0C0C0"/>
            <w:vAlign w:val="bottom"/>
          </w:tcPr>
          <w:p w:rsidR="00817075" w:rsidRDefault="00817075" w:rsidP="006B6883">
            <w:pPr>
              <w:jc w:val="center"/>
              <w:rPr>
                <w:rFonts w:ascii="Arial" w:hAnsi="Arial" w:cs="Arial"/>
                <w:b/>
                <w:bCs/>
                <w:sz w:val="20"/>
                <w:szCs w:val="20"/>
              </w:rPr>
            </w:pPr>
            <w:r>
              <w:rPr>
                <w:rFonts w:ascii="Arial" w:hAnsi="Arial" w:cs="Arial"/>
                <w:b/>
                <w:bCs/>
                <w:sz w:val="20"/>
                <w:szCs w:val="20"/>
              </w:rPr>
              <w:t>No. of Respon-ses per Respon-dent</w:t>
            </w:r>
          </w:p>
        </w:tc>
        <w:tc>
          <w:tcPr>
            <w:tcW w:w="1172" w:type="dxa"/>
            <w:tcBorders>
              <w:top w:val="nil"/>
              <w:left w:val="nil"/>
              <w:bottom w:val="single" w:sz="8" w:space="0" w:color="auto"/>
              <w:right w:val="single" w:sz="8" w:space="0" w:color="auto"/>
            </w:tcBorders>
            <w:shd w:val="clear" w:color="auto" w:fill="C0C0C0"/>
            <w:vAlign w:val="bottom"/>
          </w:tcPr>
          <w:p w:rsidR="00817075" w:rsidRDefault="00817075" w:rsidP="006B6883">
            <w:pPr>
              <w:jc w:val="center"/>
              <w:rPr>
                <w:rFonts w:ascii="Arial" w:hAnsi="Arial" w:cs="Arial"/>
                <w:b/>
                <w:bCs/>
                <w:sz w:val="20"/>
                <w:szCs w:val="20"/>
              </w:rPr>
            </w:pPr>
            <w:r>
              <w:rPr>
                <w:rFonts w:ascii="Arial" w:hAnsi="Arial" w:cs="Arial"/>
                <w:b/>
                <w:bCs/>
                <w:sz w:val="20"/>
                <w:szCs w:val="20"/>
              </w:rPr>
              <w:t>Avg. Burden per Response (in hours)</w:t>
            </w:r>
          </w:p>
        </w:tc>
        <w:tc>
          <w:tcPr>
            <w:tcW w:w="916" w:type="dxa"/>
            <w:tcBorders>
              <w:top w:val="nil"/>
              <w:left w:val="nil"/>
              <w:bottom w:val="single" w:sz="8" w:space="0" w:color="auto"/>
              <w:right w:val="single" w:sz="8" w:space="0" w:color="auto"/>
            </w:tcBorders>
            <w:shd w:val="clear" w:color="auto" w:fill="C0C0C0"/>
            <w:vAlign w:val="bottom"/>
          </w:tcPr>
          <w:p w:rsidR="00817075" w:rsidRDefault="00817075" w:rsidP="006B6883">
            <w:pPr>
              <w:jc w:val="center"/>
              <w:rPr>
                <w:rFonts w:ascii="Arial" w:hAnsi="Arial" w:cs="Arial"/>
                <w:b/>
                <w:bCs/>
                <w:sz w:val="20"/>
                <w:szCs w:val="20"/>
              </w:rPr>
            </w:pPr>
            <w:r>
              <w:rPr>
                <w:rFonts w:ascii="Arial" w:hAnsi="Arial" w:cs="Arial"/>
                <w:b/>
                <w:bCs/>
                <w:sz w:val="20"/>
                <w:szCs w:val="20"/>
              </w:rPr>
              <w:t>Total Annual Burden (in hours)</w:t>
            </w:r>
          </w:p>
        </w:tc>
        <w:tc>
          <w:tcPr>
            <w:tcW w:w="850" w:type="dxa"/>
            <w:tcBorders>
              <w:top w:val="nil"/>
              <w:left w:val="nil"/>
              <w:bottom w:val="single" w:sz="8" w:space="0" w:color="auto"/>
              <w:right w:val="single" w:sz="8" w:space="0" w:color="auto"/>
            </w:tcBorders>
            <w:shd w:val="clear" w:color="auto" w:fill="C0C0C0"/>
            <w:vAlign w:val="bottom"/>
          </w:tcPr>
          <w:p w:rsidR="00817075" w:rsidRDefault="00817075" w:rsidP="006B6883">
            <w:pPr>
              <w:jc w:val="center"/>
              <w:rPr>
                <w:rFonts w:ascii="Arial" w:hAnsi="Arial" w:cs="Arial"/>
                <w:b/>
                <w:bCs/>
                <w:sz w:val="20"/>
                <w:szCs w:val="20"/>
              </w:rPr>
            </w:pPr>
            <w:r>
              <w:rPr>
                <w:rFonts w:ascii="Arial" w:hAnsi="Arial" w:cs="Arial"/>
                <w:b/>
                <w:bCs/>
                <w:sz w:val="20"/>
                <w:szCs w:val="20"/>
              </w:rPr>
              <w:t>Avg. Hourly Wage Rate</w:t>
            </w:r>
          </w:p>
        </w:tc>
        <w:tc>
          <w:tcPr>
            <w:tcW w:w="1384" w:type="dxa"/>
            <w:tcBorders>
              <w:top w:val="nil"/>
              <w:left w:val="nil"/>
              <w:bottom w:val="single" w:sz="8" w:space="0" w:color="auto"/>
              <w:right w:val="single" w:sz="8" w:space="0" w:color="auto"/>
            </w:tcBorders>
            <w:shd w:val="clear" w:color="auto" w:fill="C0C0C0"/>
            <w:vAlign w:val="bottom"/>
          </w:tcPr>
          <w:p w:rsidR="00817075" w:rsidRDefault="00817075" w:rsidP="006B6883">
            <w:pPr>
              <w:jc w:val="center"/>
              <w:rPr>
                <w:rFonts w:ascii="Arial" w:hAnsi="Arial" w:cs="Arial"/>
                <w:b/>
                <w:bCs/>
                <w:sz w:val="20"/>
                <w:szCs w:val="20"/>
              </w:rPr>
            </w:pPr>
            <w:r>
              <w:rPr>
                <w:rFonts w:ascii="Arial" w:hAnsi="Arial" w:cs="Arial"/>
                <w:b/>
                <w:bCs/>
                <w:sz w:val="20"/>
                <w:szCs w:val="20"/>
              </w:rPr>
              <w:t>Total Annual Respon-dent Cost</w:t>
            </w:r>
          </w:p>
        </w:tc>
      </w:tr>
      <w:tr w:rsidR="00817075" w:rsidTr="00A53CF2">
        <w:trPr>
          <w:trHeight w:val="270"/>
        </w:trPr>
        <w:tc>
          <w:tcPr>
            <w:tcW w:w="1373" w:type="dxa"/>
            <w:tcBorders>
              <w:top w:val="nil"/>
              <w:left w:val="single" w:sz="8" w:space="0" w:color="auto"/>
              <w:bottom w:val="single" w:sz="8" w:space="0" w:color="auto"/>
              <w:right w:val="single" w:sz="8" w:space="0" w:color="auto"/>
            </w:tcBorders>
            <w:vAlign w:val="bottom"/>
          </w:tcPr>
          <w:p w:rsidR="00817075" w:rsidRDefault="00817075" w:rsidP="00605BB8">
            <w:pPr>
              <w:rPr>
                <w:rFonts w:ascii="Arial" w:hAnsi="Arial" w:cs="Arial"/>
                <w:sz w:val="20"/>
                <w:szCs w:val="20"/>
              </w:rPr>
            </w:pPr>
            <w:bookmarkStart w:id="0" w:name="_GoBack" w:colFirst="2" w:colLast="7"/>
            <w:r>
              <w:rPr>
                <w:rFonts w:ascii="Arial" w:hAnsi="Arial" w:cs="Arial"/>
                <w:sz w:val="20"/>
                <w:szCs w:val="20"/>
              </w:rPr>
              <w:t>State, Local or Tribal Government </w:t>
            </w:r>
          </w:p>
        </w:tc>
        <w:tc>
          <w:tcPr>
            <w:tcW w:w="1284" w:type="dxa"/>
            <w:tcBorders>
              <w:top w:val="nil"/>
              <w:left w:val="nil"/>
              <w:bottom w:val="single" w:sz="8" w:space="0" w:color="auto"/>
              <w:right w:val="single" w:sz="8" w:space="0" w:color="auto"/>
            </w:tcBorders>
            <w:vAlign w:val="bottom"/>
          </w:tcPr>
          <w:p w:rsidR="00817075" w:rsidRDefault="00817075" w:rsidP="00605BB8">
            <w:pPr>
              <w:rPr>
                <w:rFonts w:ascii="Arial" w:hAnsi="Arial" w:cs="Arial"/>
                <w:sz w:val="20"/>
                <w:szCs w:val="20"/>
              </w:rPr>
            </w:pPr>
          </w:p>
          <w:p w:rsidR="00817075" w:rsidRDefault="00817075" w:rsidP="0000054A">
            <w:pPr>
              <w:rPr>
                <w:rFonts w:ascii="Arial" w:hAnsi="Arial" w:cs="Arial"/>
                <w:sz w:val="20"/>
                <w:szCs w:val="20"/>
              </w:rPr>
            </w:pPr>
            <w:r>
              <w:rPr>
                <w:rFonts w:ascii="Arial" w:hAnsi="Arial" w:cs="Arial"/>
                <w:sz w:val="20"/>
                <w:szCs w:val="20"/>
              </w:rPr>
              <w:t>Request for Presidential Disaster Declaration Major Disaster or Emergency</w:t>
            </w:r>
            <w:r w:rsidR="0000054A">
              <w:rPr>
                <w:rFonts w:ascii="Arial" w:hAnsi="Arial" w:cs="Arial"/>
                <w:sz w:val="20"/>
                <w:szCs w:val="20"/>
              </w:rPr>
              <w:t xml:space="preserve"> / FEMA Form 010-0-13</w:t>
            </w:r>
            <w:r>
              <w:rPr>
                <w:rFonts w:ascii="Arial" w:hAnsi="Arial" w:cs="Arial"/>
                <w:sz w:val="20"/>
                <w:szCs w:val="20"/>
              </w:rPr>
              <w:t> </w:t>
            </w:r>
          </w:p>
        </w:tc>
        <w:tc>
          <w:tcPr>
            <w:tcW w:w="1016" w:type="dxa"/>
            <w:tcBorders>
              <w:top w:val="nil"/>
              <w:left w:val="nil"/>
              <w:bottom w:val="single" w:sz="8" w:space="0" w:color="auto"/>
              <w:right w:val="single" w:sz="8" w:space="0" w:color="auto"/>
            </w:tcBorders>
            <w:vAlign w:val="bottom"/>
          </w:tcPr>
          <w:p w:rsidR="00817075" w:rsidRDefault="007B030B" w:rsidP="008B54C8">
            <w:pPr>
              <w:jc w:val="center"/>
              <w:rPr>
                <w:rFonts w:ascii="Arial" w:hAnsi="Arial" w:cs="Arial"/>
                <w:sz w:val="20"/>
                <w:szCs w:val="20"/>
              </w:rPr>
            </w:pPr>
            <w:r>
              <w:rPr>
                <w:rFonts w:ascii="Arial" w:hAnsi="Arial" w:cs="Arial"/>
                <w:sz w:val="20"/>
                <w:szCs w:val="20"/>
              </w:rPr>
              <w:t>622</w:t>
            </w:r>
          </w:p>
        </w:tc>
        <w:tc>
          <w:tcPr>
            <w:tcW w:w="1016" w:type="dxa"/>
            <w:tcBorders>
              <w:top w:val="nil"/>
              <w:left w:val="nil"/>
              <w:bottom w:val="single" w:sz="8" w:space="0" w:color="auto"/>
              <w:right w:val="single" w:sz="8" w:space="0" w:color="auto"/>
            </w:tcBorders>
            <w:vAlign w:val="bottom"/>
          </w:tcPr>
          <w:p w:rsidR="00817075" w:rsidRDefault="007B030B" w:rsidP="008B54C8">
            <w:pPr>
              <w:jc w:val="center"/>
              <w:rPr>
                <w:rFonts w:ascii="Arial" w:hAnsi="Arial" w:cs="Arial"/>
                <w:sz w:val="20"/>
                <w:szCs w:val="20"/>
              </w:rPr>
            </w:pPr>
            <w:r>
              <w:rPr>
                <w:rFonts w:ascii="Arial" w:hAnsi="Arial" w:cs="Arial"/>
                <w:sz w:val="20"/>
                <w:szCs w:val="20"/>
              </w:rPr>
              <w:t>.</w:t>
            </w:r>
            <w:r w:rsidR="00F11042">
              <w:rPr>
                <w:rFonts w:ascii="Arial" w:hAnsi="Arial" w:cs="Arial"/>
                <w:sz w:val="20"/>
                <w:szCs w:val="20"/>
              </w:rPr>
              <w:t>57</w:t>
            </w:r>
          </w:p>
        </w:tc>
        <w:tc>
          <w:tcPr>
            <w:tcW w:w="1172" w:type="dxa"/>
            <w:tcBorders>
              <w:top w:val="nil"/>
              <w:left w:val="nil"/>
              <w:bottom w:val="single" w:sz="8" w:space="0" w:color="auto"/>
              <w:right w:val="single" w:sz="8" w:space="0" w:color="auto"/>
            </w:tcBorders>
            <w:vAlign w:val="bottom"/>
          </w:tcPr>
          <w:p w:rsidR="00817075" w:rsidRDefault="00817075" w:rsidP="008B54C8">
            <w:pPr>
              <w:jc w:val="center"/>
              <w:rPr>
                <w:rFonts w:ascii="Arial" w:hAnsi="Arial" w:cs="Arial"/>
                <w:sz w:val="20"/>
                <w:szCs w:val="20"/>
              </w:rPr>
            </w:pPr>
            <w:r>
              <w:rPr>
                <w:rFonts w:ascii="Arial" w:hAnsi="Arial" w:cs="Arial"/>
                <w:sz w:val="20"/>
                <w:szCs w:val="20"/>
              </w:rPr>
              <w:t>9</w:t>
            </w:r>
            <w:r w:rsidR="00A931AB">
              <w:rPr>
                <w:rFonts w:ascii="Arial" w:hAnsi="Arial" w:cs="Arial"/>
                <w:sz w:val="20"/>
                <w:szCs w:val="20"/>
              </w:rPr>
              <w:t xml:space="preserve"> hours</w:t>
            </w:r>
          </w:p>
        </w:tc>
        <w:tc>
          <w:tcPr>
            <w:tcW w:w="916" w:type="dxa"/>
            <w:tcBorders>
              <w:top w:val="nil"/>
              <w:left w:val="nil"/>
              <w:bottom w:val="single" w:sz="8" w:space="0" w:color="auto"/>
              <w:right w:val="single" w:sz="8" w:space="0" w:color="auto"/>
            </w:tcBorders>
            <w:vAlign w:val="bottom"/>
          </w:tcPr>
          <w:p w:rsidR="00817075" w:rsidRDefault="00F11042" w:rsidP="008B54C8">
            <w:pPr>
              <w:jc w:val="center"/>
              <w:rPr>
                <w:rFonts w:ascii="Arial" w:hAnsi="Arial" w:cs="Arial"/>
                <w:sz w:val="20"/>
                <w:szCs w:val="20"/>
              </w:rPr>
            </w:pPr>
            <w:r>
              <w:rPr>
                <w:rFonts w:ascii="Arial" w:hAnsi="Arial" w:cs="Arial"/>
                <w:sz w:val="20"/>
                <w:szCs w:val="20"/>
              </w:rPr>
              <w:t>3,</w:t>
            </w:r>
            <w:r w:rsidR="00604687">
              <w:rPr>
                <w:rFonts w:ascii="Arial" w:hAnsi="Arial" w:cs="Arial"/>
                <w:sz w:val="20"/>
                <w:szCs w:val="20"/>
              </w:rPr>
              <w:t>195</w:t>
            </w:r>
          </w:p>
        </w:tc>
        <w:tc>
          <w:tcPr>
            <w:tcW w:w="850" w:type="dxa"/>
            <w:tcBorders>
              <w:top w:val="nil"/>
              <w:left w:val="nil"/>
              <w:bottom w:val="single" w:sz="8" w:space="0" w:color="auto"/>
              <w:right w:val="single" w:sz="8" w:space="0" w:color="auto"/>
            </w:tcBorders>
            <w:vAlign w:val="bottom"/>
          </w:tcPr>
          <w:p w:rsidR="00817075" w:rsidRDefault="00817075" w:rsidP="008B54C8">
            <w:pPr>
              <w:jc w:val="center"/>
              <w:rPr>
                <w:rFonts w:ascii="Arial" w:hAnsi="Arial" w:cs="Arial"/>
                <w:sz w:val="20"/>
                <w:szCs w:val="20"/>
              </w:rPr>
            </w:pPr>
            <w:r>
              <w:rPr>
                <w:rFonts w:ascii="Arial" w:hAnsi="Arial" w:cs="Arial"/>
                <w:sz w:val="20"/>
                <w:szCs w:val="20"/>
              </w:rPr>
              <w:t>$65.67</w:t>
            </w:r>
          </w:p>
        </w:tc>
        <w:tc>
          <w:tcPr>
            <w:tcW w:w="1384" w:type="dxa"/>
            <w:tcBorders>
              <w:top w:val="nil"/>
              <w:left w:val="nil"/>
              <w:bottom w:val="single" w:sz="8" w:space="0" w:color="auto"/>
              <w:right w:val="single" w:sz="8" w:space="0" w:color="auto"/>
            </w:tcBorders>
            <w:vAlign w:val="bottom"/>
          </w:tcPr>
          <w:p w:rsidR="00817075" w:rsidRDefault="00817075" w:rsidP="008B54C8">
            <w:pPr>
              <w:jc w:val="center"/>
              <w:rPr>
                <w:rFonts w:ascii="Arial" w:hAnsi="Arial" w:cs="Arial"/>
                <w:sz w:val="20"/>
                <w:szCs w:val="20"/>
              </w:rPr>
            </w:pPr>
            <w:r>
              <w:rPr>
                <w:rFonts w:ascii="Arial" w:hAnsi="Arial" w:cs="Arial"/>
                <w:sz w:val="20"/>
                <w:szCs w:val="20"/>
              </w:rPr>
              <w:t>$</w:t>
            </w:r>
            <w:r w:rsidR="00A32974">
              <w:rPr>
                <w:rFonts w:ascii="Arial" w:hAnsi="Arial" w:cs="Arial"/>
                <w:sz w:val="20"/>
                <w:szCs w:val="20"/>
              </w:rPr>
              <w:t>2</w:t>
            </w:r>
            <w:r w:rsidR="00604687">
              <w:rPr>
                <w:rFonts w:ascii="Arial" w:hAnsi="Arial" w:cs="Arial"/>
                <w:sz w:val="20"/>
                <w:szCs w:val="20"/>
              </w:rPr>
              <w:t>09</w:t>
            </w:r>
            <w:r w:rsidR="00A32974">
              <w:rPr>
                <w:rFonts w:ascii="Arial" w:hAnsi="Arial" w:cs="Arial"/>
                <w:sz w:val="20"/>
                <w:szCs w:val="20"/>
              </w:rPr>
              <w:t>,</w:t>
            </w:r>
            <w:r w:rsidR="00604687">
              <w:rPr>
                <w:rFonts w:ascii="Arial" w:hAnsi="Arial" w:cs="Arial"/>
                <w:sz w:val="20"/>
                <w:szCs w:val="20"/>
              </w:rPr>
              <w:t>815.65</w:t>
            </w:r>
          </w:p>
        </w:tc>
      </w:tr>
      <w:tr w:rsidR="00817075" w:rsidTr="00A53CF2">
        <w:trPr>
          <w:trHeight w:val="270"/>
        </w:trPr>
        <w:tc>
          <w:tcPr>
            <w:tcW w:w="1373" w:type="dxa"/>
            <w:tcBorders>
              <w:top w:val="nil"/>
              <w:left w:val="single" w:sz="8" w:space="0" w:color="auto"/>
              <w:bottom w:val="single" w:sz="8" w:space="0" w:color="auto"/>
              <w:right w:val="single" w:sz="8" w:space="0" w:color="auto"/>
            </w:tcBorders>
            <w:vAlign w:val="bottom"/>
          </w:tcPr>
          <w:p w:rsidR="00817075" w:rsidRDefault="00817075" w:rsidP="00605BB8">
            <w:pPr>
              <w:rPr>
                <w:rFonts w:ascii="Arial" w:hAnsi="Arial" w:cs="Arial"/>
                <w:sz w:val="20"/>
                <w:szCs w:val="20"/>
              </w:rPr>
            </w:pPr>
            <w:r>
              <w:rPr>
                <w:rFonts w:ascii="Arial" w:hAnsi="Arial" w:cs="Arial"/>
                <w:sz w:val="20"/>
                <w:szCs w:val="20"/>
              </w:rPr>
              <w:t>State, Local or Tribal Government </w:t>
            </w:r>
          </w:p>
        </w:tc>
        <w:tc>
          <w:tcPr>
            <w:tcW w:w="1284" w:type="dxa"/>
            <w:tcBorders>
              <w:top w:val="nil"/>
              <w:left w:val="nil"/>
              <w:bottom w:val="single" w:sz="8" w:space="0" w:color="auto"/>
              <w:right w:val="single" w:sz="8" w:space="0" w:color="auto"/>
            </w:tcBorders>
            <w:vAlign w:val="bottom"/>
          </w:tcPr>
          <w:p w:rsidR="00817075" w:rsidRDefault="00817075" w:rsidP="00605BB8">
            <w:pPr>
              <w:rPr>
                <w:rFonts w:ascii="Arial" w:hAnsi="Arial" w:cs="Arial"/>
                <w:sz w:val="20"/>
                <w:szCs w:val="20"/>
              </w:rPr>
            </w:pPr>
            <w:r>
              <w:rPr>
                <w:rFonts w:ascii="Arial" w:hAnsi="Arial" w:cs="Arial"/>
                <w:sz w:val="20"/>
                <w:szCs w:val="20"/>
              </w:rPr>
              <w:t>Initial Data Gathering for Governor’s Request / No Form</w:t>
            </w:r>
          </w:p>
        </w:tc>
        <w:tc>
          <w:tcPr>
            <w:tcW w:w="1016" w:type="dxa"/>
            <w:tcBorders>
              <w:top w:val="nil"/>
              <w:left w:val="nil"/>
              <w:bottom w:val="single" w:sz="8" w:space="0" w:color="auto"/>
              <w:right w:val="single" w:sz="8" w:space="0" w:color="auto"/>
            </w:tcBorders>
            <w:vAlign w:val="bottom"/>
          </w:tcPr>
          <w:p w:rsidR="00817075" w:rsidRDefault="007B030B" w:rsidP="008B54C8">
            <w:pPr>
              <w:jc w:val="center"/>
              <w:rPr>
                <w:rFonts w:ascii="Arial" w:hAnsi="Arial" w:cs="Arial"/>
                <w:sz w:val="20"/>
                <w:szCs w:val="20"/>
              </w:rPr>
            </w:pPr>
            <w:r>
              <w:rPr>
                <w:rFonts w:ascii="Arial" w:hAnsi="Arial" w:cs="Arial"/>
                <w:sz w:val="20"/>
                <w:szCs w:val="20"/>
              </w:rPr>
              <w:t>622</w:t>
            </w:r>
          </w:p>
        </w:tc>
        <w:tc>
          <w:tcPr>
            <w:tcW w:w="1016" w:type="dxa"/>
            <w:tcBorders>
              <w:top w:val="nil"/>
              <w:left w:val="nil"/>
              <w:bottom w:val="single" w:sz="8" w:space="0" w:color="auto"/>
              <w:right w:val="single" w:sz="8" w:space="0" w:color="auto"/>
            </w:tcBorders>
            <w:vAlign w:val="bottom"/>
          </w:tcPr>
          <w:p w:rsidR="00817075" w:rsidRDefault="007B030B" w:rsidP="008B54C8">
            <w:pPr>
              <w:jc w:val="center"/>
              <w:rPr>
                <w:rFonts w:ascii="Arial" w:hAnsi="Arial" w:cs="Arial"/>
                <w:sz w:val="20"/>
                <w:szCs w:val="20"/>
              </w:rPr>
            </w:pPr>
            <w:r>
              <w:rPr>
                <w:rFonts w:ascii="Arial" w:hAnsi="Arial" w:cs="Arial"/>
                <w:sz w:val="20"/>
                <w:szCs w:val="20"/>
              </w:rPr>
              <w:t>.</w:t>
            </w:r>
            <w:r w:rsidR="00F11042">
              <w:rPr>
                <w:rFonts w:ascii="Arial" w:hAnsi="Arial" w:cs="Arial"/>
                <w:sz w:val="20"/>
                <w:szCs w:val="20"/>
              </w:rPr>
              <w:t>57</w:t>
            </w:r>
          </w:p>
        </w:tc>
        <w:tc>
          <w:tcPr>
            <w:tcW w:w="1172" w:type="dxa"/>
            <w:tcBorders>
              <w:top w:val="nil"/>
              <w:left w:val="nil"/>
              <w:bottom w:val="single" w:sz="8" w:space="0" w:color="auto"/>
              <w:right w:val="single" w:sz="8" w:space="0" w:color="auto"/>
            </w:tcBorders>
            <w:vAlign w:val="bottom"/>
          </w:tcPr>
          <w:p w:rsidR="00817075" w:rsidRDefault="00817075" w:rsidP="008B54C8">
            <w:pPr>
              <w:jc w:val="center"/>
              <w:rPr>
                <w:rFonts w:ascii="Arial" w:hAnsi="Arial" w:cs="Arial"/>
                <w:sz w:val="20"/>
                <w:szCs w:val="20"/>
              </w:rPr>
            </w:pPr>
            <w:r>
              <w:rPr>
                <w:rFonts w:ascii="Arial" w:hAnsi="Arial" w:cs="Arial"/>
                <w:sz w:val="20"/>
                <w:szCs w:val="20"/>
              </w:rPr>
              <w:t>24 </w:t>
            </w:r>
            <w:r w:rsidR="00A931AB">
              <w:rPr>
                <w:rFonts w:ascii="Arial" w:hAnsi="Arial" w:cs="Arial"/>
                <w:sz w:val="20"/>
                <w:szCs w:val="20"/>
              </w:rPr>
              <w:t>hours</w:t>
            </w:r>
          </w:p>
        </w:tc>
        <w:tc>
          <w:tcPr>
            <w:tcW w:w="916" w:type="dxa"/>
            <w:tcBorders>
              <w:top w:val="nil"/>
              <w:left w:val="nil"/>
              <w:bottom w:val="single" w:sz="8" w:space="0" w:color="auto"/>
              <w:right w:val="single" w:sz="8" w:space="0" w:color="auto"/>
            </w:tcBorders>
            <w:vAlign w:val="bottom"/>
          </w:tcPr>
          <w:p w:rsidR="00817075" w:rsidRDefault="00817075" w:rsidP="008B54C8">
            <w:pPr>
              <w:jc w:val="center"/>
              <w:rPr>
                <w:rFonts w:ascii="Arial" w:hAnsi="Arial" w:cs="Arial"/>
                <w:sz w:val="20"/>
                <w:szCs w:val="20"/>
              </w:rPr>
            </w:pPr>
            <w:r>
              <w:rPr>
                <w:rFonts w:ascii="Arial" w:hAnsi="Arial" w:cs="Arial"/>
                <w:sz w:val="20"/>
                <w:szCs w:val="20"/>
              </w:rPr>
              <w:t>8,</w:t>
            </w:r>
            <w:r w:rsidR="00604687">
              <w:rPr>
                <w:rFonts w:ascii="Arial" w:hAnsi="Arial" w:cs="Arial"/>
                <w:sz w:val="20"/>
                <w:szCs w:val="20"/>
              </w:rPr>
              <w:t>520</w:t>
            </w:r>
          </w:p>
        </w:tc>
        <w:tc>
          <w:tcPr>
            <w:tcW w:w="850" w:type="dxa"/>
            <w:tcBorders>
              <w:top w:val="nil"/>
              <w:left w:val="nil"/>
              <w:bottom w:val="single" w:sz="8" w:space="0" w:color="auto"/>
              <w:right w:val="single" w:sz="8" w:space="0" w:color="auto"/>
            </w:tcBorders>
            <w:vAlign w:val="bottom"/>
          </w:tcPr>
          <w:p w:rsidR="00817075" w:rsidRDefault="00817075" w:rsidP="008B54C8">
            <w:pPr>
              <w:jc w:val="center"/>
              <w:rPr>
                <w:rFonts w:ascii="Arial" w:hAnsi="Arial" w:cs="Arial"/>
                <w:sz w:val="20"/>
                <w:szCs w:val="20"/>
              </w:rPr>
            </w:pPr>
            <w:r>
              <w:rPr>
                <w:rFonts w:ascii="Arial" w:hAnsi="Arial" w:cs="Arial"/>
                <w:sz w:val="20"/>
                <w:szCs w:val="20"/>
              </w:rPr>
              <w:t>33.64</w:t>
            </w:r>
          </w:p>
        </w:tc>
        <w:tc>
          <w:tcPr>
            <w:tcW w:w="1384" w:type="dxa"/>
            <w:tcBorders>
              <w:top w:val="nil"/>
              <w:left w:val="nil"/>
              <w:bottom w:val="single" w:sz="8" w:space="0" w:color="auto"/>
              <w:right w:val="single" w:sz="8" w:space="0" w:color="auto"/>
            </w:tcBorders>
            <w:vAlign w:val="bottom"/>
          </w:tcPr>
          <w:p w:rsidR="00817075" w:rsidRDefault="00604687" w:rsidP="008B54C8">
            <w:pPr>
              <w:jc w:val="center"/>
              <w:rPr>
                <w:rFonts w:ascii="Arial" w:hAnsi="Arial" w:cs="Arial"/>
                <w:sz w:val="20"/>
                <w:szCs w:val="20"/>
              </w:rPr>
            </w:pPr>
            <w:r>
              <w:rPr>
                <w:rFonts w:ascii="Arial" w:hAnsi="Arial" w:cs="Arial"/>
                <w:sz w:val="20"/>
                <w:szCs w:val="20"/>
              </w:rPr>
              <w:t>$286</w:t>
            </w:r>
            <w:r w:rsidR="00A32974">
              <w:rPr>
                <w:rFonts w:ascii="Arial" w:hAnsi="Arial" w:cs="Arial"/>
                <w:sz w:val="20"/>
                <w:szCs w:val="20"/>
              </w:rPr>
              <w:t>,</w:t>
            </w:r>
            <w:r>
              <w:rPr>
                <w:rFonts w:ascii="Arial" w:hAnsi="Arial" w:cs="Arial"/>
                <w:sz w:val="20"/>
                <w:szCs w:val="20"/>
              </w:rPr>
              <w:t>612</w:t>
            </w:r>
            <w:r w:rsidR="00A32974">
              <w:rPr>
                <w:rFonts w:ascii="Arial" w:hAnsi="Arial" w:cs="Arial"/>
                <w:sz w:val="20"/>
                <w:szCs w:val="20"/>
              </w:rPr>
              <w:t>.</w:t>
            </w:r>
            <w:r>
              <w:rPr>
                <w:rFonts w:ascii="Arial" w:hAnsi="Arial" w:cs="Arial"/>
                <w:sz w:val="20"/>
                <w:szCs w:val="20"/>
              </w:rPr>
              <w:t>80</w:t>
            </w:r>
          </w:p>
        </w:tc>
      </w:tr>
      <w:tr w:rsidR="00817075" w:rsidTr="00A53CF2">
        <w:trPr>
          <w:trHeight w:val="270"/>
        </w:trPr>
        <w:tc>
          <w:tcPr>
            <w:tcW w:w="1373" w:type="dxa"/>
            <w:tcBorders>
              <w:top w:val="nil"/>
              <w:left w:val="single" w:sz="8" w:space="0" w:color="auto"/>
              <w:bottom w:val="single" w:sz="8" w:space="0" w:color="auto"/>
              <w:right w:val="single" w:sz="8" w:space="0" w:color="auto"/>
            </w:tcBorders>
            <w:vAlign w:val="bottom"/>
          </w:tcPr>
          <w:p w:rsidR="00817075" w:rsidRDefault="00817075" w:rsidP="006B6883">
            <w:pPr>
              <w:jc w:val="center"/>
              <w:rPr>
                <w:rFonts w:ascii="Arial" w:hAnsi="Arial" w:cs="Arial"/>
                <w:b/>
                <w:bCs/>
                <w:sz w:val="20"/>
                <w:szCs w:val="20"/>
              </w:rPr>
            </w:pPr>
            <w:r>
              <w:rPr>
                <w:rFonts w:ascii="Arial" w:hAnsi="Arial" w:cs="Arial"/>
                <w:b/>
                <w:bCs/>
                <w:sz w:val="20"/>
                <w:szCs w:val="20"/>
              </w:rPr>
              <w:t>Total</w:t>
            </w:r>
          </w:p>
        </w:tc>
        <w:tc>
          <w:tcPr>
            <w:tcW w:w="1284" w:type="dxa"/>
            <w:tcBorders>
              <w:top w:val="nil"/>
              <w:left w:val="nil"/>
              <w:bottom w:val="single" w:sz="8" w:space="0" w:color="auto"/>
              <w:right w:val="single" w:sz="8" w:space="0" w:color="auto"/>
            </w:tcBorders>
            <w:shd w:val="clear" w:color="auto" w:fill="000000"/>
            <w:vAlign w:val="bottom"/>
          </w:tcPr>
          <w:p w:rsidR="00817075" w:rsidRDefault="00817075" w:rsidP="006B6883">
            <w:pPr>
              <w:jc w:val="center"/>
              <w:rPr>
                <w:rFonts w:ascii="Arial" w:hAnsi="Arial" w:cs="Arial"/>
                <w:sz w:val="20"/>
                <w:szCs w:val="20"/>
              </w:rPr>
            </w:pPr>
            <w:r>
              <w:rPr>
                <w:rFonts w:ascii="Arial" w:hAnsi="Arial" w:cs="Arial"/>
                <w:sz w:val="20"/>
                <w:szCs w:val="20"/>
              </w:rPr>
              <w:t> </w:t>
            </w:r>
          </w:p>
        </w:tc>
        <w:tc>
          <w:tcPr>
            <w:tcW w:w="1016" w:type="dxa"/>
            <w:tcBorders>
              <w:top w:val="nil"/>
              <w:left w:val="nil"/>
              <w:bottom w:val="single" w:sz="8" w:space="0" w:color="auto"/>
              <w:right w:val="single" w:sz="8" w:space="0" w:color="auto"/>
            </w:tcBorders>
            <w:vAlign w:val="bottom"/>
          </w:tcPr>
          <w:p w:rsidR="00817075" w:rsidRDefault="007B030B" w:rsidP="008B54C8">
            <w:pPr>
              <w:jc w:val="center"/>
              <w:rPr>
                <w:rFonts w:ascii="Arial" w:hAnsi="Arial" w:cs="Arial"/>
                <w:b/>
                <w:bCs/>
                <w:sz w:val="20"/>
                <w:szCs w:val="20"/>
              </w:rPr>
            </w:pPr>
            <w:r>
              <w:rPr>
                <w:rFonts w:ascii="Arial" w:hAnsi="Arial" w:cs="Arial"/>
                <w:b/>
                <w:bCs/>
                <w:sz w:val="20"/>
                <w:szCs w:val="20"/>
              </w:rPr>
              <w:t>622</w:t>
            </w:r>
          </w:p>
        </w:tc>
        <w:tc>
          <w:tcPr>
            <w:tcW w:w="1016" w:type="dxa"/>
            <w:tcBorders>
              <w:top w:val="nil"/>
              <w:left w:val="nil"/>
              <w:bottom w:val="single" w:sz="8" w:space="0" w:color="auto"/>
              <w:right w:val="single" w:sz="8" w:space="0" w:color="auto"/>
            </w:tcBorders>
            <w:shd w:val="clear" w:color="auto" w:fill="000000"/>
            <w:vAlign w:val="bottom"/>
          </w:tcPr>
          <w:p w:rsidR="00817075" w:rsidRDefault="00817075" w:rsidP="008B54C8">
            <w:pPr>
              <w:jc w:val="center"/>
              <w:rPr>
                <w:rFonts w:ascii="Arial" w:hAnsi="Arial" w:cs="Arial"/>
                <w:sz w:val="20"/>
                <w:szCs w:val="20"/>
              </w:rPr>
            </w:pPr>
          </w:p>
        </w:tc>
        <w:tc>
          <w:tcPr>
            <w:tcW w:w="1172" w:type="dxa"/>
            <w:tcBorders>
              <w:top w:val="nil"/>
              <w:left w:val="nil"/>
              <w:bottom w:val="single" w:sz="8" w:space="0" w:color="auto"/>
              <w:right w:val="single" w:sz="8" w:space="0" w:color="auto"/>
            </w:tcBorders>
            <w:shd w:val="clear" w:color="auto" w:fill="000000"/>
            <w:vAlign w:val="bottom"/>
          </w:tcPr>
          <w:p w:rsidR="00817075" w:rsidRDefault="00817075" w:rsidP="008B54C8">
            <w:pPr>
              <w:jc w:val="center"/>
              <w:rPr>
                <w:rFonts w:ascii="Arial" w:hAnsi="Arial" w:cs="Arial"/>
                <w:sz w:val="20"/>
                <w:szCs w:val="20"/>
              </w:rPr>
            </w:pPr>
          </w:p>
        </w:tc>
        <w:tc>
          <w:tcPr>
            <w:tcW w:w="916" w:type="dxa"/>
            <w:tcBorders>
              <w:top w:val="nil"/>
              <w:left w:val="nil"/>
              <w:bottom w:val="single" w:sz="8" w:space="0" w:color="auto"/>
              <w:right w:val="single" w:sz="8" w:space="0" w:color="auto"/>
            </w:tcBorders>
            <w:vAlign w:val="bottom"/>
          </w:tcPr>
          <w:p w:rsidR="00817075" w:rsidRDefault="00817075" w:rsidP="008B54C8">
            <w:pPr>
              <w:jc w:val="center"/>
              <w:rPr>
                <w:rFonts w:ascii="Arial" w:hAnsi="Arial" w:cs="Arial"/>
                <w:b/>
                <w:bCs/>
                <w:sz w:val="20"/>
                <w:szCs w:val="20"/>
              </w:rPr>
            </w:pPr>
            <w:r>
              <w:rPr>
                <w:rFonts w:ascii="Arial" w:hAnsi="Arial" w:cs="Arial"/>
                <w:b/>
                <w:bCs/>
                <w:sz w:val="20"/>
                <w:szCs w:val="20"/>
              </w:rPr>
              <w:t>11,</w:t>
            </w:r>
            <w:r w:rsidR="00F11042">
              <w:rPr>
                <w:rFonts w:ascii="Arial" w:hAnsi="Arial" w:cs="Arial"/>
                <w:b/>
                <w:bCs/>
                <w:sz w:val="20"/>
                <w:szCs w:val="20"/>
              </w:rPr>
              <w:t>7</w:t>
            </w:r>
            <w:r w:rsidR="00604687">
              <w:rPr>
                <w:rFonts w:ascii="Arial" w:hAnsi="Arial" w:cs="Arial"/>
                <w:b/>
                <w:bCs/>
                <w:sz w:val="20"/>
                <w:szCs w:val="20"/>
              </w:rPr>
              <w:t>15</w:t>
            </w:r>
          </w:p>
        </w:tc>
        <w:tc>
          <w:tcPr>
            <w:tcW w:w="850" w:type="dxa"/>
            <w:tcBorders>
              <w:top w:val="nil"/>
              <w:left w:val="nil"/>
              <w:bottom w:val="single" w:sz="8" w:space="0" w:color="auto"/>
              <w:right w:val="single" w:sz="8" w:space="0" w:color="auto"/>
            </w:tcBorders>
            <w:shd w:val="clear" w:color="auto" w:fill="000000"/>
            <w:vAlign w:val="bottom"/>
          </w:tcPr>
          <w:p w:rsidR="00817075" w:rsidRDefault="00817075" w:rsidP="008B54C8">
            <w:pPr>
              <w:jc w:val="center"/>
              <w:rPr>
                <w:rFonts w:ascii="Arial" w:hAnsi="Arial" w:cs="Arial"/>
                <w:sz w:val="20"/>
                <w:szCs w:val="20"/>
              </w:rPr>
            </w:pPr>
          </w:p>
        </w:tc>
        <w:tc>
          <w:tcPr>
            <w:tcW w:w="1384" w:type="dxa"/>
            <w:tcBorders>
              <w:top w:val="nil"/>
              <w:left w:val="nil"/>
              <w:bottom w:val="single" w:sz="8" w:space="0" w:color="auto"/>
              <w:right w:val="single" w:sz="8" w:space="0" w:color="auto"/>
            </w:tcBorders>
            <w:vAlign w:val="bottom"/>
          </w:tcPr>
          <w:p w:rsidR="00817075" w:rsidRDefault="00817075" w:rsidP="008B54C8">
            <w:pPr>
              <w:jc w:val="center"/>
              <w:rPr>
                <w:rFonts w:ascii="Arial" w:hAnsi="Arial" w:cs="Arial"/>
                <w:b/>
                <w:bCs/>
                <w:sz w:val="20"/>
                <w:szCs w:val="20"/>
              </w:rPr>
            </w:pPr>
            <w:r>
              <w:rPr>
                <w:rFonts w:ascii="Arial" w:hAnsi="Arial" w:cs="Arial"/>
                <w:b/>
                <w:bCs/>
                <w:sz w:val="20"/>
                <w:szCs w:val="20"/>
              </w:rPr>
              <w:t>$4</w:t>
            </w:r>
            <w:r w:rsidR="00604687">
              <w:rPr>
                <w:rFonts w:ascii="Arial" w:hAnsi="Arial" w:cs="Arial"/>
                <w:b/>
                <w:bCs/>
                <w:sz w:val="20"/>
                <w:szCs w:val="20"/>
              </w:rPr>
              <w:t>96</w:t>
            </w:r>
            <w:r w:rsidR="00A32974">
              <w:rPr>
                <w:rFonts w:ascii="Arial" w:hAnsi="Arial" w:cs="Arial"/>
                <w:b/>
                <w:bCs/>
                <w:sz w:val="20"/>
                <w:szCs w:val="20"/>
              </w:rPr>
              <w:t>,</w:t>
            </w:r>
            <w:r w:rsidR="00604687">
              <w:rPr>
                <w:rFonts w:ascii="Arial" w:hAnsi="Arial" w:cs="Arial"/>
                <w:b/>
                <w:bCs/>
                <w:sz w:val="20"/>
                <w:szCs w:val="20"/>
              </w:rPr>
              <w:t>428</w:t>
            </w:r>
            <w:r w:rsidR="00A32974">
              <w:rPr>
                <w:rFonts w:ascii="Arial" w:hAnsi="Arial" w:cs="Arial"/>
                <w:b/>
                <w:bCs/>
                <w:sz w:val="20"/>
                <w:szCs w:val="20"/>
              </w:rPr>
              <w:t>.4</w:t>
            </w:r>
            <w:r w:rsidR="00604687">
              <w:rPr>
                <w:rFonts w:ascii="Arial" w:hAnsi="Arial" w:cs="Arial"/>
                <w:b/>
                <w:bCs/>
                <w:sz w:val="20"/>
                <w:szCs w:val="20"/>
              </w:rPr>
              <w:t>5</w:t>
            </w:r>
          </w:p>
        </w:tc>
      </w:tr>
    </w:tbl>
    <w:bookmarkEnd w:id="0"/>
    <w:p w:rsidR="00817075" w:rsidRDefault="00817075" w:rsidP="00BB6334">
      <w:pPr>
        <w:numPr>
          <w:ilvl w:val="0"/>
          <w:numId w:val="15"/>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996D26" w:rsidRDefault="00996D26" w:rsidP="00996D26">
      <w:pPr>
        <w:numPr>
          <w:ilvl w:val="0"/>
          <w:numId w:val="15"/>
        </w:numPr>
        <w:tabs>
          <w:tab w:val="left" w:pos="-720"/>
        </w:tabs>
        <w:suppressAutoHyphens/>
        <w:rPr>
          <w:sz w:val="16"/>
          <w:szCs w:val="16"/>
        </w:rPr>
      </w:pPr>
      <w:r w:rsidRPr="00996D26">
        <w:rPr>
          <w:sz w:val="16"/>
          <w:szCs w:val="16"/>
        </w:rPr>
        <w:t xml:space="preserve">Note:  </w:t>
      </w:r>
      <w:r>
        <w:rPr>
          <w:sz w:val="16"/>
          <w:szCs w:val="16"/>
        </w:rPr>
        <w:t>Numbers rounded due to rounding in ROCIS.</w:t>
      </w:r>
    </w:p>
    <w:p w:rsidR="00817075" w:rsidRDefault="00817075" w:rsidP="008B0F3B">
      <w:pPr>
        <w:rPr>
          <w:b/>
          <w:bCs/>
        </w:rPr>
      </w:pPr>
    </w:p>
    <w:p w:rsidR="00817075" w:rsidRDefault="00817075" w:rsidP="00952000">
      <w:pPr>
        <w:tabs>
          <w:tab w:val="left" w:pos="-720"/>
        </w:tabs>
        <w:suppressAutoHyphens/>
      </w:pPr>
      <w:r>
        <w:t>According to the U.S. Department of Labor, Bureau of Labor Statistics website (</w:t>
      </w:r>
      <w:hyperlink r:id="rId8" w:history="1">
        <w:r w:rsidRPr="00140445">
          <w:rPr>
            <w:rStyle w:val="Hyperlink"/>
          </w:rPr>
          <w:t>www.bls.gov</w:t>
        </w:r>
      </w:hyperlink>
      <w:r>
        <w:t>) the wage rate category for a State Government Chief Executive is estimated to be $65.67 per hour including the wage rate multiplier, therefore, the estimated burden hour cost to the State Government Chief Executive is estimated to $</w:t>
      </w:r>
      <w:r w:rsidR="00604687" w:rsidRPr="00604687">
        <w:t>209,815.65</w:t>
      </w:r>
      <w:r w:rsidR="00604687">
        <w:t xml:space="preserve"> </w:t>
      </w:r>
      <w:r>
        <w:t>annually.</w:t>
      </w:r>
    </w:p>
    <w:p w:rsidR="00817075" w:rsidRDefault="00817075" w:rsidP="00936E50">
      <w:pPr>
        <w:tabs>
          <w:tab w:val="left" w:pos="-720"/>
        </w:tabs>
        <w:suppressAutoHyphens/>
      </w:pPr>
    </w:p>
    <w:p w:rsidR="00817075" w:rsidRDefault="00817075" w:rsidP="0078486D">
      <w:pPr>
        <w:tabs>
          <w:tab w:val="left" w:pos="-720"/>
        </w:tabs>
        <w:suppressAutoHyphens/>
      </w:pPr>
      <w:r>
        <w:t>According to the U.S. Department of Labor, Bureau of Labor Statistics website (</w:t>
      </w:r>
      <w:hyperlink r:id="rId9" w:history="1">
        <w:r w:rsidRPr="00140445">
          <w:rPr>
            <w:rStyle w:val="Hyperlink"/>
          </w:rPr>
          <w:t>www.bls.gov</w:t>
        </w:r>
      </w:hyperlink>
      <w:r>
        <w:t>) the wage rate category for</w:t>
      </w:r>
      <w:r w:rsidRPr="001124DB">
        <w:t xml:space="preserve"> State </w:t>
      </w:r>
      <w:r>
        <w:t>Administrative Support workers is estimated to be $33.64 per hour (including the 1.4 modifier representing wage plus benefit)</w:t>
      </w:r>
      <w:r w:rsidR="009445B1">
        <w:t>;</w:t>
      </w:r>
      <w:r>
        <w:t xml:space="preserve"> therefore, the estimated burden hour cost to for State Administrative Support is estimated to </w:t>
      </w:r>
      <w:r w:rsidRPr="001124DB">
        <w:t>be $</w:t>
      </w:r>
      <w:r w:rsidR="00604687" w:rsidRPr="00604687">
        <w:t xml:space="preserve">286,612.80 </w:t>
      </w:r>
      <w:r>
        <w:t>annually.</w:t>
      </w:r>
    </w:p>
    <w:p w:rsidR="007E6CCE" w:rsidRDefault="007E6CCE" w:rsidP="0078486D">
      <w:pPr>
        <w:tabs>
          <w:tab w:val="left" w:pos="-720"/>
        </w:tabs>
        <w:suppressAutoHyphens/>
      </w:pPr>
    </w:p>
    <w:p w:rsidR="00817075" w:rsidRDefault="007E6CCE" w:rsidP="001124DB">
      <w:pPr>
        <w:tabs>
          <w:tab w:val="left" w:pos="-720"/>
        </w:tabs>
        <w:suppressAutoHyphens/>
      </w:pPr>
      <w:r>
        <w:t xml:space="preserve">The </w:t>
      </w:r>
      <w:r w:rsidR="000C7B6A">
        <w:t xml:space="preserve">total </w:t>
      </w:r>
      <w:r w:rsidRPr="007E6CCE">
        <w:t xml:space="preserve">cost </w:t>
      </w:r>
      <w:r>
        <w:t>is $496,428.45 annually.</w:t>
      </w:r>
    </w:p>
    <w:p w:rsidR="007E6CCE" w:rsidRDefault="007E6CCE" w:rsidP="001124DB">
      <w:pPr>
        <w:tabs>
          <w:tab w:val="left" w:pos="-720"/>
        </w:tabs>
        <w:suppressAutoHyphens/>
      </w:pPr>
    </w:p>
    <w:p w:rsidR="00817075" w:rsidRDefault="00AE2D4C">
      <w:pPr>
        <w:rPr>
          <w:b/>
          <w:bCs/>
        </w:rPr>
      </w:pPr>
      <w:r>
        <w:fldChar w:fldCharType="begin"/>
      </w:r>
      <w:r w:rsidR="00817075">
        <w:instrText>ADVANCE \R 0.95</w:instrText>
      </w:r>
      <w:r>
        <w:fldChar w:fldCharType="end"/>
      </w:r>
      <w:r w:rsidR="00817075">
        <w:rPr>
          <w:b/>
        </w:rPr>
        <w:t>13.</w:t>
      </w:r>
      <w:r w:rsidR="00817075">
        <w:t xml:space="preserve">  </w:t>
      </w:r>
      <w:r w:rsidR="00817075">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817075" w:rsidRDefault="00817075" w:rsidP="00952000">
      <w:pPr>
        <w:rPr>
          <w:rFonts w:ascii="Arial" w:hAnsi="Arial" w:cs="Arial"/>
        </w:rPr>
      </w:pPr>
    </w:p>
    <w:p w:rsidR="00817075" w:rsidRDefault="00817075" w:rsidP="002A4B95">
      <w:pPr>
        <w:rPr>
          <w:bCs/>
          <w:color w:val="000000"/>
        </w:rPr>
      </w:pPr>
      <w:r>
        <w:rPr>
          <w:bCs/>
          <w:color w:val="000000"/>
        </w:rPr>
        <w:t>There are no recordkeeping, capital, start-up or maintenance costs associated with this information collection.</w:t>
      </w:r>
      <w:r w:rsidRPr="001124DB">
        <w:rPr>
          <w:bCs/>
          <w:color w:val="000000"/>
        </w:rPr>
        <w:t xml:space="preserve">  </w:t>
      </w:r>
    </w:p>
    <w:p w:rsidR="007E6CCE" w:rsidRDefault="007E6CCE" w:rsidP="002A4B95">
      <w:pPr>
        <w:rPr>
          <w:b/>
          <w:bCs/>
        </w:rPr>
      </w:pPr>
    </w:p>
    <w:p w:rsidR="00817075" w:rsidRDefault="00817075" w:rsidP="00335B50">
      <w:pPr>
        <w:rPr>
          <w:b/>
          <w:bCs/>
        </w:rPr>
      </w:pPr>
      <w:r>
        <w:rPr>
          <w:b/>
          <w:bCs/>
        </w:rPr>
        <w:lastRenderedPageBreak/>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817075" w:rsidRDefault="00817075" w:rsidP="00BB6334">
      <w:pPr>
        <w:tabs>
          <w:tab w:val="left" w:pos="360"/>
        </w:tabs>
        <w:jc w:val="center"/>
        <w:rPr>
          <w:b/>
          <w:bCs/>
        </w:rPr>
      </w:pPr>
    </w:p>
    <w:p w:rsidR="007017D0" w:rsidRDefault="007017D0" w:rsidP="00BB6334">
      <w:pPr>
        <w:tabs>
          <w:tab w:val="left" w:pos="360"/>
        </w:tabs>
        <w:jc w:val="center"/>
        <w:rPr>
          <w:b/>
          <w:bCs/>
        </w:rPr>
      </w:pPr>
    </w:p>
    <w:p w:rsidR="00817075" w:rsidRDefault="00817075" w:rsidP="00BB6334">
      <w:pPr>
        <w:tabs>
          <w:tab w:val="left" w:pos="360"/>
        </w:tabs>
        <w:jc w:val="center"/>
        <w:rPr>
          <w:b/>
          <w:bCs/>
        </w:rPr>
      </w:pPr>
      <w:r w:rsidRPr="00877531">
        <w:rPr>
          <w:b/>
          <w:bCs/>
        </w:rPr>
        <w:t>Annual Cost to the Federal Government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608"/>
      </w:tblGrid>
      <w:tr w:rsidR="00817075" w:rsidRPr="00E85166" w:rsidTr="00F82287">
        <w:trPr>
          <w:trHeight w:val="70"/>
        </w:trPr>
        <w:tc>
          <w:tcPr>
            <w:tcW w:w="7680" w:type="dxa"/>
            <w:shd w:val="clear" w:color="auto" w:fill="D9D9D9"/>
            <w:noWrap/>
            <w:vAlign w:val="center"/>
          </w:tcPr>
          <w:p w:rsidR="00817075" w:rsidRPr="00E85166" w:rsidRDefault="00817075" w:rsidP="005A6B4A">
            <w:pPr>
              <w:jc w:val="center"/>
              <w:rPr>
                <w:rFonts w:ascii="Arial" w:hAnsi="Arial" w:cs="Arial"/>
                <w:b/>
                <w:bCs/>
                <w:sz w:val="20"/>
                <w:szCs w:val="20"/>
              </w:rPr>
            </w:pPr>
            <w:r w:rsidRPr="00E85166">
              <w:rPr>
                <w:rFonts w:ascii="Arial" w:hAnsi="Arial" w:cs="Arial"/>
                <w:b/>
                <w:bCs/>
                <w:sz w:val="20"/>
                <w:szCs w:val="20"/>
              </w:rPr>
              <w:t>Item</w:t>
            </w:r>
          </w:p>
        </w:tc>
        <w:tc>
          <w:tcPr>
            <w:tcW w:w="1608" w:type="dxa"/>
            <w:shd w:val="clear" w:color="auto" w:fill="D9D9D9"/>
            <w:noWrap/>
          </w:tcPr>
          <w:p w:rsidR="00817075" w:rsidRPr="00E85166" w:rsidRDefault="00817075" w:rsidP="005A6B4A">
            <w:pPr>
              <w:jc w:val="center"/>
              <w:rPr>
                <w:rFonts w:ascii="Arial" w:hAnsi="Arial" w:cs="Arial"/>
                <w:b/>
                <w:bCs/>
                <w:sz w:val="20"/>
                <w:szCs w:val="20"/>
              </w:rPr>
            </w:pPr>
            <w:r w:rsidRPr="00E85166">
              <w:rPr>
                <w:rFonts w:ascii="Arial" w:hAnsi="Arial" w:cs="Arial"/>
                <w:b/>
                <w:bCs/>
                <w:sz w:val="20"/>
                <w:szCs w:val="20"/>
              </w:rPr>
              <w:t>Cost ($)</w:t>
            </w:r>
          </w:p>
        </w:tc>
      </w:tr>
      <w:tr w:rsidR="00817075" w:rsidRPr="00E85166" w:rsidTr="00F82287">
        <w:trPr>
          <w:trHeight w:val="495"/>
        </w:trPr>
        <w:tc>
          <w:tcPr>
            <w:tcW w:w="7680" w:type="dxa"/>
          </w:tcPr>
          <w:p w:rsidR="00817075" w:rsidRPr="00D951D4" w:rsidRDefault="00817075" w:rsidP="005A6B4A">
            <w:r w:rsidRPr="00D951D4">
              <w:t xml:space="preserve">Contract Costs </w:t>
            </w:r>
            <w:r w:rsidRPr="00E85166">
              <w:rPr>
                <w:b/>
                <w:sz w:val="18"/>
                <w:szCs w:val="18"/>
              </w:rPr>
              <w:t>[Describe]</w:t>
            </w:r>
            <w:r>
              <w:t xml:space="preserve"> </w:t>
            </w:r>
          </w:p>
        </w:tc>
        <w:tc>
          <w:tcPr>
            <w:tcW w:w="1608" w:type="dxa"/>
          </w:tcPr>
          <w:p w:rsidR="00817075" w:rsidRPr="00E85166" w:rsidRDefault="00817075" w:rsidP="001D656C">
            <w:pPr>
              <w:jc w:val="center"/>
              <w:rPr>
                <w:rFonts w:ascii="Arial" w:hAnsi="Arial" w:cs="Arial"/>
                <w:sz w:val="20"/>
                <w:szCs w:val="20"/>
              </w:rPr>
            </w:pPr>
            <w:r>
              <w:rPr>
                <w:rFonts w:ascii="Arial" w:hAnsi="Arial" w:cs="Arial"/>
                <w:sz w:val="20"/>
                <w:szCs w:val="20"/>
              </w:rPr>
              <w:t>0</w:t>
            </w:r>
          </w:p>
        </w:tc>
      </w:tr>
      <w:tr w:rsidR="00817075" w:rsidRPr="00E85166" w:rsidTr="00F82287">
        <w:trPr>
          <w:trHeight w:val="510"/>
        </w:trPr>
        <w:tc>
          <w:tcPr>
            <w:tcW w:w="7680" w:type="dxa"/>
          </w:tcPr>
          <w:p w:rsidR="00817075" w:rsidRDefault="00817075" w:rsidP="003856B0">
            <w:pPr>
              <w:rPr>
                <w:b/>
                <w:bCs/>
                <w:sz w:val="18"/>
                <w:szCs w:val="18"/>
              </w:rPr>
            </w:pPr>
            <w:r w:rsidRPr="00D951D4">
              <w:t>Staff Salaries</w:t>
            </w:r>
            <w:r w:rsidRPr="00A53CF2">
              <w:t xml:space="preserve">* </w:t>
            </w:r>
            <w:r w:rsidRPr="00A53CF2">
              <w:rPr>
                <w:b/>
                <w:bCs/>
                <w:sz w:val="20"/>
                <w:szCs w:val="20"/>
              </w:rPr>
              <w:t>5 FEMA Headquarter Senior Officials (GS 15 Step 5) earning</w:t>
            </w:r>
            <w:r w:rsidRPr="00A53CF2">
              <w:rPr>
                <w:sz w:val="20"/>
                <w:szCs w:val="20"/>
              </w:rPr>
              <w:t xml:space="preserve"> </w:t>
            </w:r>
            <w:r w:rsidRPr="00A53CF2">
              <w:rPr>
                <w:b/>
                <w:bCs/>
                <w:sz w:val="20"/>
                <w:szCs w:val="20"/>
              </w:rPr>
              <w:t>$94.09 (67.21 base salary times 1.4 multiplier) per hour with an average of 48 hours of review for each response.  There are a total of 336 responses (56 respondents times 6 responses per respondents).  The total cost to the Federal government is 336 responses times 48 hours per response to review times $9</w:t>
            </w:r>
            <w:r>
              <w:rPr>
                <w:b/>
                <w:bCs/>
                <w:sz w:val="20"/>
                <w:szCs w:val="20"/>
              </w:rPr>
              <w:t>4</w:t>
            </w:r>
            <w:r w:rsidRPr="00A53CF2">
              <w:rPr>
                <w:b/>
                <w:bCs/>
                <w:sz w:val="20"/>
                <w:szCs w:val="20"/>
              </w:rPr>
              <w:t>.</w:t>
            </w:r>
            <w:r>
              <w:rPr>
                <w:b/>
                <w:bCs/>
                <w:sz w:val="20"/>
                <w:szCs w:val="20"/>
              </w:rPr>
              <w:t>09</w:t>
            </w:r>
            <w:r w:rsidRPr="00A53CF2">
              <w:rPr>
                <w:b/>
                <w:bCs/>
                <w:sz w:val="20"/>
                <w:szCs w:val="20"/>
              </w:rPr>
              <w:t xml:space="preserve"> per hour wage equaling $1,517,483.52.</w:t>
            </w:r>
            <w:r w:rsidRPr="00A53CF2" w:rsidDel="00A53CF2">
              <w:rPr>
                <w:b/>
                <w:bCs/>
                <w:sz w:val="18"/>
                <w:szCs w:val="18"/>
              </w:rPr>
              <w:t xml:space="preserve"> </w:t>
            </w:r>
            <w:r w:rsidRPr="00A53CF2">
              <w:rPr>
                <w:b/>
                <w:bCs/>
                <w:sz w:val="18"/>
                <w:szCs w:val="18"/>
              </w:rPr>
              <w:t xml:space="preserve">[336 responses x </w:t>
            </w:r>
            <w:r>
              <w:rPr>
                <w:b/>
                <w:bCs/>
                <w:sz w:val="18"/>
                <w:szCs w:val="18"/>
              </w:rPr>
              <w:t xml:space="preserve">48 x 94.09 </w:t>
            </w:r>
            <w:r w:rsidRPr="00A53CF2">
              <w:rPr>
                <w:b/>
                <w:bCs/>
                <w:sz w:val="18"/>
                <w:szCs w:val="18"/>
              </w:rPr>
              <w:t>= s</w:t>
            </w:r>
            <w:r>
              <w:rPr>
                <w:b/>
                <w:bCs/>
                <w:sz w:val="18"/>
                <w:szCs w:val="18"/>
              </w:rPr>
              <w:t>1,517,483.52</w:t>
            </w:r>
            <w:r w:rsidRPr="00A53CF2">
              <w:rPr>
                <w:b/>
                <w:bCs/>
                <w:sz w:val="18"/>
                <w:szCs w:val="18"/>
              </w:rPr>
              <w:t>]</w:t>
            </w:r>
          </w:p>
          <w:p w:rsidR="00227597" w:rsidRDefault="00227597" w:rsidP="003856B0">
            <w:pPr>
              <w:rPr>
                <w:b/>
                <w:bCs/>
                <w:sz w:val="18"/>
                <w:szCs w:val="18"/>
              </w:rPr>
            </w:pPr>
          </w:p>
          <w:p w:rsidR="00227597" w:rsidRDefault="00227597" w:rsidP="003856B0">
            <w:pPr>
              <w:rPr>
                <w:b/>
                <w:sz w:val="18"/>
                <w:szCs w:val="18"/>
              </w:rPr>
            </w:pPr>
            <w:r w:rsidRPr="00227597">
              <w:rPr>
                <w:b/>
                <w:sz w:val="18"/>
                <w:szCs w:val="18"/>
              </w:rPr>
              <w:t>PDA for Individual Assistance</w:t>
            </w:r>
            <w:r w:rsidR="00FE478E">
              <w:rPr>
                <w:b/>
                <w:sz w:val="18"/>
                <w:szCs w:val="18"/>
              </w:rPr>
              <w:t xml:space="preserve"> Staff </w:t>
            </w:r>
            <w:r w:rsidR="00FE478E" w:rsidRPr="00FE478E">
              <w:rPr>
                <w:b/>
                <w:sz w:val="18"/>
                <w:szCs w:val="18"/>
              </w:rPr>
              <w:t>Salaries [For the workload of 50 Joint IA PDA performed annually, 11 FEMA Employees earning $27.67 per hour ($19.77 average salary times 1.4 multiplier) spending approximately 100% of time during a 48 hour period to perform an IA Joint PDA, and 100% of time during a 6 hour period to travel, thus totaling 54 hours.] [The current hourly basic rate of a FEMA Disaster Assistance Employee Level B 2 or $19.77 hourly*.  The cost is calculated by multiplying the basic hourly rate of a FEMA Disaster Assistance Employee Level B 2 by the number of staff (11) by the average Joint IA PDA (50). Total Cost = $821,799.]</w:t>
            </w:r>
          </w:p>
          <w:p w:rsidR="00FE478E" w:rsidRDefault="00FE478E" w:rsidP="003856B0">
            <w:pPr>
              <w:rPr>
                <w:b/>
                <w:sz w:val="18"/>
                <w:szCs w:val="18"/>
              </w:rPr>
            </w:pPr>
          </w:p>
          <w:p w:rsidR="00FE478E" w:rsidRPr="00227597" w:rsidRDefault="00FE478E" w:rsidP="000E323D">
            <w:pPr>
              <w:rPr>
                <w:b/>
                <w:sz w:val="18"/>
                <w:szCs w:val="18"/>
              </w:rPr>
            </w:pPr>
            <w:r>
              <w:rPr>
                <w:b/>
                <w:sz w:val="18"/>
                <w:szCs w:val="18"/>
              </w:rPr>
              <w:t>The cost to the Federal Government is $2,339,282.52. ($1,517,483.52 + $821,799 = $2,339,282.52)</w:t>
            </w:r>
          </w:p>
        </w:tc>
        <w:tc>
          <w:tcPr>
            <w:tcW w:w="1608" w:type="dxa"/>
            <w:noWrap/>
          </w:tcPr>
          <w:p w:rsidR="00FE478E" w:rsidRPr="007017D0" w:rsidRDefault="00FE478E"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0E323D" w:rsidRPr="007017D0" w:rsidRDefault="000E323D"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817075" w:rsidRPr="007017D0" w:rsidRDefault="000E323D" w:rsidP="001D656C">
            <w:pPr>
              <w:jc w:val="center"/>
              <w:rPr>
                <w:rFonts w:ascii="Arial" w:hAnsi="Arial" w:cs="Arial"/>
                <w:sz w:val="20"/>
                <w:szCs w:val="20"/>
              </w:rPr>
            </w:pPr>
            <w:r w:rsidRPr="007017D0">
              <w:rPr>
                <w:rFonts w:ascii="Arial" w:hAnsi="Arial" w:cs="Arial"/>
                <w:sz w:val="20"/>
                <w:szCs w:val="20"/>
              </w:rPr>
              <w:t>$2,339,282.52</w:t>
            </w:r>
          </w:p>
        </w:tc>
      </w:tr>
      <w:tr w:rsidR="00817075" w:rsidRPr="00E85166" w:rsidTr="00F82287">
        <w:trPr>
          <w:trHeight w:val="270"/>
        </w:trPr>
        <w:tc>
          <w:tcPr>
            <w:tcW w:w="7680" w:type="dxa"/>
            <w:noWrap/>
          </w:tcPr>
          <w:p w:rsidR="00817075" w:rsidRPr="00D951D4" w:rsidRDefault="00817075" w:rsidP="005A6B4A">
            <w:r w:rsidRPr="00D951D4">
              <w:t>Facilities</w:t>
            </w:r>
            <w:r>
              <w:t xml:space="preserve"> </w:t>
            </w:r>
            <w:r>
              <w:rPr>
                <w:b/>
                <w:sz w:val="18"/>
                <w:szCs w:val="18"/>
              </w:rPr>
              <w:t>[cost for renting, overhead, e</w:t>
            </w:r>
            <w:r w:rsidRPr="00E85166">
              <w:rPr>
                <w:b/>
                <w:sz w:val="18"/>
                <w:szCs w:val="18"/>
              </w:rPr>
              <w:t>t</w:t>
            </w:r>
            <w:r>
              <w:rPr>
                <w:b/>
                <w:sz w:val="18"/>
                <w:szCs w:val="18"/>
              </w:rPr>
              <w:t>c</w:t>
            </w:r>
            <w:r w:rsidRPr="00E85166">
              <w:rPr>
                <w:b/>
                <w:sz w:val="18"/>
                <w:szCs w:val="18"/>
              </w:rPr>
              <w:t>. for data collection activity]</w:t>
            </w:r>
          </w:p>
        </w:tc>
        <w:tc>
          <w:tcPr>
            <w:tcW w:w="1608" w:type="dxa"/>
            <w:noWrap/>
          </w:tcPr>
          <w:p w:rsidR="00817075" w:rsidRPr="007017D0" w:rsidRDefault="00817075" w:rsidP="001D656C">
            <w:pPr>
              <w:jc w:val="center"/>
              <w:rPr>
                <w:rFonts w:ascii="Arial" w:hAnsi="Arial" w:cs="Arial"/>
                <w:sz w:val="20"/>
                <w:szCs w:val="20"/>
              </w:rPr>
            </w:pPr>
            <w:r w:rsidRPr="007017D0">
              <w:rPr>
                <w:rFonts w:ascii="Arial" w:hAnsi="Arial" w:cs="Arial"/>
                <w:sz w:val="20"/>
                <w:szCs w:val="20"/>
              </w:rPr>
              <w:t>0</w:t>
            </w:r>
          </w:p>
        </w:tc>
      </w:tr>
      <w:tr w:rsidR="00817075" w:rsidRPr="00E85166" w:rsidTr="00F82287">
        <w:trPr>
          <w:trHeight w:val="240"/>
        </w:trPr>
        <w:tc>
          <w:tcPr>
            <w:tcW w:w="7680" w:type="dxa"/>
            <w:noWrap/>
          </w:tcPr>
          <w:p w:rsidR="00817075" w:rsidRPr="00D951D4" w:rsidRDefault="00817075" w:rsidP="005A6B4A">
            <w:r w:rsidRPr="00D951D4">
              <w:t>Computer Hardware and Software</w:t>
            </w:r>
            <w:r>
              <w:t xml:space="preserve"> </w:t>
            </w:r>
            <w:r w:rsidRPr="00E85166">
              <w:rPr>
                <w:b/>
                <w:sz w:val="18"/>
                <w:szCs w:val="18"/>
              </w:rPr>
              <w:t>[cost of equipment annual lifecycle]</w:t>
            </w:r>
          </w:p>
        </w:tc>
        <w:tc>
          <w:tcPr>
            <w:tcW w:w="1608" w:type="dxa"/>
            <w:noWrap/>
          </w:tcPr>
          <w:p w:rsidR="00817075" w:rsidRPr="007017D0" w:rsidRDefault="00817075" w:rsidP="001D656C">
            <w:pPr>
              <w:jc w:val="center"/>
              <w:rPr>
                <w:rFonts w:ascii="Arial" w:hAnsi="Arial" w:cs="Arial"/>
                <w:sz w:val="20"/>
                <w:szCs w:val="20"/>
              </w:rPr>
            </w:pPr>
            <w:r w:rsidRPr="007017D0">
              <w:rPr>
                <w:rFonts w:ascii="Arial" w:hAnsi="Arial" w:cs="Arial"/>
                <w:sz w:val="20"/>
                <w:szCs w:val="20"/>
              </w:rPr>
              <w:t>0</w:t>
            </w:r>
          </w:p>
        </w:tc>
      </w:tr>
      <w:tr w:rsidR="00817075" w:rsidRPr="00E85166" w:rsidTr="00F82287">
        <w:trPr>
          <w:trHeight w:val="255"/>
        </w:trPr>
        <w:tc>
          <w:tcPr>
            <w:tcW w:w="7680" w:type="dxa"/>
            <w:noWrap/>
          </w:tcPr>
          <w:p w:rsidR="00817075" w:rsidRPr="00D951D4" w:rsidRDefault="00817075" w:rsidP="005A6B4A">
            <w:r w:rsidRPr="00D951D4">
              <w:t>Equipment Maintenance</w:t>
            </w:r>
            <w:r>
              <w:t xml:space="preserve"> </w:t>
            </w:r>
            <w:r w:rsidRPr="00E85166">
              <w:rPr>
                <w:b/>
                <w:sz w:val="18"/>
                <w:szCs w:val="18"/>
              </w:rPr>
              <w:t>[cost of annual maintenance/service agreements for equipment]</w:t>
            </w:r>
          </w:p>
        </w:tc>
        <w:tc>
          <w:tcPr>
            <w:tcW w:w="1608" w:type="dxa"/>
            <w:noWrap/>
          </w:tcPr>
          <w:p w:rsidR="00817075" w:rsidRPr="007017D0" w:rsidRDefault="00817075" w:rsidP="001D656C">
            <w:pPr>
              <w:jc w:val="center"/>
              <w:rPr>
                <w:rFonts w:ascii="Arial" w:hAnsi="Arial" w:cs="Arial"/>
                <w:sz w:val="20"/>
                <w:szCs w:val="20"/>
              </w:rPr>
            </w:pPr>
            <w:r w:rsidRPr="007017D0">
              <w:rPr>
                <w:rFonts w:ascii="Arial" w:hAnsi="Arial" w:cs="Arial"/>
                <w:sz w:val="20"/>
                <w:szCs w:val="20"/>
              </w:rPr>
              <w:t>0</w:t>
            </w:r>
          </w:p>
        </w:tc>
      </w:tr>
      <w:tr w:rsidR="00817075" w:rsidRPr="00E85166" w:rsidTr="00F82287">
        <w:trPr>
          <w:trHeight w:val="255"/>
        </w:trPr>
        <w:tc>
          <w:tcPr>
            <w:tcW w:w="7680" w:type="dxa"/>
            <w:noWrap/>
          </w:tcPr>
          <w:p w:rsidR="00817075" w:rsidRPr="00D951D4" w:rsidRDefault="00817075" w:rsidP="000E323D">
            <w:r w:rsidRPr="00D951D4">
              <w:t xml:space="preserve">Travel </w:t>
            </w:r>
            <w:r w:rsidR="00FE478E">
              <w:t xml:space="preserve">- </w:t>
            </w:r>
            <w:r w:rsidR="00FE478E" w:rsidRPr="00FE478E">
              <w:rPr>
                <w:b/>
                <w:sz w:val="18"/>
                <w:szCs w:val="18"/>
              </w:rPr>
              <w:t>PDA for Individual Assistance Staff</w:t>
            </w:r>
            <w:r w:rsidR="00FE478E">
              <w:rPr>
                <w:b/>
                <w:sz w:val="18"/>
                <w:szCs w:val="18"/>
              </w:rPr>
              <w:t xml:space="preserve"> </w:t>
            </w:r>
            <w:r w:rsidR="00FE478E" w:rsidRPr="00FE478E">
              <w:rPr>
                <w:b/>
                <w:sz w:val="18"/>
                <w:szCs w:val="18"/>
              </w:rPr>
              <w:t>[</w:t>
            </w:r>
            <w:r w:rsidR="000E323D">
              <w:rPr>
                <w:b/>
                <w:sz w:val="18"/>
                <w:szCs w:val="18"/>
              </w:rPr>
              <w:t>FEMA</w:t>
            </w:r>
            <w:r w:rsidR="00FE478E" w:rsidRPr="00FE478E">
              <w:rPr>
                <w:b/>
                <w:sz w:val="18"/>
                <w:szCs w:val="18"/>
              </w:rPr>
              <w:t xml:space="preserve"> estimate travel to be about $1,115 per FEMA employee per deployment.  The total cost for travel expenses is 50 IA Joint PDAs times 11 staff per assessment times $1,115 per person travel equals $613,250.]</w:t>
            </w:r>
          </w:p>
        </w:tc>
        <w:tc>
          <w:tcPr>
            <w:tcW w:w="1608" w:type="dxa"/>
            <w:noWrap/>
          </w:tcPr>
          <w:p w:rsidR="00FE478E" w:rsidRPr="007017D0" w:rsidRDefault="00FE478E" w:rsidP="001D656C">
            <w:pPr>
              <w:jc w:val="center"/>
              <w:rPr>
                <w:rFonts w:ascii="Arial" w:hAnsi="Arial" w:cs="Arial"/>
                <w:sz w:val="20"/>
                <w:szCs w:val="20"/>
              </w:rPr>
            </w:pPr>
          </w:p>
          <w:p w:rsidR="00FE478E" w:rsidRPr="007017D0" w:rsidRDefault="00FE478E" w:rsidP="001D656C">
            <w:pPr>
              <w:jc w:val="center"/>
              <w:rPr>
                <w:rFonts w:ascii="Arial" w:hAnsi="Arial" w:cs="Arial"/>
                <w:sz w:val="20"/>
                <w:szCs w:val="20"/>
              </w:rPr>
            </w:pPr>
          </w:p>
          <w:p w:rsidR="00817075" w:rsidRPr="007017D0" w:rsidRDefault="00FE478E" w:rsidP="001D656C">
            <w:pPr>
              <w:jc w:val="center"/>
              <w:rPr>
                <w:rFonts w:ascii="Arial" w:hAnsi="Arial" w:cs="Arial"/>
                <w:sz w:val="20"/>
                <w:szCs w:val="20"/>
              </w:rPr>
            </w:pPr>
            <w:r w:rsidRPr="007017D0">
              <w:rPr>
                <w:rFonts w:ascii="Arial" w:hAnsi="Arial" w:cs="Arial"/>
                <w:sz w:val="20"/>
                <w:szCs w:val="20"/>
              </w:rPr>
              <w:t>$613,250</w:t>
            </w:r>
          </w:p>
        </w:tc>
      </w:tr>
      <w:tr w:rsidR="00817075" w:rsidRPr="00E85166" w:rsidTr="00F82287">
        <w:trPr>
          <w:trHeight w:val="255"/>
        </w:trPr>
        <w:tc>
          <w:tcPr>
            <w:tcW w:w="7680" w:type="dxa"/>
            <w:noWrap/>
          </w:tcPr>
          <w:p w:rsidR="00817075" w:rsidRPr="00D951D4" w:rsidRDefault="00817075" w:rsidP="005A6B4A">
            <w:r w:rsidRPr="00D951D4">
              <w:t xml:space="preserve">Printing </w:t>
            </w:r>
            <w:r w:rsidRPr="00E85166">
              <w:rPr>
                <w:b/>
                <w:sz w:val="18"/>
                <w:szCs w:val="18"/>
              </w:rPr>
              <w:t>[number of data collection instruments annually]</w:t>
            </w:r>
          </w:p>
        </w:tc>
        <w:tc>
          <w:tcPr>
            <w:tcW w:w="1608" w:type="dxa"/>
            <w:noWrap/>
          </w:tcPr>
          <w:p w:rsidR="00817075" w:rsidRPr="007017D0" w:rsidRDefault="00817075" w:rsidP="001D656C">
            <w:pPr>
              <w:jc w:val="center"/>
              <w:rPr>
                <w:rFonts w:ascii="Arial" w:hAnsi="Arial" w:cs="Arial"/>
                <w:sz w:val="20"/>
                <w:szCs w:val="20"/>
              </w:rPr>
            </w:pPr>
            <w:r w:rsidRPr="007017D0">
              <w:rPr>
                <w:rFonts w:ascii="Arial" w:hAnsi="Arial" w:cs="Arial"/>
                <w:sz w:val="20"/>
                <w:szCs w:val="20"/>
              </w:rPr>
              <w:t>0</w:t>
            </w:r>
          </w:p>
        </w:tc>
      </w:tr>
      <w:tr w:rsidR="00817075" w:rsidRPr="00E85166" w:rsidTr="00F82287">
        <w:trPr>
          <w:trHeight w:val="255"/>
        </w:trPr>
        <w:tc>
          <w:tcPr>
            <w:tcW w:w="7680" w:type="dxa"/>
            <w:noWrap/>
          </w:tcPr>
          <w:p w:rsidR="00817075" w:rsidRPr="00E85166" w:rsidRDefault="00817075" w:rsidP="005A6B4A">
            <w:pPr>
              <w:rPr>
                <w:rFonts w:ascii="Arial" w:hAnsi="Arial" w:cs="Arial"/>
                <w:sz w:val="20"/>
                <w:szCs w:val="20"/>
              </w:rPr>
            </w:pPr>
            <w:r w:rsidRPr="00E85166">
              <w:rPr>
                <w:rFonts w:ascii="Arial" w:hAnsi="Arial" w:cs="Arial"/>
                <w:sz w:val="20"/>
                <w:szCs w:val="20"/>
              </w:rPr>
              <w:t xml:space="preserve">Postage </w:t>
            </w:r>
            <w:r w:rsidRPr="00E85166">
              <w:rPr>
                <w:rFonts w:ascii="Arial" w:hAnsi="Arial" w:cs="Arial"/>
                <w:b/>
                <w:sz w:val="18"/>
                <w:szCs w:val="18"/>
              </w:rPr>
              <w:t>[annual number of data collection instruments x postage]</w:t>
            </w:r>
          </w:p>
        </w:tc>
        <w:tc>
          <w:tcPr>
            <w:tcW w:w="1608" w:type="dxa"/>
            <w:noWrap/>
          </w:tcPr>
          <w:p w:rsidR="00817075" w:rsidRPr="00E85166" w:rsidRDefault="00817075" w:rsidP="001D656C">
            <w:pPr>
              <w:jc w:val="center"/>
              <w:rPr>
                <w:rFonts w:ascii="Arial" w:hAnsi="Arial" w:cs="Arial"/>
                <w:sz w:val="20"/>
                <w:szCs w:val="20"/>
              </w:rPr>
            </w:pPr>
            <w:r>
              <w:rPr>
                <w:rFonts w:ascii="Arial" w:hAnsi="Arial" w:cs="Arial"/>
                <w:sz w:val="20"/>
                <w:szCs w:val="20"/>
              </w:rPr>
              <w:t>0</w:t>
            </w:r>
          </w:p>
        </w:tc>
      </w:tr>
      <w:tr w:rsidR="00817075" w:rsidRPr="00E85166" w:rsidTr="00F82287">
        <w:trPr>
          <w:trHeight w:val="255"/>
        </w:trPr>
        <w:tc>
          <w:tcPr>
            <w:tcW w:w="7680" w:type="dxa"/>
            <w:noWrap/>
          </w:tcPr>
          <w:p w:rsidR="00817075" w:rsidRPr="00E85166" w:rsidRDefault="00817075" w:rsidP="005A6B4A">
            <w:pPr>
              <w:rPr>
                <w:rFonts w:ascii="Arial" w:hAnsi="Arial" w:cs="Arial"/>
                <w:sz w:val="20"/>
                <w:szCs w:val="20"/>
              </w:rPr>
            </w:pPr>
            <w:r w:rsidRPr="00E85166">
              <w:rPr>
                <w:rFonts w:ascii="Arial" w:hAnsi="Arial" w:cs="Arial"/>
                <w:sz w:val="20"/>
                <w:szCs w:val="20"/>
              </w:rPr>
              <w:t>Other</w:t>
            </w:r>
          </w:p>
        </w:tc>
        <w:tc>
          <w:tcPr>
            <w:tcW w:w="1608" w:type="dxa"/>
            <w:noWrap/>
          </w:tcPr>
          <w:p w:rsidR="00817075" w:rsidRPr="00E85166" w:rsidRDefault="00817075" w:rsidP="001D656C">
            <w:pPr>
              <w:jc w:val="center"/>
              <w:rPr>
                <w:rFonts w:ascii="Arial" w:hAnsi="Arial" w:cs="Arial"/>
                <w:sz w:val="20"/>
                <w:szCs w:val="20"/>
              </w:rPr>
            </w:pPr>
            <w:r>
              <w:rPr>
                <w:rFonts w:ascii="Arial" w:hAnsi="Arial" w:cs="Arial"/>
                <w:sz w:val="20"/>
                <w:szCs w:val="20"/>
              </w:rPr>
              <w:t>0</w:t>
            </w:r>
          </w:p>
        </w:tc>
      </w:tr>
      <w:tr w:rsidR="00817075" w:rsidRPr="00E85166" w:rsidTr="00F82287">
        <w:trPr>
          <w:trHeight w:val="270"/>
        </w:trPr>
        <w:tc>
          <w:tcPr>
            <w:tcW w:w="7680" w:type="dxa"/>
            <w:noWrap/>
          </w:tcPr>
          <w:p w:rsidR="00817075" w:rsidRPr="00E85166" w:rsidRDefault="00817075" w:rsidP="005A6B4A">
            <w:pPr>
              <w:rPr>
                <w:rFonts w:ascii="Arial" w:hAnsi="Arial" w:cs="Arial"/>
                <w:b/>
                <w:bCs/>
                <w:sz w:val="20"/>
                <w:szCs w:val="20"/>
              </w:rPr>
            </w:pPr>
            <w:r w:rsidRPr="00E85166">
              <w:rPr>
                <w:rFonts w:ascii="Arial" w:hAnsi="Arial" w:cs="Arial"/>
                <w:b/>
                <w:bCs/>
                <w:sz w:val="20"/>
                <w:szCs w:val="20"/>
              </w:rPr>
              <w:t>Total</w:t>
            </w:r>
          </w:p>
        </w:tc>
        <w:tc>
          <w:tcPr>
            <w:tcW w:w="1608" w:type="dxa"/>
            <w:noWrap/>
          </w:tcPr>
          <w:p w:rsidR="00817075" w:rsidRPr="007017D0" w:rsidRDefault="00817075" w:rsidP="001D656C">
            <w:pPr>
              <w:jc w:val="center"/>
              <w:rPr>
                <w:rFonts w:ascii="Arial" w:hAnsi="Arial" w:cs="Arial"/>
                <w:b/>
                <w:bCs/>
                <w:sz w:val="20"/>
                <w:szCs w:val="20"/>
              </w:rPr>
            </w:pPr>
            <w:r w:rsidRPr="007017D0">
              <w:rPr>
                <w:rFonts w:ascii="Arial" w:hAnsi="Arial" w:cs="Arial"/>
                <w:sz w:val="20"/>
                <w:szCs w:val="20"/>
              </w:rPr>
              <w:t>$</w:t>
            </w:r>
            <w:r w:rsidR="007017D0" w:rsidRPr="007017D0">
              <w:rPr>
                <w:rFonts w:ascii="Arial" w:hAnsi="Arial" w:cs="Arial"/>
                <w:b/>
                <w:bCs/>
                <w:sz w:val="20"/>
                <w:szCs w:val="20"/>
              </w:rPr>
              <w:t>2,952,532.52</w:t>
            </w:r>
          </w:p>
        </w:tc>
      </w:tr>
    </w:tbl>
    <w:p w:rsidR="00817075" w:rsidRPr="009B69D3" w:rsidRDefault="00817075" w:rsidP="00BB6334">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r w:rsidR="009445B1" w:rsidRPr="009B69D3">
        <w:rPr>
          <w:sz w:val="16"/>
          <w:szCs w:val="16"/>
        </w:rPr>
        <w:t>” includes</w:t>
      </w:r>
      <w:r w:rsidRPr="009B69D3">
        <w:rPr>
          <w:sz w:val="16"/>
          <w:szCs w:val="16"/>
        </w:rPr>
        <w:t xml:space="preserve"> a 1.4 multiplier to reflect a fully-loaded wage rate.</w:t>
      </w:r>
    </w:p>
    <w:p w:rsidR="00817075" w:rsidRPr="002A4B95" w:rsidRDefault="00817075" w:rsidP="002A4B95"/>
    <w:p w:rsidR="00817075" w:rsidRDefault="00817075">
      <w:pPr>
        <w:tabs>
          <w:tab w:val="left" w:pos="360"/>
        </w:tabs>
        <w:rPr>
          <w:b/>
          <w:bCs/>
        </w:rPr>
      </w:pPr>
    </w:p>
    <w:p w:rsidR="00B52F37" w:rsidRDefault="00AE2D4C" w:rsidP="002C4223">
      <w:pPr>
        <w:numPr>
          <w:ilvl w:val="0"/>
          <w:numId w:val="13"/>
        </w:numPr>
        <w:tabs>
          <w:tab w:val="clear" w:pos="720"/>
          <w:tab w:val="num" w:pos="360"/>
        </w:tabs>
        <w:ind w:left="360"/>
        <w:rPr>
          <w:b/>
        </w:rPr>
      </w:pPr>
      <w:r>
        <w:fldChar w:fldCharType="begin"/>
      </w:r>
      <w:r w:rsidR="00817075">
        <w:instrText>ADVANCE \R 0.95</w:instrText>
      </w:r>
      <w:r>
        <w:fldChar w:fldCharType="end"/>
      </w:r>
      <w:r>
        <w:fldChar w:fldCharType="begin"/>
      </w:r>
      <w:r w:rsidR="00817075">
        <w:instrText>ADVANCE \R 0.95</w:instrText>
      </w:r>
      <w:r>
        <w:fldChar w:fldCharType="end"/>
      </w:r>
      <w:r w:rsidR="00817075" w:rsidRPr="00351123">
        <w:rPr>
          <w:b/>
        </w:rPr>
        <w:t xml:space="preserve">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F37AF7" w:rsidRDefault="00F37AF7" w:rsidP="00F37AF7">
      <w:pPr>
        <w:rPr>
          <w:b/>
        </w:rPr>
      </w:pPr>
    </w:p>
    <w:p w:rsidR="00F37AF7" w:rsidRDefault="00F37AF7" w:rsidP="00F37AF7">
      <w:pPr>
        <w:rPr>
          <w:b/>
        </w:rPr>
      </w:pPr>
    </w:p>
    <w:p w:rsidR="00F37AF7" w:rsidRDefault="00F37AF7" w:rsidP="00F37AF7">
      <w:pPr>
        <w:rPr>
          <w:b/>
        </w:rPr>
      </w:pPr>
    </w:p>
    <w:p w:rsidR="00817075" w:rsidRDefault="00817075" w:rsidP="00E11080"/>
    <w:tbl>
      <w:tblPr>
        <w:tblW w:w="10530" w:type="dxa"/>
        <w:tblInd w:w="-792" w:type="dxa"/>
        <w:tblLayout w:type="fixed"/>
        <w:tblLook w:val="0000" w:firstRow="0" w:lastRow="0" w:firstColumn="0" w:lastColumn="0" w:noHBand="0" w:noVBand="0"/>
      </w:tblPr>
      <w:tblGrid>
        <w:gridCol w:w="2340"/>
        <w:gridCol w:w="1350"/>
        <w:gridCol w:w="1170"/>
        <w:gridCol w:w="1350"/>
        <w:gridCol w:w="1530"/>
        <w:gridCol w:w="1440"/>
        <w:gridCol w:w="1350"/>
      </w:tblGrid>
      <w:tr w:rsidR="00817075" w:rsidTr="00605BB8">
        <w:trPr>
          <w:trHeight w:val="330"/>
        </w:trPr>
        <w:tc>
          <w:tcPr>
            <w:tcW w:w="10530" w:type="dxa"/>
            <w:gridSpan w:val="7"/>
            <w:tcBorders>
              <w:top w:val="single" w:sz="8" w:space="0" w:color="auto"/>
              <w:left w:val="single" w:sz="8" w:space="0" w:color="auto"/>
              <w:bottom w:val="single" w:sz="8" w:space="0" w:color="auto"/>
              <w:right w:val="single" w:sz="8" w:space="0" w:color="000000"/>
            </w:tcBorders>
            <w:noWrap/>
            <w:vAlign w:val="bottom"/>
          </w:tcPr>
          <w:p w:rsidR="00817075" w:rsidRDefault="00817075" w:rsidP="006B6883">
            <w:pPr>
              <w:jc w:val="center"/>
              <w:rPr>
                <w:b/>
                <w:bCs/>
              </w:rPr>
            </w:pPr>
            <w:r>
              <w:rPr>
                <w:b/>
                <w:bCs/>
              </w:rPr>
              <w:lastRenderedPageBreak/>
              <w:t>Itemized Changes in Annual Burden Hours</w:t>
            </w:r>
          </w:p>
        </w:tc>
      </w:tr>
      <w:tr w:rsidR="00817075" w:rsidTr="00605BB8">
        <w:trPr>
          <w:trHeight w:val="1905"/>
        </w:trPr>
        <w:tc>
          <w:tcPr>
            <w:tcW w:w="2340" w:type="dxa"/>
            <w:tcBorders>
              <w:top w:val="nil"/>
              <w:left w:val="single" w:sz="8" w:space="0" w:color="auto"/>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Data collection Activity/Instrument</w:t>
            </w:r>
          </w:p>
        </w:tc>
        <w:tc>
          <w:tcPr>
            <w:tcW w:w="1350" w:type="dxa"/>
            <w:tcBorders>
              <w:top w:val="nil"/>
              <w:left w:val="nil"/>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 xml:space="preserve">Program Change (hours currently on OMB Inventory) </w:t>
            </w:r>
          </w:p>
        </w:tc>
        <w:tc>
          <w:tcPr>
            <w:tcW w:w="1170" w:type="dxa"/>
            <w:tcBorders>
              <w:top w:val="nil"/>
              <w:left w:val="nil"/>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 xml:space="preserve">Program Change (New) </w:t>
            </w:r>
          </w:p>
        </w:tc>
        <w:tc>
          <w:tcPr>
            <w:tcW w:w="1350" w:type="dxa"/>
            <w:tcBorders>
              <w:top w:val="nil"/>
              <w:left w:val="nil"/>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Difference</w:t>
            </w:r>
          </w:p>
        </w:tc>
        <w:tc>
          <w:tcPr>
            <w:tcW w:w="1530" w:type="dxa"/>
            <w:tcBorders>
              <w:top w:val="nil"/>
              <w:left w:val="nil"/>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Adjustment (hours currently on OMB Inventory)</w:t>
            </w:r>
          </w:p>
        </w:tc>
        <w:tc>
          <w:tcPr>
            <w:tcW w:w="1440" w:type="dxa"/>
            <w:tcBorders>
              <w:top w:val="nil"/>
              <w:left w:val="nil"/>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 xml:space="preserve">Adjustment (New) </w:t>
            </w:r>
          </w:p>
        </w:tc>
        <w:tc>
          <w:tcPr>
            <w:tcW w:w="1350" w:type="dxa"/>
            <w:tcBorders>
              <w:top w:val="nil"/>
              <w:left w:val="nil"/>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Difference</w:t>
            </w:r>
          </w:p>
        </w:tc>
      </w:tr>
      <w:tr w:rsidR="00817075" w:rsidTr="00451A48">
        <w:trPr>
          <w:trHeight w:val="330"/>
        </w:trPr>
        <w:tc>
          <w:tcPr>
            <w:tcW w:w="2340" w:type="dxa"/>
            <w:tcBorders>
              <w:top w:val="nil"/>
              <w:left w:val="single" w:sz="8" w:space="0" w:color="auto"/>
              <w:bottom w:val="single" w:sz="8" w:space="0" w:color="auto"/>
              <w:right w:val="single" w:sz="8" w:space="0" w:color="auto"/>
            </w:tcBorders>
            <w:vAlign w:val="center"/>
          </w:tcPr>
          <w:p w:rsidR="00817075" w:rsidRPr="00D937F3" w:rsidRDefault="0000054A" w:rsidP="00591810">
            <w:pPr>
              <w:rPr>
                <w:rFonts w:ascii="Arial" w:hAnsi="Arial" w:cs="Arial"/>
                <w:sz w:val="20"/>
                <w:szCs w:val="20"/>
              </w:rPr>
            </w:pPr>
            <w:r w:rsidRPr="0000054A">
              <w:rPr>
                <w:rFonts w:ascii="Arial" w:hAnsi="Arial" w:cs="Arial"/>
                <w:sz w:val="20"/>
                <w:szCs w:val="20"/>
              </w:rPr>
              <w:t>Request for Presidential Disaster Declaration Major Disaster or Emergency / FEMA Form 010-0-13</w:t>
            </w:r>
          </w:p>
        </w:tc>
        <w:tc>
          <w:tcPr>
            <w:tcW w:w="1350" w:type="dxa"/>
            <w:tcBorders>
              <w:top w:val="nil"/>
              <w:left w:val="nil"/>
              <w:bottom w:val="single" w:sz="8" w:space="0" w:color="auto"/>
              <w:right w:val="single" w:sz="8" w:space="0" w:color="auto"/>
            </w:tcBorders>
            <w:vAlign w:val="center"/>
          </w:tcPr>
          <w:p w:rsidR="00817075" w:rsidRDefault="00817075" w:rsidP="006B6883">
            <w:pPr>
              <w:jc w:val="center"/>
            </w:pPr>
            <w:r>
              <w:t> </w:t>
            </w:r>
          </w:p>
        </w:tc>
        <w:tc>
          <w:tcPr>
            <w:tcW w:w="1170" w:type="dxa"/>
            <w:tcBorders>
              <w:top w:val="nil"/>
              <w:left w:val="nil"/>
              <w:bottom w:val="single" w:sz="8" w:space="0" w:color="auto"/>
              <w:right w:val="single" w:sz="8" w:space="0" w:color="auto"/>
            </w:tcBorders>
            <w:vAlign w:val="center"/>
          </w:tcPr>
          <w:p w:rsidR="00817075" w:rsidRDefault="00817075" w:rsidP="006B6883">
            <w:pPr>
              <w:jc w:val="center"/>
            </w:pPr>
            <w:r>
              <w:t> </w:t>
            </w:r>
          </w:p>
        </w:tc>
        <w:tc>
          <w:tcPr>
            <w:tcW w:w="1350" w:type="dxa"/>
            <w:tcBorders>
              <w:top w:val="nil"/>
              <w:left w:val="nil"/>
              <w:bottom w:val="single" w:sz="8" w:space="0" w:color="auto"/>
              <w:right w:val="single" w:sz="8" w:space="0" w:color="auto"/>
            </w:tcBorders>
            <w:vAlign w:val="center"/>
          </w:tcPr>
          <w:p w:rsidR="00817075" w:rsidRDefault="00817075" w:rsidP="006B6883">
            <w:pPr>
              <w:jc w:val="center"/>
            </w:pPr>
            <w:r>
              <w:t> </w:t>
            </w:r>
          </w:p>
        </w:tc>
        <w:tc>
          <w:tcPr>
            <w:tcW w:w="1530" w:type="dxa"/>
            <w:tcBorders>
              <w:top w:val="nil"/>
              <w:left w:val="nil"/>
              <w:bottom w:val="single" w:sz="8" w:space="0" w:color="auto"/>
              <w:right w:val="single" w:sz="8" w:space="0" w:color="auto"/>
            </w:tcBorders>
            <w:vAlign w:val="bottom"/>
          </w:tcPr>
          <w:p w:rsidR="00817075" w:rsidRPr="00936E50" w:rsidRDefault="00817075" w:rsidP="00CC243B">
            <w:pPr>
              <w:jc w:val="center"/>
              <w:rPr>
                <w:rFonts w:ascii="Arial" w:hAnsi="Arial" w:cs="Arial"/>
                <w:sz w:val="20"/>
                <w:szCs w:val="20"/>
              </w:rPr>
            </w:pPr>
            <w:r>
              <w:rPr>
                <w:rFonts w:ascii="Arial" w:hAnsi="Arial" w:cs="Arial"/>
                <w:sz w:val="20"/>
                <w:szCs w:val="20"/>
              </w:rPr>
              <w:t>3,024</w:t>
            </w:r>
          </w:p>
        </w:tc>
        <w:tc>
          <w:tcPr>
            <w:tcW w:w="1440" w:type="dxa"/>
            <w:tcBorders>
              <w:top w:val="nil"/>
              <w:left w:val="nil"/>
              <w:bottom w:val="single" w:sz="8" w:space="0" w:color="auto"/>
              <w:right w:val="single" w:sz="8" w:space="0" w:color="auto"/>
            </w:tcBorders>
            <w:vAlign w:val="bottom"/>
          </w:tcPr>
          <w:p w:rsidR="00817075" w:rsidRPr="00936E50" w:rsidRDefault="00817075" w:rsidP="00604687">
            <w:pPr>
              <w:jc w:val="center"/>
              <w:rPr>
                <w:rFonts w:ascii="Arial" w:hAnsi="Arial" w:cs="Arial"/>
                <w:sz w:val="20"/>
                <w:szCs w:val="20"/>
              </w:rPr>
            </w:pPr>
            <w:r>
              <w:rPr>
                <w:rFonts w:ascii="Arial" w:hAnsi="Arial" w:cs="Arial"/>
                <w:sz w:val="20"/>
                <w:szCs w:val="20"/>
              </w:rPr>
              <w:t>3,</w:t>
            </w:r>
            <w:r w:rsidR="00604687">
              <w:rPr>
                <w:rFonts w:ascii="Arial" w:hAnsi="Arial" w:cs="Arial"/>
                <w:sz w:val="20"/>
                <w:szCs w:val="20"/>
              </w:rPr>
              <w:t>195</w:t>
            </w:r>
          </w:p>
        </w:tc>
        <w:tc>
          <w:tcPr>
            <w:tcW w:w="1350" w:type="dxa"/>
            <w:tcBorders>
              <w:top w:val="nil"/>
              <w:left w:val="nil"/>
              <w:bottom w:val="single" w:sz="8" w:space="0" w:color="auto"/>
              <w:right w:val="single" w:sz="8" w:space="0" w:color="auto"/>
            </w:tcBorders>
            <w:vAlign w:val="center"/>
          </w:tcPr>
          <w:p w:rsidR="001D656C" w:rsidRDefault="001D656C" w:rsidP="00CC243B">
            <w:pPr>
              <w:jc w:val="center"/>
              <w:rPr>
                <w:rFonts w:ascii="Arial" w:hAnsi="Arial" w:cs="Arial"/>
                <w:sz w:val="20"/>
                <w:szCs w:val="20"/>
              </w:rPr>
            </w:pPr>
          </w:p>
          <w:p w:rsidR="001D656C" w:rsidRDefault="001D656C" w:rsidP="00CC243B">
            <w:pPr>
              <w:jc w:val="center"/>
              <w:rPr>
                <w:rFonts w:ascii="Arial" w:hAnsi="Arial" w:cs="Arial"/>
                <w:sz w:val="20"/>
                <w:szCs w:val="20"/>
              </w:rPr>
            </w:pPr>
          </w:p>
          <w:p w:rsidR="001D656C" w:rsidRDefault="001D656C" w:rsidP="00CC243B">
            <w:pPr>
              <w:jc w:val="center"/>
              <w:rPr>
                <w:rFonts w:ascii="Arial" w:hAnsi="Arial" w:cs="Arial"/>
                <w:sz w:val="20"/>
                <w:szCs w:val="20"/>
              </w:rPr>
            </w:pPr>
          </w:p>
          <w:p w:rsidR="001D656C" w:rsidRDefault="001D656C" w:rsidP="00CC243B">
            <w:pPr>
              <w:jc w:val="center"/>
              <w:rPr>
                <w:rFonts w:ascii="Arial" w:hAnsi="Arial" w:cs="Arial"/>
                <w:sz w:val="20"/>
                <w:szCs w:val="20"/>
              </w:rPr>
            </w:pPr>
          </w:p>
          <w:p w:rsidR="00817075" w:rsidRPr="00936E50" w:rsidRDefault="00F11042" w:rsidP="00604687">
            <w:pPr>
              <w:jc w:val="center"/>
              <w:rPr>
                <w:rFonts w:ascii="Arial" w:hAnsi="Arial" w:cs="Arial"/>
                <w:sz w:val="20"/>
                <w:szCs w:val="20"/>
              </w:rPr>
            </w:pPr>
            <w:r>
              <w:rPr>
                <w:rFonts w:ascii="Arial" w:hAnsi="Arial" w:cs="Arial"/>
                <w:sz w:val="20"/>
                <w:szCs w:val="20"/>
              </w:rPr>
              <w:t>+1</w:t>
            </w:r>
            <w:r w:rsidR="00604687">
              <w:rPr>
                <w:rFonts w:ascii="Arial" w:hAnsi="Arial" w:cs="Arial"/>
                <w:sz w:val="20"/>
                <w:szCs w:val="20"/>
              </w:rPr>
              <w:t>71</w:t>
            </w:r>
          </w:p>
        </w:tc>
      </w:tr>
      <w:tr w:rsidR="00817075" w:rsidTr="00451A48">
        <w:trPr>
          <w:trHeight w:val="330"/>
        </w:trPr>
        <w:tc>
          <w:tcPr>
            <w:tcW w:w="2340" w:type="dxa"/>
            <w:tcBorders>
              <w:top w:val="nil"/>
              <w:left w:val="single" w:sz="8" w:space="0" w:color="auto"/>
              <w:bottom w:val="single" w:sz="8" w:space="0" w:color="auto"/>
              <w:right w:val="single" w:sz="8" w:space="0" w:color="auto"/>
            </w:tcBorders>
            <w:vAlign w:val="center"/>
          </w:tcPr>
          <w:p w:rsidR="00817075" w:rsidRDefault="00817075" w:rsidP="00494B26">
            <w:r>
              <w:rPr>
                <w:rFonts w:ascii="Arial" w:hAnsi="Arial" w:cs="Arial"/>
                <w:sz w:val="20"/>
                <w:szCs w:val="20"/>
              </w:rPr>
              <w:t>Initial Data Gathering for Governor’s Request / No Form</w:t>
            </w:r>
          </w:p>
        </w:tc>
        <w:tc>
          <w:tcPr>
            <w:tcW w:w="1350" w:type="dxa"/>
            <w:tcBorders>
              <w:top w:val="nil"/>
              <w:left w:val="nil"/>
              <w:bottom w:val="single" w:sz="8" w:space="0" w:color="auto"/>
              <w:right w:val="single" w:sz="8" w:space="0" w:color="auto"/>
            </w:tcBorders>
            <w:vAlign w:val="center"/>
          </w:tcPr>
          <w:p w:rsidR="00817075" w:rsidRDefault="00817075" w:rsidP="006B6883">
            <w:pPr>
              <w:jc w:val="center"/>
            </w:pPr>
            <w:r>
              <w:t> </w:t>
            </w:r>
          </w:p>
        </w:tc>
        <w:tc>
          <w:tcPr>
            <w:tcW w:w="1170" w:type="dxa"/>
            <w:tcBorders>
              <w:top w:val="nil"/>
              <w:left w:val="nil"/>
              <w:bottom w:val="single" w:sz="8" w:space="0" w:color="auto"/>
              <w:right w:val="single" w:sz="8" w:space="0" w:color="auto"/>
            </w:tcBorders>
            <w:vAlign w:val="center"/>
          </w:tcPr>
          <w:p w:rsidR="00817075" w:rsidRDefault="00817075" w:rsidP="006B6883">
            <w:pPr>
              <w:jc w:val="center"/>
            </w:pPr>
            <w:r>
              <w:t> </w:t>
            </w:r>
          </w:p>
        </w:tc>
        <w:tc>
          <w:tcPr>
            <w:tcW w:w="1350" w:type="dxa"/>
            <w:tcBorders>
              <w:top w:val="nil"/>
              <w:left w:val="nil"/>
              <w:bottom w:val="single" w:sz="8" w:space="0" w:color="auto"/>
              <w:right w:val="single" w:sz="8" w:space="0" w:color="auto"/>
            </w:tcBorders>
            <w:vAlign w:val="center"/>
          </w:tcPr>
          <w:p w:rsidR="00817075" w:rsidRDefault="00817075" w:rsidP="006B6883">
            <w:pPr>
              <w:jc w:val="center"/>
            </w:pPr>
            <w:r>
              <w:t> </w:t>
            </w:r>
          </w:p>
        </w:tc>
        <w:tc>
          <w:tcPr>
            <w:tcW w:w="1530" w:type="dxa"/>
            <w:tcBorders>
              <w:top w:val="nil"/>
              <w:left w:val="nil"/>
              <w:bottom w:val="single" w:sz="8" w:space="0" w:color="auto"/>
              <w:right w:val="single" w:sz="8" w:space="0" w:color="auto"/>
            </w:tcBorders>
            <w:vAlign w:val="bottom"/>
          </w:tcPr>
          <w:p w:rsidR="00817075" w:rsidRPr="00936E50" w:rsidRDefault="00817075" w:rsidP="00CC243B">
            <w:pPr>
              <w:jc w:val="center"/>
              <w:rPr>
                <w:rFonts w:ascii="Arial" w:hAnsi="Arial" w:cs="Arial"/>
                <w:sz w:val="20"/>
                <w:szCs w:val="20"/>
              </w:rPr>
            </w:pPr>
            <w:r>
              <w:rPr>
                <w:rFonts w:ascii="Arial" w:hAnsi="Arial" w:cs="Arial"/>
                <w:sz w:val="20"/>
                <w:szCs w:val="20"/>
              </w:rPr>
              <w:t>8,064</w:t>
            </w:r>
          </w:p>
        </w:tc>
        <w:tc>
          <w:tcPr>
            <w:tcW w:w="1440" w:type="dxa"/>
            <w:tcBorders>
              <w:top w:val="nil"/>
              <w:left w:val="nil"/>
              <w:bottom w:val="single" w:sz="8" w:space="0" w:color="auto"/>
              <w:right w:val="single" w:sz="8" w:space="0" w:color="auto"/>
            </w:tcBorders>
            <w:vAlign w:val="bottom"/>
          </w:tcPr>
          <w:p w:rsidR="00817075" w:rsidRPr="00936E50" w:rsidRDefault="00817075" w:rsidP="00604687">
            <w:pPr>
              <w:jc w:val="center"/>
              <w:rPr>
                <w:rFonts w:ascii="Arial" w:hAnsi="Arial" w:cs="Arial"/>
                <w:sz w:val="20"/>
                <w:szCs w:val="20"/>
              </w:rPr>
            </w:pPr>
            <w:r>
              <w:rPr>
                <w:rFonts w:ascii="Arial" w:hAnsi="Arial" w:cs="Arial"/>
                <w:sz w:val="20"/>
                <w:szCs w:val="20"/>
              </w:rPr>
              <w:t>8,</w:t>
            </w:r>
            <w:r w:rsidR="00604687">
              <w:rPr>
                <w:rFonts w:ascii="Arial" w:hAnsi="Arial" w:cs="Arial"/>
                <w:sz w:val="20"/>
                <w:szCs w:val="20"/>
              </w:rPr>
              <w:t>520</w:t>
            </w:r>
          </w:p>
        </w:tc>
        <w:tc>
          <w:tcPr>
            <w:tcW w:w="1350" w:type="dxa"/>
            <w:tcBorders>
              <w:top w:val="nil"/>
              <w:left w:val="nil"/>
              <w:bottom w:val="single" w:sz="8" w:space="0" w:color="auto"/>
              <w:right w:val="single" w:sz="8" w:space="0" w:color="auto"/>
            </w:tcBorders>
            <w:vAlign w:val="center"/>
          </w:tcPr>
          <w:p w:rsidR="00817075" w:rsidRPr="00936E50" w:rsidRDefault="00F11042" w:rsidP="00CC243B">
            <w:pPr>
              <w:jc w:val="center"/>
              <w:rPr>
                <w:rFonts w:ascii="Arial" w:hAnsi="Arial" w:cs="Arial"/>
                <w:sz w:val="20"/>
                <w:szCs w:val="20"/>
              </w:rPr>
            </w:pPr>
            <w:r>
              <w:rPr>
                <w:rFonts w:ascii="Arial" w:hAnsi="Arial" w:cs="Arial"/>
                <w:sz w:val="20"/>
                <w:szCs w:val="20"/>
              </w:rPr>
              <w:t>+4</w:t>
            </w:r>
            <w:r w:rsidR="007E6CCE">
              <w:rPr>
                <w:rFonts w:ascii="Arial" w:hAnsi="Arial" w:cs="Arial"/>
                <w:sz w:val="20"/>
                <w:szCs w:val="20"/>
              </w:rPr>
              <w:t>56</w:t>
            </w:r>
          </w:p>
        </w:tc>
      </w:tr>
      <w:tr w:rsidR="00817075" w:rsidTr="00605BB8">
        <w:trPr>
          <w:trHeight w:val="330"/>
        </w:trPr>
        <w:tc>
          <w:tcPr>
            <w:tcW w:w="2340" w:type="dxa"/>
            <w:tcBorders>
              <w:top w:val="nil"/>
              <w:left w:val="single" w:sz="8" w:space="0" w:color="auto"/>
              <w:bottom w:val="single" w:sz="8" w:space="0" w:color="auto"/>
              <w:right w:val="single" w:sz="8" w:space="0" w:color="auto"/>
            </w:tcBorders>
            <w:vAlign w:val="center"/>
          </w:tcPr>
          <w:p w:rsidR="00817075" w:rsidRDefault="00817075" w:rsidP="006B6883">
            <w:pPr>
              <w:jc w:val="center"/>
              <w:rPr>
                <w:b/>
                <w:bCs/>
              </w:rPr>
            </w:pPr>
            <w:r>
              <w:rPr>
                <w:b/>
                <w:bCs/>
              </w:rPr>
              <w:t>Total(s)</w:t>
            </w:r>
          </w:p>
        </w:tc>
        <w:tc>
          <w:tcPr>
            <w:tcW w:w="1350" w:type="dxa"/>
            <w:tcBorders>
              <w:top w:val="nil"/>
              <w:left w:val="nil"/>
              <w:bottom w:val="single" w:sz="8" w:space="0" w:color="auto"/>
              <w:right w:val="single" w:sz="8" w:space="0" w:color="auto"/>
            </w:tcBorders>
            <w:vAlign w:val="center"/>
          </w:tcPr>
          <w:p w:rsidR="00817075" w:rsidRDefault="00817075" w:rsidP="006B6883">
            <w:pPr>
              <w:jc w:val="center"/>
              <w:rPr>
                <w:b/>
                <w:bCs/>
              </w:rPr>
            </w:pPr>
            <w:r>
              <w:rPr>
                <w:b/>
                <w:bCs/>
              </w:rPr>
              <w:t> </w:t>
            </w:r>
          </w:p>
        </w:tc>
        <w:tc>
          <w:tcPr>
            <w:tcW w:w="1170" w:type="dxa"/>
            <w:tcBorders>
              <w:top w:val="nil"/>
              <w:left w:val="nil"/>
              <w:bottom w:val="single" w:sz="8" w:space="0" w:color="auto"/>
              <w:right w:val="single" w:sz="8" w:space="0" w:color="auto"/>
            </w:tcBorders>
            <w:vAlign w:val="center"/>
          </w:tcPr>
          <w:p w:rsidR="00817075" w:rsidRDefault="00817075" w:rsidP="006B6883">
            <w:pPr>
              <w:jc w:val="center"/>
              <w:rPr>
                <w:b/>
                <w:bCs/>
              </w:rPr>
            </w:pPr>
            <w:r>
              <w:rPr>
                <w:b/>
                <w:bCs/>
              </w:rPr>
              <w:t> </w:t>
            </w:r>
          </w:p>
        </w:tc>
        <w:tc>
          <w:tcPr>
            <w:tcW w:w="1350" w:type="dxa"/>
            <w:tcBorders>
              <w:top w:val="nil"/>
              <w:left w:val="nil"/>
              <w:bottom w:val="single" w:sz="8" w:space="0" w:color="auto"/>
              <w:right w:val="single" w:sz="8" w:space="0" w:color="auto"/>
            </w:tcBorders>
            <w:vAlign w:val="center"/>
          </w:tcPr>
          <w:p w:rsidR="00817075" w:rsidRDefault="00817075" w:rsidP="006B6883">
            <w:pPr>
              <w:jc w:val="center"/>
              <w:rPr>
                <w:b/>
                <w:bCs/>
              </w:rPr>
            </w:pPr>
            <w:r>
              <w:rPr>
                <w:b/>
                <w:bCs/>
              </w:rPr>
              <w:t> </w:t>
            </w:r>
          </w:p>
        </w:tc>
        <w:tc>
          <w:tcPr>
            <w:tcW w:w="1530" w:type="dxa"/>
            <w:tcBorders>
              <w:top w:val="nil"/>
              <w:left w:val="nil"/>
              <w:bottom w:val="single" w:sz="8" w:space="0" w:color="auto"/>
              <w:right w:val="single" w:sz="8" w:space="0" w:color="auto"/>
            </w:tcBorders>
            <w:vAlign w:val="center"/>
          </w:tcPr>
          <w:p w:rsidR="00817075" w:rsidRPr="00936E50" w:rsidRDefault="00817075" w:rsidP="00CC243B">
            <w:pPr>
              <w:jc w:val="center"/>
              <w:rPr>
                <w:rFonts w:ascii="Arial" w:hAnsi="Arial" w:cs="Arial"/>
                <w:b/>
                <w:bCs/>
                <w:sz w:val="20"/>
                <w:szCs w:val="20"/>
              </w:rPr>
            </w:pPr>
            <w:r>
              <w:rPr>
                <w:rFonts w:ascii="Arial" w:hAnsi="Arial" w:cs="Arial"/>
                <w:b/>
                <w:bCs/>
                <w:sz w:val="20"/>
                <w:szCs w:val="20"/>
              </w:rPr>
              <w:t>11,088</w:t>
            </w:r>
          </w:p>
        </w:tc>
        <w:tc>
          <w:tcPr>
            <w:tcW w:w="1440" w:type="dxa"/>
            <w:tcBorders>
              <w:top w:val="nil"/>
              <w:left w:val="nil"/>
              <w:bottom w:val="single" w:sz="8" w:space="0" w:color="auto"/>
              <w:right w:val="single" w:sz="8" w:space="0" w:color="auto"/>
            </w:tcBorders>
            <w:vAlign w:val="center"/>
          </w:tcPr>
          <w:p w:rsidR="00817075" w:rsidRPr="00936E50" w:rsidRDefault="00817075" w:rsidP="00604687">
            <w:pPr>
              <w:jc w:val="center"/>
              <w:rPr>
                <w:rFonts w:ascii="Arial" w:hAnsi="Arial" w:cs="Arial"/>
                <w:b/>
                <w:bCs/>
                <w:sz w:val="20"/>
                <w:szCs w:val="20"/>
              </w:rPr>
            </w:pPr>
            <w:r>
              <w:rPr>
                <w:rFonts w:ascii="Arial" w:hAnsi="Arial" w:cs="Arial"/>
                <w:b/>
                <w:bCs/>
                <w:sz w:val="20"/>
                <w:szCs w:val="20"/>
              </w:rPr>
              <w:t>11,</w:t>
            </w:r>
            <w:r w:rsidR="00F11042">
              <w:rPr>
                <w:rFonts w:ascii="Arial" w:hAnsi="Arial" w:cs="Arial"/>
                <w:b/>
                <w:bCs/>
                <w:sz w:val="20"/>
                <w:szCs w:val="20"/>
              </w:rPr>
              <w:t>7</w:t>
            </w:r>
            <w:r w:rsidR="00604687">
              <w:rPr>
                <w:rFonts w:ascii="Arial" w:hAnsi="Arial" w:cs="Arial"/>
                <w:b/>
                <w:bCs/>
                <w:sz w:val="20"/>
                <w:szCs w:val="20"/>
              </w:rPr>
              <w:t>15</w:t>
            </w:r>
          </w:p>
        </w:tc>
        <w:tc>
          <w:tcPr>
            <w:tcW w:w="1350" w:type="dxa"/>
            <w:tcBorders>
              <w:top w:val="nil"/>
              <w:left w:val="nil"/>
              <w:bottom w:val="single" w:sz="8" w:space="0" w:color="auto"/>
              <w:right w:val="single" w:sz="8" w:space="0" w:color="auto"/>
            </w:tcBorders>
            <w:vAlign w:val="center"/>
          </w:tcPr>
          <w:p w:rsidR="00817075" w:rsidRPr="00936E50" w:rsidRDefault="00F11042" w:rsidP="00CC243B">
            <w:pPr>
              <w:jc w:val="center"/>
              <w:rPr>
                <w:rFonts w:ascii="Arial" w:hAnsi="Arial" w:cs="Arial"/>
                <w:b/>
                <w:bCs/>
                <w:sz w:val="20"/>
                <w:szCs w:val="20"/>
              </w:rPr>
            </w:pPr>
            <w:r>
              <w:rPr>
                <w:rFonts w:ascii="Arial" w:hAnsi="Arial" w:cs="Arial"/>
                <w:b/>
                <w:bCs/>
                <w:sz w:val="20"/>
                <w:szCs w:val="20"/>
              </w:rPr>
              <w:t>+6</w:t>
            </w:r>
            <w:r w:rsidR="007E6CCE">
              <w:rPr>
                <w:rFonts w:ascii="Arial" w:hAnsi="Arial" w:cs="Arial"/>
                <w:b/>
                <w:bCs/>
                <w:sz w:val="20"/>
                <w:szCs w:val="20"/>
              </w:rPr>
              <w:t>27</w:t>
            </w:r>
          </w:p>
        </w:tc>
      </w:tr>
    </w:tbl>
    <w:p w:rsidR="00817075" w:rsidRDefault="00817075" w:rsidP="001124DB">
      <w:pPr>
        <w:rPr>
          <w:b/>
          <w:bCs/>
          <w:i/>
        </w:rPr>
      </w:pPr>
    </w:p>
    <w:p w:rsidR="00CC243B" w:rsidRDefault="00817075" w:rsidP="001124DB">
      <w:pPr>
        <w:rPr>
          <w:bCs/>
        </w:rPr>
      </w:pPr>
      <w:r w:rsidRPr="00DA72BA">
        <w:rPr>
          <w:b/>
          <w:bCs/>
          <w:i/>
        </w:rPr>
        <w:t>Explain:</w:t>
      </w:r>
      <w:r>
        <w:rPr>
          <w:bCs/>
        </w:rPr>
        <w:t xml:space="preserve">  </w:t>
      </w:r>
    </w:p>
    <w:p w:rsidR="00CC243B" w:rsidRDefault="00CC243B" w:rsidP="001124DB">
      <w:pPr>
        <w:rPr>
          <w:bCs/>
        </w:rPr>
      </w:pPr>
    </w:p>
    <w:p w:rsidR="00817075" w:rsidRDefault="00817075" w:rsidP="001124DB">
      <w:pPr>
        <w:rPr>
          <w:bCs/>
        </w:rPr>
      </w:pPr>
      <w:r>
        <w:rPr>
          <w:bCs/>
        </w:rPr>
        <w:t xml:space="preserve">This table only reflects the change that the previous open mail in format is now replaced with an official FEMA Form and FEMA Form number, FF 010-0-13. </w:t>
      </w:r>
    </w:p>
    <w:p w:rsidR="00F11042" w:rsidRDefault="00F11042" w:rsidP="001124DB">
      <w:pPr>
        <w:rPr>
          <w:bCs/>
        </w:rPr>
      </w:pPr>
    </w:p>
    <w:p w:rsidR="00F11042" w:rsidRDefault="00F11042" w:rsidP="001124DB">
      <w:pPr>
        <w:rPr>
          <w:bCs/>
        </w:rPr>
      </w:pPr>
      <w:r>
        <w:rPr>
          <w:bCs/>
        </w:rPr>
        <w:t>The time burden on respondents and potential respondents i</w:t>
      </w:r>
      <w:r w:rsidR="004A3E8E">
        <w:rPr>
          <w:bCs/>
        </w:rPr>
        <w:t>s</w:t>
      </w:r>
      <w:r>
        <w:rPr>
          <w:bCs/>
        </w:rPr>
        <w:t xml:space="preserve"> unchanged.  FEMA anticipates receiving more declaration requests a result of the </w:t>
      </w:r>
      <w:r w:rsidR="00995E11">
        <w:rPr>
          <w:bCs/>
        </w:rPr>
        <w:t xml:space="preserve">aforementioned </w:t>
      </w:r>
      <w:r>
        <w:rPr>
          <w:bCs/>
        </w:rPr>
        <w:t>new law</w:t>
      </w:r>
      <w:r w:rsidR="00604687">
        <w:rPr>
          <w:bCs/>
        </w:rPr>
        <w:t xml:space="preserve"> (</w:t>
      </w:r>
      <w:r w:rsidR="004A3E8E">
        <w:rPr>
          <w:bCs/>
        </w:rPr>
        <w:t>S</w:t>
      </w:r>
      <w:r w:rsidR="00604687" w:rsidRPr="00604687">
        <w:rPr>
          <w:bCs/>
        </w:rPr>
        <w:t>ection 1110 of the Sandy Recovery Improvement Act of 2013 (P.L. 113-2)</w:t>
      </w:r>
      <w:r>
        <w:rPr>
          <w:bCs/>
        </w:rPr>
        <w:t>.</w:t>
      </w:r>
      <w:r w:rsidR="00604687">
        <w:rPr>
          <w:bCs/>
        </w:rPr>
        <w:t xml:space="preserve"> </w:t>
      </w:r>
      <w:r w:rsidR="00604687" w:rsidRPr="00604687">
        <w:rPr>
          <w:bCs/>
        </w:rPr>
        <w:t>As a result of the new law, federally recognized tribal governments will also submit declaration requests.</w:t>
      </w:r>
    </w:p>
    <w:p w:rsidR="007017D0" w:rsidRDefault="007017D0" w:rsidP="001124DB">
      <w:pPr>
        <w:rPr>
          <w:bCs/>
        </w:rPr>
      </w:pPr>
    </w:p>
    <w:p w:rsidR="007017D0" w:rsidRDefault="007017D0" w:rsidP="001124DB">
      <w:pPr>
        <w:rPr>
          <w:bCs/>
        </w:rPr>
      </w:pPr>
    </w:p>
    <w:p w:rsidR="00817075" w:rsidRDefault="00817075" w:rsidP="001124DB"/>
    <w:tbl>
      <w:tblPr>
        <w:tblW w:w="10710" w:type="dxa"/>
        <w:tblInd w:w="-972" w:type="dxa"/>
        <w:tblLayout w:type="fixed"/>
        <w:tblLook w:val="0000" w:firstRow="0" w:lastRow="0" w:firstColumn="0" w:lastColumn="0" w:noHBand="0" w:noVBand="0"/>
      </w:tblPr>
      <w:tblGrid>
        <w:gridCol w:w="2436"/>
        <w:gridCol w:w="1326"/>
        <w:gridCol w:w="1193"/>
        <w:gridCol w:w="1322"/>
        <w:gridCol w:w="1430"/>
        <w:gridCol w:w="1430"/>
        <w:gridCol w:w="1573"/>
      </w:tblGrid>
      <w:tr w:rsidR="00817075" w:rsidTr="0000054A">
        <w:trPr>
          <w:trHeight w:val="330"/>
        </w:trPr>
        <w:tc>
          <w:tcPr>
            <w:tcW w:w="10710" w:type="dxa"/>
            <w:gridSpan w:val="7"/>
            <w:tcBorders>
              <w:top w:val="single" w:sz="8" w:space="0" w:color="auto"/>
              <w:left w:val="single" w:sz="8" w:space="0" w:color="auto"/>
              <w:bottom w:val="single" w:sz="8" w:space="0" w:color="auto"/>
              <w:right w:val="single" w:sz="8" w:space="0" w:color="000000"/>
            </w:tcBorders>
            <w:noWrap/>
            <w:vAlign w:val="bottom"/>
          </w:tcPr>
          <w:p w:rsidR="00817075" w:rsidRDefault="00817075" w:rsidP="006B6883">
            <w:pPr>
              <w:jc w:val="center"/>
              <w:rPr>
                <w:b/>
                <w:bCs/>
              </w:rPr>
            </w:pPr>
            <w:r>
              <w:rPr>
                <w:b/>
                <w:bCs/>
              </w:rPr>
              <w:t>Itemized Changes in Annual Cost Burden</w:t>
            </w:r>
          </w:p>
        </w:tc>
      </w:tr>
      <w:tr w:rsidR="00817075" w:rsidTr="0000054A">
        <w:trPr>
          <w:trHeight w:val="1905"/>
        </w:trPr>
        <w:tc>
          <w:tcPr>
            <w:tcW w:w="2436" w:type="dxa"/>
            <w:tcBorders>
              <w:top w:val="nil"/>
              <w:left w:val="single" w:sz="8" w:space="0" w:color="auto"/>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Data collection Activity/Instrument</w:t>
            </w:r>
          </w:p>
        </w:tc>
        <w:tc>
          <w:tcPr>
            <w:tcW w:w="1326" w:type="dxa"/>
            <w:tcBorders>
              <w:top w:val="nil"/>
              <w:left w:val="nil"/>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 xml:space="preserve">Program Change (cost currently on OMB Inventory) </w:t>
            </w:r>
          </w:p>
        </w:tc>
        <w:tc>
          <w:tcPr>
            <w:tcW w:w="1193" w:type="dxa"/>
            <w:tcBorders>
              <w:top w:val="nil"/>
              <w:left w:val="nil"/>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 xml:space="preserve">Program Change (New) </w:t>
            </w:r>
          </w:p>
        </w:tc>
        <w:tc>
          <w:tcPr>
            <w:tcW w:w="1322" w:type="dxa"/>
            <w:tcBorders>
              <w:top w:val="nil"/>
              <w:left w:val="nil"/>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Difference</w:t>
            </w:r>
          </w:p>
        </w:tc>
        <w:tc>
          <w:tcPr>
            <w:tcW w:w="1430" w:type="dxa"/>
            <w:tcBorders>
              <w:top w:val="nil"/>
              <w:left w:val="nil"/>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Adjustment (cost currently on OMB Inventory)</w:t>
            </w:r>
          </w:p>
        </w:tc>
        <w:tc>
          <w:tcPr>
            <w:tcW w:w="1430" w:type="dxa"/>
            <w:tcBorders>
              <w:top w:val="nil"/>
              <w:left w:val="nil"/>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 xml:space="preserve">Adjustment (New) </w:t>
            </w:r>
          </w:p>
        </w:tc>
        <w:tc>
          <w:tcPr>
            <w:tcW w:w="1573" w:type="dxa"/>
            <w:tcBorders>
              <w:top w:val="nil"/>
              <w:left w:val="nil"/>
              <w:bottom w:val="single" w:sz="8" w:space="0" w:color="auto"/>
              <w:right w:val="single" w:sz="8" w:space="0" w:color="auto"/>
            </w:tcBorders>
            <w:shd w:val="clear" w:color="auto" w:fill="C0C0C0"/>
            <w:vAlign w:val="center"/>
          </w:tcPr>
          <w:p w:rsidR="00817075" w:rsidRDefault="00817075" w:rsidP="006B6883">
            <w:pPr>
              <w:jc w:val="center"/>
              <w:rPr>
                <w:b/>
                <w:bCs/>
              </w:rPr>
            </w:pPr>
            <w:r>
              <w:rPr>
                <w:b/>
                <w:bCs/>
              </w:rPr>
              <w:t>Difference</w:t>
            </w:r>
          </w:p>
        </w:tc>
      </w:tr>
      <w:tr w:rsidR="00817075" w:rsidTr="0000054A">
        <w:trPr>
          <w:trHeight w:val="330"/>
        </w:trPr>
        <w:tc>
          <w:tcPr>
            <w:tcW w:w="2436" w:type="dxa"/>
            <w:tcBorders>
              <w:top w:val="nil"/>
              <w:left w:val="single" w:sz="8" w:space="0" w:color="auto"/>
              <w:bottom w:val="single" w:sz="8" w:space="0" w:color="auto"/>
              <w:right w:val="single" w:sz="8" w:space="0" w:color="auto"/>
            </w:tcBorders>
            <w:vAlign w:val="center"/>
          </w:tcPr>
          <w:p w:rsidR="00817075" w:rsidRPr="00D937F3" w:rsidRDefault="0000054A" w:rsidP="002B6AC7">
            <w:pPr>
              <w:rPr>
                <w:rFonts w:ascii="Arial" w:hAnsi="Arial" w:cs="Arial"/>
                <w:sz w:val="20"/>
                <w:szCs w:val="20"/>
              </w:rPr>
            </w:pPr>
            <w:r w:rsidRPr="0000054A">
              <w:rPr>
                <w:rFonts w:ascii="Arial" w:hAnsi="Arial" w:cs="Arial"/>
                <w:sz w:val="20"/>
                <w:szCs w:val="20"/>
              </w:rPr>
              <w:t>Request for Presidential Disaster Declaration Major Disaster or Emergency / FEMA Form 010-0-13</w:t>
            </w:r>
          </w:p>
        </w:tc>
        <w:tc>
          <w:tcPr>
            <w:tcW w:w="1326" w:type="dxa"/>
            <w:tcBorders>
              <w:top w:val="nil"/>
              <w:left w:val="nil"/>
              <w:bottom w:val="single" w:sz="8" w:space="0" w:color="auto"/>
              <w:right w:val="single" w:sz="8" w:space="0" w:color="auto"/>
            </w:tcBorders>
            <w:vAlign w:val="center"/>
          </w:tcPr>
          <w:p w:rsidR="00817075" w:rsidRDefault="00817075" w:rsidP="006B6883">
            <w:pPr>
              <w:jc w:val="center"/>
            </w:pPr>
            <w:r>
              <w:t> </w:t>
            </w:r>
          </w:p>
        </w:tc>
        <w:tc>
          <w:tcPr>
            <w:tcW w:w="1193" w:type="dxa"/>
            <w:tcBorders>
              <w:top w:val="nil"/>
              <w:left w:val="nil"/>
              <w:bottom w:val="single" w:sz="8" w:space="0" w:color="auto"/>
              <w:right w:val="single" w:sz="8" w:space="0" w:color="auto"/>
            </w:tcBorders>
            <w:vAlign w:val="center"/>
          </w:tcPr>
          <w:p w:rsidR="00817075" w:rsidRDefault="00817075" w:rsidP="006B6883">
            <w:pPr>
              <w:jc w:val="center"/>
            </w:pPr>
            <w:r>
              <w:t> </w:t>
            </w:r>
          </w:p>
        </w:tc>
        <w:tc>
          <w:tcPr>
            <w:tcW w:w="1322" w:type="dxa"/>
            <w:tcBorders>
              <w:top w:val="nil"/>
              <w:left w:val="nil"/>
              <w:bottom w:val="single" w:sz="8" w:space="0" w:color="auto"/>
              <w:right w:val="single" w:sz="8" w:space="0" w:color="auto"/>
            </w:tcBorders>
            <w:vAlign w:val="center"/>
          </w:tcPr>
          <w:p w:rsidR="00817075" w:rsidRDefault="00817075" w:rsidP="006B6883">
            <w:pPr>
              <w:jc w:val="center"/>
            </w:pPr>
            <w:r>
              <w:t> </w:t>
            </w:r>
          </w:p>
        </w:tc>
        <w:tc>
          <w:tcPr>
            <w:tcW w:w="1430" w:type="dxa"/>
            <w:tcBorders>
              <w:top w:val="nil"/>
              <w:left w:val="nil"/>
              <w:bottom w:val="single" w:sz="8" w:space="0" w:color="auto"/>
              <w:right w:val="single" w:sz="8" w:space="0" w:color="auto"/>
            </w:tcBorders>
            <w:vAlign w:val="center"/>
          </w:tcPr>
          <w:p w:rsidR="001D656C" w:rsidRDefault="001D656C" w:rsidP="001D656C">
            <w:pPr>
              <w:jc w:val="center"/>
              <w:rPr>
                <w:rFonts w:ascii="Arial" w:hAnsi="Arial" w:cs="Arial"/>
                <w:sz w:val="20"/>
                <w:szCs w:val="20"/>
              </w:rPr>
            </w:pPr>
          </w:p>
          <w:p w:rsidR="001D656C" w:rsidRDefault="001D656C" w:rsidP="001D656C">
            <w:pPr>
              <w:jc w:val="center"/>
              <w:rPr>
                <w:rFonts w:ascii="Arial" w:hAnsi="Arial" w:cs="Arial"/>
                <w:sz w:val="20"/>
                <w:szCs w:val="20"/>
              </w:rPr>
            </w:pPr>
          </w:p>
          <w:p w:rsidR="00817075" w:rsidRPr="001D656C" w:rsidRDefault="00817075" w:rsidP="001D656C">
            <w:pPr>
              <w:jc w:val="center"/>
              <w:rPr>
                <w:rFonts w:ascii="Arial" w:hAnsi="Arial" w:cs="Arial"/>
                <w:sz w:val="20"/>
                <w:szCs w:val="20"/>
              </w:rPr>
            </w:pPr>
            <w:r w:rsidRPr="001D656C">
              <w:rPr>
                <w:rFonts w:ascii="Arial" w:hAnsi="Arial" w:cs="Arial"/>
                <w:sz w:val="20"/>
                <w:szCs w:val="20"/>
              </w:rPr>
              <w:t>$198,586.08</w:t>
            </w:r>
          </w:p>
        </w:tc>
        <w:tc>
          <w:tcPr>
            <w:tcW w:w="1430" w:type="dxa"/>
            <w:tcBorders>
              <w:top w:val="nil"/>
              <w:left w:val="nil"/>
              <w:bottom w:val="single" w:sz="8" w:space="0" w:color="auto"/>
              <w:right w:val="single" w:sz="8" w:space="0" w:color="auto"/>
            </w:tcBorders>
            <w:vAlign w:val="center"/>
          </w:tcPr>
          <w:p w:rsidR="001D656C" w:rsidRDefault="001D656C" w:rsidP="001D656C">
            <w:pPr>
              <w:jc w:val="center"/>
              <w:rPr>
                <w:rFonts w:ascii="Arial" w:hAnsi="Arial" w:cs="Arial"/>
                <w:sz w:val="20"/>
                <w:szCs w:val="20"/>
              </w:rPr>
            </w:pPr>
          </w:p>
          <w:p w:rsidR="001D656C" w:rsidRDefault="001D656C" w:rsidP="001D656C">
            <w:pPr>
              <w:jc w:val="center"/>
              <w:rPr>
                <w:rFonts w:ascii="Arial" w:hAnsi="Arial" w:cs="Arial"/>
                <w:sz w:val="20"/>
                <w:szCs w:val="20"/>
              </w:rPr>
            </w:pPr>
          </w:p>
          <w:p w:rsidR="00817075" w:rsidRPr="001D656C" w:rsidRDefault="00A32974" w:rsidP="00F37AF7">
            <w:pPr>
              <w:jc w:val="center"/>
              <w:rPr>
                <w:rFonts w:ascii="Arial" w:hAnsi="Arial" w:cs="Arial"/>
                <w:sz w:val="20"/>
                <w:szCs w:val="20"/>
              </w:rPr>
            </w:pPr>
            <w:r>
              <w:rPr>
                <w:rFonts w:ascii="Arial" w:hAnsi="Arial" w:cs="Arial"/>
                <w:sz w:val="20"/>
                <w:szCs w:val="20"/>
              </w:rPr>
              <w:t>$2</w:t>
            </w:r>
            <w:r w:rsidR="00F37AF7">
              <w:rPr>
                <w:rFonts w:ascii="Arial" w:hAnsi="Arial" w:cs="Arial"/>
                <w:sz w:val="20"/>
                <w:szCs w:val="20"/>
              </w:rPr>
              <w:t>09</w:t>
            </w:r>
            <w:r>
              <w:rPr>
                <w:rFonts w:ascii="Arial" w:hAnsi="Arial" w:cs="Arial"/>
                <w:sz w:val="20"/>
                <w:szCs w:val="20"/>
              </w:rPr>
              <w:t>,</w:t>
            </w:r>
            <w:r w:rsidR="00F37AF7">
              <w:rPr>
                <w:rFonts w:ascii="Arial" w:hAnsi="Arial" w:cs="Arial"/>
                <w:sz w:val="20"/>
                <w:szCs w:val="20"/>
              </w:rPr>
              <w:t>815</w:t>
            </w:r>
            <w:r>
              <w:rPr>
                <w:rFonts w:ascii="Arial" w:hAnsi="Arial" w:cs="Arial"/>
                <w:sz w:val="20"/>
                <w:szCs w:val="20"/>
              </w:rPr>
              <w:t>.6</w:t>
            </w:r>
            <w:r w:rsidR="00F37AF7">
              <w:rPr>
                <w:rFonts w:ascii="Arial" w:hAnsi="Arial" w:cs="Arial"/>
                <w:sz w:val="20"/>
                <w:szCs w:val="20"/>
              </w:rPr>
              <w:t>5</w:t>
            </w:r>
          </w:p>
        </w:tc>
        <w:tc>
          <w:tcPr>
            <w:tcW w:w="1573" w:type="dxa"/>
            <w:tcBorders>
              <w:top w:val="nil"/>
              <w:left w:val="nil"/>
              <w:bottom w:val="single" w:sz="8" w:space="0" w:color="auto"/>
              <w:right w:val="single" w:sz="8" w:space="0" w:color="auto"/>
            </w:tcBorders>
            <w:vAlign w:val="center"/>
          </w:tcPr>
          <w:p w:rsidR="001D656C" w:rsidRDefault="001D656C" w:rsidP="001D656C">
            <w:pPr>
              <w:jc w:val="center"/>
              <w:rPr>
                <w:rFonts w:ascii="Arial" w:hAnsi="Arial" w:cs="Arial"/>
                <w:sz w:val="20"/>
                <w:szCs w:val="20"/>
              </w:rPr>
            </w:pPr>
          </w:p>
          <w:p w:rsidR="001D656C" w:rsidRDefault="00A32974" w:rsidP="001D656C">
            <w:pPr>
              <w:jc w:val="center"/>
              <w:rPr>
                <w:rFonts w:ascii="Arial" w:hAnsi="Arial" w:cs="Arial"/>
                <w:sz w:val="20"/>
                <w:szCs w:val="20"/>
              </w:rPr>
            </w:pPr>
            <w:r>
              <w:rPr>
                <w:rFonts w:ascii="Arial" w:hAnsi="Arial" w:cs="Arial"/>
                <w:sz w:val="20"/>
                <w:szCs w:val="20"/>
              </w:rPr>
              <w:t>+11,</w:t>
            </w:r>
            <w:r w:rsidR="00F37AF7">
              <w:rPr>
                <w:rFonts w:ascii="Arial" w:hAnsi="Arial" w:cs="Arial"/>
                <w:sz w:val="20"/>
                <w:szCs w:val="20"/>
              </w:rPr>
              <w:t>229</w:t>
            </w:r>
            <w:r>
              <w:rPr>
                <w:rFonts w:ascii="Arial" w:hAnsi="Arial" w:cs="Arial"/>
                <w:sz w:val="20"/>
                <w:szCs w:val="20"/>
              </w:rPr>
              <w:t>.</w:t>
            </w:r>
            <w:r w:rsidR="00F37AF7">
              <w:rPr>
                <w:rFonts w:ascii="Arial" w:hAnsi="Arial" w:cs="Arial"/>
                <w:sz w:val="20"/>
                <w:szCs w:val="20"/>
              </w:rPr>
              <w:t>57</w:t>
            </w:r>
          </w:p>
          <w:p w:rsidR="00817075" w:rsidRPr="001D656C" w:rsidRDefault="00817075" w:rsidP="001D656C">
            <w:pPr>
              <w:jc w:val="center"/>
              <w:rPr>
                <w:rFonts w:ascii="Arial" w:hAnsi="Arial" w:cs="Arial"/>
                <w:sz w:val="20"/>
                <w:szCs w:val="20"/>
              </w:rPr>
            </w:pPr>
          </w:p>
        </w:tc>
      </w:tr>
      <w:tr w:rsidR="00817075" w:rsidTr="0000054A">
        <w:trPr>
          <w:trHeight w:val="330"/>
        </w:trPr>
        <w:tc>
          <w:tcPr>
            <w:tcW w:w="2436" w:type="dxa"/>
            <w:tcBorders>
              <w:top w:val="nil"/>
              <w:left w:val="single" w:sz="8" w:space="0" w:color="auto"/>
              <w:bottom w:val="single" w:sz="8" w:space="0" w:color="auto"/>
              <w:right w:val="single" w:sz="8" w:space="0" w:color="auto"/>
            </w:tcBorders>
            <w:vAlign w:val="center"/>
          </w:tcPr>
          <w:p w:rsidR="00817075" w:rsidRDefault="00817075" w:rsidP="00BE4F3C">
            <w:r>
              <w:rPr>
                <w:rFonts w:ascii="Arial" w:hAnsi="Arial" w:cs="Arial"/>
                <w:sz w:val="20"/>
                <w:szCs w:val="20"/>
              </w:rPr>
              <w:t>Initial Data Gathering for Governor’s Request / No Form</w:t>
            </w:r>
          </w:p>
        </w:tc>
        <w:tc>
          <w:tcPr>
            <w:tcW w:w="1326" w:type="dxa"/>
            <w:tcBorders>
              <w:top w:val="nil"/>
              <w:left w:val="nil"/>
              <w:bottom w:val="single" w:sz="8" w:space="0" w:color="auto"/>
              <w:right w:val="single" w:sz="8" w:space="0" w:color="auto"/>
            </w:tcBorders>
            <w:vAlign w:val="center"/>
          </w:tcPr>
          <w:p w:rsidR="00817075" w:rsidRDefault="00817075" w:rsidP="006B6883">
            <w:pPr>
              <w:jc w:val="center"/>
            </w:pPr>
            <w:r>
              <w:t> </w:t>
            </w:r>
          </w:p>
        </w:tc>
        <w:tc>
          <w:tcPr>
            <w:tcW w:w="1193" w:type="dxa"/>
            <w:tcBorders>
              <w:top w:val="nil"/>
              <w:left w:val="nil"/>
              <w:bottom w:val="single" w:sz="8" w:space="0" w:color="auto"/>
              <w:right w:val="single" w:sz="8" w:space="0" w:color="auto"/>
            </w:tcBorders>
            <w:vAlign w:val="center"/>
          </w:tcPr>
          <w:p w:rsidR="00817075" w:rsidRDefault="00817075" w:rsidP="006B6883">
            <w:pPr>
              <w:jc w:val="center"/>
            </w:pPr>
            <w:r>
              <w:t> </w:t>
            </w:r>
          </w:p>
        </w:tc>
        <w:tc>
          <w:tcPr>
            <w:tcW w:w="1322" w:type="dxa"/>
            <w:tcBorders>
              <w:top w:val="nil"/>
              <w:left w:val="nil"/>
              <w:bottom w:val="single" w:sz="8" w:space="0" w:color="auto"/>
              <w:right w:val="single" w:sz="8" w:space="0" w:color="auto"/>
            </w:tcBorders>
            <w:vAlign w:val="center"/>
          </w:tcPr>
          <w:p w:rsidR="00817075" w:rsidRDefault="00817075" w:rsidP="006B6883">
            <w:pPr>
              <w:jc w:val="center"/>
            </w:pPr>
            <w:r>
              <w:t> </w:t>
            </w:r>
          </w:p>
        </w:tc>
        <w:tc>
          <w:tcPr>
            <w:tcW w:w="1430" w:type="dxa"/>
            <w:tcBorders>
              <w:top w:val="nil"/>
              <w:left w:val="nil"/>
              <w:bottom w:val="single" w:sz="8" w:space="0" w:color="auto"/>
              <w:right w:val="single" w:sz="8" w:space="0" w:color="auto"/>
            </w:tcBorders>
            <w:vAlign w:val="center"/>
          </w:tcPr>
          <w:p w:rsidR="00817075" w:rsidRPr="001D656C" w:rsidRDefault="00817075" w:rsidP="001D656C">
            <w:pPr>
              <w:jc w:val="center"/>
              <w:rPr>
                <w:rFonts w:ascii="Arial" w:hAnsi="Arial" w:cs="Arial"/>
                <w:sz w:val="20"/>
                <w:szCs w:val="20"/>
              </w:rPr>
            </w:pPr>
            <w:r w:rsidRPr="001D656C">
              <w:rPr>
                <w:rFonts w:ascii="Arial" w:hAnsi="Arial" w:cs="Arial"/>
                <w:sz w:val="20"/>
                <w:szCs w:val="20"/>
              </w:rPr>
              <w:t>$271,272.96</w:t>
            </w:r>
          </w:p>
        </w:tc>
        <w:tc>
          <w:tcPr>
            <w:tcW w:w="1430" w:type="dxa"/>
            <w:tcBorders>
              <w:top w:val="nil"/>
              <w:left w:val="nil"/>
              <w:bottom w:val="single" w:sz="8" w:space="0" w:color="auto"/>
              <w:right w:val="single" w:sz="8" w:space="0" w:color="auto"/>
            </w:tcBorders>
            <w:vAlign w:val="center"/>
          </w:tcPr>
          <w:p w:rsidR="00817075" w:rsidRPr="001D656C" w:rsidRDefault="00A32974" w:rsidP="00F37AF7">
            <w:pPr>
              <w:jc w:val="center"/>
              <w:rPr>
                <w:rFonts w:ascii="Arial" w:hAnsi="Arial" w:cs="Arial"/>
                <w:sz w:val="20"/>
                <w:szCs w:val="20"/>
              </w:rPr>
            </w:pPr>
            <w:r>
              <w:rPr>
                <w:rFonts w:ascii="Arial" w:hAnsi="Arial" w:cs="Arial"/>
                <w:sz w:val="20"/>
                <w:szCs w:val="20"/>
              </w:rPr>
              <w:t>$28</w:t>
            </w:r>
            <w:r w:rsidR="00F37AF7">
              <w:rPr>
                <w:rFonts w:ascii="Arial" w:hAnsi="Arial" w:cs="Arial"/>
                <w:sz w:val="20"/>
                <w:szCs w:val="20"/>
              </w:rPr>
              <w:t>6</w:t>
            </w:r>
            <w:r>
              <w:rPr>
                <w:rFonts w:ascii="Arial" w:hAnsi="Arial" w:cs="Arial"/>
                <w:sz w:val="20"/>
                <w:szCs w:val="20"/>
              </w:rPr>
              <w:t>,</w:t>
            </w:r>
            <w:r w:rsidR="00F37AF7">
              <w:rPr>
                <w:rFonts w:ascii="Arial" w:hAnsi="Arial" w:cs="Arial"/>
                <w:sz w:val="20"/>
                <w:szCs w:val="20"/>
              </w:rPr>
              <w:t>612.80</w:t>
            </w:r>
          </w:p>
        </w:tc>
        <w:tc>
          <w:tcPr>
            <w:tcW w:w="1573" w:type="dxa"/>
            <w:tcBorders>
              <w:top w:val="nil"/>
              <w:left w:val="nil"/>
              <w:bottom w:val="single" w:sz="8" w:space="0" w:color="auto"/>
              <w:right w:val="single" w:sz="8" w:space="0" w:color="auto"/>
            </w:tcBorders>
            <w:vAlign w:val="center"/>
          </w:tcPr>
          <w:p w:rsidR="00817075" w:rsidRPr="001D656C" w:rsidRDefault="00F37AF7" w:rsidP="00F37AF7">
            <w:pPr>
              <w:jc w:val="center"/>
              <w:rPr>
                <w:rFonts w:ascii="Arial" w:hAnsi="Arial" w:cs="Arial"/>
                <w:sz w:val="20"/>
                <w:szCs w:val="20"/>
              </w:rPr>
            </w:pPr>
            <w:r>
              <w:rPr>
                <w:rFonts w:ascii="Arial" w:hAnsi="Arial" w:cs="Arial"/>
                <w:sz w:val="20"/>
                <w:szCs w:val="20"/>
              </w:rPr>
              <w:t>+15</w:t>
            </w:r>
            <w:r w:rsidR="00A32974">
              <w:rPr>
                <w:rFonts w:ascii="Arial" w:hAnsi="Arial" w:cs="Arial"/>
                <w:sz w:val="20"/>
                <w:szCs w:val="20"/>
              </w:rPr>
              <w:t>,</w:t>
            </w:r>
            <w:r>
              <w:rPr>
                <w:rFonts w:ascii="Arial" w:hAnsi="Arial" w:cs="Arial"/>
                <w:sz w:val="20"/>
                <w:szCs w:val="20"/>
              </w:rPr>
              <w:t>339</w:t>
            </w:r>
            <w:r w:rsidR="00A32974">
              <w:rPr>
                <w:rFonts w:ascii="Arial" w:hAnsi="Arial" w:cs="Arial"/>
                <w:sz w:val="20"/>
                <w:szCs w:val="20"/>
              </w:rPr>
              <w:t>.</w:t>
            </w:r>
            <w:r>
              <w:rPr>
                <w:rFonts w:ascii="Arial" w:hAnsi="Arial" w:cs="Arial"/>
                <w:sz w:val="20"/>
                <w:szCs w:val="20"/>
              </w:rPr>
              <w:t>84</w:t>
            </w:r>
          </w:p>
        </w:tc>
      </w:tr>
      <w:tr w:rsidR="00817075" w:rsidTr="0000054A">
        <w:trPr>
          <w:trHeight w:val="330"/>
        </w:trPr>
        <w:tc>
          <w:tcPr>
            <w:tcW w:w="2436" w:type="dxa"/>
            <w:tcBorders>
              <w:top w:val="nil"/>
              <w:left w:val="single" w:sz="8" w:space="0" w:color="auto"/>
              <w:bottom w:val="single" w:sz="8" w:space="0" w:color="auto"/>
              <w:right w:val="single" w:sz="8" w:space="0" w:color="auto"/>
            </w:tcBorders>
            <w:vAlign w:val="center"/>
          </w:tcPr>
          <w:p w:rsidR="00817075" w:rsidRDefault="00817075" w:rsidP="006B6883">
            <w:pPr>
              <w:jc w:val="center"/>
              <w:rPr>
                <w:b/>
                <w:bCs/>
              </w:rPr>
            </w:pPr>
            <w:r>
              <w:rPr>
                <w:b/>
                <w:bCs/>
              </w:rPr>
              <w:t>Total(s)</w:t>
            </w:r>
          </w:p>
        </w:tc>
        <w:tc>
          <w:tcPr>
            <w:tcW w:w="1326" w:type="dxa"/>
            <w:tcBorders>
              <w:top w:val="nil"/>
              <w:left w:val="nil"/>
              <w:bottom w:val="single" w:sz="8" w:space="0" w:color="auto"/>
              <w:right w:val="single" w:sz="8" w:space="0" w:color="auto"/>
            </w:tcBorders>
            <w:vAlign w:val="center"/>
          </w:tcPr>
          <w:p w:rsidR="00817075" w:rsidRDefault="00817075" w:rsidP="006B6883">
            <w:pPr>
              <w:jc w:val="center"/>
              <w:rPr>
                <w:b/>
                <w:bCs/>
              </w:rPr>
            </w:pPr>
            <w:r>
              <w:rPr>
                <w:b/>
                <w:bCs/>
              </w:rPr>
              <w:t> </w:t>
            </w:r>
          </w:p>
        </w:tc>
        <w:tc>
          <w:tcPr>
            <w:tcW w:w="1193" w:type="dxa"/>
            <w:tcBorders>
              <w:top w:val="nil"/>
              <w:left w:val="nil"/>
              <w:bottom w:val="single" w:sz="8" w:space="0" w:color="auto"/>
              <w:right w:val="single" w:sz="8" w:space="0" w:color="auto"/>
            </w:tcBorders>
            <w:vAlign w:val="center"/>
          </w:tcPr>
          <w:p w:rsidR="00817075" w:rsidRDefault="00817075" w:rsidP="006B6883">
            <w:pPr>
              <w:jc w:val="center"/>
              <w:rPr>
                <w:b/>
                <w:bCs/>
              </w:rPr>
            </w:pPr>
            <w:r>
              <w:rPr>
                <w:b/>
                <w:bCs/>
              </w:rPr>
              <w:t> </w:t>
            </w:r>
          </w:p>
        </w:tc>
        <w:tc>
          <w:tcPr>
            <w:tcW w:w="1322" w:type="dxa"/>
            <w:tcBorders>
              <w:top w:val="nil"/>
              <w:left w:val="nil"/>
              <w:bottom w:val="single" w:sz="8" w:space="0" w:color="auto"/>
              <w:right w:val="single" w:sz="8" w:space="0" w:color="auto"/>
            </w:tcBorders>
            <w:vAlign w:val="center"/>
          </w:tcPr>
          <w:p w:rsidR="00817075" w:rsidRDefault="00817075" w:rsidP="006B6883">
            <w:pPr>
              <w:jc w:val="center"/>
              <w:rPr>
                <w:b/>
                <w:bCs/>
              </w:rPr>
            </w:pPr>
            <w:r>
              <w:rPr>
                <w:b/>
                <w:bCs/>
              </w:rPr>
              <w:t> </w:t>
            </w:r>
          </w:p>
        </w:tc>
        <w:tc>
          <w:tcPr>
            <w:tcW w:w="1430" w:type="dxa"/>
            <w:tcBorders>
              <w:top w:val="nil"/>
              <w:left w:val="nil"/>
              <w:bottom w:val="single" w:sz="8" w:space="0" w:color="auto"/>
              <w:right w:val="single" w:sz="8" w:space="0" w:color="auto"/>
            </w:tcBorders>
            <w:vAlign w:val="center"/>
          </w:tcPr>
          <w:p w:rsidR="00817075" w:rsidRPr="00936E50" w:rsidRDefault="00817075" w:rsidP="001D656C">
            <w:pPr>
              <w:jc w:val="center"/>
              <w:rPr>
                <w:rFonts w:ascii="Arial" w:hAnsi="Arial" w:cs="Arial"/>
                <w:b/>
                <w:bCs/>
                <w:sz w:val="20"/>
                <w:szCs w:val="20"/>
              </w:rPr>
            </w:pPr>
            <w:r>
              <w:rPr>
                <w:rFonts w:ascii="Arial" w:hAnsi="Arial" w:cs="Arial"/>
                <w:b/>
                <w:bCs/>
                <w:sz w:val="20"/>
                <w:szCs w:val="20"/>
              </w:rPr>
              <w:t>$469,859.04</w:t>
            </w:r>
          </w:p>
        </w:tc>
        <w:tc>
          <w:tcPr>
            <w:tcW w:w="1430" w:type="dxa"/>
            <w:tcBorders>
              <w:top w:val="nil"/>
              <w:left w:val="nil"/>
              <w:bottom w:val="single" w:sz="8" w:space="0" w:color="auto"/>
              <w:right w:val="single" w:sz="8" w:space="0" w:color="auto"/>
            </w:tcBorders>
            <w:vAlign w:val="center"/>
          </w:tcPr>
          <w:p w:rsidR="00817075" w:rsidRPr="00936E50" w:rsidRDefault="00A32974" w:rsidP="00F37AF7">
            <w:pPr>
              <w:jc w:val="center"/>
              <w:rPr>
                <w:rFonts w:ascii="Arial" w:hAnsi="Arial" w:cs="Arial"/>
                <w:b/>
                <w:bCs/>
                <w:sz w:val="20"/>
                <w:szCs w:val="20"/>
              </w:rPr>
            </w:pPr>
            <w:r>
              <w:rPr>
                <w:rFonts w:ascii="Arial" w:hAnsi="Arial" w:cs="Arial"/>
                <w:b/>
                <w:bCs/>
                <w:sz w:val="20"/>
                <w:szCs w:val="20"/>
              </w:rPr>
              <w:t>$49</w:t>
            </w:r>
            <w:r w:rsidR="00F37AF7">
              <w:rPr>
                <w:rFonts w:ascii="Arial" w:hAnsi="Arial" w:cs="Arial"/>
                <w:b/>
                <w:bCs/>
                <w:sz w:val="20"/>
                <w:szCs w:val="20"/>
              </w:rPr>
              <w:t>6</w:t>
            </w:r>
            <w:r>
              <w:rPr>
                <w:rFonts w:ascii="Arial" w:hAnsi="Arial" w:cs="Arial"/>
                <w:b/>
                <w:bCs/>
                <w:sz w:val="20"/>
                <w:szCs w:val="20"/>
              </w:rPr>
              <w:t>,</w:t>
            </w:r>
            <w:r w:rsidR="00F37AF7">
              <w:rPr>
                <w:rFonts w:ascii="Arial" w:hAnsi="Arial" w:cs="Arial"/>
                <w:b/>
                <w:bCs/>
                <w:sz w:val="20"/>
                <w:szCs w:val="20"/>
              </w:rPr>
              <w:t>428</w:t>
            </w:r>
            <w:r>
              <w:rPr>
                <w:rFonts w:ascii="Arial" w:hAnsi="Arial" w:cs="Arial"/>
                <w:b/>
                <w:bCs/>
                <w:sz w:val="20"/>
                <w:szCs w:val="20"/>
              </w:rPr>
              <w:t>.</w:t>
            </w:r>
            <w:r w:rsidR="00F37AF7">
              <w:rPr>
                <w:rFonts w:ascii="Arial" w:hAnsi="Arial" w:cs="Arial"/>
                <w:b/>
                <w:bCs/>
                <w:sz w:val="20"/>
                <w:szCs w:val="20"/>
              </w:rPr>
              <w:t>45</w:t>
            </w:r>
          </w:p>
        </w:tc>
        <w:tc>
          <w:tcPr>
            <w:tcW w:w="1573" w:type="dxa"/>
            <w:tcBorders>
              <w:top w:val="nil"/>
              <w:left w:val="nil"/>
              <w:bottom w:val="single" w:sz="8" w:space="0" w:color="auto"/>
              <w:right w:val="single" w:sz="8" w:space="0" w:color="auto"/>
            </w:tcBorders>
            <w:vAlign w:val="center"/>
          </w:tcPr>
          <w:p w:rsidR="00817075" w:rsidRPr="00936E50" w:rsidRDefault="00F37AF7" w:rsidP="00F37AF7">
            <w:pPr>
              <w:jc w:val="center"/>
              <w:rPr>
                <w:rFonts w:ascii="Arial" w:hAnsi="Arial" w:cs="Arial"/>
                <w:b/>
                <w:bCs/>
                <w:sz w:val="20"/>
                <w:szCs w:val="20"/>
              </w:rPr>
            </w:pPr>
            <w:r>
              <w:rPr>
                <w:rFonts w:ascii="Arial" w:hAnsi="Arial" w:cs="Arial"/>
                <w:b/>
                <w:bCs/>
                <w:sz w:val="20"/>
                <w:szCs w:val="20"/>
              </w:rPr>
              <w:t>+26</w:t>
            </w:r>
            <w:r w:rsidR="00A32974">
              <w:rPr>
                <w:rFonts w:ascii="Arial" w:hAnsi="Arial" w:cs="Arial"/>
                <w:b/>
                <w:bCs/>
                <w:sz w:val="20"/>
                <w:szCs w:val="20"/>
              </w:rPr>
              <w:t>,</w:t>
            </w:r>
            <w:r>
              <w:rPr>
                <w:rFonts w:ascii="Arial" w:hAnsi="Arial" w:cs="Arial"/>
                <w:b/>
                <w:bCs/>
                <w:sz w:val="20"/>
                <w:szCs w:val="20"/>
              </w:rPr>
              <w:t>569</w:t>
            </w:r>
            <w:r w:rsidR="00A32974">
              <w:rPr>
                <w:rFonts w:ascii="Arial" w:hAnsi="Arial" w:cs="Arial"/>
                <w:b/>
                <w:bCs/>
                <w:sz w:val="20"/>
                <w:szCs w:val="20"/>
              </w:rPr>
              <w:t>.</w:t>
            </w:r>
            <w:r>
              <w:rPr>
                <w:rFonts w:ascii="Arial" w:hAnsi="Arial" w:cs="Arial"/>
                <w:b/>
                <w:bCs/>
                <w:sz w:val="20"/>
                <w:szCs w:val="20"/>
              </w:rPr>
              <w:t>41</w:t>
            </w:r>
          </w:p>
        </w:tc>
      </w:tr>
    </w:tbl>
    <w:p w:rsidR="00CC243B" w:rsidRDefault="00817075" w:rsidP="001124DB">
      <w:pPr>
        <w:rPr>
          <w:bCs/>
        </w:rPr>
      </w:pPr>
      <w:r w:rsidRPr="00DA72BA">
        <w:rPr>
          <w:b/>
          <w:bCs/>
          <w:i/>
        </w:rPr>
        <w:lastRenderedPageBreak/>
        <w:t>Explain:</w:t>
      </w:r>
      <w:r>
        <w:rPr>
          <w:bCs/>
        </w:rPr>
        <w:t xml:space="preserve">  </w:t>
      </w:r>
    </w:p>
    <w:p w:rsidR="00CC243B" w:rsidRDefault="00CC243B" w:rsidP="001124DB">
      <w:pPr>
        <w:rPr>
          <w:bCs/>
        </w:rPr>
      </w:pPr>
    </w:p>
    <w:p w:rsidR="00817075" w:rsidRDefault="00817075" w:rsidP="001124DB">
      <w:pPr>
        <w:rPr>
          <w:bCs/>
        </w:rPr>
      </w:pPr>
      <w:r>
        <w:rPr>
          <w:bCs/>
        </w:rPr>
        <w:t xml:space="preserve">There is no change in the cost from the last </w:t>
      </w:r>
      <w:r w:rsidR="00D937F3">
        <w:rPr>
          <w:bCs/>
        </w:rPr>
        <w:t>submission;</w:t>
      </w:r>
      <w:r>
        <w:rPr>
          <w:bCs/>
        </w:rPr>
        <w:t xml:space="preserve"> however the way cost is reported in this table is now changed as it come</w:t>
      </w:r>
      <w:r w:rsidR="00D937F3">
        <w:rPr>
          <w:bCs/>
        </w:rPr>
        <w:t>s</w:t>
      </w:r>
      <w:r>
        <w:rPr>
          <w:bCs/>
        </w:rPr>
        <w:t xml:space="preserve"> from </w:t>
      </w:r>
      <w:r w:rsidR="00D937F3">
        <w:rPr>
          <w:bCs/>
        </w:rPr>
        <w:t xml:space="preserve">question 13 </w:t>
      </w:r>
      <w:r>
        <w:rPr>
          <w:bCs/>
        </w:rPr>
        <w:t xml:space="preserve">which has values of zero.  Therefore negative costs are now reflected to account for a change in how cost was previously recorded. </w:t>
      </w:r>
    </w:p>
    <w:p w:rsidR="00A32974" w:rsidRDefault="00A32974" w:rsidP="001124DB">
      <w:pPr>
        <w:rPr>
          <w:bCs/>
        </w:rPr>
      </w:pPr>
    </w:p>
    <w:p w:rsidR="00A32974" w:rsidRPr="00145653" w:rsidRDefault="00A32974" w:rsidP="001124DB">
      <w:pPr>
        <w:rPr>
          <w:bCs/>
        </w:rPr>
      </w:pPr>
      <w:r>
        <w:rPr>
          <w:bCs/>
        </w:rPr>
        <w:t>We anticipate receiving a few more requests for declaration annually as a result of the new law.  This will increase total costs but will not add time burden to respondents when filling out one response.</w:t>
      </w:r>
    </w:p>
    <w:p w:rsidR="0000054A" w:rsidRDefault="00AE2D4C">
      <w:pPr>
        <w:rPr>
          <w:b/>
          <w:bCs/>
        </w:rPr>
      </w:pPr>
      <w:r>
        <w:rPr>
          <w:b/>
          <w:bCs/>
        </w:rPr>
        <w:fldChar w:fldCharType="begin"/>
      </w:r>
      <w:r w:rsidR="00817075">
        <w:rPr>
          <w:b/>
          <w:bCs/>
        </w:rPr>
        <w:instrText>ADVANCE \R 0.95</w:instrText>
      </w:r>
      <w:r>
        <w:rPr>
          <w:b/>
          <w:bCs/>
        </w:rPr>
        <w:fldChar w:fldCharType="end"/>
      </w:r>
    </w:p>
    <w:p w:rsidR="00817075" w:rsidRDefault="00817075">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17075" w:rsidRDefault="00AE2D4C">
      <w:r>
        <w:fldChar w:fldCharType="begin"/>
      </w:r>
      <w:r w:rsidR="00817075">
        <w:instrText>ADVANCE \R 0.95</w:instrText>
      </w:r>
      <w:r>
        <w:fldChar w:fldCharType="end"/>
      </w:r>
    </w:p>
    <w:p w:rsidR="002C4223" w:rsidRDefault="002C4223" w:rsidP="002C4223">
      <w:r>
        <w:t xml:space="preserve">FEMA </w:t>
      </w:r>
      <w:r w:rsidRPr="00682BFD">
        <w:t>does not intend to employ the use of statistics or the publication thereof for this information collection</w:t>
      </w:r>
      <w:r>
        <w:t>.</w:t>
      </w:r>
    </w:p>
    <w:p w:rsidR="00817075" w:rsidRDefault="00817075"/>
    <w:p w:rsidR="00817075" w:rsidRDefault="00AE2D4C">
      <w:pPr>
        <w:rPr>
          <w:b/>
          <w:bCs/>
        </w:rPr>
      </w:pPr>
      <w:r>
        <w:rPr>
          <w:b/>
          <w:bCs/>
        </w:rPr>
        <w:fldChar w:fldCharType="begin"/>
      </w:r>
      <w:r w:rsidR="00817075">
        <w:rPr>
          <w:b/>
          <w:bCs/>
        </w:rPr>
        <w:instrText>ADVANCE \R 0.95</w:instrText>
      </w:r>
      <w:r>
        <w:rPr>
          <w:b/>
          <w:bCs/>
        </w:rPr>
        <w:fldChar w:fldCharType="end"/>
      </w:r>
      <w:r w:rsidR="00817075">
        <w:rPr>
          <w:b/>
          <w:bCs/>
        </w:rPr>
        <w:t>17.  If seeking approval not to display the expiration date for OMB approval of the information collection, explain reasons that display would be inappropriate.</w:t>
      </w:r>
    </w:p>
    <w:p w:rsidR="00817075" w:rsidRDefault="00817075">
      <w:pPr>
        <w:rPr>
          <w:b/>
          <w:bCs/>
        </w:rPr>
      </w:pPr>
    </w:p>
    <w:p w:rsidR="00817075" w:rsidRDefault="00817075" w:rsidP="00145653">
      <w:pPr>
        <w:rPr>
          <w:color w:val="000000"/>
        </w:rPr>
      </w:pPr>
      <w:r>
        <w:rPr>
          <w:color w:val="000000"/>
        </w:rPr>
        <w:t>This collection does not seek approval to not display the expiration date for OMB approval.</w:t>
      </w:r>
    </w:p>
    <w:p w:rsidR="00817075" w:rsidRDefault="00AE2D4C">
      <w:pPr>
        <w:rPr>
          <w:b/>
          <w:bCs/>
          <w:color w:val="000000"/>
        </w:rPr>
      </w:pPr>
      <w:r>
        <w:rPr>
          <w:b/>
          <w:bCs/>
          <w:color w:val="000000"/>
        </w:rPr>
        <w:fldChar w:fldCharType="begin"/>
      </w:r>
      <w:r w:rsidR="00817075">
        <w:rPr>
          <w:b/>
          <w:bCs/>
          <w:color w:val="000000"/>
        </w:rPr>
        <w:instrText>ADVANCE \R 0.95</w:instrText>
      </w:r>
      <w:r>
        <w:rPr>
          <w:b/>
          <w:bCs/>
          <w:color w:val="000000"/>
        </w:rPr>
        <w:fldChar w:fldCharType="end"/>
      </w:r>
    </w:p>
    <w:p w:rsidR="00817075" w:rsidRDefault="00AE2D4C">
      <w:pPr>
        <w:rPr>
          <w:b/>
          <w:bCs/>
        </w:rPr>
      </w:pPr>
      <w:r>
        <w:rPr>
          <w:b/>
          <w:bCs/>
        </w:rPr>
        <w:fldChar w:fldCharType="begin"/>
      </w:r>
      <w:r w:rsidR="00817075">
        <w:rPr>
          <w:b/>
          <w:bCs/>
        </w:rPr>
        <w:instrText>ADVANCE \R 0.95</w:instrText>
      </w:r>
      <w:r>
        <w:rPr>
          <w:b/>
          <w:bCs/>
        </w:rPr>
        <w:fldChar w:fldCharType="end"/>
      </w:r>
      <w:r w:rsidR="00817075">
        <w:rPr>
          <w:b/>
          <w:bCs/>
        </w:rPr>
        <w:t>18.  Explain each exception to the certification statement identified in Item 19 “Certification for Paperwork Reduction Act Submissions,” of OMB Form 83-I.</w:t>
      </w:r>
    </w:p>
    <w:p w:rsidR="002C4223" w:rsidRDefault="002C4223">
      <w:pPr>
        <w:rPr>
          <w:b/>
          <w:bCs/>
        </w:rPr>
      </w:pPr>
    </w:p>
    <w:p w:rsidR="002C4223" w:rsidRDefault="00AE2D4C" w:rsidP="002C4223">
      <w:pPr>
        <w:rPr>
          <w:color w:val="FF0000"/>
        </w:rPr>
      </w:pPr>
      <w:r w:rsidRPr="006A375E">
        <w:rPr>
          <w:color w:val="FF0000"/>
        </w:rPr>
        <w:fldChar w:fldCharType="begin"/>
      </w:r>
      <w:r w:rsidR="002C4223" w:rsidRPr="006A375E">
        <w:rPr>
          <w:color w:val="FF0000"/>
        </w:rPr>
        <w:instrText>ADVANCE \R 0.95</w:instrText>
      </w:r>
      <w:r w:rsidRPr="006A375E">
        <w:rPr>
          <w:color w:val="FF0000"/>
        </w:rPr>
        <w:fldChar w:fldCharType="end"/>
      </w:r>
      <w:r w:rsidR="002C4223" w:rsidRPr="00680437">
        <w:t xml:space="preserve"> </w:t>
      </w:r>
      <w:r w:rsidR="002C4223" w:rsidRPr="00366C93">
        <w:t>FEMA does not request an exception to the certification of this information collection</w:t>
      </w:r>
      <w:r w:rsidR="002C4223" w:rsidRPr="00025E1E">
        <w:rPr>
          <w:rFonts w:cs="Tahoma"/>
          <w:szCs w:val="22"/>
        </w:rPr>
        <w:t>.</w:t>
      </w:r>
      <w:r w:rsidRPr="00DC4435">
        <w:rPr>
          <w:color w:val="FF0000"/>
        </w:rPr>
        <w:fldChar w:fldCharType="begin"/>
      </w:r>
      <w:r w:rsidR="002C4223" w:rsidRPr="00DC4435">
        <w:rPr>
          <w:color w:val="FF0000"/>
        </w:rPr>
        <w:instrText>ADVANCE \R 0.95</w:instrText>
      </w:r>
      <w:r w:rsidRPr="00DC4435">
        <w:rPr>
          <w:color w:val="FF0000"/>
        </w:rPr>
        <w:fldChar w:fldCharType="end"/>
      </w:r>
    </w:p>
    <w:p w:rsidR="007017D0" w:rsidRDefault="007017D0" w:rsidP="002C4223">
      <w:pPr>
        <w:rPr>
          <w:color w:val="FF0000"/>
        </w:rPr>
      </w:pPr>
    </w:p>
    <w:p w:rsidR="002C4223" w:rsidRDefault="002C4223" w:rsidP="002C4223">
      <w:pPr>
        <w:tabs>
          <w:tab w:val="left" w:pos="-720"/>
        </w:tabs>
        <w:suppressAutoHyphens/>
        <w:rPr>
          <w:b/>
          <w:sz w:val="28"/>
        </w:rPr>
      </w:pPr>
    </w:p>
    <w:p w:rsidR="002C4223" w:rsidRDefault="002C4223" w:rsidP="002C4223">
      <w:pPr>
        <w:tabs>
          <w:tab w:val="left" w:pos="-720"/>
        </w:tabs>
        <w:suppressAutoHyphens/>
        <w:rPr>
          <w:b/>
          <w:sz w:val="28"/>
        </w:rPr>
      </w:pPr>
      <w:r>
        <w:rPr>
          <w:b/>
          <w:sz w:val="28"/>
        </w:rPr>
        <w:t>B.  Collections of Information Employing Statistical Methods.</w:t>
      </w:r>
    </w:p>
    <w:p w:rsidR="002C4223" w:rsidRDefault="00AE2D4C" w:rsidP="002C4223">
      <w:pPr>
        <w:tabs>
          <w:tab w:val="left" w:pos="-720"/>
        </w:tabs>
        <w:suppressAutoHyphens/>
      </w:pPr>
      <w:r>
        <w:fldChar w:fldCharType="begin"/>
      </w:r>
      <w:r w:rsidR="002C4223">
        <w:instrText>ADVANCE \R 0.95</w:instrText>
      </w:r>
      <w:r>
        <w:fldChar w:fldCharType="end"/>
      </w:r>
      <w:r>
        <w:fldChar w:fldCharType="begin"/>
      </w:r>
      <w:r w:rsidR="002C4223">
        <w:instrText>ADVANCE \R 0.95</w:instrText>
      </w:r>
      <w:r>
        <w:fldChar w:fldCharType="end"/>
      </w:r>
      <w:r w:rsidR="002C4223">
        <w:tab/>
      </w:r>
    </w:p>
    <w:p w:rsidR="002C4223" w:rsidRPr="003D31A8" w:rsidRDefault="002C4223" w:rsidP="002C4223">
      <w:pPr>
        <w:tabs>
          <w:tab w:val="left" w:pos="-720"/>
        </w:tabs>
        <w:suppressAutoHyphens/>
      </w:pPr>
      <w:r w:rsidRPr="003D31A8">
        <w:t xml:space="preserve">There is no statistical methodology involved in this collection. </w:t>
      </w:r>
    </w:p>
    <w:p w:rsidR="002C4223" w:rsidRPr="008D08F6" w:rsidRDefault="002C4223" w:rsidP="002C4223">
      <w:pPr>
        <w:tabs>
          <w:tab w:val="left" w:pos="-720"/>
        </w:tabs>
        <w:suppressAutoHyphens/>
        <w:rPr>
          <w:b/>
          <w:color w:val="FF0000"/>
        </w:rPr>
      </w:pPr>
    </w:p>
    <w:p w:rsidR="002C4223" w:rsidRDefault="002C4223" w:rsidP="002C4223">
      <w:pPr>
        <w:rPr>
          <w:b/>
          <w:bCs/>
        </w:rPr>
      </w:pPr>
    </w:p>
    <w:p w:rsidR="002C4223" w:rsidRDefault="002C4223" w:rsidP="002C4223">
      <w:pPr>
        <w:rPr>
          <w:b/>
          <w:sz w:val="28"/>
        </w:rPr>
      </w:pPr>
    </w:p>
    <w:sectPr w:rsidR="002C4223" w:rsidSect="00817075">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E8E" w:rsidRDefault="004A3E8E">
      <w:r>
        <w:separator/>
      </w:r>
    </w:p>
  </w:endnote>
  <w:endnote w:type="continuationSeparator" w:id="0">
    <w:p w:rsidR="004A3E8E" w:rsidRDefault="004A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8E" w:rsidRDefault="004A3E8E"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3E8E" w:rsidRDefault="004A3E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8E" w:rsidRDefault="004A3E8E"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54C8">
      <w:rPr>
        <w:rStyle w:val="PageNumber"/>
        <w:noProof/>
      </w:rPr>
      <w:t>8</w:t>
    </w:r>
    <w:r>
      <w:rPr>
        <w:rStyle w:val="PageNumber"/>
      </w:rPr>
      <w:fldChar w:fldCharType="end"/>
    </w:r>
  </w:p>
  <w:p w:rsidR="004A3E8E" w:rsidRDefault="004A3E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E8E" w:rsidRDefault="004A3E8E">
      <w:r>
        <w:separator/>
      </w:r>
    </w:p>
  </w:footnote>
  <w:footnote w:type="continuationSeparator" w:id="0">
    <w:p w:rsidR="004A3E8E" w:rsidRDefault="004A3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cs="Times New Roman" w:hint="default"/>
      </w:rPr>
    </w:lvl>
    <w:lvl w:ilvl="1" w:tplc="9666381C">
      <w:start w:val="1"/>
      <w:numFmt w:val="lowerLetter"/>
      <w:lvlText w:val="%2."/>
      <w:lvlJc w:val="left"/>
      <w:pPr>
        <w:tabs>
          <w:tab w:val="num" w:pos="1380"/>
        </w:tabs>
        <w:ind w:left="1380" w:hanging="360"/>
      </w:pPr>
      <w:rPr>
        <w:rFonts w:cs="Times New Roman" w:hint="default"/>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AF81A8C"/>
    <w:multiLevelType w:val="hybridMultilevel"/>
    <w:tmpl w:val="F5A2C9BE"/>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3E092A71"/>
    <w:multiLevelType w:val="hybridMultilevel"/>
    <w:tmpl w:val="04F0BF24"/>
    <w:lvl w:ilvl="0" w:tplc="F872D0C8">
      <w:start w:val="15"/>
      <w:numFmt w:val="decimal"/>
      <w:lvlText w:val="%1."/>
      <w:lvlJc w:val="left"/>
      <w:pPr>
        <w:tabs>
          <w:tab w:val="num" w:pos="720"/>
        </w:tabs>
        <w:ind w:left="720" w:hanging="42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6F71A6F"/>
    <w:multiLevelType w:val="singleLevel"/>
    <w:tmpl w:val="A4C6B1C0"/>
    <w:lvl w:ilvl="0">
      <w:start w:val="1"/>
      <w:numFmt w:val="decimal"/>
      <w:lvlText w:val="%1."/>
      <w:lvlJc w:val="left"/>
      <w:pPr>
        <w:tabs>
          <w:tab w:val="num" w:pos="870"/>
        </w:tabs>
        <w:ind w:left="870" w:hanging="360"/>
      </w:pPr>
      <w:rPr>
        <w:rFonts w:cs="Times New Roman" w:hint="default"/>
      </w:rPr>
    </w:lvl>
  </w:abstractNum>
  <w:abstractNum w:abstractNumId="10">
    <w:nsid w:val="685B423E"/>
    <w:multiLevelType w:val="hybridMultilevel"/>
    <w:tmpl w:val="3DAAEE7A"/>
    <w:lvl w:ilvl="0" w:tplc="C99A9486">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8874F81"/>
    <w:multiLevelType w:val="hybridMultilevel"/>
    <w:tmpl w:val="ABEE6898"/>
    <w:lvl w:ilvl="0" w:tplc="FFBC5E8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72BE2654"/>
    <w:multiLevelType w:val="hybridMultilevel"/>
    <w:tmpl w:val="B8E23D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30A0BE2"/>
    <w:multiLevelType w:val="hybridMultilevel"/>
    <w:tmpl w:val="A0A8B9E8"/>
    <w:lvl w:ilvl="0" w:tplc="8FB2394C">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5"/>
  </w:num>
  <w:num w:numId="8">
    <w:abstractNumId w:val="10"/>
  </w:num>
  <w:num w:numId="9">
    <w:abstractNumId w:val="0"/>
  </w:num>
  <w:num w:numId="10">
    <w:abstractNumId w:val="12"/>
  </w:num>
  <w:num w:numId="11">
    <w:abstractNumId w:val="11"/>
  </w:num>
  <w:num w:numId="12">
    <w:abstractNumId w:val="4"/>
  </w:num>
  <w:num w:numId="13">
    <w:abstractNumId w:val="7"/>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054A"/>
    <w:rsid w:val="00005264"/>
    <w:rsid w:val="00007971"/>
    <w:rsid w:val="0001230A"/>
    <w:rsid w:val="00020610"/>
    <w:rsid w:val="0002071B"/>
    <w:rsid w:val="00030F34"/>
    <w:rsid w:val="000320D1"/>
    <w:rsid w:val="000412C5"/>
    <w:rsid w:val="00044629"/>
    <w:rsid w:val="0005182A"/>
    <w:rsid w:val="00061B8E"/>
    <w:rsid w:val="00062269"/>
    <w:rsid w:val="00073598"/>
    <w:rsid w:val="00073D0F"/>
    <w:rsid w:val="00077E19"/>
    <w:rsid w:val="00083DBA"/>
    <w:rsid w:val="00087502"/>
    <w:rsid w:val="0009032C"/>
    <w:rsid w:val="00094F76"/>
    <w:rsid w:val="000A17F2"/>
    <w:rsid w:val="000A6018"/>
    <w:rsid w:val="000B2EB7"/>
    <w:rsid w:val="000C473C"/>
    <w:rsid w:val="000C652C"/>
    <w:rsid w:val="000C7B6A"/>
    <w:rsid w:val="000D7B25"/>
    <w:rsid w:val="000E0572"/>
    <w:rsid w:val="000E323D"/>
    <w:rsid w:val="000F1043"/>
    <w:rsid w:val="000F1EBE"/>
    <w:rsid w:val="000F4423"/>
    <w:rsid w:val="000F55B2"/>
    <w:rsid w:val="00101568"/>
    <w:rsid w:val="00103274"/>
    <w:rsid w:val="00106F37"/>
    <w:rsid w:val="001073B1"/>
    <w:rsid w:val="00110369"/>
    <w:rsid w:val="001124DB"/>
    <w:rsid w:val="00113C60"/>
    <w:rsid w:val="00116BB8"/>
    <w:rsid w:val="0012366D"/>
    <w:rsid w:val="00127AEC"/>
    <w:rsid w:val="00130C5F"/>
    <w:rsid w:val="00134D64"/>
    <w:rsid w:val="00135876"/>
    <w:rsid w:val="00140445"/>
    <w:rsid w:val="00140897"/>
    <w:rsid w:val="00145653"/>
    <w:rsid w:val="0015054F"/>
    <w:rsid w:val="00152605"/>
    <w:rsid w:val="00154929"/>
    <w:rsid w:val="00155AE9"/>
    <w:rsid w:val="00156752"/>
    <w:rsid w:val="00164DB6"/>
    <w:rsid w:val="0016607C"/>
    <w:rsid w:val="0016615E"/>
    <w:rsid w:val="00172476"/>
    <w:rsid w:val="00176C6C"/>
    <w:rsid w:val="0018177D"/>
    <w:rsid w:val="001820ED"/>
    <w:rsid w:val="00183D39"/>
    <w:rsid w:val="001A2DBE"/>
    <w:rsid w:val="001A69A7"/>
    <w:rsid w:val="001A793A"/>
    <w:rsid w:val="001A7982"/>
    <w:rsid w:val="001B0536"/>
    <w:rsid w:val="001B3FB1"/>
    <w:rsid w:val="001B66EE"/>
    <w:rsid w:val="001C2815"/>
    <w:rsid w:val="001C43E4"/>
    <w:rsid w:val="001C5D10"/>
    <w:rsid w:val="001C7BD9"/>
    <w:rsid w:val="001D656C"/>
    <w:rsid w:val="001E1E85"/>
    <w:rsid w:val="001E3F00"/>
    <w:rsid w:val="001E5DA3"/>
    <w:rsid w:val="00201372"/>
    <w:rsid w:val="00203276"/>
    <w:rsid w:val="00203AA5"/>
    <w:rsid w:val="00204A78"/>
    <w:rsid w:val="00204E8F"/>
    <w:rsid w:val="00212E26"/>
    <w:rsid w:val="0022270D"/>
    <w:rsid w:val="00225CAF"/>
    <w:rsid w:val="00227597"/>
    <w:rsid w:val="0023242E"/>
    <w:rsid w:val="00232C69"/>
    <w:rsid w:val="00233D68"/>
    <w:rsid w:val="00245FB5"/>
    <w:rsid w:val="00253BC5"/>
    <w:rsid w:val="00255274"/>
    <w:rsid w:val="00257EA0"/>
    <w:rsid w:val="002637E5"/>
    <w:rsid w:val="0026549A"/>
    <w:rsid w:val="00275B58"/>
    <w:rsid w:val="0027662B"/>
    <w:rsid w:val="00281163"/>
    <w:rsid w:val="00290000"/>
    <w:rsid w:val="00290066"/>
    <w:rsid w:val="00296BF0"/>
    <w:rsid w:val="002A4B95"/>
    <w:rsid w:val="002B43BA"/>
    <w:rsid w:val="002B5778"/>
    <w:rsid w:val="002B6AC7"/>
    <w:rsid w:val="002C4223"/>
    <w:rsid w:val="002D02B7"/>
    <w:rsid w:val="002E5D97"/>
    <w:rsid w:val="002E6C90"/>
    <w:rsid w:val="002F2AA9"/>
    <w:rsid w:val="0030374B"/>
    <w:rsid w:val="00303E9D"/>
    <w:rsid w:val="00305418"/>
    <w:rsid w:val="00305630"/>
    <w:rsid w:val="003076D8"/>
    <w:rsid w:val="00317B32"/>
    <w:rsid w:val="00326497"/>
    <w:rsid w:val="00327145"/>
    <w:rsid w:val="0033058C"/>
    <w:rsid w:val="00335B50"/>
    <w:rsid w:val="00347D7F"/>
    <w:rsid w:val="003508E8"/>
    <w:rsid w:val="00351123"/>
    <w:rsid w:val="00355181"/>
    <w:rsid w:val="003563A3"/>
    <w:rsid w:val="00357FE9"/>
    <w:rsid w:val="00360414"/>
    <w:rsid w:val="00360543"/>
    <w:rsid w:val="00361118"/>
    <w:rsid w:val="00361EE7"/>
    <w:rsid w:val="00362594"/>
    <w:rsid w:val="00362AF3"/>
    <w:rsid w:val="003662F6"/>
    <w:rsid w:val="00366B0C"/>
    <w:rsid w:val="00372ED0"/>
    <w:rsid w:val="00374E5C"/>
    <w:rsid w:val="003767CF"/>
    <w:rsid w:val="00380C1D"/>
    <w:rsid w:val="003827FA"/>
    <w:rsid w:val="003850B4"/>
    <w:rsid w:val="003856B0"/>
    <w:rsid w:val="00386F5C"/>
    <w:rsid w:val="00391E2D"/>
    <w:rsid w:val="00393B55"/>
    <w:rsid w:val="0039673C"/>
    <w:rsid w:val="003A091C"/>
    <w:rsid w:val="003C6924"/>
    <w:rsid w:val="003D0757"/>
    <w:rsid w:val="003D2266"/>
    <w:rsid w:val="003E1EAA"/>
    <w:rsid w:val="003E3974"/>
    <w:rsid w:val="003E7F40"/>
    <w:rsid w:val="00402240"/>
    <w:rsid w:val="004129CD"/>
    <w:rsid w:val="00416638"/>
    <w:rsid w:val="004166CE"/>
    <w:rsid w:val="00424A45"/>
    <w:rsid w:val="00440B28"/>
    <w:rsid w:val="004432A5"/>
    <w:rsid w:val="00451A48"/>
    <w:rsid w:val="0046431C"/>
    <w:rsid w:val="00465E3A"/>
    <w:rsid w:val="00473A9F"/>
    <w:rsid w:val="004815FB"/>
    <w:rsid w:val="004842F4"/>
    <w:rsid w:val="004854DD"/>
    <w:rsid w:val="00486CD2"/>
    <w:rsid w:val="00493C00"/>
    <w:rsid w:val="00494B26"/>
    <w:rsid w:val="00494F33"/>
    <w:rsid w:val="004A1677"/>
    <w:rsid w:val="004A262D"/>
    <w:rsid w:val="004A3E8E"/>
    <w:rsid w:val="004A7D5A"/>
    <w:rsid w:val="004C1DBC"/>
    <w:rsid w:val="004C4948"/>
    <w:rsid w:val="004C5E90"/>
    <w:rsid w:val="004D04E3"/>
    <w:rsid w:val="004E1D16"/>
    <w:rsid w:val="004E6038"/>
    <w:rsid w:val="004E6947"/>
    <w:rsid w:val="004F124A"/>
    <w:rsid w:val="004F2D03"/>
    <w:rsid w:val="004F6137"/>
    <w:rsid w:val="005025EC"/>
    <w:rsid w:val="005054B2"/>
    <w:rsid w:val="005070BB"/>
    <w:rsid w:val="0051593B"/>
    <w:rsid w:val="00517B1D"/>
    <w:rsid w:val="0052599D"/>
    <w:rsid w:val="005271D8"/>
    <w:rsid w:val="00532A84"/>
    <w:rsid w:val="00553792"/>
    <w:rsid w:val="005649E9"/>
    <w:rsid w:val="005736E6"/>
    <w:rsid w:val="00576509"/>
    <w:rsid w:val="00584B76"/>
    <w:rsid w:val="00591810"/>
    <w:rsid w:val="005926C1"/>
    <w:rsid w:val="005926EA"/>
    <w:rsid w:val="00592840"/>
    <w:rsid w:val="005A3789"/>
    <w:rsid w:val="005A4EC8"/>
    <w:rsid w:val="005A6B4A"/>
    <w:rsid w:val="005B2D48"/>
    <w:rsid w:val="005B7755"/>
    <w:rsid w:val="005C0255"/>
    <w:rsid w:val="005C41F4"/>
    <w:rsid w:val="005D19F5"/>
    <w:rsid w:val="005D25E1"/>
    <w:rsid w:val="005E21C2"/>
    <w:rsid w:val="005E2FA1"/>
    <w:rsid w:val="005F0197"/>
    <w:rsid w:val="005F79C4"/>
    <w:rsid w:val="00600089"/>
    <w:rsid w:val="00604687"/>
    <w:rsid w:val="00605BB8"/>
    <w:rsid w:val="00623900"/>
    <w:rsid w:val="00623B04"/>
    <w:rsid w:val="00633DA0"/>
    <w:rsid w:val="0065271E"/>
    <w:rsid w:val="006540F6"/>
    <w:rsid w:val="00656BB2"/>
    <w:rsid w:val="00661114"/>
    <w:rsid w:val="00667FC8"/>
    <w:rsid w:val="00673158"/>
    <w:rsid w:val="00676A5B"/>
    <w:rsid w:val="00677CAD"/>
    <w:rsid w:val="006855DC"/>
    <w:rsid w:val="00695ED2"/>
    <w:rsid w:val="00697456"/>
    <w:rsid w:val="00697557"/>
    <w:rsid w:val="006A12F8"/>
    <w:rsid w:val="006A1D30"/>
    <w:rsid w:val="006A375E"/>
    <w:rsid w:val="006A4787"/>
    <w:rsid w:val="006A6154"/>
    <w:rsid w:val="006B296C"/>
    <w:rsid w:val="006B6883"/>
    <w:rsid w:val="006B7DE7"/>
    <w:rsid w:val="006C04FF"/>
    <w:rsid w:val="006C5E4A"/>
    <w:rsid w:val="006C6989"/>
    <w:rsid w:val="006E24AC"/>
    <w:rsid w:val="006E43FD"/>
    <w:rsid w:val="006E4F0E"/>
    <w:rsid w:val="006E58B6"/>
    <w:rsid w:val="006F2927"/>
    <w:rsid w:val="006F37CE"/>
    <w:rsid w:val="006F410C"/>
    <w:rsid w:val="006F49E8"/>
    <w:rsid w:val="007017D0"/>
    <w:rsid w:val="00704C3E"/>
    <w:rsid w:val="00706BBE"/>
    <w:rsid w:val="007148B0"/>
    <w:rsid w:val="00715185"/>
    <w:rsid w:val="007207B0"/>
    <w:rsid w:val="007263B4"/>
    <w:rsid w:val="007404A1"/>
    <w:rsid w:val="007408DA"/>
    <w:rsid w:val="007450F6"/>
    <w:rsid w:val="00747C9D"/>
    <w:rsid w:val="00751F45"/>
    <w:rsid w:val="00756A89"/>
    <w:rsid w:val="00761BFF"/>
    <w:rsid w:val="0076384B"/>
    <w:rsid w:val="00763992"/>
    <w:rsid w:val="007672DB"/>
    <w:rsid w:val="00772A0C"/>
    <w:rsid w:val="00776A14"/>
    <w:rsid w:val="00776D19"/>
    <w:rsid w:val="0078486D"/>
    <w:rsid w:val="00787E99"/>
    <w:rsid w:val="00792228"/>
    <w:rsid w:val="007B030B"/>
    <w:rsid w:val="007B3957"/>
    <w:rsid w:val="007B43AB"/>
    <w:rsid w:val="007C03B4"/>
    <w:rsid w:val="007D1BEE"/>
    <w:rsid w:val="007E6CCE"/>
    <w:rsid w:val="008032EF"/>
    <w:rsid w:val="00805896"/>
    <w:rsid w:val="008119FD"/>
    <w:rsid w:val="00817075"/>
    <w:rsid w:val="00822811"/>
    <w:rsid w:val="00822A86"/>
    <w:rsid w:val="00822CEB"/>
    <w:rsid w:val="0083693F"/>
    <w:rsid w:val="00842E74"/>
    <w:rsid w:val="008436AA"/>
    <w:rsid w:val="00851AD7"/>
    <w:rsid w:val="00853D17"/>
    <w:rsid w:val="00874FE0"/>
    <w:rsid w:val="00877531"/>
    <w:rsid w:val="00882FF9"/>
    <w:rsid w:val="00883BF5"/>
    <w:rsid w:val="00890881"/>
    <w:rsid w:val="0089268F"/>
    <w:rsid w:val="008A3EE0"/>
    <w:rsid w:val="008A4434"/>
    <w:rsid w:val="008B0F3B"/>
    <w:rsid w:val="008B10FE"/>
    <w:rsid w:val="008B54C8"/>
    <w:rsid w:val="008D08F6"/>
    <w:rsid w:val="008D27C0"/>
    <w:rsid w:val="008F10F7"/>
    <w:rsid w:val="008F5344"/>
    <w:rsid w:val="0090080C"/>
    <w:rsid w:val="009037B0"/>
    <w:rsid w:val="0090478D"/>
    <w:rsid w:val="009051F1"/>
    <w:rsid w:val="009139B5"/>
    <w:rsid w:val="00913E19"/>
    <w:rsid w:val="00917237"/>
    <w:rsid w:val="00920A21"/>
    <w:rsid w:val="00926885"/>
    <w:rsid w:val="00930CD1"/>
    <w:rsid w:val="00934767"/>
    <w:rsid w:val="0093589A"/>
    <w:rsid w:val="00936956"/>
    <w:rsid w:val="00936E50"/>
    <w:rsid w:val="00940EAA"/>
    <w:rsid w:val="0094233D"/>
    <w:rsid w:val="009445B1"/>
    <w:rsid w:val="0095081D"/>
    <w:rsid w:val="00952000"/>
    <w:rsid w:val="00954BB8"/>
    <w:rsid w:val="009577EB"/>
    <w:rsid w:val="00971318"/>
    <w:rsid w:val="00973F3A"/>
    <w:rsid w:val="00974EA8"/>
    <w:rsid w:val="00976606"/>
    <w:rsid w:val="0097795A"/>
    <w:rsid w:val="00995E11"/>
    <w:rsid w:val="00996C42"/>
    <w:rsid w:val="00996D26"/>
    <w:rsid w:val="009976C9"/>
    <w:rsid w:val="009A3089"/>
    <w:rsid w:val="009B26A8"/>
    <w:rsid w:val="009B2B2F"/>
    <w:rsid w:val="009B69D3"/>
    <w:rsid w:val="009C6093"/>
    <w:rsid w:val="009D3030"/>
    <w:rsid w:val="009D59D6"/>
    <w:rsid w:val="009E477C"/>
    <w:rsid w:val="009E55CE"/>
    <w:rsid w:val="009F37C2"/>
    <w:rsid w:val="009F46CE"/>
    <w:rsid w:val="00A04797"/>
    <w:rsid w:val="00A236D1"/>
    <w:rsid w:val="00A240C0"/>
    <w:rsid w:val="00A31397"/>
    <w:rsid w:val="00A319AE"/>
    <w:rsid w:val="00A32974"/>
    <w:rsid w:val="00A37286"/>
    <w:rsid w:val="00A41026"/>
    <w:rsid w:val="00A41375"/>
    <w:rsid w:val="00A420B8"/>
    <w:rsid w:val="00A45248"/>
    <w:rsid w:val="00A53CF2"/>
    <w:rsid w:val="00A643EA"/>
    <w:rsid w:val="00A80EEB"/>
    <w:rsid w:val="00A81984"/>
    <w:rsid w:val="00A821CD"/>
    <w:rsid w:val="00A87162"/>
    <w:rsid w:val="00A931AB"/>
    <w:rsid w:val="00AA148D"/>
    <w:rsid w:val="00AA5603"/>
    <w:rsid w:val="00AB01FB"/>
    <w:rsid w:val="00AB3795"/>
    <w:rsid w:val="00AB6805"/>
    <w:rsid w:val="00AC230D"/>
    <w:rsid w:val="00AC69DE"/>
    <w:rsid w:val="00AD3C72"/>
    <w:rsid w:val="00AD6B24"/>
    <w:rsid w:val="00AD71DC"/>
    <w:rsid w:val="00AE00E8"/>
    <w:rsid w:val="00AE1571"/>
    <w:rsid w:val="00AE2D4C"/>
    <w:rsid w:val="00AE3F58"/>
    <w:rsid w:val="00AF1BC7"/>
    <w:rsid w:val="00AF3C9C"/>
    <w:rsid w:val="00AF70A0"/>
    <w:rsid w:val="00B37E84"/>
    <w:rsid w:val="00B44C42"/>
    <w:rsid w:val="00B46321"/>
    <w:rsid w:val="00B52F37"/>
    <w:rsid w:val="00B56058"/>
    <w:rsid w:val="00B61738"/>
    <w:rsid w:val="00B65EEC"/>
    <w:rsid w:val="00B666DB"/>
    <w:rsid w:val="00B67284"/>
    <w:rsid w:val="00B67A41"/>
    <w:rsid w:val="00B70AC2"/>
    <w:rsid w:val="00B73A6F"/>
    <w:rsid w:val="00B75858"/>
    <w:rsid w:val="00B7773E"/>
    <w:rsid w:val="00B77E9C"/>
    <w:rsid w:val="00B85491"/>
    <w:rsid w:val="00B870AD"/>
    <w:rsid w:val="00B956BE"/>
    <w:rsid w:val="00B97738"/>
    <w:rsid w:val="00BB1AAF"/>
    <w:rsid w:val="00BB2CA1"/>
    <w:rsid w:val="00BB6334"/>
    <w:rsid w:val="00BC555D"/>
    <w:rsid w:val="00BC6911"/>
    <w:rsid w:val="00BC69B9"/>
    <w:rsid w:val="00BD6F41"/>
    <w:rsid w:val="00BD7D79"/>
    <w:rsid w:val="00BE1160"/>
    <w:rsid w:val="00BE13F7"/>
    <w:rsid w:val="00BE4F3C"/>
    <w:rsid w:val="00BE7817"/>
    <w:rsid w:val="00BF19EE"/>
    <w:rsid w:val="00BF4DF2"/>
    <w:rsid w:val="00C001CF"/>
    <w:rsid w:val="00C014B7"/>
    <w:rsid w:val="00C13EC6"/>
    <w:rsid w:val="00C313FA"/>
    <w:rsid w:val="00C3147A"/>
    <w:rsid w:val="00C32E45"/>
    <w:rsid w:val="00C453CB"/>
    <w:rsid w:val="00C460EA"/>
    <w:rsid w:val="00C469AA"/>
    <w:rsid w:val="00C5229C"/>
    <w:rsid w:val="00C633DB"/>
    <w:rsid w:val="00C67345"/>
    <w:rsid w:val="00C76281"/>
    <w:rsid w:val="00C830C4"/>
    <w:rsid w:val="00C9010C"/>
    <w:rsid w:val="00C91393"/>
    <w:rsid w:val="00C91DA5"/>
    <w:rsid w:val="00C95ADC"/>
    <w:rsid w:val="00C95DDA"/>
    <w:rsid w:val="00CA15AA"/>
    <w:rsid w:val="00CB06DC"/>
    <w:rsid w:val="00CB1650"/>
    <w:rsid w:val="00CB49A4"/>
    <w:rsid w:val="00CB62C5"/>
    <w:rsid w:val="00CC243B"/>
    <w:rsid w:val="00CD0CD6"/>
    <w:rsid w:val="00CE7F62"/>
    <w:rsid w:val="00CF22AB"/>
    <w:rsid w:val="00CF6DA7"/>
    <w:rsid w:val="00CF7551"/>
    <w:rsid w:val="00D003AA"/>
    <w:rsid w:val="00D01C86"/>
    <w:rsid w:val="00D158A9"/>
    <w:rsid w:val="00D21B91"/>
    <w:rsid w:val="00D26ED2"/>
    <w:rsid w:val="00D4739B"/>
    <w:rsid w:val="00D5719F"/>
    <w:rsid w:val="00D61F7A"/>
    <w:rsid w:val="00D651AF"/>
    <w:rsid w:val="00D937F3"/>
    <w:rsid w:val="00D951D4"/>
    <w:rsid w:val="00DA071F"/>
    <w:rsid w:val="00DA72BA"/>
    <w:rsid w:val="00DB5B61"/>
    <w:rsid w:val="00DC0B11"/>
    <w:rsid w:val="00DC4A39"/>
    <w:rsid w:val="00DC4B49"/>
    <w:rsid w:val="00DD0A87"/>
    <w:rsid w:val="00DD0BCE"/>
    <w:rsid w:val="00DE0C43"/>
    <w:rsid w:val="00DE1906"/>
    <w:rsid w:val="00DE6EA8"/>
    <w:rsid w:val="00DF6BB6"/>
    <w:rsid w:val="00DF7B5E"/>
    <w:rsid w:val="00E014CA"/>
    <w:rsid w:val="00E01604"/>
    <w:rsid w:val="00E0354C"/>
    <w:rsid w:val="00E0733D"/>
    <w:rsid w:val="00E11080"/>
    <w:rsid w:val="00E15F54"/>
    <w:rsid w:val="00E202DC"/>
    <w:rsid w:val="00E21F1B"/>
    <w:rsid w:val="00E26DE7"/>
    <w:rsid w:val="00E30CA2"/>
    <w:rsid w:val="00E320CA"/>
    <w:rsid w:val="00E35FFB"/>
    <w:rsid w:val="00E50C0D"/>
    <w:rsid w:val="00E61C7D"/>
    <w:rsid w:val="00E66E69"/>
    <w:rsid w:val="00E66F50"/>
    <w:rsid w:val="00E753E8"/>
    <w:rsid w:val="00E766E9"/>
    <w:rsid w:val="00E85166"/>
    <w:rsid w:val="00E863D5"/>
    <w:rsid w:val="00E978AD"/>
    <w:rsid w:val="00EA1A7C"/>
    <w:rsid w:val="00EA74C4"/>
    <w:rsid w:val="00EB737E"/>
    <w:rsid w:val="00ED24C1"/>
    <w:rsid w:val="00ED2B9E"/>
    <w:rsid w:val="00EF77B8"/>
    <w:rsid w:val="00F05E92"/>
    <w:rsid w:val="00F11042"/>
    <w:rsid w:val="00F22355"/>
    <w:rsid w:val="00F36C1C"/>
    <w:rsid w:val="00F37AF7"/>
    <w:rsid w:val="00F642D5"/>
    <w:rsid w:val="00F777E1"/>
    <w:rsid w:val="00F82287"/>
    <w:rsid w:val="00F92018"/>
    <w:rsid w:val="00F926C4"/>
    <w:rsid w:val="00F960DA"/>
    <w:rsid w:val="00FA62B6"/>
    <w:rsid w:val="00FB2514"/>
    <w:rsid w:val="00FB459F"/>
    <w:rsid w:val="00FC272E"/>
    <w:rsid w:val="00FC2B1E"/>
    <w:rsid w:val="00FC32F3"/>
    <w:rsid w:val="00FC427A"/>
    <w:rsid w:val="00FC4456"/>
    <w:rsid w:val="00FC7791"/>
    <w:rsid w:val="00FD5051"/>
    <w:rsid w:val="00FD6C8B"/>
    <w:rsid w:val="00FD7D46"/>
    <w:rsid w:val="00FE2630"/>
    <w:rsid w:val="00FE478E"/>
    <w:rsid w:val="00FE6F11"/>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F11"/>
    <w:rPr>
      <w:sz w:val="24"/>
      <w:szCs w:val="24"/>
    </w:rPr>
  </w:style>
  <w:style w:type="paragraph" w:styleId="Heading1">
    <w:name w:val="heading 1"/>
    <w:basedOn w:val="Normal"/>
    <w:next w:val="Normal"/>
    <w:link w:val="Heading1Char"/>
    <w:uiPriority w:val="9"/>
    <w:qFormat/>
    <w:rsid w:val="00FE6F11"/>
    <w:pPr>
      <w:keepNext/>
      <w:tabs>
        <w:tab w:val="left" w:pos="-720"/>
      </w:tabs>
      <w:suppressAutoHyphens/>
      <w:outlineLvl w:val="0"/>
    </w:pPr>
    <w:rPr>
      <w:b/>
      <w:sz w:val="28"/>
      <w:szCs w:val="20"/>
    </w:rPr>
  </w:style>
  <w:style w:type="paragraph" w:styleId="Heading2">
    <w:name w:val="heading 2"/>
    <w:basedOn w:val="Normal"/>
    <w:next w:val="Normal"/>
    <w:link w:val="Heading2Char"/>
    <w:uiPriority w:val="9"/>
    <w:qFormat/>
    <w:rsid w:val="00FE6F11"/>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4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B304B"/>
    <w:rPr>
      <w:rFonts w:asciiTheme="majorHAnsi" w:eastAsiaTheme="majorEastAsia" w:hAnsiTheme="majorHAnsi" w:cstheme="majorBidi"/>
      <w:b/>
      <w:bCs/>
      <w:i/>
      <w:iCs/>
      <w:sz w:val="28"/>
      <w:szCs w:val="28"/>
    </w:rPr>
  </w:style>
  <w:style w:type="paragraph" w:styleId="Title">
    <w:name w:val="Title"/>
    <w:basedOn w:val="Normal"/>
    <w:link w:val="TitleChar"/>
    <w:uiPriority w:val="10"/>
    <w:qFormat/>
    <w:rsid w:val="00FE6F11"/>
    <w:pPr>
      <w:suppressAutoHyphens/>
      <w:jc w:val="center"/>
    </w:pPr>
    <w:rPr>
      <w:b/>
      <w:sz w:val="32"/>
      <w:szCs w:val="20"/>
    </w:rPr>
  </w:style>
  <w:style w:type="character" w:customStyle="1" w:styleId="TitleChar">
    <w:name w:val="Title Char"/>
    <w:basedOn w:val="DefaultParagraphFont"/>
    <w:link w:val="Title"/>
    <w:uiPriority w:val="10"/>
    <w:rsid w:val="003B304B"/>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rsid w:val="00FE6F11"/>
    <w:pPr>
      <w:shd w:val="pct25" w:color="auto" w:fill="auto"/>
      <w:tabs>
        <w:tab w:val="left" w:pos="-720"/>
        <w:tab w:val="left" w:pos="720"/>
      </w:tabs>
      <w:suppressAutoHyphens/>
    </w:pPr>
    <w:rPr>
      <w:sz w:val="26"/>
      <w:szCs w:val="20"/>
    </w:rPr>
  </w:style>
  <w:style w:type="character" w:customStyle="1" w:styleId="BodyText3Char">
    <w:name w:val="Body Text 3 Char"/>
    <w:basedOn w:val="DefaultParagraphFont"/>
    <w:link w:val="BodyText3"/>
    <w:uiPriority w:val="99"/>
    <w:semiHidden/>
    <w:rsid w:val="003B304B"/>
    <w:rPr>
      <w:sz w:val="16"/>
      <w:szCs w:val="16"/>
    </w:rPr>
  </w:style>
  <w:style w:type="character" w:styleId="Hyperlink">
    <w:name w:val="Hyperlink"/>
    <w:basedOn w:val="DefaultParagraphFont"/>
    <w:uiPriority w:val="99"/>
    <w:rsid w:val="00FE6F11"/>
    <w:rPr>
      <w:rFonts w:cs="Times New Roman"/>
      <w:color w:val="0000FF"/>
      <w:u w:val="single"/>
    </w:rPr>
  </w:style>
  <w:style w:type="paragraph" w:styleId="BodyText">
    <w:name w:val="Body Text"/>
    <w:basedOn w:val="Normal"/>
    <w:link w:val="BodyTextChar"/>
    <w:uiPriority w:val="99"/>
    <w:rsid w:val="00FE6F11"/>
    <w:pPr>
      <w:shd w:val="pct25" w:color="auto" w:fill="FFFFFF"/>
      <w:tabs>
        <w:tab w:val="left" w:pos="-720"/>
      </w:tabs>
      <w:suppressAutoHyphens/>
    </w:pPr>
    <w:rPr>
      <w:sz w:val="26"/>
    </w:rPr>
  </w:style>
  <w:style w:type="character" w:customStyle="1" w:styleId="BodyTextChar">
    <w:name w:val="Body Text Char"/>
    <w:basedOn w:val="DefaultParagraphFont"/>
    <w:link w:val="BodyText"/>
    <w:uiPriority w:val="99"/>
    <w:semiHidden/>
    <w:rsid w:val="003B304B"/>
    <w:rPr>
      <w:sz w:val="24"/>
      <w:szCs w:val="24"/>
    </w:rPr>
  </w:style>
  <w:style w:type="paragraph" w:styleId="BodyTextIndent">
    <w:name w:val="Body Text Indent"/>
    <w:basedOn w:val="Normal"/>
    <w:link w:val="BodyTextIndentChar"/>
    <w:uiPriority w:val="99"/>
    <w:rsid w:val="00FE6F11"/>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uiPriority w:val="99"/>
    <w:semiHidden/>
    <w:rsid w:val="003B304B"/>
    <w:rPr>
      <w:sz w:val="24"/>
      <w:szCs w:val="24"/>
    </w:rPr>
  </w:style>
  <w:style w:type="paragraph" w:styleId="BodyText2">
    <w:name w:val="Body Text 2"/>
    <w:basedOn w:val="Normal"/>
    <w:link w:val="BodyText2Char"/>
    <w:uiPriority w:val="99"/>
    <w:rsid w:val="00FE6F11"/>
    <w:pPr>
      <w:tabs>
        <w:tab w:val="left" w:pos="-720"/>
      </w:tabs>
      <w:suppressAutoHyphens/>
    </w:pPr>
    <w:rPr>
      <w:b/>
      <w:bCs/>
      <w:sz w:val="26"/>
    </w:rPr>
  </w:style>
  <w:style w:type="character" w:customStyle="1" w:styleId="BodyText2Char">
    <w:name w:val="Body Text 2 Char"/>
    <w:basedOn w:val="DefaultParagraphFont"/>
    <w:link w:val="BodyText2"/>
    <w:uiPriority w:val="99"/>
    <w:semiHidden/>
    <w:rsid w:val="003B304B"/>
    <w:rPr>
      <w:sz w:val="24"/>
      <w:szCs w:val="24"/>
    </w:rPr>
  </w:style>
  <w:style w:type="table" w:styleId="TableGrid">
    <w:name w:val="Table Grid"/>
    <w:basedOn w:val="TableNormal"/>
    <w:uiPriority w:val="59"/>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E6F11"/>
    <w:pPr>
      <w:tabs>
        <w:tab w:val="center" w:pos="4320"/>
        <w:tab w:val="right" w:pos="8640"/>
      </w:tabs>
    </w:pPr>
  </w:style>
  <w:style w:type="character" w:customStyle="1" w:styleId="FooterChar">
    <w:name w:val="Footer Char"/>
    <w:basedOn w:val="DefaultParagraphFont"/>
    <w:link w:val="Footer"/>
    <w:rsid w:val="003B304B"/>
    <w:rPr>
      <w:sz w:val="24"/>
      <w:szCs w:val="24"/>
    </w:rPr>
  </w:style>
  <w:style w:type="character" w:styleId="PageNumber">
    <w:name w:val="page number"/>
    <w:basedOn w:val="DefaultParagraphFont"/>
    <w:uiPriority w:val="99"/>
    <w:rsid w:val="00FE6F11"/>
    <w:rPr>
      <w:rFonts w:cs="Times New Roman"/>
    </w:rPr>
  </w:style>
  <w:style w:type="paragraph" w:styleId="BalloonText">
    <w:name w:val="Balloon Text"/>
    <w:basedOn w:val="Normal"/>
    <w:link w:val="BalloonTextChar"/>
    <w:uiPriority w:val="99"/>
    <w:semiHidden/>
    <w:rsid w:val="00C469AA"/>
    <w:rPr>
      <w:rFonts w:ascii="Tahoma" w:hAnsi="Tahoma" w:cs="Tahoma"/>
      <w:sz w:val="16"/>
      <w:szCs w:val="16"/>
    </w:rPr>
  </w:style>
  <w:style w:type="character" w:customStyle="1" w:styleId="BalloonTextChar">
    <w:name w:val="Balloon Text Char"/>
    <w:basedOn w:val="DefaultParagraphFont"/>
    <w:link w:val="BalloonText"/>
    <w:uiPriority w:val="99"/>
    <w:semiHidden/>
    <w:rsid w:val="003B304B"/>
    <w:rPr>
      <w:sz w:val="0"/>
      <w:szCs w:val="0"/>
    </w:rPr>
  </w:style>
  <w:style w:type="character" w:styleId="Strong">
    <w:name w:val="Strong"/>
    <w:basedOn w:val="DefaultParagraphFont"/>
    <w:uiPriority w:val="22"/>
    <w:qFormat/>
    <w:rsid w:val="00AD71DC"/>
    <w:rPr>
      <w:rFonts w:cs="Times New Roman"/>
      <w:b/>
      <w:bCs/>
    </w:rPr>
  </w:style>
  <w:style w:type="paragraph" w:styleId="NormalWeb">
    <w:name w:val="Normal (Web)"/>
    <w:basedOn w:val="Normal"/>
    <w:uiPriority w:val="99"/>
    <w:rsid w:val="005271D8"/>
    <w:pPr>
      <w:spacing w:before="100" w:beforeAutospacing="1" w:after="100" w:afterAutospacing="1"/>
    </w:pPr>
  </w:style>
  <w:style w:type="paragraph" w:styleId="Header">
    <w:name w:val="header"/>
    <w:basedOn w:val="Normal"/>
    <w:link w:val="HeaderChar"/>
    <w:uiPriority w:val="99"/>
    <w:rsid w:val="00A80EEB"/>
    <w:pPr>
      <w:tabs>
        <w:tab w:val="center" w:pos="4320"/>
        <w:tab w:val="right" w:pos="8640"/>
      </w:tabs>
    </w:pPr>
  </w:style>
  <w:style w:type="character" w:customStyle="1" w:styleId="HeaderChar">
    <w:name w:val="Header Char"/>
    <w:basedOn w:val="DefaultParagraphFont"/>
    <w:link w:val="Header"/>
    <w:uiPriority w:val="99"/>
    <w:semiHidden/>
    <w:rsid w:val="003B304B"/>
    <w:rPr>
      <w:sz w:val="24"/>
      <w:szCs w:val="24"/>
    </w:rPr>
  </w:style>
  <w:style w:type="paragraph" w:styleId="DocumentMap">
    <w:name w:val="Document Map"/>
    <w:basedOn w:val="Normal"/>
    <w:link w:val="DocumentMapChar"/>
    <w:uiPriority w:val="99"/>
    <w:semiHidden/>
    <w:rsid w:val="00A80EE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B304B"/>
    <w:rPr>
      <w:sz w:val="0"/>
      <w:szCs w:val="0"/>
    </w:rPr>
  </w:style>
  <w:style w:type="paragraph" w:customStyle="1" w:styleId="CharCharCharCharCharCharCharCharCharCharCharChar1CharCharChar1Char">
    <w:name w:val="Char Char Char Char Char Char Char Char Char Char Char Char1 Char Char Char1 Char"/>
    <w:basedOn w:val="Normal"/>
    <w:autoRedefine/>
    <w:semiHidden/>
    <w:rsid w:val="001124DB"/>
    <w:pPr>
      <w:widowControl w:val="0"/>
      <w:spacing w:before="80" w:after="80"/>
      <w:ind w:left="4320"/>
      <w:jc w:val="both"/>
    </w:pPr>
    <w:rPr>
      <w:rFonts w:cs="Arial"/>
      <w:bCs/>
    </w:rPr>
  </w:style>
  <w:style w:type="character" w:styleId="CommentReference">
    <w:name w:val="annotation reference"/>
    <w:basedOn w:val="DefaultParagraphFont"/>
    <w:uiPriority w:val="99"/>
    <w:rsid w:val="0023242E"/>
    <w:rPr>
      <w:rFonts w:cs="Times New Roman"/>
      <w:sz w:val="16"/>
      <w:szCs w:val="16"/>
    </w:rPr>
  </w:style>
  <w:style w:type="paragraph" w:styleId="CommentText">
    <w:name w:val="annotation text"/>
    <w:basedOn w:val="Normal"/>
    <w:link w:val="CommentTextChar"/>
    <w:uiPriority w:val="99"/>
    <w:rsid w:val="0023242E"/>
    <w:rPr>
      <w:sz w:val="20"/>
      <w:szCs w:val="20"/>
    </w:rPr>
  </w:style>
  <w:style w:type="character" w:customStyle="1" w:styleId="CommentTextChar">
    <w:name w:val="Comment Text Char"/>
    <w:basedOn w:val="DefaultParagraphFont"/>
    <w:link w:val="CommentText"/>
    <w:uiPriority w:val="99"/>
    <w:locked/>
    <w:rsid w:val="0023242E"/>
    <w:rPr>
      <w:rFonts w:cs="Times New Roman"/>
    </w:rPr>
  </w:style>
  <w:style w:type="paragraph" w:styleId="CommentSubject">
    <w:name w:val="annotation subject"/>
    <w:basedOn w:val="CommentText"/>
    <w:next w:val="CommentText"/>
    <w:link w:val="CommentSubjectChar"/>
    <w:uiPriority w:val="99"/>
    <w:rsid w:val="0023242E"/>
    <w:rPr>
      <w:b/>
      <w:bCs/>
    </w:rPr>
  </w:style>
  <w:style w:type="character" w:customStyle="1" w:styleId="CommentSubjectChar">
    <w:name w:val="Comment Subject Char"/>
    <w:basedOn w:val="CommentTextChar"/>
    <w:link w:val="CommentSubject"/>
    <w:uiPriority w:val="99"/>
    <w:locked/>
    <w:rsid w:val="0023242E"/>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F11"/>
    <w:rPr>
      <w:sz w:val="24"/>
      <w:szCs w:val="24"/>
    </w:rPr>
  </w:style>
  <w:style w:type="paragraph" w:styleId="Heading1">
    <w:name w:val="heading 1"/>
    <w:basedOn w:val="Normal"/>
    <w:next w:val="Normal"/>
    <w:link w:val="Heading1Char"/>
    <w:uiPriority w:val="9"/>
    <w:qFormat/>
    <w:rsid w:val="00FE6F11"/>
    <w:pPr>
      <w:keepNext/>
      <w:tabs>
        <w:tab w:val="left" w:pos="-720"/>
      </w:tabs>
      <w:suppressAutoHyphens/>
      <w:outlineLvl w:val="0"/>
    </w:pPr>
    <w:rPr>
      <w:b/>
      <w:sz w:val="28"/>
      <w:szCs w:val="20"/>
    </w:rPr>
  </w:style>
  <w:style w:type="paragraph" w:styleId="Heading2">
    <w:name w:val="heading 2"/>
    <w:basedOn w:val="Normal"/>
    <w:next w:val="Normal"/>
    <w:link w:val="Heading2Char"/>
    <w:uiPriority w:val="9"/>
    <w:qFormat/>
    <w:rsid w:val="00FE6F11"/>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4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B304B"/>
    <w:rPr>
      <w:rFonts w:asciiTheme="majorHAnsi" w:eastAsiaTheme="majorEastAsia" w:hAnsiTheme="majorHAnsi" w:cstheme="majorBidi"/>
      <w:b/>
      <w:bCs/>
      <w:i/>
      <w:iCs/>
      <w:sz w:val="28"/>
      <w:szCs w:val="28"/>
    </w:rPr>
  </w:style>
  <w:style w:type="paragraph" w:styleId="Title">
    <w:name w:val="Title"/>
    <w:basedOn w:val="Normal"/>
    <w:link w:val="TitleChar"/>
    <w:uiPriority w:val="10"/>
    <w:qFormat/>
    <w:rsid w:val="00FE6F11"/>
    <w:pPr>
      <w:suppressAutoHyphens/>
      <w:jc w:val="center"/>
    </w:pPr>
    <w:rPr>
      <w:b/>
      <w:sz w:val="32"/>
      <w:szCs w:val="20"/>
    </w:rPr>
  </w:style>
  <w:style w:type="character" w:customStyle="1" w:styleId="TitleChar">
    <w:name w:val="Title Char"/>
    <w:basedOn w:val="DefaultParagraphFont"/>
    <w:link w:val="Title"/>
    <w:uiPriority w:val="10"/>
    <w:rsid w:val="003B304B"/>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rsid w:val="00FE6F11"/>
    <w:pPr>
      <w:shd w:val="pct25" w:color="auto" w:fill="auto"/>
      <w:tabs>
        <w:tab w:val="left" w:pos="-720"/>
        <w:tab w:val="left" w:pos="720"/>
      </w:tabs>
      <w:suppressAutoHyphens/>
    </w:pPr>
    <w:rPr>
      <w:sz w:val="26"/>
      <w:szCs w:val="20"/>
    </w:rPr>
  </w:style>
  <w:style w:type="character" w:customStyle="1" w:styleId="BodyText3Char">
    <w:name w:val="Body Text 3 Char"/>
    <w:basedOn w:val="DefaultParagraphFont"/>
    <w:link w:val="BodyText3"/>
    <w:uiPriority w:val="99"/>
    <w:semiHidden/>
    <w:rsid w:val="003B304B"/>
    <w:rPr>
      <w:sz w:val="16"/>
      <w:szCs w:val="16"/>
    </w:rPr>
  </w:style>
  <w:style w:type="character" w:styleId="Hyperlink">
    <w:name w:val="Hyperlink"/>
    <w:basedOn w:val="DefaultParagraphFont"/>
    <w:uiPriority w:val="99"/>
    <w:rsid w:val="00FE6F11"/>
    <w:rPr>
      <w:rFonts w:cs="Times New Roman"/>
      <w:color w:val="0000FF"/>
      <w:u w:val="single"/>
    </w:rPr>
  </w:style>
  <w:style w:type="paragraph" w:styleId="BodyText">
    <w:name w:val="Body Text"/>
    <w:basedOn w:val="Normal"/>
    <w:link w:val="BodyTextChar"/>
    <w:uiPriority w:val="99"/>
    <w:rsid w:val="00FE6F11"/>
    <w:pPr>
      <w:shd w:val="pct25" w:color="auto" w:fill="FFFFFF"/>
      <w:tabs>
        <w:tab w:val="left" w:pos="-720"/>
      </w:tabs>
      <w:suppressAutoHyphens/>
    </w:pPr>
    <w:rPr>
      <w:sz w:val="26"/>
    </w:rPr>
  </w:style>
  <w:style w:type="character" w:customStyle="1" w:styleId="BodyTextChar">
    <w:name w:val="Body Text Char"/>
    <w:basedOn w:val="DefaultParagraphFont"/>
    <w:link w:val="BodyText"/>
    <w:uiPriority w:val="99"/>
    <w:semiHidden/>
    <w:rsid w:val="003B304B"/>
    <w:rPr>
      <w:sz w:val="24"/>
      <w:szCs w:val="24"/>
    </w:rPr>
  </w:style>
  <w:style w:type="paragraph" w:styleId="BodyTextIndent">
    <w:name w:val="Body Text Indent"/>
    <w:basedOn w:val="Normal"/>
    <w:link w:val="BodyTextIndentChar"/>
    <w:uiPriority w:val="99"/>
    <w:rsid w:val="00FE6F11"/>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uiPriority w:val="99"/>
    <w:semiHidden/>
    <w:rsid w:val="003B304B"/>
    <w:rPr>
      <w:sz w:val="24"/>
      <w:szCs w:val="24"/>
    </w:rPr>
  </w:style>
  <w:style w:type="paragraph" w:styleId="BodyText2">
    <w:name w:val="Body Text 2"/>
    <w:basedOn w:val="Normal"/>
    <w:link w:val="BodyText2Char"/>
    <w:uiPriority w:val="99"/>
    <w:rsid w:val="00FE6F11"/>
    <w:pPr>
      <w:tabs>
        <w:tab w:val="left" w:pos="-720"/>
      </w:tabs>
      <w:suppressAutoHyphens/>
    </w:pPr>
    <w:rPr>
      <w:b/>
      <w:bCs/>
      <w:sz w:val="26"/>
    </w:rPr>
  </w:style>
  <w:style w:type="character" w:customStyle="1" w:styleId="BodyText2Char">
    <w:name w:val="Body Text 2 Char"/>
    <w:basedOn w:val="DefaultParagraphFont"/>
    <w:link w:val="BodyText2"/>
    <w:uiPriority w:val="99"/>
    <w:semiHidden/>
    <w:rsid w:val="003B304B"/>
    <w:rPr>
      <w:sz w:val="24"/>
      <w:szCs w:val="24"/>
    </w:rPr>
  </w:style>
  <w:style w:type="table" w:styleId="TableGrid">
    <w:name w:val="Table Grid"/>
    <w:basedOn w:val="TableNormal"/>
    <w:uiPriority w:val="59"/>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E6F11"/>
    <w:pPr>
      <w:tabs>
        <w:tab w:val="center" w:pos="4320"/>
        <w:tab w:val="right" w:pos="8640"/>
      </w:tabs>
    </w:pPr>
  </w:style>
  <w:style w:type="character" w:customStyle="1" w:styleId="FooterChar">
    <w:name w:val="Footer Char"/>
    <w:basedOn w:val="DefaultParagraphFont"/>
    <w:link w:val="Footer"/>
    <w:rsid w:val="003B304B"/>
    <w:rPr>
      <w:sz w:val="24"/>
      <w:szCs w:val="24"/>
    </w:rPr>
  </w:style>
  <w:style w:type="character" w:styleId="PageNumber">
    <w:name w:val="page number"/>
    <w:basedOn w:val="DefaultParagraphFont"/>
    <w:uiPriority w:val="99"/>
    <w:rsid w:val="00FE6F11"/>
    <w:rPr>
      <w:rFonts w:cs="Times New Roman"/>
    </w:rPr>
  </w:style>
  <w:style w:type="paragraph" w:styleId="BalloonText">
    <w:name w:val="Balloon Text"/>
    <w:basedOn w:val="Normal"/>
    <w:link w:val="BalloonTextChar"/>
    <w:uiPriority w:val="99"/>
    <w:semiHidden/>
    <w:rsid w:val="00C469AA"/>
    <w:rPr>
      <w:rFonts w:ascii="Tahoma" w:hAnsi="Tahoma" w:cs="Tahoma"/>
      <w:sz w:val="16"/>
      <w:szCs w:val="16"/>
    </w:rPr>
  </w:style>
  <w:style w:type="character" w:customStyle="1" w:styleId="BalloonTextChar">
    <w:name w:val="Balloon Text Char"/>
    <w:basedOn w:val="DefaultParagraphFont"/>
    <w:link w:val="BalloonText"/>
    <w:uiPriority w:val="99"/>
    <w:semiHidden/>
    <w:rsid w:val="003B304B"/>
    <w:rPr>
      <w:sz w:val="0"/>
      <w:szCs w:val="0"/>
    </w:rPr>
  </w:style>
  <w:style w:type="character" w:styleId="Strong">
    <w:name w:val="Strong"/>
    <w:basedOn w:val="DefaultParagraphFont"/>
    <w:uiPriority w:val="22"/>
    <w:qFormat/>
    <w:rsid w:val="00AD71DC"/>
    <w:rPr>
      <w:rFonts w:cs="Times New Roman"/>
      <w:b/>
      <w:bCs/>
    </w:rPr>
  </w:style>
  <w:style w:type="paragraph" w:styleId="NormalWeb">
    <w:name w:val="Normal (Web)"/>
    <w:basedOn w:val="Normal"/>
    <w:uiPriority w:val="99"/>
    <w:rsid w:val="005271D8"/>
    <w:pPr>
      <w:spacing w:before="100" w:beforeAutospacing="1" w:after="100" w:afterAutospacing="1"/>
    </w:pPr>
  </w:style>
  <w:style w:type="paragraph" w:styleId="Header">
    <w:name w:val="header"/>
    <w:basedOn w:val="Normal"/>
    <w:link w:val="HeaderChar"/>
    <w:uiPriority w:val="99"/>
    <w:rsid w:val="00A80EEB"/>
    <w:pPr>
      <w:tabs>
        <w:tab w:val="center" w:pos="4320"/>
        <w:tab w:val="right" w:pos="8640"/>
      </w:tabs>
    </w:pPr>
  </w:style>
  <w:style w:type="character" w:customStyle="1" w:styleId="HeaderChar">
    <w:name w:val="Header Char"/>
    <w:basedOn w:val="DefaultParagraphFont"/>
    <w:link w:val="Header"/>
    <w:uiPriority w:val="99"/>
    <w:semiHidden/>
    <w:rsid w:val="003B304B"/>
    <w:rPr>
      <w:sz w:val="24"/>
      <w:szCs w:val="24"/>
    </w:rPr>
  </w:style>
  <w:style w:type="paragraph" w:styleId="DocumentMap">
    <w:name w:val="Document Map"/>
    <w:basedOn w:val="Normal"/>
    <w:link w:val="DocumentMapChar"/>
    <w:uiPriority w:val="99"/>
    <w:semiHidden/>
    <w:rsid w:val="00A80EE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B304B"/>
    <w:rPr>
      <w:sz w:val="0"/>
      <w:szCs w:val="0"/>
    </w:rPr>
  </w:style>
  <w:style w:type="paragraph" w:customStyle="1" w:styleId="CharCharCharCharCharCharCharCharCharCharCharChar1CharCharChar1Char">
    <w:name w:val="Char Char Char Char Char Char Char Char Char Char Char Char1 Char Char Char1 Char"/>
    <w:basedOn w:val="Normal"/>
    <w:autoRedefine/>
    <w:semiHidden/>
    <w:rsid w:val="001124DB"/>
    <w:pPr>
      <w:widowControl w:val="0"/>
      <w:spacing w:before="80" w:after="80"/>
      <w:ind w:left="4320"/>
      <w:jc w:val="both"/>
    </w:pPr>
    <w:rPr>
      <w:rFonts w:cs="Arial"/>
      <w:bCs/>
    </w:rPr>
  </w:style>
  <w:style w:type="character" w:styleId="CommentReference">
    <w:name w:val="annotation reference"/>
    <w:basedOn w:val="DefaultParagraphFont"/>
    <w:uiPriority w:val="99"/>
    <w:rsid w:val="0023242E"/>
    <w:rPr>
      <w:rFonts w:cs="Times New Roman"/>
      <w:sz w:val="16"/>
      <w:szCs w:val="16"/>
    </w:rPr>
  </w:style>
  <w:style w:type="paragraph" w:styleId="CommentText">
    <w:name w:val="annotation text"/>
    <w:basedOn w:val="Normal"/>
    <w:link w:val="CommentTextChar"/>
    <w:uiPriority w:val="99"/>
    <w:rsid w:val="0023242E"/>
    <w:rPr>
      <w:sz w:val="20"/>
      <w:szCs w:val="20"/>
    </w:rPr>
  </w:style>
  <w:style w:type="character" w:customStyle="1" w:styleId="CommentTextChar">
    <w:name w:val="Comment Text Char"/>
    <w:basedOn w:val="DefaultParagraphFont"/>
    <w:link w:val="CommentText"/>
    <w:uiPriority w:val="99"/>
    <w:locked/>
    <w:rsid w:val="0023242E"/>
    <w:rPr>
      <w:rFonts w:cs="Times New Roman"/>
    </w:rPr>
  </w:style>
  <w:style w:type="paragraph" w:styleId="CommentSubject">
    <w:name w:val="annotation subject"/>
    <w:basedOn w:val="CommentText"/>
    <w:next w:val="CommentText"/>
    <w:link w:val="CommentSubjectChar"/>
    <w:uiPriority w:val="99"/>
    <w:rsid w:val="0023242E"/>
    <w:rPr>
      <w:b/>
      <w:bCs/>
    </w:rPr>
  </w:style>
  <w:style w:type="character" w:customStyle="1" w:styleId="CommentSubjectChar">
    <w:name w:val="Comment Subject Char"/>
    <w:basedOn w:val="CommentTextChar"/>
    <w:link w:val="CommentSubject"/>
    <w:uiPriority w:val="99"/>
    <w:locked/>
    <w:rsid w:val="0023242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748955">
      <w:marLeft w:val="0"/>
      <w:marRight w:val="0"/>
      <w:marTop w:val="0"/>
      <w:marBottom w:val="0"/>
      <w:divBdr>
        <w:top w:val="none" w:sz="0" w:space="0" w:color="auto"/>
        <w:left w:val="none" w:sz="0" w:space="0" w:color="auto"/>
        <w:bottom w:val="none" w:sz="0" w:space="0" w:color="auto"/>
        <w:right w:val="none" w:sz="0" w:space="0" w:color="auto"/>
      </w:divBdr>
    </w:div>
    <w:div w:id="1865748956">
      <w:marLeft w:val="0"/>
      <w:marRight w:val="0"/>
      <w:marTop w:val="0"/>
      <w:marBottom w:val="0"/>
      <w:divBdr>
        <w:top w:val="none" w:sz="0" w:space="0" w:color="auto"/>
        <w:left w:val="none" w:sz="0" w:space="0" w:color="auto"/>
        <w:bottom w:val="none" w:sz="0" w:space="0" w:color="auto"/>
        <w:right w:val="none" w:sz="0" w:space="0" w:color="auto"/>
      </w:divBdr>
    </w:div>
    <w:div w:id="1865748957">
      <w:marLeft w:val="0"/>
      <w:marRight w:val="0"/>
      <w:marTop w:val="0"/>
      <w:marBottom w:val="0"/>
      <w:divBdr>
        <w:top w:val="none" w:sz="0" w:space="0" w:color="auto"/>
        <w:left w:val="none" w:sz="0" w:space="0" w:color="auto"/>
        <w:bottom w:val="none" w:sz="0" w:space="0" w:color="auto"/>
        <w:right w:val="none" w:sz="0" w:space="0" w:color="auto"/>
      </w:divBdr>
    </w:div>
    <w:div w:id="1865748958">
      <w:marLeft w:val="0"/>
      <w:marRight w:val="0"/>
      <w:marTop w:val="0"/>
      <w:marBottom w:val="0"/>
      <w:divBdr>
        <w:top w:val="none" w:sz="0" w:space="0" w:color="auto"/>
        <w:left w:val="none" w:sz="0" w:space="0" w:color="auto"/>
        <w:bottom w:val="none" w:sz="0" w:space="0" w:color="auto"/>
        <w:right w:val="none" w:sz="0" w:space="0" w:color="auto"/>
      </w:divBdr>
    </w:div>
    <w:div w:id="1865748959">
      <w:marLeft w:val="0"/>
      <w:marRight w:val="0"/>
      <w:marTop w:val="0"/>
      <w:marBottom w:val="0"/>
      <w:divBdr>
        <w:top w:val="none" w:sz="0" w:space="0" w:color="auto"/>
        <w:left w:val="none" w:sz="0" w:space="0" w:color="auto"/>
        <w:bottom w:val="none" w:sz="0" w:space="0" w:color="auto"/>
        <w:right w:val="none" w:sz="0" w:space="0" w:color="auto"/>
      </w:divBdr>
    </w:div>
    <w:div w:id="1865748960">
      <w:marLeft w:val="0"/>
      <w:marRight w:val="0"/>
      <w:marTop w:val="0"/>
      <w:marBottom w:val="0"/>
      <w:divBdr>
        <w:top w:val="none" w:sz="0" w:space="0" w:color="auto"/>
        <w:left w:val="none" w:sz="0" w:space="0" w:color="auto"/>
        <w:bottom w:val="none" w:sz="0" w:space="0" w:color="auto"/>
        <w:right w:val="none" w:sz="0" w:space="0" w:color="auto"/>
      </w:divBdr>
    </w:div>
    <w:div w:id="1865748961">
      <w:marLeft w:val="0"/>
      <w:marRight w:val="0"/>
      <w:marTop w:val="0"/>
      <w:marBottom w:val="0"/>
      <w:divBdr>
        <w:top w:val="none" w:sz="0" w:space="0" w:color="auto"/>
        <w:left w:val="none" w:sz="0" w:space="0" w:color="auto"/>
        <w:bottom w:val="none" w:sz="0" w:space="0" w:color="auto"/>
        <w:right w:val="none" w:sz="0" w:space="0" w:color="auto"/>
      </w:divBdr>
    </w:div>
    <w:div w:id="1865748962">
      <w:marLeft w:val="0"/>
      <w:marRight w:val="0"/>
      <w:marTop w:val="0"/>
      <w:marBottom w:val="0"/>
      <w:divBdr>
        <w:top w:val="none" w:sz="0" w:space="0" w:color="auto"/>
        <w:left w:val="none" w:sz="0" w:space="0" w:color="auto"/>
        <w:bottom w:val="none" w:sz="0" w:space="0" w:color="auto"/>
        <w:right w:val="none" w:sz="0" w:space="0" w:color="auto"/>
      </w:divBdr>
    </w:div>
    <w:div w:id="1865748963">
      <w:marLeft w:val="0"/>
      <w:marRight w:val="0"/>
      <w:marTop w:val="0"/>
      <w:marBottom w:val="0"/>
      <w:divBdr>
        <w:top w:val="none" w:sz="0" w:space="0" w:color="auto"/>
        <w:left w:val="none" w:sz="0" w:space="0" w:color="auto"/>
        <w:bottom w:val="none" w:sz="0" w:space="0" w:color="auto"/>
        <w:right w:val="none" w:sz="0" w:space="0" w:color="auto"/>
      </w:divBdr>
    </w:div>
    <w:div w:id="1865748964">
      <w:marLeft w:val="0"/>
      <w:marRight w:val="0"/>
      <w:marTop w:val="0"/>
      <w:marBottom w:val="0"/>
      <w:divBdr>
        <w:top w:val="none" w:sz="0" w:space="0" w:color="auto"/>
        <w:left w:val="none" w:sz="0" w:space="0" w:color="auto"/>
        <w:bottom w:val="none" w:sz="0" w:space="0" w:color="auto"/>
        <w:right w:val="none" w:sz="0" w:space="0" w:color="auto"/>
      </w:divBdr>
    </w:div>
    <w:div w:id="1865748965">
      <w:marLeft w:val="0"/>
      <w:marRight w:val="0"/>
      <w:marTop w:val="0"/>
      <w:marBottom w:val="0"/>
      <w:divBdr>
        <w:top w:val="none" w:sz="0" w:space="0" w:color="auto"/>
        <w:left w:val="none" w:sz="0" w:space="0" w:color="auto"/>
        <w:bottom w:val="none" w:sz="0" w:space="0" w:color="auto"/>
        <w:right w:val="none" w:sz="0" w:space="0" w:color="auto"/>
      </w:divBdr>
    </w:div>
    <w:div w:id="1865748966">
      <w:marLeft w:val="0"/>
      <w:marRight w:val="0"/>
      <w:marTop w:val="0"/>
      <w:marBottom w:val="0"/>
      <w:divBdr>
        <w:top w:val="none" w:sz="0" w:space="0" w:color="auto"/>
        <w:left w:val="none" w:sz="0" w:space="0" w:color="auto"/>
        <w:bottom w:val="none" w:sz="0" w:space="0" w:color="auto"/>
        <w:right w:val="none" w:sz="0" w:space="0" w:color="auto"/>
      </w:divBdr>
    </w:div>
    <w:div w:id="1865748967">
      <w:marLeft w:val="0"/>
      <w:marRight w:val="0"/>
      <w:marTop w:val="0"/>
      <w:marBottom w:val="0"/>
      <w:divBdr>
        <w:top w:val="none" w:sz="0" w:space="0" w:color="auto"/>
        <w:left w:val="none" w:sz="0" w:space="0" w:color="auto"/>
        <w:bottom w:val="none" w:sz="0" w:space="0" w:color="auto"/>
        <w:right w:val="none" w:sz="0" w:space="0" w:color="auto"/>
      </w:divBdr>
    </w:div>
    <w:div w:id="1865748968">
      <w:marLeft w:val="0"/>
      <w:marRight w:val="0"/>
      <w:marTop w:val="0"/>
      <w:marBottom w:val="0"/>
      <w:divBdr>
        <w:top w:val="none" w:sz="0" w:space="0" w:color="auto"/>
        <w:left w:val="none" w:sz="0" w:space="0" w:color="auto"/>
        <w:bottom w:val="none" w:sz="0" w:space="0" w:color="auto"/>
        <w:right w:val="none" w:sz="0" w:space="0" w:color="auto"/>
      </w:divBdr>
    </w:div>
    <w:div w:id="1865748969">
      <w:marLeft w:val="0"/>
      <w:marRight w:val="0"/>
      <w:marTop w:val="0"/>
      <w:marBottom w:val="0"/>
      <w:divBdr>
        <w:top w:val="none" w:sz="0" w:space="0" w:color="auto"/>
        <w:left w:val="none" w:sz="0" w:space="0" w:color="auto"/>
        <w:bottom w:val="none" w:sz="0" w:space="0" w:color="auto"/>
        <w:right w:val="none" w:sz="0" w:space="0" w:color="auto"/>
      </w:divBdr>
      <w:divsChild>
        <w:div w:id="1865748978">
          <w:marLeft w:val="60"/>
          <w:marRight w:val="0"/>
          <w:marTop w:val="96"/>
          <w:marBottom w:val="0"/>
          <w:divBdr>
            <w:top w:val="none" w:sz="0" w:space="0" w:color="auto"/>
            <w:left w:val="none" w:sz="0" w:space="0" w:color="auto"/>
            <w:bottom w:val="none" w:sz="0" w:space="0" w:color="auto"/>
            <w:right w:val="none" w:sz="0" w:space="0" w:color="auto"/>
          </w:divBdr>
        </w:div>
      </w:divsChild>
    </w:div>
    <w:div w:id="1865748970">
      <w:marLeft w:val="0"/>
      <w:marRight w:val="0"/>
      <w:marTop w:val="0"/>
      <w:marBottom w:val="0"/>
      <w:divBdr>
        <w:top w:val="none" w:sz="0" w:space="0" w:color="auto"/>
        <w:left w:val="none" w:sz="0" w:space="0" w:color="auto"/>
        <w:bottom w:val="none" w:sz="0" w:space="0" w:color="auto"/>
        <w:right w:val="none" w:sz="0" w:space="0" w:color="auto"/>
      </w:divBdr>
    </w:div>
    <w:div w:id="1865748971">
      <w:marLeft w:val="0"/>
      <w:marRight w:val="0"/>
      <w:marTop w:val="0"/>
      <w:marBottom w:val="0"/>
      <w:divBdr>
        <w:top w:val="none" w:sz="0" w:space="0" w:color="auto"/>
        <w:left w:val="none" w:sz="0" w:space="0" w:color="auto"/>
        <w:bottom w:val="none" w:sz="0" w:space="0" w:color="auto"/>
        <w:right w:val="none" w:sz="0" w:space="0" w:color="auto"/>
      </w:divBdr>
    </w:div>
    <w:div w:id="1865748972">
      <w:marLeft w:val="0"/>
      <w:marRight w:val="0"/>
      <w:marTop w:val="0"/>
      <w:marBottom w:val="0"/>
      <w:divBdr>
        <w:top w:val="none" w:sz="0" w:space="0" w:color="auto"/>
        <w:left w:val="none" w:sz="0" w:space="0" w:color="auto"/>
        <w:bottom w:val="none" w:sz="0" w:space="0" w:color="auto"/>
        <w:right w:val="none" w:sz="0" w:space="0" w:color="auto"/>
      </w:divBdr>
    </w:div>
    <w:div w:id="1865748973">
      <w:marLeft w:val="0"/>
      <w:marRight w:val="0"/>
      <w:marTop w:val="0"/>
      <w:marBottom w:val="0"/>
      <w:divBdr>
        <w:top w:val="none" w:sz="0" w:space="0" w:color="auto"/>
        <w:left w:val="none" w:sz="0" w:space="0" w:color="auto"/>
        <w:bottom w:val="none" w:sz="0" w:space="0" w:color="auto"/>
        <w:right w:val="none" w:sz="0" w:space="0" w:color="auto"/>
      </w:divBdr>
    </w:div>
    <w:div w:id="1865748974">
      <w:marLeft w:val="0"/>
      <w:marRight w:val="0"/>
      <w:marTop w:val="0"/>
      <w:marBottom w:val="0"/>
      <w:divBdr>
        <w:top w:val="none" w:sz="0" w:space="0" w:color="auto"/>
        <w:left w:val="none" w:sz="0" w:space="0" w:color="auto"/>
        <w:bottom w:val="none" w:sz="0" w:space="0" w:color="auto"/>
        <w:right w:val="none" w:sz="0" w:space="0" w:color="auto"/>
      </w:divBdr>
    </w:div>
    <w:div w:id="1865748975">
      <w:marLeft w:val="0"/>
      <w:marRight w:val="0"/>
      <w:marTop w:val="0"/>
      <w:marBottom w:val="0"/>
      <w:divBdr>
        <w:top w:val="none" w:sz="0" w:space="0" w:color="auto"/>
        <w:left w:val="none" w:sz="0" w:space="0" w:color="auto"/>
        <w:bottom w:val="none" w:sz="0" w:space="0" w:color="auto"/>
        <w:right w:val="none" w:sz="0" w:space="0" w:color="auto"/>
      </w:divBdr>
    </w:div>
    <w:div w:id="1865748976">
      <w:marLeft w:val="0"/>
      <w:marRight w:val="0"/>
      <w:marTop w:val="0"/>
      <w:marBottom w:val="0"/>
      <w:divBdr>
        <w:top w:val="none" w:sz="0" w:space="0" w:color="auto"/>
        <w:left w:val="none" w:sz="0" w:space="0" w:color="auto"/>
        <w:bottom w:val="none" w:sz="0" w:space="0" w:color="auto"/>
        <w:right w:val="none" w:sz="0" w:space="0" w:color="auto"/>
      </w:divBdr>
    </w:div>
    <w:div w:id="1865748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3964</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es</cp:lastModifiedBy>
  <cp:revision>9</cp:revision>
  <cp:lastPrinted>2013-02-25T20:41:00Z</cp:lastPrinted>
  <dcterms:created xsi:type="dcterms:W3CDTF">2013-02-25T20:15:00Z</dcterms:created>
  <dcterms:modified xsi:type="dcterms:W3CDTF">2013-02-26T01:03:00Z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