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88" w:rsidRPr="00101C61" w:rsidRDefault="002A0C88" w:rsidP="007618C0">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jc w:val="center"/>
      </w:pPr>
    </w:p>
    <w:p w:rsidR="00101C61" w:rsidRPr="005B6431" w:rsidRDefault="00B854D0" w:rsidP="00101C6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jc w:val="center"/>
        <w:rPr>
          <w:szCs w:val="24"/>
        </w:rPr>
      </w:pPr>
      <w:r w:rsidRPr="005B6431">
        <w:rPr>
          <w:szCs w:val="24"/>
        </w:rPr>
        <w:t>Development of the</w:t>
      </w:r>
    </w:p>
    <w:p w:rsidR="00101C61" w:rsidRPr="00487D7A" w:rsidRDefault="00B854D0" w:rsidP="00101C6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jc w:val="center"/>
        <w:rPr>
          <w:szCs w:val="24"/>
        </w:rPr>
      </w:pPr>
      <w:r w:rsidRPr="005B6431">
        <w:rPr>
          <w:szCs w:val="24"/>
        </w:rPr>
        <w:t>Deployment Risk and Resilience Inventory (DRRI)</w:t>
      </w:r>
      <w:r w:rsidR="00101C61" w:rsidRPr="00487D7A">
        <w:rPr>
          <w:szCs w:val="24"/>
        </w:rPr>
        <w:t xml:space="preserve"> </w:t>
      </w:r>
    </w:p>
    <w:p w:rsidR="00101C61" w:rsidRPr="00487D7A" w:rsidRDefault="0075274D" w:rsidP="00101C6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jc w:val="center"/>
        <w:rPr>
          <w:szCs w:val="24"/>
        </w:rPr>
      </w:pPr>
      <w:r>
        <w:rPr>
          <w:szCs w:val="24"/>
        </w:rPr>
        <w:t>Follow-</w:t>
      </w:r>
      <w:r w:rsidR="00600F18">
        <w:rPr>
          <w:szCs w:val="24"/>
        </w:rPr>
        <w:t>U</w:t>
      </w:r>
      <w:r>
        <w:rPr>
          <w:szCs w:val="24"/>
        </w:rPr>
        <w:t xml:space="preserve">p Study, </w:t>
      </w:r>
      <w:r w:rsidR="00101C61" w:rsidRPr="00487D7A">
        <w:rPr>
          <w:szCs w:val="24"/>
        </w:rPr>
        <w:t>VA Form 10-21</w:t>
      </w:r>
      <w:r w:rsidR="00385FC1" w:rsidRPr="00487D7A">
        <w:rPr>
          <w:szCs w:val="24"/>
        </w:rPr>
        <w:t>0</w:t>
      </w:r>
      <w:r w:rsidR="00101C61" w:rsidRPr="00487D7A">
        <w:rPr>
          <w:szCs w:val="24"/>
        </w:rPr>
        <w:t>87</w:t>
      </w:r>
    </w:p>
    <w:p w:rsidR="00101C61" w:rsidRPr="00487D7A" w:rsidRDefault="00101C61" w:rsidP="00101C6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jc w:val="center"/>
        <w:rPr>
          <w:szCs w:val="24"/>
        </w:rPr>
      </w:pPr>
      <w:r w:rsidRPr="00487D7A">
        <w:rPr>
          <w:szCs w:val="24"/>
        </w:rPr>
        <w:t>OMB 2900-</w:t>
      </w:r>
      <w:r w:rsidR="00081732">
        <w:rPr>
          <w:snapToGrid w:val="0"/>
          <w:szCs w:val="24"/>
        </w:rPr>
        <w:t>0730</w:t>
      </w:r>
    </w:p>
    <w:p w:rsidR="002A0C88" w:rsidRPr="00487D7A" w:rsidRDefault="002A0C88" w:rsidP="002A0C88"/>
    <w:p w:rsidR="00536A11" w:rsidRPr="00487D7A" w:rsidRDefault="00536A11">
      <w:pPr>
        <w:tabs>
          <w:tab w:val="left" w:pos="547"/>
          <w:tab w:val="left" w:pos="1080"/>
          <w:tab w:val="left" w:pos="1627"/>
          <w:tab w:val="left" w:pos="2160"/>
          <w:tab w:val="left" w:pos="2880"/>
        </w:tabs>
      </w:pPr>
    </w:p>
    <w:p w:rsidR="00536A11" w:rsidRPr="00487D7A"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Cs w:val="24"/>
        </w:rPr>
      </w:pPr>
      <w:r w:rsidRPr="00487D7A">
        <w:rPr>
          <w:szCs w:val="24"/>
        </w:rPr>
        <w:t>B.</w:t>
      </w:r>
      <w:r w:rsidRPr="00487D7A">
        <w:rPr>
          <w:szCs w:val="24"/>
        </w:rPr>
        <w:tab/>
        <w:t>COLLECTIONS OF INFORMATION EMPLOYING STATISTICAL METHODS</w:t>
      </w:r>
    </w:p>
    <w:p w:rsidR="00536A11" w:rsidRPr="00487D7A" w:rsidRDefault="00536A11">
      <w:pPr>
        <w:tabs>
          <w:tab w:val="left" w:pos="547"/>
          <w:tab w:val="left" w:pos="1080"/>
          <w:tab w:val="left" w:pos="1627"/>
          <w:tab w:val="left" w:pos="2160"/>
          <w:tab w:val="left" w:pos="2880"/>
        </w:tabs>
      </w:pPr>
    </w:p>
    <w:p w:rsidR="00536A11" w:rsidRPr="00487D7A" w:rsidRDefault="00536A11">
      <w:pPr>
        <w:tabs>
          <w:tab w:val="left" w:pos="547"/>
          <w:tab w:val="left" w:pos="1080"/>
          <w:tab w:val="left" w:pos="1627"/>
          <w:tab w:val="left" w:pos="2160"/>
          <w:tab w:val="left" w:pos="2880"/>
        </w:tabs>
        <w:rPr>
          <w:b/>
        </w:rPr>
      </w:pPr>
      <w:r w:rsidRPr="00487D7A">
        <w:rPr>
          <w:b/>
        </w:rPr>
        <w:t>1</w:t>
      </w:r>
      <w:r w:rsidR="00EA41BA" w:rsidRPr="00487D7A">
        <w:rPr>
          <w:b/>
        </w:rPr>
        <w:t>.</w:t>
      </w:r>
      <w:r w:rsidR="00EA41BA" w:rsidRPr="00487D7A">
        <w:rPr>
          <w:b/>
        </w:rPr>
        <w:tab/>
      </w:r>
      <w:r w:rsidRPr="00487D7A">
        <w:rPr>
          <w:b/>
        </w:rPr>
        <w:t>Provide a numerical estimate of the potential respondent universe and describe any sampling or other respondent selection method to be used</w:t>
      </w:r>
      <w:r w:rsidR="00EA41BA" w:rsidRPr="00487D7A">
        <w:rPr>
          <w:b/>
        </w:rPr>
        <w:t xml:space="preserve">. </w:t>
      </w:r>
      <w:r w:rsidRPr="00487D7A">
        <w:rPr>
          <w:b/>
        </w:rPr>
        <w:t xml:space="preserve">Data on the number of entities (e.g., households or persons) in the universe and the corresponding sample are to be provided in tabular format for the universe as a whole and for each </w:t>
      </w:r>
      <w:proofErr w:type="gramStart"/>
      <w:r w:rsidRPr="00487D7A">
        <w:rPr>
          <w:b/>
        </w:rPr>
        <w:t>strata</w:t>
      </w:r>
      <w:proofErr w:type="gramEnd"/>
      <w:r w:rsidR="00EA41BA" w:rsidRPr="00487D7A">
        <w:rPr>
          <w:b/>
        </w:rPr>
        <w:t xml:space="preserve">. </w:t>
      </w:r>
      <w:r w:rsidRPr="00487D7A">
        <w:rPr>
          <w:b/>
        </w:rPr>
        <w:t>Indicate expected response rates</w:t>
      </w:r>
      <w:r w:rsidR="00EA41BA" w:rsidRPr="00487D7A">
        <w:rPr>
          <w:b/>
        </w:rPr>
        <w:t xml:space="preserve">. </w:t>
      </w:r>
      <w:r w:rsidRPr="00487D7A">
        <w:rPr>
          <w:b/>
        </w:rPr>
        <w:t>If this has been conducted previously include actual response rates achieved.</w:t>
      </w:r>
      <w:r w:rsidR="00BE67C7" w:rsidRPr="00487D7A">
        <w:rPr>
          <w:b/>
        </w:rPr>
        <w:t xml:space="preserve"> </w:t>
      </w:r>
    </w:p>
    <w:p w:rsidR="00536A11" w:rsidRDefault="00536A11">
      <w:pPr>
        <w:pStyle w:val="Header"/>
        <w:tabs>
          <w:tab w:val="clear" w:pos="4320"/>
          <w:tab w:val="clear" w:pos="8640"/>
          <w:tab w:val="left" w:pos="547"/>
          <w:tab w:val="left" w:pos="1080"/>
          <w:tab w:val="left" w:pos="1627"/>
          <w:tab w:val="left" w:pos="2160"/>
          <w:tab w:val="left" w:pos="2880"/>
        </w:tabs>
        <w:rPr>
          <w:sz w:val="24"/>
          <w:szCs w:val="24"/>
          <w:highlight w:val="yellow"/>
        </w:rPr>
      </w:pPr>
    </w:p>
    <w:p w:rsidR="00EE0183" w:rsidRDefault="00EE0183">
      <w:pPr>
        <w:pStyle w:val="Header"/>
        <w:tabs>
          <w:tab w:val="clear" w:pos="4320"/>
          <w:tab w:val="clear" w:pos="8640"/>
          <w:tab w:val="left" w:pos="547"/>
          <w:tab w:val="left" w:pos="1080"/>
          <w:tab w:val="left" w:pos="1627"/>
          <w:tab w:val="left" w:pos="2160"/>
          <w:tab w:val="left" w:pos="2880"/>
        </w:tabs>
        <w:rPr>
          <w:sz w:val="24"/>
          <w:szCs w:val="24"/>
          <w:highlight w:val="yellow"/>
        </w:rPr>
      </w:pPr>
    </w:p>
    <w:p w:rsidR="00EE0183" w:rsidRPr="00EE0183" w:rsidRDefault="00EE0183">
      <w:pPr>
        <w:pStyle w:val="Header"/>
        <w:tabs>
          <w:tab w:val="clear" w:pos="4320"/>
          <w:tab w:val="clear" w:pos="8640"/>
          <w:tab w:val="left" w:pos="547"/>
          <w:tab w:val="left" w:pos="1080"/>
          <w:tab w:val="left" w:pos="1627"/>
          <w:tab w:val="left" w:pos="2160"/>
          <w:tab w:val="left" w:pos="2880"/>
        </w:tabs>
        <w:rPr>
          <w:sz w:val="24"/>
          <w:szCs w:val="24"/>
          <w:u w:val="single"/>
        </w:rPr>
      </w:pPr>
      <w:r w:rsidRPr="00EE0183">
        <w:rPr>
          <w:sz w:val="24"/>
          <w:szCs w:val="24"/>
          <w:u w:val="single"/>
        </w:rPr>
        <w:t>Initial Data Collection</w:t>
      </w:r>
      <w:r w:rsidR="00FC0F93">
        <w:rPr>
          <w:sz w:val="24"/>
          <w:szCs w:val="24"/>
          <w:u w:val="single"/>
        </w:rPr>
        <w:t xml:space="preserve"> (completed in 2012)</w:t>
      </w:r>
    </w:p>
    <w:p w:rsidR="00EE0183" w:rsidRPr="00EE0183" w:rsidRDefault="00EE0183">
      <w:pPr>
        <w:pStyle w:val="Header"/>
        <w:tabs>
          <w:tab w:val="clear" w:pos="4320"/>
          <w:tab w:val="clear" w:pos="8640"/>
          <w:tab w:val="left" w:pos="547"/>
          <w:tab w:val="left" w:pos="1080"/>
          <w:tab w:val="left" w:pos="1627"/>
          <w:tab w:val="left" w:pos="2160"/>
          <w:tab w:val="left" w:pos="2880"/>
        </w:tabs>
        <w:rPr>
          <w:sz w:val="24"/>
          <w:szCs w:val="24"/>
        </w:rPr>
      </w:pPr>
    </w:p>
    <w:tbl>
      <w:tblPr>
        <w:tblStyle w:val="TableGrid"/>
        <w:tblW w:w="0" w:type="auto"/>
        <w:tblLook w:val="01E0"/>
      </w:tblPr>
      <w:tblGrid>
        <w:gridCol w:w="2941"/>
        <w:gridCol w:w="2175"/>
        <w:gridCol w:w="2176"/>
        <w:gridCol w:w="2176"/>
      </w:tblGrid>
      <w:tr w:rsidR="0003649F" w:rsidRPr="00487D7A" w:rsidTr="00792BC7">
        <w:tc>
          <w:tcPr>
            <w:tcW w:w="2941" w:type="dxa"/>
          </w:tcPr>
          <w:p w:rsidR="0003649F" w:rsidRPr="00487D7A" w:rsidRDefault="0003649F">
            <w:pPr>
              <w:pStyle w:val="Header"/>
              <w:tabs>
                <w:tab w:val="clear" w:pos="4320"/>
                <w:tab w:val="clear" w:pos="8640"/>
                <w:tab w:val="left" w:pos="547"/>
                <w:tab w:val="left" w:pos="1080"/>
                <w:tab w:val="left" w:pos="1627"/>
                <w:tab w:val="left" w:pos="2160"/>
                <w:tab w:val="left" w:pos="2880"/>
              </w:tabs>
              <w:rPr>
                <w:sz w:val="24"/>
                <w:szCs w:val="24"/>
              </w:rPr>
            </w:pPr>
          </w:p>
        </w:tc>
        <w:tc>
          <w:tcPr>
            <w:tcW w:w="2175" w:type="dxa"/>
          </w:tcPr>
          <w:p w:rsidR="0003649F" w:rsidRPr="00487D7A" w:rsidRDefault="0003649F">
            <w:pPr>
              <w:pStyle w:val="Header"/>
              <w:tabs>
                <w:tab w:val="clear" w:pos="4320"/>
                <w:tab w:val="clear" w:pos="8640"/>
                <w:tab w:val="left" w:pos="547"/>
                <w:tab w:val="left" w:pos="1080"/>
                <w:tab w:val="left" w:pos="1627"/>
                <w:tab w:val="left" w:pos="2160"/>
                <w:tab w:val="left" w:pos="2880"/>
              </w:tabs>
              <w:rPr>
                <w:sz w:val="24"/>
                <w:szCs w:val="24"/>
              </w:rPr>
            </w:pPr>
            <w:r w:rsidRPr="00487D7A">
              <w:rPr>
                <w:sz w:val="24"/>
                <w:szCs w:val="24"/>
              </w:rPr>
              <w:t>Male</w:t>
            </w:r>
          </w:p>
        </w:tc>
        <w:tc>
          <w:tcPr>
            <w:tcW w:w="2176" w:type="dxa"/>
          </w:tcPr>
          <w:p w:rsidR="0003649F" w:rsidRPr="00487D7A" w:rsidRDefault="0003649F">
            <w:pPr>
              <w:pStyle w:val="Header"/>
              <w:tabs>
                <w:tab w:val="clear" w:pos="4320"/>
                <w:tab w:val="clear" w:pos="8640"/>
                <w:tab w:val="left" w:pos="547"/>
                <w:tab w:val="left" w:pos="1080"/>
                <w:tab w:val="left" w:pos="1627"/>
                <w:tab w:val="left" w:pos="2160"/>
                <w:tab w:val="left" w:pos="2880"/>
              </w:tabs>
              <w:rPr>
                <w:sz w:val="24"/>
                <w:szCs w:val="24"/>
              </w:rPr>
            </w:pPr>
            <w:r w:rsidRPr="00487D7A">
              <w:rPr>
                <w:sz w:val="24"/>
                <w:szCs w:val="24"/>
              </w:rPr>
              <w:t>Female</w:t>
            </w:r>
          </w:p>
        </w:tc>
        <w:tc>
          <w:tcPr>
            <w:tcW w:w="2176" w:type="dxa"/>
          </w:tcPr>
          <w:p w:rsidR="0003649F" w:rsidRPr="00487D7A" w:rsidRDefault="0003649F" w:rsidP="001060E1">
            <w:pPr>
              <w:pStyle w:val="Header"/>
              <w:tabs>
                <w:tab w:val="clear" w:pos="4320"/>
                <w:tab w:val="clear" w:pos="8640"/>
                <w:tab w:val="left" w:pos="547"/>
                <w:tab w:val="left" w:pos="1080"/>
                <w:tab w:val="left" w:pos="1627"/>
                <w:tab w:val="left" w:pos="2160"/>
                <w:tab w:val="left" w:pos="2880"/>
              </w:tabs>
              <w:jc w:val="right"/>
              <w:rPr>
                <w:sz w:val="24"/>
                <w:szCs w:val="24"/>
              </w:rPr>
            </w:pPr>
            <w:r w:rsidRPr="00487D7A">
              <w:rPr>
                <w:sz w:val="24"/>
                <w:szCs w:val="24"/>
              </w:rPr>
              <w:t>Total</w:t>
            </w:r>
          </w:p>
        </w:tc>
      </w:tr>
      <w:tr w:rsidR="0003649F" w:rsidRPr="00487D7A" w:rsidTr="00792BC7">
        <w:tc>
          <w:tcPr>
            <w:tcW w:w="2941" w:type="dxa"/>
          </w:tcPr>
          <w:p w:rsidR="0003649F" w:rsidRPr="00487D7A" w:rsidRDefault="0003649F">
            <w:pPr>
              <w:pStyle w:val="Header"/>
              <w:tabs>
                <w:tab w:val="clear" w:pos="4320"/>
                <w:tab w:val="clear" w:pos="8640"/>
                <w:tab w:val="left" w:pos="547"/>
                <w:tab w:val="left" w:pos="1080"/>
                <w:tab w:val="left" w:pos="1627"/>
                <w:tab w:val="left" w:pos="2160"/>
                <w:tab w:val="left" w:pos="2880"/>
              </w:tabs>
              <w:rPr>
                <w:sz w:val="24"/>
                <w:szCs w:val="24"/>
              </w:rPr>
            </w:pPr>
            <w:r w:rsidRPr="00487D7A">
              <w:rPr>
                <w:sz w:val="24"/>
                <w:szCs w:val="24"/>
              </w:rPr>
              <w:t xml:space="preserve">Respondent universe </w:t>
            </w:r>
          </w:p>
        </w:tc>
        <w:tc>
          <w:tcPr>
            <w:tcW w:w="2175" w:type="dxa"/>
          </w:tcPr>
          <w:p w:rsidR="0003649F" w:rsidRPr="00487D7A" w:rsidRDefault="0036349B">
            <w:pPr>
              <w:pStyle w:val="Header"/>
              <w:tabs>
                <w:tab w:val="clear" w:pos="4320"/>
                <w:tab w:val="clear" w:pos="8640"/>
                <w:tab w:val="left" w:pos="547"/>
                <w:tab w:val="left" w:pos="1080"/>
                <w:tab w:val="left" w:pos="1627"/>
                <w:tab w:val="left" w:pos="2160"/>
                <w:tab w:val="left" w:pos="2880"/>
              </w:tabs>
              <w:rPr>
                <w:sz w:val="24"/>
                <w:szCs w:val="24"/>
              </w:rPr>
            </w:pPr>
            <w:r w:rsidRPr="00487D7A">
              <w:rPr>
                <w:sz w:val="24"/>
                <w:szCs w:val="24"/>
              </w:rPr>
              <w:t>1,340,526</w:t>
            </w:r>
          </w:p>
        </w:tc>
        <w:tc>
          <w:tcPr>
            <w:tcW w:w="2176" w:type="dxa"/>
          </w:tcPr>
          <w:p w:rsidR="0003649F" w:rsidRPr="00487D7A" w:rsidRDefault="0036349B">
            <w:pPr>
              <w:pStyle w:val="Header"/>
              <w:tabs>
                <w:tab w:val="clear" w:pos="4320"/>
                <w:tab w:val="clear" w:pos="8640"/>
                <w:tab w:val="left" w:pos="547"/>
                <w:tab w:val="left" w:pos="1080"/>
                <w:tab w:val="left" w:pos="1627"/>
                <w:tab w:val="left" w:pos="2160"/>
                <w:tab w:val="left" w:pos="2880"/>
              </w:tabs>
              <w:rPr>
                <w:sz w:val="24"/>
                <w:szCs w:val="24"/>
              </w:rPr>
            </w:pPr>
            <w:r w:rsidRPr="00487D7A">
              <w:rPr>
                <w:sz w:val="24"/>
                <w:szCs w:val="24"/>
              </w:rPr>
              <w:t>165,683</w:t>
            </w:r>
          </w:p>
        </w:tc>
        <w:tc>
          <w:tcPr>
            <w:tcW w:w="2176" w:type="dxa"/>
          </w:tcPr>
          <w:p w:rsidR="0003649F" w:rsidRPr="00487D7A" w:rsidRDefault="0036349B" w:rsidP="001060E1">
            <w:pPr>
              <w:pStyle w:val="Header"/>
              <w:tabs>
                <w:tab w:val="clear" w:pos="4320"/>
                <w:tab w:val="clear" w:pos="8640"/>
                <w:tab w:val="left" w:pos="547"/>
                <w:tab w:val="left" w:pos="1080"/>
                <w:tab w:val="left" w:pos="1627"/>
                <w:tab w:val="left" w:pos="2160"/>
                <w:tab w:val="left" w:pos="2880"/>
              </w:tabs>
              <w:jc w:val="right"/>
              <w:rPr>
                <w:sz w:val="24"/>
                <w:szCs w:val="24"/>
              </w:rPr>
            </w:pPr>
            <w:r w:rsidRPr="00487D7A">
              <w:rPr>
                <w:sz w:val="24"/>
                <w:szCs w:val="24"/>
              </w:rPr>
              <w:t>1,506,209</w:t>
            </w:r>
          </w:p>
        </w:tc>
      </w:tr>
      <w:tr w:rsidR="0003649F" w:rsidRPr="00487D7A" w:rsidTr="00792BC7">
        <w:tc>
          <w:tcPr>
            <w:tcW w:w="2941" w:type="dxa"/>
          </w:tcPr>
          <w:p w:rsidR="0003649F" w:rsidRPr="00487D7A" w:rsidRDefault="0003649F">
            <w:pPr>
              <w:pStyle w:val="Header"/>
              <w:tabs>
                <w:tab w:val="clear" w:pos="4320"/>
                <w:tab w:val="clear" w:pos="8640"/>
                <w:tab w:val="left" w:pos="547"/>
                <w:tab w:val="left" w:pos="1080"/>
                <w:tab w:val="left" w:pos="1627"/>
                <w:tab w:val="left" w:pos="2160"/>
                <w:tab w:val="left" w:pos="2880"/>
              </w:tabs>
              <w:rPr>
                <w:sz w:val="24"/>
                <w:szCs w:val="24"/>
              </w:rPr>
            </w:pPr>
            <w:r w:rsidRPr="00487D7A">
              <w:rPr>
                <w:sz w:val="24"/>
                <w:szCs w:val="24"/>
              </w:rPr>
              <w:t xml:space="preserve">Corresponding sample </w:t>
            </w:r>
          </w:p>
        </w:tc>
        <w:tc>
          <w:tcPr>
            <w:tcW w:w="2175" w:type="dxa"/>
          </w:tcPr>
          <w:p w:rsidR="0003649F" w:rsidRPr="00487D7A" w:rsidRDefault="00DE29B9">
            <w:pPr>
              <w:pStyle w:val="Header"/>
              <w:tabs>
                <w:tab w:val="clear" w:pos="4320"/>
                <w:tab w:val="clear" w:pos="8640"/>
                <w:tab w:val="left" w:pos="547"/>
                <w:tab w:val="left" w:pos="1080"/>
                <w:tab w:val="left" w:pos="1627"/>
                <w:tab w:val="left" w:pos="2160"/>
                <w:tab w:val="left" w:pos="2880"/>
              </w:tabs>
              <w:rPr>
                <w:sz w:val="24"/>
                <w:szCs w:val="24"/>
              </w:rPr>
            </w:pPr>
            <w:r>
              <w:rPr>
                <w:sz w:val="24"/>
                <w:szCs w:val="24"/>
              </w:rPr>
              <w:t>670</w:t>
            </w:r>
          </w:p>
        </w:tc>
        <w:tc>
          <w:tcPr>
            <w:tcW w:w="2176" w:type="dxa"/>
          </w:tcPr>
          <w:p w:rsidR="0003649F" w:rsidRPr="00487D7A" w:rsidRDefault="00DE29B9">
            <w:pPr>
              <w:pStyle w:val="Header"/>
              <w:tabs>
                <w:tab w:val="clear" w:pos="4320"/>
                <w:tab w:val="clear" w:pos="8640"/>
                <w:tab w:val="left" w:pos="547"/>
                <w:tab w:val="left" w:pos="1080"/>
                <w:tab w:val="left" w:pos="1627"/>
                <w:tab w:val="left" w:pos="2160"/>
                <w:tab w:val="left" w:pos="2880"/>
              </w:tabs>
              <w:rPr>
                <w:sz w:val="24"/>
                <w:szCs w:val="24"/>
              </w:rPr>
            </w:pPr>
            <w:r>
              <w:rPr>
                <w:sz w:val="24"/>
                <w:szCs w:val="24"/>
              </w:rPr>
              <w:t>837</w:t>
            </w:r>
          </w:p>
        </w:tc>
        <w:tc>
          <w:tcPr>
            <w:tcW w:w="2176" w:type="dxa"/>
          </w:tcPr>
          <w:p w:rsidR="0003649F" w:rsidRPr="00487D7A" w:rsidRDefault="00EE0183" w:rsidP="001060E1">
            <w:pPr>
              <w:pStyle w:val="Header"/>
              <w:tabs>
                <w:tab w:val="clear" w:pos="4320"/>
                <w:tab w:val="clear" w:pos="8640"/>
                <w:tab w:val="left" w:pos="547"/>
                <w:tab w:val="left" w:pos="1080"/>
                <w:tab w:val="left" w:pos="1627"/>
                <w:tab w:val="left" w:pos="2160"/>
                <w:tab w:val="left" w:pos="2880"/>
              </w:tabs>
              <w:jc w:val="right"/>
              <w:rPr>
                <w:sz w:val="24"/>
                <w:szCs w:val="24"/>
              </w:rPr>
            </w:pPr>
            <w:r>
              <w:rPr>
                <w:sz w:val="24"/>
                <w:szCs w:val="24"/>
              </w:rPr>
              <w:t>150</w:t>
            </w:r>
            <w:r w:rsidR="00DE29B9">
              <w:rPr>
                <w:sz w:val="24"/>
                <w:szCs w:val="24"/>
              </w:rPr>
              <w:t>7</w:t>
            </w:r>
          </w:p>
        </w:tc>
      </w:tr>
    </w:tbl>
    <w:p w:rsidR="0017571E" w:rsidRDefault="0017571E" w:rsidP="002F3352"/>
    <w:p w:rsidR="00DE7F73" w:rsidRDefault="002F3352" w:rsidP="00A33198">
      <w:r w:rsidRPr="00487D7A">
        <w:t xml:space="preserve">The respondent universe </w:t>
      </w:r>
      <w:r w:rsidR="00EE0183">
        <w:t xml:space="preserve">for </w:t>
      </w:r>
      <w:r w:rsidR="00DE7F73">
        <w:t xml:space="preserve">both waves of the initial data collection </w:t>
      </w:r>
      <w:r w:rsidRPr="00487D7A">
        <w:t>include</w:t>
      </w:r>
      <w:r w:rsidR="00EE0183">
        <w:t>d</w:t>
      </w:r>
      <w:r w:rsidRPr="00487D7A">
        <w:t xml:space="preserve"> all individuals who </w:t>
      </w:r>
      <w:r w:rsidR="0036349B" w:rsidRPr="00487D7A">
        <w:t>were deployed to Iraq or Afghanistan since 2001</w:t>
      </w:r>
      <w:r w:rsidR="007B6A9B" w:rsidRPr="00487D7A">
        <w:t xml:space="preserve">. </w:t>
      </w:r>
      <w:r w:rsidR="00DE7F73">
        <w:t xml:space="preserve"> For Wave I, there were 1,200 potential participants, of which 202 could not be reached</w:t>
      </w:r>
      <w:r w:rsidR="00DE7F73" w:rsidRPr="00AD082D">
        <w:t xml:space="preserve">, with mailing materials returned to the </w:t>
      </w:r>
      <w:r w:rsidR="00DE7F73">
        <w:t>research team as undeliverable.  Of the 998 remaining potential participants</w:t>
      </w:r>
      <w:r w:rsidR="00DE7F73" w:rsidRPr="00AD082D">
        <w:t xml:space="preserve"> </w:t>
      </w:r>
      <w:r w:rsidR="00DE7F73">
        <w:t>who we believe were likely to have received the mailing (i.e., mailings were not returned as undeliverable)</w:t>
      </w:r>
      <w:r w:rsidR="00DE7F73" w:rsidRPr="00AD082D">
        <w:t xml:space="preserve">, 85 declined participation </w:t>
      </w:r>
      <w:r w:rsidR="00DE7F73">
        <w:t>by returning an opt-out letter</w:t>
      </w:r>
      <w:r w:rsidR="00DE7F73" w:rsidRPr="00AD082D">
        <w:t>.  We received completed surveys from 463 Veterans</w:t>
      </w:r>
      <w:r w:rsidR="00DE7F73">
        <w:t xml:space="preserve"> (59% female, 41% male)</w:t>
      </w:r>
      <w:r w:rsidR="00DE7F73" w:rsidRPr="00AD082D">
        <w:t xml:space="preserve">, yielding </w:t>
      </w:r>
      <w:r w:rsidR="00DE7F73" w:rsidRPr="00F344BD">
        <w:t>a response rate of 46.4%.</w:t>
      </w:r>
      <w:r w:rsidR="00DE7F73" w:rsidRPr="00AD082D">
        <w:t xml:space="preserve">  </w:t>
      </w:r>
      <w:r w:rsidR="00DE7F73">
        <w:t xml:space="preserve">Of the 463 participants, 71% were Veterans of OEF and 29% were Veterans of OIF.  With respect to component, 53% were deployed from Active Duty, 26% </w:t>
      </w:r>
      <w:r w:rsidR="003D6118">
        <w:t>from the National Guard, and 20%</w:t>
      </w:r>
      <w:r w:rsidR="00DE7F73">
        <w:t xml:space="preserve"> from the Reserves.  The mean age of participants at the time of survey completion was 35.</w:t>
      </w:r>
    </w:p>
    <w:p w:rsidR="00DE7F73" w:rsidRDefault="00DE7F73" w:rsidP="00A33198"/>
    <w:p w:rsidR="00DE7F73" w:rsidRDefault="00DE7F73" w:rsidP="00A33198">
      <w:pPr>
        <w:rPr>
          <w:bCs/>
          <w:iCs/>
        </w:rPr>
      </w:pPr>
      <w:r>
        <w:t>T</w:t>
      </w:r>
      <w:r w:rsidRPr="00DE7F73">
        <w:t xml:space="preserve">he number of potential participants </w:t>
      </w:r>
      <w:r>
        <w:t>for Wave 2</w:t>
      </w:r>
      <w:r w:rsidR="00E2149E">
        <w:t xml:space="preserve"> </w:t>
      </w:r>
      <w:r w:rsidR="004E0519">
        <w:t xml:space="preserve">of the initial data collection </w:t>
      </w:r>
      <w:r w:rsidR="00E2149E">
        <w:t>was 3097</w:t>
      </w:r>
      <w:r w:rsidRPr="00DE7F73">
        <w:t xml:space="preserve">.  </w:t>
      </w:r>
      <w:r>
        <w:t>Of these potential participants</w:t>
      </w:r>
      <w:r w:rsidRPr="00DE7F73">
        <w:t xml:space="preserve">, 398 could not be reached, with mailing materials returned to the research team as </w:t>
      </w:r>
      <w:r w:rsidR="00427325">
        <w:t>undeliverable, resulting in 2699</w:t>
      </w:r>
      <w:r w:rsidRPr="00DE7F73">
        <w:t xml:space="preserve"> potential participants being eligible to receive the survey.  Of those whom we believe were likely to have received the survey (i.e., mailings were not returned as undeliverable), 77 declined participation by returning an opt-out letter.  We rece</w:t>
      </w:r>
      <w:r w:rsidR="00427325">
        <w:t>ived completed surveys from 1,044 Veterans (54% female, 46</w:t>
      </w:r>
      <w:r w:rsidRPr="00DE7F73">
        <w:t>% male)</w:t>
      </w:r>
      <w:r w:rsidR="00427325">
        <w:t>, yielding a response rate of 38.7%.  Of the 1,044 participants, 34% were Veterans of OEF and 66</w:t>
      </w:r>
      <w:r w:rsidRPr="00DE7F73">
        <w:t>% were Veterans of OIF.  With respect to component, 57% were from Active Duty,</w:t>
      </w:r>
      <w:r w:rsidR="00427325">
        <w:t xml:space="preserve"> 26% were National Guard, and 18</w:t>
      </w:r>
      <w:r w:rsidRPr="00DE7F73">
        <w:t xml:space="preserve">% were Reservists during deployment.  </w:t>
      </w:r>
      <w:r w:rsidRPr="00DE7F73">
        <w:rPr>
          <w:bCs/>
          <w:iCs/>
        </w:rPr>
        <w:t>The average age of participants wa</w:t>
      </w:r>
      <w:r w:rsidR="00427325">
        <w:rPr>
          <w:bCs/>
          <w:iCs/>
        </w:rPr>
        <w:t>s 35</w:t>
      </w:r>
      <w:r w:rsidRPr="00DE7F73">
        <w:rPr>
          <w:bCs/>
          <w:iCs/>
        </w:rPr>
        <w:t xml:space="preserve">.  </w:t>
      </w:r>
    </w:p>
    <w:p w:rsidR="00DE7F73" w:rsidRDefault="00DE7F73" w:rsidP="00A33198">
      <w:pPr>
        <w:rPr>
          <w:bCs/>
          <w:iCs/>
        </w:rPr>
      </w:pPr>
    </w:p>
    <w:p w:rsidR="00DE7F73" w:rsidRDefault="00DE7F73" w:rsidP="00A33198">
      <w:pPr>
        <w:rPr>
          <w:bCs/>
          <w:iCs/>
        </w:rPr>
      </w:pPr>
    </w:p>
    <w:p w:rsidR="00DE7F73" w:rsidRDefault="00DE7F73" w:rsidP="00A33198"/>
    <w:p w:rsidR="00EE0183" w:rsidRPr="00FC0F93" w:rsidRDefault="00EE0183" w:rsidP="00EE0183">
      <w:pPr>
        <w:rPr>
          <w:u w:val="single"/>
        </w:rPr>
      </w:pPr>
      <w:r w:rsidRPr="00FC0F93">
        <w:rPr>
          <w:u w:val="single"/>
        </w:rPr>
        <w:lastRenderedPageBreak/>
        <w:t>Follow-up Data Collection</w:t>
      </w:r>
      <w:r w:rsidR="006B39F7">
        <w:rPr>
          <w:u w:val="single"/>
        </w:rPr>
        <w:t xml:space="preserve"> Proposed for this </w:t>
      </w:r>
      <w:r w:rsidR="004E0519">
        <w:rPr>
          <w:u w:val="single"/>
        </w:rPr>
        <w:t>Revision</w:t>
      </w:r>
    </w:p>
    <w:p w:rsidR="00EE0183" w:rsidRDefault="00EE0183" w:rsidP="00A33198"/>
    <w:tbl>
      <w:tblPr>
        <w:tblStyle w:val="TableGrid"/>
        <w:tblW w:w="0" w:type="auto"/>
        <w:tblLook w:val="01E0"/>
      </w:tblPr>
      <w:tblGrid>
        <w:gridCol w:w="2941"/>
        <w:gridCol w:w="2175"/>
        <w:gridCol w:w="2176"/>
        <w:gridCol w:w="2176"/>
      </w:tblGrid>
      <w:tr w:rsidR="00EE0183" w:rsidRPr="00487D7A" w:rsidTr="00EE0183">
        <w:tc>
          <w:tcPr>
            <w:tcW w:w="2941" w:type="dxa"/>
          </w:tcPr>
          <w:p w:rsidR="00EE0183" w:rsidRPr="00487D7A" w:rsidRDefault="00EE0183" w:rsidP="00EE0183">
            <w:pPr>
              <w:pStyle w:val="Header"/>
              <w:tabs>
                <w:tab w:val="clear" w:pos="4320"/>
                <w:tab w:val="clear" w:pos="8640"/>
                <w:tab w:val="left" w:pos="547"/>
                <w:tab w:val="left" w:pos="1080"/>
                <w:tab w:val="left" w:pos="1627"/>
                <w:tab w:val="left" w:pos="2160"/>
                <w:tab w:val="left" w:pos="2880"/>
              </w:tabs>
              <w:rPr>
                <w:sz w:val="24"/>
                <w:szCs w:val="24"/>
              </w:rPr>
            </w:pPr>
          </w:p>
        </w:tc>
        <w:tc>
          <w:tcPr>
            <w:tcW w:w="2175" w:type="dxa"/>
          </w:tcPr>
          <w:p w:rsidR="00EE0183" w:rsidRPr="00487D7A" w:rsidRDefault="00EE0183" w:rsidP="00EE0183">
            <w:pPr>
              <w:pStyle w:val="Header"/>
              <w:tabs>
                <w:tab w:val="clear" w:pos="4320"/>
                <w:tab w:val="clear" w:pos="8640"/>
                <w:tab w:val="left" w:pos="547"/>
                <w:tab w:val="left" w:pos="1080"/>
                <w:tab w:val="left" w:pos="1627"/>
                <w:tab w:val="left" w:pos="2160"/>
                <w:tab w:val="left" w:pos="2880"/>
              </w:tabs>
              <w:rPr>
                <w:sz w:val="24"/>
                <w:szCs w:val="24"/>
              </w:rPr>
            </w:pPr>
            <w:r w:rsidRPr="00487D7A">
              <w:rPr>
                <w:sz w:val="24"/>
                <w:szCs w:val="24"/>
              </w:rPr>
              <w:t>Male</w:t>
            </w:r>
          </w:p>
        </w:tc>
        <w:tc>
          <w:tcPr>
            <w:tcW w:w="2176" w:type="dxa"/>
          </w:tcPr>
          <w:p w:rsidR="00EE0183" w:rsidRPr="00487D7A" w:rsidRDefault="00EE0183" w:rsidP="00EE0183">
            <w:pPr>
              <w:pStyle w:val="Header"/>
              <w:tabs>
                <w:tab w:val="clear" w:pos="4320"/>
                <w:tab w:val="clear" w:pos="8640"/>
                <w:tab w:val="left" w:pos="547"/>
                <w:tab w:val="left" w:pos="1080"/>
                <w:tab w:val="left" w:pos="1627"/>
                <w:tab w:val="left" w:pos="2160"/>
                <w:tab w:val="left" w:pos="2880"/>
              </w:tabs>
              <w:rPr>
                <w:sz w:val="24"/>
                <w:szCs w:val="24"/>
              </w:rPr>
            </w:pPr>
            <w:r w:rsidRPr="00487D7A">
              <w:rPr>
                <w:sz w:val="24"/>
                <w:szCs w:val="24"/>
              </w:rPr>
              <w:t>Female</w:t>
            </w:r>
          </w:p>
        </w:tc>
        <w:tc>
          <w:tcPr>
            <w:tcW w:w="2176" w:type="dxa"/>
          </w:tcPr>
          <w:p w:rsidR="00EE0183" w:rsidRPr="00487D7A" w:rsidRDefault="00EE0183" w:rsidP="00EE0183">
            <w:pPr>
              <w:pStyle w:val="Header"/>
              <w:tabs>
                <w:tab w:val="clear" w:pos="4320"/>
                <w:tab w:val="clear" w:pos="8640"/>
                <w:tab w:val="left" w:pos="547"/>
                <w:tab w:val="left" w:pos="1080"/>
                <w:tab w:val="left" w:pos="1627"/>
                <w:tab w:val="left" w:pos="2160"/>
                <w:tab w:val="left" w:pos="2880"/>
              </w:tabs>
              <w:jc w:val="right"/>
              <w:rPr>
                <w:sz w:val="24"/>
                <w:szCs w:val="24"/>
              </w:rPr>
            </w:pPr>
            <w:r w:rsidRPr="00487D7A">
              <w:rPr>
                <w:sz w:val="24"/>
                <w:szCs w:val="24"/>
              </w:rPr>
              <w:t>Total</w:t>
            </w:r>
          </w:p>
        </w:tc>
      </w:tr>
      <w:tr w:rsidR="00EE0183" w:rsidRPr="00487D7A" w:rsidTr="00EE0183">
        <w:tc>
          <w:tcPr>
            <w:tcW w:w="2941" w:type="dxa"/>
          </w:tcPr>
          <w:p w:rsidR="00EE0183" w:rsidRPr="00487D7A" w:rsidRDefault="00EE0183" w:rsidP="00EE0183">
            <w:pPr>
              <w:pStyle w:val="Header"/>
              <w:tabs>
                <w:tab w:val="clear" w:pos="4320"/>
                <w:tab w:val="clear" w:pos="8640"/>
                <w:tab w:val="left" w:pos="547"/>
                <w:tab w:val="left" w:pos="1080"/>
                <w:tab w:val="left" w:pos="1627"/>
                <w:tab w:val="left" w:pos="2160"/>
                <w:tab w:val="left" w:pos="2880"/>
              </w:tabs>
              <w:rPr>
                <w:sz w:val="24"/>
                <w:szCs w:val="24"/>
              </w:rPr>
            </w:pPr>
            <w:r w:rsidRPr="00487D7A">
              <w:rPr>
                <w:sz w:val="24"/>
                <w:szCs w:val="24"/>
              </w:rPr>
              <w:t xml:space="preserve">Respondent universe </w:t>
            </w:r>
          </w:p>
        </w:tc>
        <w:tc>
          <w:tcPr>
            <w:tcW w:w="2175" w:type="dxa"/>
          </w:tcPr>
          <w:p w:rsidR="00EE0183" w:rsidRPr="00487D7A" w:rsidRDefault="00A91B40" w:rsidP="00EE0183">
            <w:pPr>
              <w:pStyle w:val="Header"/>
              <w:tabs>
                <w:tab w:val="clear" w:pos="4320"/>
                <w:tab w:val="clear" w:pos="8640"/>
                <w:tab w:val="left" w:pos="547"/>
                <w:tab w:val="left" w:pos="1080"/>
                <w:tab w:val="left" w:pos="1627"/>
                <w:tab w:val="left" w:pos="2160"/>
                <w:tab w:val="left" w:pos="2880"/>
              </w:tabs>
              <w:rPr>
                <w:sz w:val="24"/>
                <w:szCs w:val="24"/>
              </w:rPr>
            </w:pPr>
            <w:r>
              <w:rPr>
                <w:sz w:val="24"/>
                <w:szCs w:val="24"/>
              </w:rPr>
              <w:t xml:space="preserve"> </w:t>
            </w:r>
            <w:r w:rsidR="00A202F7">
              <w:rPr>
                <w:sz w:val="24"/>
                <w:szCs w:val="24"/>
              </w:rPr>
              <w:t>480</w:t>
            </w:r>
          </w:p>
        </w:tc>
        <w:tc>
          <w:tcPr>
            <w:tcW w:w="2176" w:type="dxa"/>
          </w:tcPr>
          <w:p w:rsidR="00EE0183" w:rsidRPr="00487D7A" w:rsidRDefault="00A91B40" w:rsidP="00EE0183">
            <w:pPr>
              <w:pStyle w:val="Header"/>
              <w:tabs>
                <w:tab w:val="clear" w:pos="4320"/>
                <w:tab w:val="clear" w:pos="8640"/>
                <w:tab w:val="left" w:pos="547"/>
                <w:tab w:val="left" w:pos="1080"/>
                <w:tab w:val="left" w:pos="1627"/>
                <w:tab w:val="left" w:pos="2160"/>
                <w:tab w:val="left" w:pos="2880"/>
              </w:tabs>
              <w:rPr>
                <w:sz w:val="24"/>
                <w:szCs w:val="24"/>
              </w:rPr>
            </w:pPr>
            <w:r>
              <w:rPr>
                <w:sz w:val="24"/>
                <w:szCs w:val="24"/>
              </w:rPr>
              <w:t xml:space="preserve"> </w:t>
            </w:r>
            <w:r w:rsidR="00FD5F6E">
              <w:rPr>
                <w:sz w:val="24"/>
                <w:szCs w:val="24"/>
              </w:rPr>
              <w:t>5</w:t>
            </w:r>
            <w:r w:rsidR="00722216">
              <w:rPr>
                <w:sz w:val="24"/>
                <w:szCs w:val="24"/>
              </w:rPr>
              <w:t>64</w:t>
            </w:r>
          </w:p>
        </w:tc>
        <w:tc>
          <w:tcPr>
            <w:tcW w:w="2176" w:type="dxa"/>
          </w:tcPr>
          <w:p w:rsidR="00EE0183" w:rsidRPr="00487D7A" w:rsidRDefault="00EE0183" w:rsidP="00EE0183">
            <w:pPr>
              <w:pStyle w:val="Header"/>
              <w:tabs>
                <w:tab w:val="clear" w:pos="4320"/>
                <w:tab w:val="clear" w:pos="8640"/>
                <w:tab w:val="left" w:pos="547"/>
                <w:tab w:val="left" w:pos="1080"/>
                <w:tab w:val="left" w:pos="1627"/>
                <w:tab w:val="left" w:pos="2160"/>
                <w:tab w:val="left" w:pos="2880"/>
              </w:tabs>
              <w:jc w:val="right"/>
              <w:rPr>
                <w:sz w:val="24"/>
                <w:szCs w:val="24"/>
              </w:rPr>
            </w:pPr>
            <w:r w:rsidRPr="00487D7A">
              <w:rPr>
                <w:sz w:val="24"/>
                <w:szCs w:val="24"/>
              </w:rPr>
              <w:t>1,</w:t>
            </w:r>
            <w:r w:rsidR="00FD5F6E">
              <w:rPr>
                <w:sz w:val="24"/>
                <w:szCs w:val="24"/>
              </w:rPr>
              <w:t>0</w:t>
            </w:r>
            <w:r w:rsidR="00722216">
              <w:rPr>
                <w:sz w:val="24"/>
                <w:szCs w:val="24"/>
              </w:rPr>
              <w:t>44</w:t>
            </w:r>
          </w:p>
        </w:tc>
      </w:tr>
      <w:tr w:rsidR="00EE0183" w:rsidRPr="00487D7A" w:rsidTr="00EE0183">
        <w:tc>
          <w:tcPr>
            <w:tcW w:w="2941" w:type="dxa"/>
          </w:tcPr>
          <w:p w:rsidR="00EE0183" w:rsidRPr="00487D7A" w:rsidRDefault="00EE0183" w:rsidP="00EE0183">
            <w:pPr>
              <w:pStyle w:val="Header"/>
              <w:tabs>
                <w:tab w:val="clear" w:pos="4320"/>
                <w:tab w:val="clear" w:pos="8640"/>
                <w:tab w:val="left" w:pos="547"/>
                <w:tab w:val="left" w:pos="1080"/>
                <w:tab w:val="left" w:pos="1627"/>
                <w:tab w:val="left" w:pos="2160"/>
                <w:tab w:val="left" w:pos="2880"/>
              </w:tabs>
              <w:rPr>
                <w:sz w:val="24"/>
                <w:szCs w:val="24"/>
              </w:rPr>
            </w:pPr>
            <w:r w:rsidRPr="00487D7A">
              <w:rPr>
                <w:sz w:val="24"/>
                <w:szCs w:val="24"/>
              </w:rPr>
              <w:t xml:space="preserve">Corresponding sample </w:t>
            </w:r>
          </w:p>
        </w:tc>
        <w:tc>
          <w:tcPr>
            <w:tcW w:w="2175" w:type="dxa"/>
          </w:tcPr>
          <w:p w:rsidR="00EE0183" w:rsidRPr="00487D7A" w:rsidRDefault="00EE0183" w:rsidP="00EE0183">
            <w:pPr>
              <w:pStyle w:val="Header"/>
              <w:tabs>
                <w:tab w:val="clear" w:pos="4320"/>
                <w:tab w:val="clear" w:pos="8640"/>
                <w:tab w:val="left" w:pos="547"/>
                <w:tab w:val="left" w:pos="1080"/>
                <w:tab w:val="left" w:pos="1627"/>
                <w:tab w:val="left" w:pos="2160"/>
                <w:tab w:val="left" w:pos="2880"/>
              </w:tabs>
              <w:rPr>
                <w:sz w:val="24"/>
                <w:szCs w:val="24"/>
              </w:rPr>
            </w:pPr>
            <w:r>
              <w:rPr>
                <w:sz w:val="24"/>
                <w:szCs w:val="24"/>
              </w:rPr>
              <w:t xml:space="preserve"> </w:t>
            </w:r>
            <w:r w:rsidR="00722216">
              <w:rPr>
                <w:sz w:val="24"/>
                <w:szCs w:val="24"/>
              </w:rPr>
              <w:t>3</w:t>
            </w:r>
            <w:r w:rsidR="008B539B">
              <w:rPr>
                <w:sz w:val="24"/>
                <w:szCs w:val="24"/>
              </w:rPr>
              <w:t>47</w:t>
            </w:r>
          </w:p>
        </w:tc>
        <w:tc>
          <w:tcPr>
            <w:tcW w:w="2176" w:type="dxa"/>
          </w:tcPr>
          <w:p w:rsidR="00EE0183" w:rsidRPr="00487D7A" w:rsidRDefault="00EE0183" w:rsidP="00EE0183">
            <w:pPr>
              <w:pStyle w:val="Header"/>
              <w:tabs>
                <w:tab w:val="clear" w:pos="4320"/>
                <w:tab w:val="clear" w:pos="8640"/>
                <w:tab w:val="left" w:pos="547"/>
                <w:tab w:val="left" w:pos="1080"/>
                <w:tab w:val="left" w:pos="1627"/>
                <w:tab w:val="left" w:pos="2160"/>
                <w:tab w:val="left" w:pos="2880"/>
              </w:tabs>
              <w:rPr>
                <w:sz w:val="24"/>
                <w:szCs w:val="24"/>
              </w:rPr>
            </w:pPr>
            <w:r>
              <w:rPr>
                <w:sz w:val="24"/>
                <w:szCs w:val="24"/>
              </w:rPr>
              <w:t xml:space="preserve"> </w:t>
            </w:r>
            <w:r w:rsidR="008B539B">
              <w:rPr>
                <w:sz w:val="24"/>
                <w:szCs w:val="24"/>
              </w:rPr>
              <w:t>407</w:t>
            </w:r>
          </w:p>
        </w:tc>
        <w:tc>
          <w:tcPr>
            <w:tcW w:w="2176" w:type="dxa"/>
          </w:tcPr>
          <w:p w:rsidR="00EE0183" w:rsidRPr="00487D7A" w:rsidRDefault="00EE0183" w:rsidP="00EE0183">
            <w:pPr>
              <w:pStyle w:val="Header"/>
              <w:tabs>
                <w:tab w:val="clear" w:pos="4320"/>
                <w:tab w:val="clear" w:pos="8640"/>
                <w:tab w:val="left" w:pos="547"/>
                <w:tab w:val="left" w:pos="1080"/>
                <w:tab w:val="left" w:pos="1627"/>
                <w:tab w:val="left" w:pos="2160"/>
                <w:tab w:val="left" w:pos="2880"/>
              </w:tabs>
              <w:jc w:val="right"/>
              <w:rPr>
                <w:sz w:val="24"/>
                <w:szCs w:val="24"/>
              </w:rPr>
            </w:pPr>
            <w:r>
              <w:rPr>
                <w:sz w:val="24"/>
                <w:szCs w:val="24"/>
              </w:rPr>
              <w:t xml:space="preserve"> </w:t>
            </w:r>
            <w:r w:rsidR="00A202F7">
              <w:rPr>
                <w:sz w:val="24"/>
                <w:szCs w:val="24"/>
              </w:rPr>
              <w:t>7</w:t>
            </w:r>
            <w:r w:rsidR="008B539B">
              <w:rPr>
                <w:sz w:val="24"/>
                <w:szCs w:val="24"/>
              </w:rPr>
              <w:t>54</w:t>
            </w:r>
          </w:p>
        </w:tc>
      </w:tr>
    </w:tbl>
    <w:p w:rsidR="00EE0183" w:rsidRDefault="00EE0183" w:rsidP="00A33198"/>
    <w:p w:rsidR="004E0519" w:rsidRPr="004E0519" w:rsidRDefault="00EE0183" w:rsidP="004E0519">
      <w:pPr>
        <w:tabs>
          <w:tab w:val="left" w:pos="360"/>
        </w:tabs>
      </w:pPr>
      <w:r w:rsidRPr="00487D7A">
        <w:t xml:space="preserve">The respondent universe </w:t>
      </w:r>
      <w:r>
        <w:t xml:space="preserve">for the follow-up data collection </w:t>
      </w:r>
      <w:r w:rsidRPr="00487D7A">
        <w:t>include</w:t>
      </w:r>
      <w:r>
        <w:t>s</w:t>
      </w:r>
      <w:r w:rsidRPr="00487D7A">
        <w:t xml:space="preserve"> </w:t>
      </w:r>
      <w:r>
        <w:t>participants from the second wave</w:t>
      </w:r>
      <w:r w:rsidR="00FD5F6E">
        <w:t xml:space="preserve"> of the initial data collection.  </w:t>
      </w:r>
      <w:r w:rsidRPr="0007216A">
        <w:t xml:space="preserve">All participants from the </w:t>
      </w:r>
      <w:r>
        <w:t>initial</w:t>
      </w:r>
      <w:r w:rsidRPr="0007216A">
        <w:t xml:space="preserve"> sample who agreed to be </w:t>
      </w:r>
      <w:r w:rsidR="00A202F7">
        <w:t>re-</w:t>
      </w:r>
      <w:r w:rsidRPr="0007216A">
        <w:t xml:space="preserve">contacted </w:t>
      </w:r>
      <w:r w:rsidR="00A202F7">
        <w:t xml:space="preserve">(approximately 85% of the sample) </w:t>
      </w:r>
      <w:r w:rsidRPr="0007216A">
        <w:t xml:space="preserve">will be invited to participate in both </w:t>
      </w:r>
      <w:r>
        <w:t>follow-up</w:t>
      </w:r>
      <w:r w:rsidRPr="0007216A">
        <w:t xml:space="preserve"> data </w:t>
      </w:r>
      <w:r w:rsidRPr="004E0519">
        <w:t xml:space="preserve">collections.  </w:t>
      </w:r>
      <w:r w:rsidR="008B539B" w:rsidRPr="004E0519">
        <w:t>Of the eligible sample, a</w:t>
      </w:r>
      <w:r w:rsidR="00FD5F6E" w:rsidRPr="004E0519">
        <w:t xml:space="preserve"> response rate of approximately </w:t>
      </w:r>
      <w:r w:rsidR="008B539B" w:rsidRPr="004E0519">
        <w:t xml:space="preserve">85% (range: </w:t>
      </w:r>
      <w:r w:rsidR="00FD5F6E" w:rsidRPr="004E0519">
        <w:t>80</w:t>
      </w:r>
      <w:r w:rsidR="008B539B" w:rsidRPr="004E0519">
        <w:t>-90</w:t>
      </w:r>
      <w:r w:rsidR="00FD5F6E" w:rsidRPr="004E0519">
        <w:t>%</w:t>
      </w:r>
      <w:r w:rsidR="008B539B" w:rsidRPr="004E0519">
        <w:t>)</w:t>
      </w:r>
      <w:r w:rsidR="00FD5F6E" w:rsidRPr="004E0519">
        <w:t xml:space="preserve"> is anticipated.</w:t>
      </w:r>
      <w:r w:rsidR="004E0519" w:rsidRPr="004E0519">
        <w:t xml:space="preserve"> </w:t>
      </w:r>
      <w:r w:rsidR="00656967" w:rsidRPr="00656967">
        <w:t xml:space="preserve">We anticipate a high response rate </w:t>
      </w:r>
      <w:r w:rsidR="006B39F7">
        <w:t>because</w:t>
      </w:r>
      <w:r w:rsidR="00656967" w:rsidRPr="00656967">
        <w:t xml:space="preserve"> potential participants are individuals who have a pre-existing investment in the research and prior research has shown higher response rates to follow-up data collections.  For example, among Veterans who completed an initial survey for a recent HSR&amp;D study of OEF/OIF Veterans that applied the same re-contact protocol (i.e., Dr. Susan </w:t>
      </w:r>
      <w:proofErr w:type="spellStart"/>
      <w:r w:rsidR="00656967" w:rsidRPr="00656967">
        <w:t>Eisen’s</w:t>
      </w:r>
      <w:proofErr w:type="spellEnd"/>
      <w:r w:rsidR="00656967" w:rsidRPr="00656967">
        <w:t xml:space="preserve"> project, </w:t>
      </w:r>
      <w:r w:rsidR="00656967" w:rsidRPr="00656967">
        <w:rPr>
          <w:bCs/>
        </w:rPr>
        <w:t>IAC 06-259)</w:t>
      </w:r>
      <w:r w:rsidR="00656967" w:rsidRPr="00656967">
        <w:t xml:space="preserve"> 86%</w:t>
      </w:r>
      <w:r w:rsidR="00656967" w:rsidRPr="00656967">
        <w:rPr>
          <w:bCs/>
        </w:rPr>
        <w:t xml:space="preserve"> participated in the follow-up survey.  </w:t>
      </w:r>
    </w:p>
    <w:p w:rsidR="00EE0183" w:rsidRPr="004E0519" w:rsidRDefault="00EE0183" w:rsidP="00EE0183">
      <w:pPr>
        <w:rPr>
          <w:highlight w:val="yellow"/>
        </w:rPr>
      </w:pPr>
    </w:p>
    <w:p w:rsidR="00536A11" w:rsidRPr="00487D7A" w:rsidRDefault="00536A11">
      <w:pPr>
        <w:numPr>
          <w:ilvl w:val="0"/>
          <w:numId w:val="1"/>
        </w:numPr>
        <w:tabs>
          <w:tab w:val="clear" w:pos="360"/>
          <w:tab w:val="left" w:pos="547"/>
          <w:tab w:val="left" w:pos="1080"/>
          <w:tab w:val="left" w:pos="1627"/>
          <w:tab w:val="left" w:pos="2160"/>
          <w:tab w:val="left" w:pos="2880"/>
        </w:tabs>
        <w:rPr>
          <w:b/>
        </w:rPr>
      </w:pPr>
      <w:r w:rsidRPr="00487D7A">
        <w:rPr>
          <w:b/>
        </w:rPr>
        <w:t>Describe the procedures for the collection of information, including:</w:t>
      </w:r>
    </w:p>
    <w:p w:rsidR="00536A11" w:rsidRPr="00487D7A" w:rsidRDefault="00536A11" w:rsidP="00EC7D6D">
      <w:pPr>
        <w:numPr>
          <w:ilvl w:val="0"/>
          <w:numId w:val="2"/>
        </w:numPr>
        <w:tabs>
          <w:tab w:val="clear" w:pos="360"/>
          <w:tab w:val="left" w:pos="547"/>
          <w:tab w:val="left" w:pos="1080"/>
          <w:tab w:val="left" w:pos="1627"/>
          <w:tab w:val="left" w:pos="2160"/>
          <w:tab w:val="left" w:pos="2880"/>
        </w:tabs>
        <w:ind w:left="900"/>
        <w:rPr>
          <w:b/>
        </w:rPr>
      </w:pPr>
      <w:r w:rsidRPr="00487D7A">
        <w:rPr>
          <w:b/>
        </w:rPr>
        <w:t>Statistical methodology for stratification and sample selection</w:t>
      </w:r>
    </w:p>
    <w:p w:rsidR="00536A11" w:rsidRPr="00487D7A" w:rsidRDefault="00536A11" w:rsidP="00EC7D6D">
      <w:pPr>
        <w:numPr>
          <w:ilvl w:val="0"/>
          <w:numId w:val="2"/>
        </w:numPr>
        <w:tabs>
          <w:tab w:val="clear" w:pos="360"/>
          <w:tab w:val="left" w:pos="547"/>
          <w:tab w:val="left" w:pos="1080"/>
          <w:tab w:val="left" w:pos="1627"/>
          <w:tab w:val="left" w:pos="2160"/>
          <w:tab w:val="left" w:pos="2880"/>
        </w:tabs>
        <w:ind w:left="900"/>
        <w:rPr>
          <w:b/>
        </w:rPr>
      </w:pPr>
      <w:r w:rsidRPr="00487D7A">
        <w:rPr>
          <w:b/>
        </w:rPr>
        <w:t>Estimation procedure</w:t>
      </w:r>
    </w:p>
    <w:p w:rsidR="00536A11" w:rsidRPr="00487D7A" w:rsidRDefault="00536A11" w:rsidP="00EC7D6D">
      <w:pPr>
        <w:numPr>
          <w:ilvl w:val="0"/>
          <w:numId w:val="2"/>
        </w:numPr>
        <w:tabs>
          <w:tab w:val="clear" w:pos="360"/>
          <w:tab w:val="left" w:pos="547"/>
          <w:tab w:val="left" w:pos="1080"/>
          <w:tab w:val="left" w:pos="1627"/>
          <w:tab w:val="left" w:pos="2160"/>
          <w:tab w:val="left" w:pos="2880"/>
        </w:tabs>
        <w:ind w:left="900"/>
        <w:rPr>
          <w:b/>
        </w:rPr>
      </w:pPr>
      <w:r w:rsidRPr="00487D7A">
        <w:rPr>
          <w:b/>
        </w:rPr>
        <w:t>Degree of accuracy needed</w:t>
      </w:r>
      <w:r w:rsidR="00D45179" w:rsidRPr="00487D7A">
        <w:rPr>
          <w:b/>
        </w:rPr>
        <w:t xml:space="preserve"> </w:t>
      </w:r>
    </w:p>
    <w:p w:rsidR="00536A11" w:rsidRPr="00487D7A" w:rsidRDefault="00536A11" w:rsidP="00EC7D6D">
      <w:pPr>
        <w:numPr>
          <w:ilvl w:val="0"/>
          <w:numId w:val="2"/>
        </w:numPr>
        <w:tabs>
          <w:tab w:val="clear" w:pos="360"/>
          <w:tab w:val="left" w:pos="547"/>
          <w:tab w:val="left" w:pos="1080"/>
          <w:tab w:val="left" w:pos="1627"/>
          <w:tab w:val="left" w:pos="2160"/>
          <w:tab w:val="left" w:pos="2880"/>
        </w:tabs>
        <w:ind w:left="900"/>
        <w:rPr>
          <w:b/>
        </w:rPr>
      </w:pPr>
      <w:r w:rsidRPr="00487D7A">
        <w:rPr>
          <w:b/>
        </w:rPr>
        <w:t>Unusual problems requiring specialized sampling procedures</w:t>
      </w:r>
    </w:p>
    <w:p w:rsidR="00536A11" w:rsidRPr="00487D7A" w:rsidRDefault="00536A11" w:rsidP="00EC7D6D">
      <w:pPr>
        <w:numPr>
          <w:ilvl w:val="0"/>
          <w:numId w:val="2"/>
        </w:numPr>
        <w:tabs>
          <w:tab w:val="clear" w:pos="360"/>
          <w:tab w:val="left" w:pos="547"/>
          <w:tab w:val="left" w:pos="1080"/>
          <w:tab w:val="left" w:pos="1627"/>
          <w:tab w:val="left" w:pos="2160"/>
          <w:tab w:val="left" w:pos="2880"/>
        </w:tabs>
        <w:ind w:left="900"/>
        <w:rPr>
          <w:b/>
        </w:rPr>
      </w:pPr>
      <w:r w:rsidRPr="00487D7A">
        <w:rPr>
          <w:b/>
        </w:rPr>
        <w:t>Any use of less frequent than annual data collection to reduce burden</w:t>
      </w:r>
    </w:p>
    <w:p w:rsidR="003D140B" w:rsidRDefault="003D140B" w:rsidP="00014DE0">
      <w:pPr>
        <w:tabs>
          <w:tab w:val="left" w:pos="547"/>
          <w:tab w:val="left" w:pos="1080"/>
          <w:tab w:val="left" w:pos="1627"/>
          <w:tab w:val="left" w:pos="2160"/>
          <w:tab w:val="left" w:pos="2880"/>
        </w:tabs>
        <w:rPr>
          <w:b/>
        </w:rPr>
      </w:pPr>
    </w:p>
    <w:p w:rsidR="00014DE0" w:rsidRPr="00487D7A" w:rsidRDefault="00014DE0" w:rsidP="00014DE0">
      <w:pPr>
        <w:tabs>
          <w:tab w:val="left" w:pos="547"/>
          <w:tab w:val="left" w:pos="1080"/>
          <w:tab w:val="left" w:pos="1627"/>
          <w:tab w:val="left" w:pos="2160"/>
          <w:tab w:val="left" w:pos="2880"/>
        </w:tabs>
      </w:pPr>
      <w:r w:rsidRPr="00487D7A">
        <w:rPr>
          <w:b/>
        </w:rPr>
        <w:t>Statistical methodology for stratification and sample selection</w:t>
      </w:r>
      <w:r w:rsidRPr="00487D7A">
        <w:t xml:space="preserve"> </w:t>
      </w:r>
    </w:p>
    <w:p w:rsidR="004E0519" w:rsidRDefault="004E0519" w:rsidP="0017571E">
      <w:pPr>
        <w:pStyle w:val="BodyTextIndent2"/>
        <w:tabs>
          <w:tab w:val="left" w:pos="540"/>
        </w:tabs>
        <w:spacing w:after="0" w:line="240" w:lineRule="auto"/>
        <w:ind w:left="0" w:right="-36"/>
      </w:pPr>
    </w:p>
    <w:p w:rsidR="00FD5F6E" w:rsidRPr="00487D7A" w:rsidRDefault="0017571E" w:rsidP="0017571E">
      <w:pPr>
        <w:pStyle w:val="BodyTextIndent2"/>
        <w:tabs>
          <w:tab w:val="left" w:pos="540"/>
        </w:tabs>
        <w:spacing w:after="0" w:line="240" w:lineRule="auto"/>
        <w:ind w:left="0" w:right="-36"/>
      </w:pPr>
      <w:r w:rsidRPr="00487D7A">
        <w:t xml:space="preserve">The </w:t>
      </w:r>
      <w:r w:rsidR="00FD5F6E">
        <w:t xml:space="preserve">initial </w:t>
      </w:r>
      <w:r w:rsidR="00903861">
        <w:t xml:space="preserve">project </w:t>
      </w:r>
      <w:r w:rsidR="00360D02" w:rsidRPr="00487D7A">
        <w:t>involve</w:t>
      </w:r>
      <w:r w:rsidR="00FD5F6E">
        <w:t>d</w:t>
      </w:r>
      <w:r w:rsidR="00360D02" w:rsidRPr="00487D7A">
        <w:t xml:space="preserve"> administering DRRI scales to </w:t>
      </w:r>
      <w:r w:rsidRPr="00487D7A">
        <w:t>two</w:t>
      </w:r>
      <w:r w:rsidR="00360D02" w:rsidRPr="00487D7A">
        <w:t xml:space="preserve"> stratified national random sample</w:t>
      </w:r>
      <w:r w:rsidRPr="00487D7A">
        <w:t>s</w:t>
      </w:r>
      <w:r w:rsidR="00360D02" w:rsidRPr="00487D7A">
        <w:t xml:space="preserve"> of </w:t>
      </w:r>
      <w:r w:rsidR="00DE29B9">
        <w:t>463</w:t>
      </w:r>
      <w:r w:rsidR="00FD5F6E">
        <w:t xml:space="preserve"> (Wave I) and approximately </w:t>
      </w:r>
      <w:r w:rsidR="00DE29B9">
        <w:t>1,044</w:t>
      </w:r>
      <w:r w:rsidR="00FD5F6E" w:rsidRPr="00487D7A">
        <w:t xml:space="preserve"> </w:t>
      </w:r>
      <w:r w:rsidR="00FD5F6E">
        <w:t xml:space="preserve">(Wave II) </w:t>
      </w:r>
      <w:r w:rsidR="00360D02" w:rsidRPr="00487D7A">
        <w:t xml:space="preserve">OEF/OIF veterans. </w:t>
      </w:r>
      <w:r w:rsidR="00903861">
        <w:t>In the original data collection, w</w:t>
      </w:r>
      <w:r w:rsidR="00360D02" w:rsidRPr="00487D7A">
        <w:t>omen and National Guard/Reservist personnel w</w:t>
      </w:r>
      <w:r w:rsidR="00903861">
        <w:t xml:space="preserve">ere </w:t>
      </w:r>
      <w:r w:rsidR="00360D02" w:rsidRPr="00487D7A">
        <w:t>oversampled relative to their representation in the population to enhance dispersion in deployment experiences, and thus, provide</w:t>
      </w:r>
      <w:r w:rsidR="006B39F7">
        <w:t>d</w:t>
      </w:r>
      <w:r w:rsidR="00360D02" w:rsidRPr="00487D7A">
        <w:t xml:space="preserve"> sufficient levels of individual differences for the psychometric analyses (Nunnally &amp; Bernstein, 1994). Relative to women’s proportion in the population (11% based on DMDC figures; C. Park, personal communication, May 2, 2006), women </w:t>
      </w:r>
      <w:r w:rsidR="00903861">
        <w:t>were</w:t>
      </w:r>
      <w:r w:rsidR="00360D02" w:rsidRPr="00487D7A">
        <w:t xml:space="preserve"> oversampled to yield a </w:t>
      </w:r>
      <w:r w:rsidR="004F1374">
        <w:t>50</w:t>
      </w:r>
      <w:r w:rsidR="00360D02" w:rsidRPr="00487D7A">
        <w:t>% female-</w:t>
      </w:r>
      <w:r w:rsidR="004F1374">
        <w:t>50</w:t>
      </w:r>
      <w:r w:rsidR="00360D02" w:rsidRPr="00487D7A">
        <w:t>% male gender distribution. Relative to the representation of Regular Active Duty and National Guard/Reservists in the population (70% and 30% based on DMDC figures; C. Park, personal communication, May 2, 2006), the full sample consist</w:t>
      </w:r>
      <w:r w:rsidR="00E87B0C">
        <w:t>s</w:t>
      </w:r>
      <w:r w:rsidR="00360D02" w:rsidRPr="00487D7A">
        <w:t xml:space="preserve"> of </w:t>
      </w:r>
      <w:r w:rsidR="00E87B0C">
        <w:t xml:space="preserve">approximately </w:t>
      </w:r>
      <w:r w:rsidR="00360D02" w:rsidRPr="00487D7A">
        <w:t xml:space="preserve">50% Regular Active Duty and 50% National Guard/Reservists. </w:t>
      </w:r>
      <w:r w:rsidR="00FD5F6E">
        <w:t xml:space="preserve">The follow-up data collections </w:t>
      </w:r>
      <w:r w:rsidR="00E87B0C">
        <w:t xml:space="preserve">involve </w:t>
      </w:r>
      <w:proofErr w:type="spellStart"/>
      <w:r w:rsidR="00E87B0C">
        <w:t>recontacting</w:t>
      </w:r>
      <w:proofErr w:type="spellEnd"/>
      <w:r w:rsidR="00E87B0C">
        <w:t xml:space="preserve"> the Wave II sample. </w:t>
      </w:r>
    </w:p>
    <w:p w:rsidR="00014DE0" w:rsidRPr="00487D7A" w:rsidRDefault="00014DE0" w:rsidP="00014DE0">
      <w:pPr>
        <w:tabs>
          <w:tab w:val="left" w:pos="547"/>
          <w:tab w:val="left" w:pos="1080"/>
          <w:tab w:val="left" w:pos="1627"/>
          <w:tab w:val="left" w:pos="2160"/>
          <w:tab w:val="left" w:pos="2880"/>
        </w:tabs>
      </w:pPr>
    </w:p>
    <w:p w:rsidR="00014DE0" w:rsidRPr="00487D7A" w:rsidRDefault="00014DE0" w:rsidP="00014DE0">
      <w:pPr>
        <w:tabs>
          <w:tab w:val="left" w:pos="547"/>
          <w:tab w:val="left" w:pos="1080"/>
          <w:tab w:val="left" w:pos="1627"/>
          <w:tab w:val="left" w:pos="2160"/>
          <w:tab w:val="left" w:pos="2880"/>
        </w:tabs>
        <w:rPr>
          <w:b/>
        </w:rPr>
      </w:pPr>
      <w:r w:rsidRPr="00487D7A">
        <w:rPr>
          <w:b/>
        </w:rPr>
        <w:t xml:space="preserve">Estimation procedure and Degree of accuracy needed </w:t>
      </w:r>
    </w:p>
    <w:p w:rsidR="00410263" w:rsidRPr="00487D7A" w:rsidRDefault="00410263" w:rsidP="00903861">
      <w:pPr>
        <w:tabs>
          <w:tab w:val="left" w:pos="540"/>
        </w:tabs>
        <w:ind w:right="-36"/>
      </w:pPr>
      <w:r w:rsidRPr="00487D7A">
        <w:t>The sample size</w:t>
      </w:r>
      <w:r w:rsidR="00E87B0C">
        <w:t>s</w:t>
      </w:r>
      <w:r w:rsidRPr="00487D7A">
        <w:t xml:space="preserve"> </w:t>
      </w:r>
      <w:r w:rsidR="00E87B0C">
        <w:t>for the initial data collection wave were</w:t>
      </w:r>
      <w:r w:rsidRPr="00487D7A">
        <w:t xml:space="preserve"> purposefully selected so that </w:t>
      </w:r>
      <w:r w:rsidR="00DA611B" w:rsidRPr="00487D7A">
        <w:t xml:space="preserve">there </w:t>
      </w:r>
      <w:r w:rsidRPr="00487D7A">
        <w:t xml:space="preserve">would </w:t>
      </w:r>
      <w:r w:rsidR="00DA611B" w:rsidRPr="00487D7A">
        <w:t xml:space="preserve">be </w:t>
      </w:r>
      <w:r w:rsidRPr="00487D7A">
        <w:t xml:space="preserve">sufficient power for each form of data analysis proposed. According to </w:t>
      </w:r>
      <w:proofErr w:type="spellStart"/>
      <w:r w:rsidRPr="00487D7A">
        <w:t>Nunnally</w:t>
      </w:r>
      <w:proofErr w:type="spellEnd"/>
      <w:r w:rsidRPr="00487D7A">
        <w:t xml:space="preserve"> &amp; </w:t>
      </w:r>
      <w:proofErr w:type="spellStart"/>
      <w:r w:rsidRPr="00487D7A">
        <w:t>Berstein</w:t>
      </w:r>
      <w:proofErr w:type="spellEnd"/>
      <w:r w:rsidRPr="00487D7A">
        <w:t xml:space="preserve"> (1994), item analyses should proceed using a 10-to-1 respondents-to-items ratio (per construct). This ratio is considered sufficient to achieve stable estimates of item characteristics, especially item-total correlations and internal consistency reliability coefficients. With item sets for DRRI</w:t>
      </w:r>
      <w:r w:rsidR="00F84CFD">
        <w:t xml:space="preserve"> </w:t>
      </w:r>
      <w:r w:rsidRPr="00487D7A">
        <w:t xml:space="preserve">scales ranging from approximately 20 to 35 items, the minimum sample size needed for these analyses is 350 (maximum number of items (35) x 10 = 350 respondents). </w:t>
      </w:r>
      <w:r w:rsidR="00A91B40" w:rsidRPr="00487D7A">
        <w:t xml:space="preserve">For both sets </w:t>
      </w:r>
      <w:r w:rsidR="00A91B40" w:rsidRPr="00487D7A">
        <w:lastRenderedPageBreak/>
        <w:t xml:space="preserve">of CTT analyses (initial psychometric analyses in </w:t>
      </w:r>
      <w:r w:rsidR="00A91B40">
        <w:t xml:space="preserve">Wave </w:t>
      </w:r>
      <w:r w:rsidR="00A91B40" w:rsidRPr="00487D7A">
        <w:t xml:space="preserve">I and confirmation of psychometric properties in </w:t>
      </w:r>
      <w:r w:rsidR="00A91B40">
        <w:t xml:space="preserve">Wave </w:t>
      </w:r>
      <w:r w:rsidR="00A91B40" w:rsidRPr="00487D7A">
        <w:t xml:space="preserve">II) data from </w:t>
      </w:r>
      <w:r w:rsidR="00A91B40">
        <w:t xml:space="preserve">more than 350 </w:t>
      </w:r>
      <w:r w:rsidR="00A91B40" w:rsidRPr="00487D7A">
        <w:t>participants</w:t>
      </w:r>
      <w:r w:rsidR="00A91B40">
        <w:t xml:space="preserve"> was available</w:t>
      </w:r>
      <w:r w:rsidR="00A91B40" w:rsidRPr="00487D7A">
        <w:t xml:space="preserve">. </w:t>
      </w:r>
      <w:r w:rsidR="0010476E">
        <w:t>A</w:t>
      </w:r>
      <w:r w:rsidRPr="00487D7A">
        <w:t xml:space="preserve"> sample size of </w:t>
      </w:r>
      <w:r w:rsidR="00722216">
        <w:t>463</w:t>
      </w:r>
      <w:r w:rsidR="0073189E">
        <w:t xml:space="preserve"> </w:t>
      </w:r>
      <w:r w:rsidR="00A91B40">
        <w:t xml:space="preserve">was reached </w:t>
      </w:r>
      <w:r w:rsidR="0073189E">
        <w:t xml:space="preserve">in the first wave of data collection and </w:t>
      </w:r>
      <w:r w:rsidR="00722216">
        <w:t>a sample size of 1,044 was reached</w:t>
      </w:r>
      <w:r w:rsidR="00956D10">
        <w:t xml:space="preserve"> </w:t>
      </w:r>
      <w:r w:rsidR="0073189E">
        <w:t>in the second wave</w:t>
      </w:r>
      <w:r w:rsidR="00A91B40">
        <w:t xml:space="preserve">, which </w:t>
      </w:r>
      <w:r w:rsidR="00956D10">
        <w:t>is</w:t>
      </w:r>
      <w:r w:rsidR="00A91B40">
        <w:t xml:space="preserve"> </w:t>
      </w:r>
      <w:r w:rsidRPr="00487D7A">
        <w:t>more than sufficient for the</w:t>
      </w:r>
      <w:r w:rsidR="00A91B40">
        <w:t xml:space="preserve"> planned</w:t>
      </w:r>
      <w:r w:rsidRPr="00487D7A">
        <w:t xml:space="preserve"> analyses.</w:t>
      </w:r>
      <w:r w:rsidR="00A91B40">
        <w:t xml:space="preserve">  The sample size was also sufficient to conduct IRT analyses on both waves of data collection.</w:t>
      </w:r>
    </w:p>
    <w:p w:rsidR="00410263" w:rsidRPr="00487D7A" w:rsidRDefault="00410263" w:rsidP="00903861">
      <w:pPr>
        <w:tabs>
          <w:tab w:val="left" w:pos="540"/>
        </w:tabs>
        <w:ind w:right="-36"/>
      </w:pPr>
    </w:p>
    <w:p w:rsidR="00F43A4F" w:rsidRDefault="00410263">
      <w:pPr>
        <w:tabs>
          <w:tab w:val="left" w:pos="540"/>
        </w:tabs>
        <w:ind w:right="-36"/>
      </w:pPr>
      <w:r w:rsidRPr="00487D7A">
        <w:t xml:space="preserve">This sample size </w:t>
      </w:r>
      <w:r w:rsidR="00A91B40">
        <w:t xml:space="preserve">in the second wave of data collection </w:t>
      </w:r>
      <w:r w:rsidRPr="00487D7A">
        <w:t>also facilitate</w:t>
      </w:r>
      <w:r w:rsidR="006B39F7">
        <w:t>d</w:t>
      </w:r>
      <w:r w:rsidRPr="00487D7A">
        <w:t xml:space="preserve"> the exploration of secondary research questions about military subgroups (e.g., women, Active Duty versus National Guard/Reservist personnel) and other research questions of interest to the research team.</w:t>
      </w:r>
    </w:p>
    <w:p w:rsidR="007772E2" w:rsidRDefault="007772E2" w:rsidP="007772E2">
      <w:pPr>
        <w:tabs>
          <w:tab w:val="left" w:pos="540"/>
        </w:tabs>
        <w:ind w:right="-36"/>
      </w:pPr>
    </w:p>
    <w:p w:rsidR="007772E2" w:rsidRPr="007772E2" w:rsidRDefault="00E87B0C" w:rsidP="007772E2">
      <w:pPr>
        <w:tabs>
          <w:tab w:val="left" w:pos="540"/>
        </w:tabs>
        <w:ind w:right="-36"/>
        <w:rPr>
          <w:bCs/>
        </w:rPr>
      </w:pPr>
      <w:r>
        <w:t>For the follow-up data collections, w</w:t>
      </w:r>
      <w:r w:rsidR="007772E2">
        <w:t>i</w:t>
      </w:r>
      <w:r>
        <w:t>th a</w:t>
      </w:r>
      <w:r w:rsidR="00A202F7">
        <w:t xml:space="preserve">n </w:t>
      </w:r>
      <w:r w:rsidR="007772E2" w:rsidRPr="007772E2">
        <w:t xml:space="preserve">anticipated </w:t>
      </w:r>
      <w:r w:rsidR="00A202F7">
        <w:t xml:space="preserve">sample size of approximately </w:t>
      </w:r>
      <w:r w:rsidR="008B539B">
        <w:t>754</w:t>
      </w:r>
      <w:r w:rsidR="00C52CCE">
        <w:t xml:space="preserve"> (expected </w:t>
      </w:r>
      <w:r w:rsidR="00A202F7">
        <w:t xml:space="preserve">range: </w:t>
      </w:r>
      <w:r w:rsidR="008B539B">
        <w:t>710</w:t>
      </w:r>
      <w:r w:rsidR="00A202F7">
        <w:t>-</w:t>
      </w:r>
      <w:r w:rsidR="008B539B">
        <w:t>799</w:t>
      </w:r>
      <w:r>
        <w:t>)</w:t>
      </w:r>
      <w:r w:rsidR="007772E2" w:rsidRPr="007772E2">
        <w:t xml:space="preserve"> </w:t>
      </w:r>
      <w:r w:rsidR="007772E2">
        <w:t xml:space="preserve">across the </w:t>
      </w:r>
      <w:r w:rsidR="007772E2" w:rsidRPr="007772E2">
        <w:t xml:space="preserve">time points, we should have more than adequate power to detect any level of association that may exist among deployment stress exposure, mental health </w:t>
      </w:r>
      <w:proofErr w:type="spellStart"/>
      <w:r w:rsidR="007772E2" w:rsidRPr="007772E2">
        <w:t>symptomatology</w:t>
      </w:r>
      <w:proofErr w:type="spellEnd"/>
      <w:r w:rsidR="007772E2" w:rsidRPr="007772E2">
        <w:t xml:space="preserve">, post-deployment functioning, and VA service use in both regression- and </w:t>
      </w:r>
      <w:r w:rsidR="007772E2">
        <w:t>structural equation modeling (</w:t>
      </w:r>
      <w:r w:rsidR="007772E2" w:rsidRPr="007772E2">
        <w:t>SEM</w:t>
      </w:r>
      <w:r w:rsidR="007772E2">
        <w:t>)</w:t>
      </w:r>
      <w:r w:rsidR="007772E2" w:rsidRPr="007772E2">
        <w:t>-based analyses.  The regression analyses that are most prone to Type 2 errors (i.e., low power) are those examining moderator effects of functioning (T2) on VA service use (T3)</w:t>
      </w:r>
      <w:r w:rsidR="007772E2">
        <w:t xml:space="preserve">, including gender differences. </w:t>
      </w:r>
      <w:r w:rsidR="007772E2" w:rsidRPr="007772E2">
        <w:t>Assuming a total of 13 independent variables to represent all possible main effects and interactions, and estimating the probability of a Type 1 error (alpha) at .05, power exceeds .99 to detect a moderate effect size  (f</w:t>
      </w:r>
      <w:r w:rsidR="007772E2" w:rsidRPr="007772E2">
        <w:rPr>
          <w:vertAlign w:val="superscript"/>
        </w:rPr>
        <w:t xml:space="preserve">2 </w:t>
      </w:r>
      <w:r w:rsidR="007772E2" w:rsidRPr="007772E2">
        <w:t>= .15 based on Cohen et al., 2003, p. 95). Power exceeds .70 to detect a small effect (f</w:t>
      </w:r>
      <w:r w:rsidR="007772E2" w:rsidRPr="007772E2">
        <w:rPr>
          <w:vertAlign w:val="superscript"/>
        </w:rPr>
        <w:t xml:space="preserve">2 </w:t>
      </w:r>
      <w:r w:rsidR="007772E2" w:rsidRPr="007772E2">
        <w:t xml:space="preserve">= .02).  </w:t>
      </w:r>
    </w:p>
    <w:p w:rsidR="007772E2" w:rsidRPr="007772E2" w:rsidRDefault="007772E2" w:rsidP="007772E2">
      <w:pPr>
        <w:tabs>
          <w:tab w:val="left" w:pos="540"/>
        </w:tabs>
        <w:ind w:right="-36"/>
      </w:pPr>
    </w:p>
    <w:p w:rsidR="007772E2" w:rsidRPr="007772E2" w:rsidRDefault="007772E2" w:rsidP="007772E2">
      <w:pPr>
        <w:tabs>
          <w:tab w:val="left" w:pos="540"/>
        </w:tabs>
        <w:ind w:right="-36"/>
      </w:pPr>
      <w:r w:rsidRPr="007772E2">
        <w:t>The anticipated sample size should also allow sufficient power for SEM models.  To confirm this, power calculations were carried out using Preacher and Coffman’s (2006)</w:t>
      </w:r>
      <w:r w:rsidRPr="007772E2">
        <w:rPr>
          <w:vertAlign w:val="superscript"/>
        </w:rPr>
        <w:t xml:space="preserve"> </w:t>
      </w:r>
      <w:r w:rsidRPr="007772E2">
        <w:t>software in order to compute statistical power for testing a covariance structure model using RMSEA, the minimum sample size required to achieve acceptable power, as well as the power for testing the difference between nested models (</w:t>
      </w:r>
      <w:proofErr w:type="spellStart"/>
      <w:r w:rsidRPr="007772E2">
        <w:t>MacCallum</w:t>
      </w:r>
      <w:proofErr w:type="spellEnd"/>
      <w:r w:rsidRPr="007772E2">
        <w:t xml:space="preserve">, Browne, &amp; </w:t>
      </w:r>
      <w:proofErr w:type="spellStart"/>
      <w:r w:rsidRPr="007772E2">
        <w:t>Cai</w:t>
      </w:r>
      <w:proofErr w:type="spellEnd"/>
      <w:r w:rsidRPr="007772E2">
        <w:t xml:space="preserve">, 2006).  This procedure bases the effect size of SEM analyses on the difference in fit of two models.  Hypothesized RMSEA values for the two models (e.g., the fully and partially mediated models), and degrees of freedom for each model, are used to estimate the sample size needed to achieve a given level of power (i.e., 80%).  Thus, as recommended by </w:t>
      </w:r>
      <w:proofErr w:type="spellStart"/>
      <w:r w:rsidRPr="007772E2">
        <w:t>MacCallum</w:t>
      </w:r>
      <w:proofErr w:type="spellEnd"/>
      <w:r w:rsidRPr="007772E2">
        <w:t xml:space="preserve"> and colleagues (2006), we selected RMSEA values in the middle range (.03-.10) and with a moderate difference in RMSEA values between models (.01-.02).  For the model with the largest number of parameters, a sample size of 281 participants is needed to obtain 80% power at an alpha level of .05.  Given this sample size requirement, having at least 281 participants in the T2 and T3 samples would provide greater than or equal to 99% power to compare the fully and partially mediated models.  Given our interest in examining gender differences and the possibility that models might be evaluated separately for women and men, we also computed power separately for the genders. With the sample sizes required to test </w:t>
      </w:r>
      <w:r>
        <w:t>these differences</w:t>
      </w:r>
      <w:r w:rsidRPr="007772E2">
        <w:t>, we will have greater than 99% power to test gender differences in models under multi-group SEM.</w:t>
      </w:r>
    </w:p>
    <w:p w:rsidR="007772E2" w:rsidRPr="007772E2" w:rsidRDefault="007772E2" w:rsidP="007772E2">
      <w:pPr>
        <w:tabs>
          <w:tab w:val="left" w:pos="540"/>
        </w:tabs>
        <w:ind w:right="-36"/>
      </w:pPr>
    </w:p>
    <w:p w:rsidR="007772E2" w:rsidRPr="007772E2" w:rsidRDefault="007772E2" w:rsidP="007772E2">
      <w:pPr>
        <w:tabs>
          <w:tab w:val="left" w:pos="540"/>
        </w:tabs>
        <w:ind w:right="-36"/>
      </w:pPr>
      <w:r w:rsidRPr="007772E2">
        <w:t>In sum, power is more than sufficient in this study to detect any clinically important associations that may exist in the data.  Even if response rates fall short of anticipated levels, we should still have sufficient power to investigate the hypotheses under study, as well as a number of exploratory aims.</w:t>
      </w:r>
    </w:p>
    <w:p w:rsidR="007772E2" w:rsidRDefault="007772E2" w:rsidP="00903861">
      <w:pPr>
        <w:tabs>
          <w:tab w:val="left" w:pos="540"/>
        </w:tabs>
        <w:ind w:right="-36"/>
      </w:pPr>
    </w:p>
    <w:p w:rsidR="00014DE0" w:rsidRPr="00487D7A" w:rsidRDefault="00014DE0" w:rsidP="00014DE0">
      <w:pPr>
        <w:tabs>
          <w:tab w:val="left" w:pos="547"/>
          <w:tab w:val="left" w:pos="1080"/>
          <w:tab w:val="left" w:pos="1627"/>
          <w:tab w:val="left" w:pos="2160"/>
          <w:tab w:val="left" w:pos="2880"/>
        </w:tabs>
        <w:rPr>
          <w:b/>
        </w:rPr>
      </w:pPr>
      <w:r w:rsidRPr="00487D7A">
        <w:rPr>
          <w:b/>
        </w:rPr>
        <w:t>Unusual problems requiring specialized sampling procedures</w:t>
      </w:r>
    </w:p>
    <w:p w:rsidR="00014DE0" w:rsidRPr="00487D7A" w:rsidRDefault="00B2335F" w:rsidP="00014DE0">
      <w:pPr>
        <w:tabs>
          <w:tab w:val="left" w:pos="547"/>
          <w:tab w:val="left" w:pos="1080"/>
          <w:tab w:val="left" w:pos="1627"/>
          <w:tab w:val="left" w:pos="2160"/>
          <w:tab w:val="left" w:pos="2880"/>
        </w:tabs>
      </w:pPr>
      <w:r w:rsidRPr="00487D7A">
        <w:lastRenderedPageBreak/>
        <w:t xml:space="preserve">There are no unusual problems anticipated for the current study. </w:t>
      </w:r>
      <w:r w:rsidR="005F4149" w:rsidRPr="00487D7A">
        <w:t xml:space="preserve">Sampling procedures used to enhance response rates are </w:t>
      </w:r>
      <w:r w:rsidR="00196434" w:rsidRPr="00487D7A">
        <w:t>described</w:t>
      </w:r>
      <w:r w:rsidR="005F4149" w:rsidRPr="00487D7A">
        <w:t xml:space="preserve"> in the next section</w:t>
      </w:r>
      <w:r w:rsidR="00DD2D80" w:rsidRPr="00487D7A">
        <w:t xml:space="preserve">. </w:t>
      </w:r>
    </w:p>
    <w:p w:rsidR="005F4149" w:rsidRPr="00487D7A" w:rsidRDefault="005F4149" w:rsidP="00014DE0">
      <w:pPr>
        <w:tabs>
          <w:tab w:val="left" w:pos="547"/>
          <w:tab w:val="left" w:pos="1080"/>
          <w:tab w:val="left" w:pos="1627"/>
          <w:tab w:val="left" w:pos="2160"/>
          <w:tab w:val="left" w:pos="2880"/>
        </w:tabs>
      </w:pPr>
    </w:p>
    <w:p w:rsidR="00014DE0" w:rsidRPr="00487D7A" w:rsidRDefault="00014DE0" w:rsidP="00014DE0">
      <w:pPr>
        <w:tabs>
          <w:tab w:val="left" w:pos="547"/>
          <w:tab w:val="left" w:pos="1080"/>
          <w:tab w:val="left" w:pos="1627"/>
          <w:tab w:val="left" w:pos="2160"/>
          <w:tab w:val="left" w:pos="2880"/>
        </w:tabs>
        <w:rPr>
          <w:b/>
        </w:rPr>
      </w:pPr>
      <w:r w:rsidRPr="00487D7A">
        <w:rPr>
          <w:b/>
        </w:rPr>
        <w:t>Any use of less frequent than annual data collection to reduce burden</w:t>
      </w:r>
    </w:p>
    <w:p w:rsidR="005F4149" w:rsidRPr="00487D7A" w:rsidRDefault="005F4149" w:rsidP="006D5EE6">
      <w:pPr>
        <w:tabs>
          <w:tab w:val="left" w:pos="547"/>
          <w:tab w:val="left" w:pos="1080"/>
          <w:tab w:val="left" w:pos="1627"/>
          <w:tab w:val="left" w:pos="2160"/>
          <w:tab w:val="left" w:pos="2880"/>
        </w:tabs>
      </w:pPr>
      <w:r w:rsidRPr="00487D7A">
        <w:t>Th</w:t>
      </w:r>
      <w:r w:rsidR="00E87B0C">
        <w:t>e</w:t>
      </w:r>
      <w:r w:rsidRPr="00487D7A">
        <w:t xml:space="preserve"> data collection </w:t>
      </w:r>
      <w:r w:rsidR="00E87B0C">
        <w:t xml:space="preserve">for the initial </w:t>
      </w:r>
      <w:r w:rsidR="006B39F7">
        <w:t>OMB-approved project</w:t>
      </w:r>
      <w:r w:rsidRPr="00487D7A">
        <w:t xml:space="preserve"> occur</w:t>
      </w:r>
      <w:r w:rsidR="00E87B0C">
        <w:t>red</w:t>
      </w:r>
      <w:r w:rsidRPr="00487D7A">
        <w:t xml:space="preserve"> </w:t>
      </w:r>
      <w:r w:rsidR="00E87B0C">
        <w:t xml:space="preserve">one time only </w:t>
      </w:r>
      <w:r w:rsidR="00181404">
        <w:t>(with two versions of the survey instrument administered to separate samples of participants)</w:t>
      </w:r>
      <w:r w:rsidRPr="00487D7A">
        <w:t>.</w:t>
      </w:r>
      <w:r w:rsidR="00E87B0C">
        <w:t xml:space="preserve"> The </w:t>
      </w:r>
      <w:r w:rsidR="006B39F7">
        <w:t xml:space="preserve">proposed </w:t>
      </w:r>
      <w:r w:rsidR="00E87B0C">
        <w:t xml:space="preserve">follow-up data collections involve </w:t>
      </w:r>
      <w:r w:rsidR="00A91B40">
        <w:t>re-</w:t>
      </w:r>
      <w:r w:rsidR="00E87B0C">
        <w:t>assessing the initial Wave II sample at two time points, which will be separated by more than one year, thereby reducing burden.</w:t>
      </w:r>
    </w:p>
    <w:p w:rsidR="005F4149" w:rsidRPr="00487D7A" w:rsidRDefault="005F4149" w:rsidP="006D5EE6">
      <w:pPr>
        <w:tabs>
          <w:tab w:val="left" w:pos="547"/>
          <w:tab w:val="left" w:pos="1080"/>
          <w:tab w:val="left" w:pos="1627"/>
          <w:tab w:val="left" w:pos="2160"/>
          <w:tab w:val="left" w:pos="2880"/>
        </w:tabs>
      </w:pPr>
    </w:p>
    <w:p w:rsidR="00536A11" w:rsidRPr="00487D7A" w:rsidRDefault="00536A11">
      <w:pPr>
        <w:pStyle w:val="Header"/>
        <w:tabs>
          <w:tab w:val="clear" w:pos="4320"/>
          <w:tab w:val="clear" w:pos="8640"/>
          <w:tab w:val="left" w:pos="547"/>
          <w:tab w:val="left" w:pos="1080"/>
          <w:tab w:val="left" w:pos="1627"/>
          <w:tab w:val="left" w:pos="2160"/>
          <w:tab w:val="left" w:pos="2880"/>
        </w:tabs>
        <w:rPr>
          <w:b/>
          <w:sz w:val="24"/>
          <w:szCs w:val="24"/>
        </w:rPr>
      </w:pPr>
      <w:r w:rsidRPr="00487D7A">
        <w:rPr>
          <w:b/>
          <w:sz w:val="24"/>
          <w:szCs w:val="24"/>
        </w:rPr>
        <w:t>3.</w:t>
      </w:r>
      <w:r w:rsidR="00EA41BA" w:rsidRPr="00487D7A">
        <w:rPr>
          <w:b/>
          <w:sz w:val="24"/>
          <w:szCs w:val="24"/>
        </w:rPr>
        <w:tab/>
      </w:r>
      <w:r w:rsidRPr="00487D7A">
        <w:rPr>
          <w:b/>
          <w:sz w:val="24"/>
          <w:szCs w:val="24"/>
        </w:rPr>
        <w:t>Describe methods to maximize response rate and to deal with issues of non-response</w:t>
      </w:r>
      <w:r w:rsidR="00EA41BA" w:rsidRPr="00487D7A">
        <w:rPr>
          <w:b/>
          <w:sz w:val="24"/>
          <w:szCs w:val="24"/>
        </w:rPr>
        <w:t xml:space="preserve">. </w:t>
      </w:r>
      <w:r w:rsidRPr="00487D7A">
        <w:rPr>
          <w:b/>
          <w:sz w:val="24"/>
          <w:szCs w:val="24"/>
        </w:rPr>
        <w:t>The accuracy and reliability of information collected must be shown to be adequate for intended uses</w:t>
      </w:r>
      <w:r w:rsidR="00EA41BA" w:rsidRPr="00487D7A">
        <w:rPr>
          <w:b/>
          <w:sz w:val="24"/>
          <w:szCs w:val="24"/>
        </w:rPr>
        <w:t xml:space="preserve">. </w:t>
      </w:r>
      <w:r w:rsidRPr="00487D7A">
        <w:rPr>
          <w:b/>
          <w:sz w:val="24"/>
          <w:szCs w:val="24"/>
        </w:rPr>
        <w:t>For collections based on sampling, a special justification must be provided for any collection that will not yield “reliable” data that can be generalized to the universe studied.</w:t>
      </w:r>
    </w:p>
    <w:p w:rsidR="00920914" w:rsidRPr="00487D7A" w:rsidRDefault="00920914">
      <w:pPr>
        <w:pStyle w:val="Header"/>
        <w:tabs>
          <w:tab w:val="clear" w:pos="4320"/>
          <w:tab w:val="clear" w:pos="8640"/>
          <w:tab w:val="left" w:pos="547"/>
          <w:tab w:val="left" w:pos="1080"/>
          <w:tab w:val="left" w:pos="1627"/>
          <w:tab w:val="left" w:pos="2160"/>
          <w:tab w:val="left" w:pos="2880"/>
        </w:tabs>
        <w:rPr>
          <w:sz w:val="24"/>
          <w:szCs w:val="24"/>
        </w:rPr>
      </w:pPr>
    </w:p>
    <w:p w:rsidR="00151F96" w:rsidRPr="00487D7A" w:rsidRDefault="00151F96" w:rsidP="00151F96">
      <w:pPr>
        <w:tabs>
          <w:tab w:val="left" w:pos="0"/>
        </w:tabs>
        <w:ind w:right="-36"/>
      </w:pPr>
      <w:r w:rsidRPr="00487D7A">
        <w:t xml:space="preserve">As with any study using a survey technique, there are several potential limitations, most of which center on the ability to achieve acceptable response rates. </w:t>
      </w:r>
      <w:r w:rsidR="00A72BC0" w:rsidRPr="00487D7A">
        <w:t xml:space="preserve">Several </w:t>
      </w:r>
      <w:r w:rsidR="009F6DFB" w:rsidRPr="00487D7A">
        <w:t>steps</w:t>
      </w:r>
      <w:r w:rsidR="00A72BC0" w:rsidRPr="00487D7A">
        <w:t xml:space="preserve"> </w:t>
      </w:r>
      <w:r w:rsidR="006B39F7">
        <w:t xml:space="preserve">that </w:t>
      </w:r>
      <w:r w:rsidR="006B39F7" w:rsidRPr="00487D7A">
        <w:t>w</w:t>
      </w:r>
      <w:r w:rsidR="006B39F7">
        <w:t>ere taken for the original OMB data collection will be applied for the proposed follow-up data collections</w:t>
      </w:r>
      <w:r w:rsidR="009F6DFB" w:rsidRPr="00487D7A">
        <w:t xml:space="preserve"> to maximize response</w:t>
      </w:r>
      <w:r w:rsidR="00440ABE" w:rsidRPr="00487D7A">
        <w:t xml:space="preserve"> rates</w:t>
      </w:r>
      <w:r w:rsidR="009F6DFB" w:rsidRPr="00487D7A">
        <w:t xml:space="preserve">. </w:t>
      </w:r>
      <w:r w:rsidRPr="00487D7A">
        <w:t xml:space="preserve">Perhaps the greatest constraint is the amount of time that one can reasonably expect a respondent to contribute to a study. </w:t>
      </w:r>
      <w:r w:rsidR="006B39F7">
        <w:t xml:space="preserve">The </w:t>
      </w:r>
      <w:r w:rsidR="006B39F7" w:rsidRPr="00487D7A">
        <w:t>estimated time burden d</w:t>
      </w:r>
      <w:r w:rsidR="006B39F7">
        <w:t>id</w:t>
      </w:r>
      <w:r w:rsidR="006B39F7" w:rsidRPr="00487D7A">
        <w:t xml:space="preserve"> not exceed one hour for either version of the survey</w:t>
      </w:r>
      <w:r w:rsidR="006B39F7">
        <w:t xml:space="preserve"> administered in the initial data collection</w:t>
      </w:r>
      <w:r w:rsidR="006B39F7" w:rsidRPr="00487D7A">
        <w:t xml:space="preserve">, </w:t>
      </w:r>
      <w:r w:rsidR="006B39F7">
        <w:t xml:space="preserve">nor does it exceed one hour for the proposed follow-up data collections, which involve administering shorter surveys than administered in either of the initial data collections. Therefore, </w:t>
      </w:r>
      <w:r w:rsidR="006B39F7" w:rsidRPr="00487D7A">
        <w:t>it is not anticipated that the length of the survey will be a problem</w:t>
      </w:r>
      <w:r w:rsidR="006B39F7">
        <w:t xml:space="preserve"> for either of the follow-up data collections</w:t>
      </w:r>
      <w:r w:rsidR="006B39F7" w:rsidRPr="00487D7A">
        <w:t xml:space="preserve">. </w:t>
      </w:r>
      <w:r w:rsidR="007478B9" w:rsidRPr="00487D7A">
        <w:t xml:space="preserve">Also </w:t>
      </w:r>
      <w:r w:rsidRPr="00487D7A">
        <w:t xml:space="preserve">included in </w:t>
      </w:r>
      <w:r w:rsidR="007478B9" w:rsidRPr="00487D7A">
        <w:t xml:space="preserve">the </w:t>
      </w:r>
      <w:r w:rsidRPr="00487D7A">
        <w:t xml:space="preserve">budget </w:t>
      </w:r>
      <w:r w:rsidR="006B39F7">
        <w:t>for the follow-up data collection is</w:t>
      </w:r>
      <w:r w:rsidR="007478B9" w:rsidRPr="00487D7A">
        <w:t xml:space="preserve"> </w:t>
      </w:r>
      <w:r w:rsidRPr="00487D7A">
        <w:t>$</w:t>
      </w:r>
      <w:r w:rsidR="007772E2">
        <w:t xml:space="preserve">25 </w:t>
      </w:r>
      <w:r w:rsidR="0096546B">
        <w:t>to offer all potential participants as a token of our appreciation</w:t>
      </w:r>
      <w:r w:rsidR="006B39F7">
        <w:t>, which should further enhance response rates</w:t>
      </w:r>
      <w:r w:rsidR="0096546B">
        <w:t xml:space="preserve">. </w:t>
      </w:r>
    </w:p>
    <w:p w:rsidR="0067454E" w:rsidRPr="00487D7A" w:rsidRDefault="0067454E" w:rsidP="00307813">
      <w:pPr>
        <w:tabs>
          <w:tab w:val="left" w:pos="0"/>
        </w:tabs>
        <w:ind w:right="-36"/>
      </w:pPr>
    </w:p>
    <w:p w:rsidR="00B2679F" w:rsidRPr="00487D7A" w:rsidRDefault="00307813" w:rsidP="00827C71">
      <w:pPr>
        <w:tabs>
          <w:tab w:val="left" w:pos="0"/>
        </w:tabs>
        <w:ind w:right="-36"/>
      </w:pPr>
      <w:r w:rsidRPr="00487D7A">
        <w:t>In addition</w:t>
      </w:r>
      <w:r w:rsidR="00552C0D" w:rsidRPr="00487D7A">
        <w:t xml:space="preserve"> </w:t>
      </w:r>
      <w:r w:rsidR="00440ABE" w:rsidRPr="00487D7A">
        <w:t xml:space="preserve">to </w:t>
      </w:r>
      <w:r w:rsidR="00552C0D" w:rsidRPr="00487D7A">
        <w:t>survey-length sensitivity</w:t>
      </w:r>
      <w:r w:rsidRPr="00487D7A">
        <w:t xml:space="preserve">, </w:t>
      </w:r>
      <w:r w:rsidR="007478B9" w:rsidRPr="00487D7A">
        <w:t xml:space="preserve">the </w:t>
      </w:r>
      <w:r w:rsidRPr="00487D7A">
        <w:t xml:space="preserve">application of a widely-accepted multi-stage mailing procedure that </w:t>
      </w:r>
      <w:r w:rsidR="007478B9" w:rsidRPr="00487D7A">
        <w:t>was</w:t>
      </w:r>
      <w:r w:rsidRPr="00487D7A">
        <w:t xml:space="preserve"> used with success in prior research should further enhance response rates. </w:t>
      </w:r>
      <w:r w:rsidR="00181404">
        <w:t>A</w:t>
      </w:r>
      <w:r w:rsidR="00B0117A" w:rsidRPr="00487D7A">
        <w:t xml:space="preserve"> modification of </w:t>
      </w:r>
      <w:proofErr w:type="spellStart"/>
      <w:r w:rsidR="00440ABE" w:rsidRPr="00487D7A">
        <w:t>Dillman’s</w:t>
      </w:r>
      <w:proofErr w:type="spellEnd"/>
      <w:r w:rsidR="00440ABE" w:rsidRPr="00487D7A">
        <w:t xml:space="preserve"> (2007) well-regarded</w:t>
      </w:r>
      <w:r w:rsidR="00B0117A" w:rsidRPr="00487D7A">
        <w:t xml:space="preserve"> mail survey procedure </w:t>
      </w:r>
      <w:r w:rsidR="00E87B0C">
        <w:t xml:space="preserve">was </w:t>
      </w:r>
      <w:r w:rsidR="00B0117A" w:rsidRPr="00487D7A">
        <w:t xml:space="preserve">applied to both waves of </w:t>
      </w:r>
      <w:r w:rsidR="00E87B0C">
        <w:t xml:space="preserve">initial </w:t>
      </w:r>
      <w:r w:rsidR="00B0117A" w:rsidRPr="00487D7A">
        <w:t>data collection</w:t>
      </w:r>
      <w:r w:rsidR="006B39F7">
        <w:t xml:space="preserve"> and will also be applied for the proposed follow-up data collections</w:t>
      </w:r>
      <w:r w:rsidR="00B0117A" w:rsidRPr="00487D7A">
        <w:t>. Specifically, for each wave of data collection</w:t>
      </w:r>
      <w:r w:rsidR="00916F4D" w:rsidRPr="00487D7A">
        <w:t>,</w:t>
      </w:r>
      <w:r w:rsidR="00B0117A" w:rsidRPr="00487D7A">
        <w:t xml:space="preserve"> a letter</w:t>
      </w:r>
      <w:r w:rsidR="00DA611B" w:rsidRPr="00487D7A">
        <w:t xml:space="preserve"> will be mailed</w:t>
      </w:r>
      <w:r w:rsidR="00B0117A" w:rsidRPr="00487D7A">
        <w:t xml:space="preserve"> </w:t>
      </w:r>
      <w:r w:rsidR="00DA611B" w:rsidRPr="00487D7A">
        <w:t xml:space="preserve">as an invitation to participate </w:t>
      </w:r>
      <w:r w:rsidR="00B0117A" w:rsidRPr="00487D7A">
        <w:t xml:space="preserve">in the study. The letter </w:t>
      </w:r>
      <w:r w:rsidR="00765667">
        <w:t xml:space="preserve">will </w:t>
      </w:r>
      <w:r w:rsidR="00B0117A" w:rsidRPr="00487D7A">
        <w:t>explain</w:t>
      </w:r>
      <w:r w:rsidR="00765667">
        <w:t>s</w:t>
      </w:r>
      <w:r w:rsidR="00B0117A" w:rsidRPr="00487D7A">
        <w:t xml:space="preserve"> the purpose of the study, </w:t>
      </w:r>
      <w:r w:rsidR="00417CCB">
        <w:t xml:space="preserve">provide details on procedure s used to enhance </w:t>
      </w:r>
      <w:r w:rsidR="00B0117A" w:rsidRPr="00487D7A">
        <w:t xml:space="preserve">the confidentiality of all responses provided, emphasize the voluntary nature of participation, state an estimated time to complete the survey instrument, provide a mechanism to withdraw prior to receiving the questionnaire, emphasize that </w:t>
      </w:r>
      <w:r w:rsidR="00DA611B" w:rsidRPr="00487D7A">
        <w:t>the</w:t>
      </w:r>
      <w:r w:rsidR="00B0117A" w:rsidRPr="00487D7A">
        <w:t xml:space="preserve"> interest </w:t>
      </w:r>
      <w:r w:rsidR="00DA611B" w:rsidRPr="00487D7A">
        <w:t xml:space="preserve">is </w:t>
      </w:r>
      <w:r w:rsidR="00B0117A" w:rsidRPr="00487D7A">
        <w:t xml:space="preserve">in group data and not a particular person’s individual standing, provide information on risks and benefits, and conform to standards for the protection of human subjects. A postcard that can be returned to indicate that an individual does not want to be contacted again </w:t>
      </w:r>
      <w:r w:rsidR="001B118B">
        <w:t>w</w:t>
      </w:r>
      <w:r w:rsidR="00765667">
        <w:t>ill also be</w:t>
      </w:r>
      <w:r w:rsidR="00B0117A" w:rsidRPr="00487D7A">
        <w:t xml:space="preserve"> included in this mailing. </w:t>
      </w:r>
      <w:r w:rsidR="00372149" w:rsidRPr="00487D7A">
        <w:t>A</w:t>
      </w:r>
      <w:r w:rsidR="00B0117A" w:rsidRPr="00487D7A">
        <w:t xml:space="preserve">pproximately two weeks later, all potential participants </w:t>
      </w:r>
      <w:r w:rsidR="00765667">
        <w:t xml:space="preserve">will </w:t>
      </w:r>
      <w:r w:rsidR="00B0117A" w:rsidRPr="00487D7A">
        <w:t>receive the assessment package with a cover letter that reiterate</w:t>
      </w:r>
      <w:r w:rsidR="00765667">
        <w:t>s</w:t>
      </w:r>
      <w:r w:rsidR="00B0117A" w:rsidRPr="00487D7A">
        <w:t xml:space="preserve"> the points included in the introductory letter. A cover page detailing all elements of consent </w:t>
      </w:r>
      <w:r w:rsidR="001B118B">
        <w:t>w</w:t>
      </w:r>
      <w:r w:rsidR="00765667">
        <w:t>ill be</w:t>
      </w:r>
      <w:r w:rsidR="00B0117A" w:rsidRPr="00487D7A">
        <w:t xml:space="preserve"> appended to the beginning of the questionnaire. A brief demographic sheet will also be included to obtain data on background and military characteristics for the purpose of describing the sample and making group comparisons. Consistent with </w:t>
      </w:r>
      <w:r w:rsidR="00440ABE" w:rsidRPr="00487D7A">
        <w:t>Dillman’s (2007)</w:t>
      </w:r>
      <w:r w:rsidR="00B0117A" w:rsidRPr="00487D7A">
        <w:t xml:space="preserve"> recommendations for repeated contacts with targeted respondents, a reminder postcard will be mailed two weeks later, followed by a second mailing of </w:t>
      </w:r>
      <w:r w:rsidR="00B0117A" w:rsidRPr="00487D7A">
        <w:lastRenderedPageBreak/>
        <w:t>the as</w:t>
      </w:r>
      <w:r w:rsidR="00552C0D" w:rsidRPr="00487D7A">
        <w:t>sessment package to non</w:t>
      </w:r>
      <w:r w:rsidR="00BA4BA2" w:rsidRPr="00487D7A">
        <w:t>-</w:t>
      </w:r>
      <w:r w:rsidR="00552C0D" w:rsidRPr="00487D7A">
        <w:t>respondent</w:t>
      </w:r>
      <w:r w:rsidR="003B3E64" w:rsidRPr="00487D7A">
        <w:t>s two weeks after</w:t>
      </w:r>
      <w:r w:rsidR="00B0117A" w:rsidRPr="00487D7A">
        <w:t xml:space="preserve"> and a final reminder postcard two weeks later.</w:t>
      </w:r>
      <w:r w:rsidR="00827C71" w:rsidRPr="00487D7A">
        <w:t xml:space="preserve"> </w:t>
      </w:r>
      <w:r w:rsidR="00123428" w:rsidRPr="00487D7A">
        <w:t>Consistent with evidence that response rates are better when incentives are used</w:t>
      </w:r>
      <w:r w:rsidR="0096546B">
        <w:t xml:space="preserve">, also </w:t>
      </w:r>
      <w:r w:rsidR="00123428" w:rsidRPr="00487D7A">
        <w:t>include</w:t>
      </w:r>
      <w:r w:rsidR="00DA611B" w:rsidRPr="00487D7A">
        <w:t>d</w:t>
      </w:r>
      <w:r w:rsidR="00123428" w:rsidRPr="00487D7A">
        <w:t xml:space="preserve"> </w:t>
      </w:r>
      <w:r w:rsidR="0096546B">
        <w:t xml:space="preserve">in the first mailing of the survey </w:t>
      </w:r>
      <w:r w:rsidR="00CC5C76">
        <w:t>w</w:t>
      </w:r>
      <w:r w:rsidR="00765667">
        <w:t xml:space="preserve">ill be </w:t>
      </w:r>
      <w:r w:rsidR="0096546B">
        <w:t>a token of our appreciation</w:t>
      </w:r>
      <w:r w:rsidR="00CC5C76">
        <w:t xml:space="preserve"> in the amount of $25</w:t>
      </w:r>
      <w:r w:rsidR="0096546B">
        <w:t>.</w:t>
      </w:r>
      <w:r w:rsidR="00123428" w:rsidRPr="00487D7A">
        <w:t xml:space="preserve"> </w:t>
      </w:r>
    </w:p>
    <w:p w:rsidR="0067454E" w:rsidRPr="00487D7A" w:rsidRDefault="0067454E" w:rsidP="00D01E2B">
      <w:pPr>
        <w:tabs>
          <w:tab w:val="left" w:pos="540"/>
        </w:tabs>
      </w:pPr>
    </w:p>
    <w:p w:rsidR="00070A46" w:rsidRDefault="00DA611B" w:rsidP="00D01E2B">
      <w:pPr>
        <w:tabs>
          <w:tab w:val="left" w:pos="540"/>
        </w:tabs>
      </w:pPr>
      <w:r w:rsidRPr="00487D7A">
        <w:t>The</w:t>
      </w:r>
      <w:r w:rsidR="00891A4B" w:rsidRPr="00487D7A">
        <w:t xml:space="preserve"> sampling frame for both waves of </w:t>
      </w:r>
      <w:r w:rsidR="00070A46">
        <w:t xml:space="preserve">the initial </w:t>
      </w:r>
      <w:r w:rsidR="00891A4B" w:rsidRPr="00487D7A">
        <w:t xml:space="preserve">data collection </w:t>
      </w:r>
      <w:r w:rsidR="007772E2">
        <w:t>consist</w:t>
      </w:r>
      <w:r w:rsidR="00070A46">
        <w:t>ed</w:t>
      </w:r>
      <w:r w:rsidR="007772E2">
        <w:t xml:space="preserve"> of a study panel that </w:t>
      </w:r>
      <w:r w:rsidR="00070A46">
        <w:t xml:space="preserve">was </w:t>
      </w:r>
      <w:r w:rsidR="00891A4B" w:rsidRPr="00487D7A">
        <w:t>secured from DMDC</w:t>
      </w:r>
      <w:r w:rsidR="00D01E2B" w:rsidRPr="00487D7A">
        <w:t xml:space="preserve">. </w:t>
      </w:r>
      <w:r w:rsidR="00FC0F93" w:rsidRPr="00487D7A">
        <w:t xml:space="preserve">Once the sampling frame from DMDC </w:t>
      </w:r>
      <w:r w:rsidR="00FC0F93">
        <w:t>was</w:t>
      </w:r>
      <w:r w:rsidR="00FC0F93" w:rsidRPr="00487D7A">
        <w:t xml:space="preserve"> secured, names and social security numbers </w:t>
      </w:r>
      <w:r w:rsidR="00FC0F93">
        <w:t>were</w:t>
      </w:r>
      <w:r w:rsidR="00FC0F93" w:rsidRPr="00487D7A">
        <w:t xml:space="preserve"> submitted to an Internal Revenue Service (IRS) address search, through a Department of Veterans Affairs Environmental Epidemiology Service (EES) interagency agreement with the IRS. This method </w:t>
      </w:r>
      <w:r w:rsidR="00FC0F93">
        <w:t>was highly</w:t>
      </w:r>
      <w:r w:rsidR="00FC0F93" w:rsidRPr="00487D7A">
        <w:t xml:space="preserve"> effective in obtaining valid addresses for the development of the DRRI, and </w:t>
      </w:r>
      <w:r w:rsidR="00FC0F93">
        <w:t>enabled</w:t>
      </w:r>
      <w:r w:rsidR="00FC0F93" w:rsidRPr="00487D7A">
        <w:t xml:space="preserve"> the investigators to reach more participants than needed for the study.</w:t>
      </w:r>
      <w:r w:rsidR="00385577">
        <w:t xml:space="preserve"> </w:t>
      </w:r>
      <w:r w:rsidR="00765667">
        <w:t xml:space="preserve"> </w:t>
      </w:r>
      <w:r w:rsidR="00070A46">
        <w:t>The follow-up data collections will involve inviting participants from the second sample (Wave II) of the initial data collection</w:t>
      </w:r>
      <w:r w:rsidR="00765667">
        <w:t>.</w:t>
      </w:r>
    </w:p>
    <w:p w:rsidR="00CE706C" w:rsidRDefault="00CE706C" w:rsidP="00CE706C"/>
    <w:p w:rsidR="00CE706C" w:rsidRDefault="00CE706C" w:rsidP="00CE706C">
      <w:pPr>
        <w:rPr>
          <w:color w:val="000000"/>
          <w:szCs w:val="18"/>
        </w:rPr>
      </w:pPr>
      <w:r>
        <w:rPr>
          <w:color w:val="000000"/>
          <w:szCs w:val="18"/>
        </w:rPr>
        <w:t xml:space="preserve">The application of strategies to reduce non-response, along with the use of a stratified sample plan </w:t>
      </w:r>
      <w:r w:rsidR="00765667">
        <w:rPr>
          <w:color w:val="000000"/>
          <w:szCs w:val="18"/>
        </w:rPr>
        <w:t>in the original data collection to</w:t>
      </w:r>
      <w:r>
        <w:rPr>
          <w:color w:val="000000"/>
          <w:szCs w:val="18"/>
        </w:rPr>
        <w:t xml:space="preserve"> assure adequate numbers of persons with and without health complaints within important demographic groupings (i.e., 50% women and 50% men, 50% regular active-duty personnel and 50% National Guard/Reservist personnel), should provide us with a sample that includes sufficient dispersion on the deployment risk and resilience factors that are the focus of this investigation</w:t>
      </w:r>
      <w:r w:rsidR="00765667">
        <w:rPr>
          <w:color w:val="000000"/>
          <w:szCs w:val="18"/>
        </w:rPr>
        <w:t xml:space="preserve"> for the planned psychometric analyses</w:t>
      </w:r>
      <w:r>
        <w:rPr>
          <w:color w:val="000000"/>
          <w:szCs w:val="18"/>
        </w:rPr>
        <w:t>.</w:t>
      </w:r>
    </w:p>
    <w:p w:rsidR="0067454E" w:rsidRPr="00487D7A" w:rsidRDefault="0067454E" w:rsidP="00B0117A">
      <w:pPr>
        <w:tabs>
          <w:tab w:val="left" w:pos="540"/>
        </w:tabs>
      </w:pPr>
    </w:p>
    <w:p w:rsidR="00973744" w:rsidRDefault="00CE706C" w:rsidP="00973744">
      <w:r>
        <w:t>For a psychometric project of this nature, representativeness of the sample with respect to the population is of less concern than achieving</w:t>
      </w:r>
      <w:r>
        <w:rPr>
          <w:color w:val="000000"/>
          <w:szCs w:val="18"/>
        </w:rPr>
        <w:t xml:space="preserve"> a sample that has broad dispersion or a wide range of scores on the attributes that are the focus of the psychometric inquiry and ample representation of the kinds of persons for whom the instrument is intended (</w:t>
      </w:r>
      <w:proofErr w:type="spellStart"/>
      <w:r>
        <w:rPr>
          <w:color w:val="000000"/>
          <w:szCs w:val="18"/>
        </w:rPr>
        <w:t>Anastasi</w:t>
      </w:r>
      <w:proofErr w:type="spellEnd"/>
      <w:r>
        <w:rPr>
          <w:color w:val="000000"/>
          <w:szCs w:val="18"/>
        </w:rPr>
        <w:t xml:space="preserve">, 1982; </w:t>
      </w:r>
      <w:proofErr w:type="spellStart"/>
      <w:r>
        <w:rPr>
          <w:color w:val="000000"/>
          <w:szCs w:val="18"/>
        </w:rPr>
        <w:t>Nunnally</w:t>
      </w:r>
      <w:proofErr w:type="spellEnd"/>
      <w:r>
        <w:rPr>
          <w:color w:val="000000"/>
          <w:szCs w:val="18"/>
        </w:rPr>
        <w:t xml:space="preserve">, 1978). </w:t>
      </w:r>
      <w:r w:rsidR="00765667">
        <w:rPr>
          <w:color w:val="000000"/>
          <w:szCs w:val="18"/>
        </w:rPr>
        <w:t>However, it is still possible that</w:t>
      </w:r>
      <w:r w:rsidR="00765667">
        <w:t xml:space="preserve"> respondents will differ from non-respondents on key variables and this will introduce </w:t>
      </w:r>
      <w:proofErr w:type="spellStart"/>
      <w:r w:rsidR="00765667">
        <w:t>nonresponse</w:t>
      </w:r>
      <w:proofErr w:type="spellEnd"/>
      <w:r w:rsidR="00765667">
        <w:t xml:space="preserve"> bias. </w:t>
      </w:r>
      <w:r w:rsidR="00973744">
        <w:t xml:space="preserve">As noted by Kessler, Little, and Groves (1995), a primary approach to deal with non-response bias involves the implementation of data collection strategies that reduce the </w:t>
      </w:r>
      <w:proofErr w:type="spellStart"/>
      <w:r w:rsidR="00973744">
        <w:t>nonresponse</w:t>
      </w:r>
      <w:proofErr w:type="spellEnd"/>
      <w:r w:rsidR="00973744">
        <w:t xml:space="preserve"> rate. With respect to data collection, we have incorporated a number of different techniques that have been shown to increase participation (Bose, 2001; </w:t>
      </w:r>
      <w:proofErr w:type="spellStart"/>
      <w:r w:rsidR="00973744">
        <w:t>Dillman</w:t>
      </w:r>
      <w:proofErr w:type="spellEnd"/>
      <w:r w:rsidR="00973744">
        <w:t xml:space="preserve">, 2007; Fink, 2003; Groves, 1989; </w:t>
      </w:r>
      <w:proofErr w:type="spellStart"/>
      <w:r w:rsidR="00973744">
        <w:t>Mangione</w:t>
      </w:r>
      <w:proofErr w:type="spellEnd"/>
      <w:r w:rsidR="00973744">
        <w:t xml:space="preserve">, 1998). These strategies include initiating advance contact </w:t>
      </w:r>
      <w:r w:rsidR="00973744" w:rsidRPr="00745290">
        <w:t xml:space="preserve">to notify sampled individuals about the survey, making repeated contacts with potential participants, offering an incentive for participation, and informing potential participants about procedures that have been </w:t>
      </w:r>
      <w:r w:rsidR="00973744">
        <w:t>implemented</w:t>
      </w:r>
      <w:r w:rsidR="00973744" w:rsidRPr="00745290">
        <w:t xml:space="preserve"> to enhance anonymity and confidentiality. </w:t>
      </w:r>
    </w:p>
    <w:p w:rsidR="00973744" w:rsidRDefault="00973744" w:rsidP="00973744"/>
    <w:p w:rsidR="00973744" w:rsidRDefault="00973744" w:rsidP="00973744">
      <w:r>
        <w:t xml:space="preserve">As noted by Kessler et al. (1995) and Bose (2001), even with these efforts, it is still possible that respondents will differ from non-respondents on key variables and this will introduce </w:t>
      </w:r>
      <w:proofErr w:type="spellStart"/>
      <w:r>
        <w:t>nonresponse</w:t>
      </w:r>
      <w:proofErr w:type="spellEnd"/>
      <w:r>
        <w:t xml:space="preserve"> bias. Thus, we will take the additional step of using demographic information about the sample that is available from </w:t>
      </w:r>
      <w:smartTag w:uri="urn:schemas-microsoft-com:office:smarttags" w:element="place">
        <w:smartTag w:uri="urn:schemas-microsoft-com:office:smarttags" w:element="PlaceName">
          <w:r>
            <w:t>Defense</w:t>
          </w:r>
        </w:smartTag>
        <w:r>
          <w:t xml:space="preserve"> </w:t>
        </w:r>
        <w:smartTag w:uri="urn:schemas-microsoft-com:office:smarttags" w:element="PlaceName">
          <w:r>
            <w:t>Manpower</w:t>
          </w:r>
        </w:smartTag>
        <w:r>
          <w:t xml:space="preserve"> </w:t>
        </w:r>
        <w:smartTag w:uri="urn:schemas-microsoft-com:office:smarttags" w:element="PlaceName">
          <w:r>
            <w:t>Data</w:t>
          </w:r>
        </w:smartTag>
        <w:r>
          <w:t xml:space="preserve"> </w:t>
        </w:r>
        <w:smartTag w:uri="urn:schemas-microsoft-com:office:smarttags" w:element="PlaceType">
          <w:r>
            <w:t>Center</w:t>
          </w:r>
        </w:smartTag>
      </w:smartTag>
      <w:r>
        <w:t xml:space="preserve"> to examine potential differences between respondents and </w:t>
      </w:r>
      <w:proofErr w:type="spellStart"/>
      <w:r>
        <w:t>nonrespondents</w:t>
      </w:r>
      <w:proofErr w:type="spellEnd"/>
      <w:r>
        <w:t xml:space="preserve"> on gender, race/ethnicity, age, and active duty versus National Guard/Reservist Status. Although we do not expect</w:t>
      </w:r>
      <w:r w:rsidR="00CE706C">
        <w:t xml:space="preserve"> substantial</w:t>
      </w:r>
      <w:r>
        <w:t xml:space="preserve"> differences between respondents and </w:t>
      </w:r>
      <w:proofErr w:type="spellStart"/>
      <w:r>
        <w:t>nonrespondents</w:t>
      </w:r>
      <w:proofErr w:type="spellEnd"/>
      <w:r w:rsidR="00CE706C">
        <w:t>,</w:t>
      </w:r>
      <w:r>
        <w:t xml:space="preserve"> if significant differences are obtained, this will be noted in all study reports. </w:t>
      </w:r>
    </w:p>
    <w:p w:rsidR="00973744" w:rsidRDefault="00973744" w:rsidP="00973744"/>
    <w:p w:rsidR="00D01E2B" w:rsidRPr="00487D7A" w:rsidRDefault="00D01E2B" w:rsidP="00D01E2B">
      <w:pPr>
        <w:tabs>
          <w:tab w:val="left" w:pos="0"/>
        </w:tabs>
      </w:pPr>
    </w:p>
    <w:p w:rsidR="00536A11" w:rsidRPr="00487D7A" w:rsidRDefault="00536A11">
      <w:pPr>
        <w:pStyle w:val="Header"/>
        <w:tabs>
          <w:tab w:val="clear" w:pos="4320"/>
          <w:tab w:val="clear" w:pos="8640"/>
          <w:tab w:val="left" w:pos="547"/>
          <w:tab w:val="left" w:pos="1080"/>
          <w:tab w:val="left" w:pos="1627"/>
          <w:tab w:val="left" w:pos="2160"/>
          <w:tab w:val="left" w:pos="2880"/>
        </w:tabs>
        <w:rPr>
          <w:b/>
          <w:sz w:val="24"/>
          <w:szCs w:val="24"/>
        </w:rPr>
      </w:pPr>
      <w:r w:rsidRPr="00487D7A">
        <w:rPr>
          <w:b/>
          <w:sz w:val="24"/>
          <w:szCs w:val="24"/>
        </w:rPr>
        <w:lastRenderedPageBreak/>
        <w:t>4</w:t>
      </w:r>
      <w:r w:rsidR="00EA41BA" w:rsidRPr="00487D7A">
        <w:rPr>
          <w:b/>
          <w:sz w:val="24"/>
          <w:szCs w:val="24"/>
        </w:rPr>
        <w:t>.</w:t>
      </w:r>
      <w:r w:rsidR="00EA41BA" w:rsidRPr="00487D7A">
        <w:rPr>
          <w:b/>
          <w:sz w:val="24"/>
          <w:szCs w:val="24"/>
        </w:rPr>
        <w:tab/>
      </w:r>
      <w:r w:rsidRPr="00487D7A">
        <w:rPr>
          <w:b/>
          <w:sz w:val="24"/>
          <w:szCs w:val="24"/>
        </w:rPr>
        <w:t>Describe any tests of procedures or methods to be undertaken</w:t>
      </w:r>
      <w:r w:rsidR="00EA41BA" w:rsidRPr="00487D7A">
        <w:rPr>
          <w:b/>
          <w:sz w:val="24"/>
          <w:szCs w:val="24"/>
        </w:rPr>
        <w:t xml:space="preserve">. </w:t>
      </w:r>
      <w:r w:rsidRPr="00487D7A">
        <w:rPr>
          <w:b/>
          <w:sz w:val="24"/>
          <w:szCs w:val="24"/>
        </w:rPr>
        <w:t>Testing is encouraged as an effective means of refining collections to minimize burden and improve utility</w:t>
      </w:r>
      <w:r w:rsidR="00EA41BA" w:rsidRPr="00487D7A">
        <w:rPr>
          <w:b/>
          <w:sz w:val="24"/>
          <w:szCs w:val="24"/>
        </w:rPr>
        <w:t xml:space="preserve">. </w:t>
      </w:r>
      <w:r w:rsidRPr="00487D7A">
        <w:rPr>
          <w:b/>
          <w:sz w:val="24"/>
          <w:szCs w:val="24"/>
        </w:rPr>
        <w:t>Tests must be approved if they call for answers to identical questions of 10 or more individuals.</w:t>
      </w:r>
    </w:p>
    <w:p w:rsidR="00823A52" w:rsidRDefault="00823A52">
      <w:pPr>
        <w:pStyle w:val="Header"/>
        <w:tabs>
          <w:tab w:val="clear" w:pos="4320"/>
          <w:tab w:val="clear" w:pos="8640"/>
          <w:tab w:val="left" w:pos="547"/>
          <w:tab w:val="left" w:pos="1080"/>
          <w:tab w:val="left" w:pos="1627"/>
          <w:tab w:val="left" w:pos="2160"/>
          <w:tab w:val="left" w:pos="2880"/>
        </w:tabs>
        <w:rPr>
          <w:b/>
          <w:sz w:val="24"/>
          <w:szCs w:val="24"/>
        </w:rPr>
      </w:pPr>
    </w:p>
    <w:p w:rsidR="00765667" w:rsidRPr="00765667" w:rsidRDefault="00656967">
      <w:pPr>
        <w:pStyle w:val="Header"/>
        <w:tabs>
          <w:tab w:val="clear" w:pos="4320"/>
          <w:tab w:val="clear" w:pos="8640"/>
          <w:tab w:val="left" w:pos="547"/>
          <w:tab w:val="left" w:pos="1080"/>
          <w:tab w:val="left" w:pos="1627"/>
          <w:tab w:val="left" w:pos="2160"/>
          <w:tab w:val="left" w:pos="2880"/>
        </w:tabs>
        <w:rPr>
          <w:sz w:val="24"/>
          <w:szCs w:val="24"/>
        </w:rPr>
      </w:pPr>
      <w:r w:rsidRPr="00656967">
        <w:rPr>
          <w:sz w:val="24"/>
          <w:szCs w:val="24"/>
        </w:rPr>
        <w:t>We will apply a well-established survey methodology using scales that have been tested and validated in prior work; therefore, additional testing will not be undertaken.</w:t>
      </w:r>
    </w:p>
    <w:p w:rsidR="00823A52" w:rsidRPr="00487D7A" w:rsidRDefault="00823A52">
      <w:pPr>
        <w:pStyle w:val="Header"/>
        <w:tabs>
          <w:tab w:val="clear" w:pos="4320"/>
          <w:tab w:val="clear" w:pos="8640"/>
          <w:tab w:val="left" w:pos="547"/>
          <w:tab w:val="left" w:pos="1080"/>
          <w:tab w:val="left" w:pos="1627"/>
          <w:tab w:val="left" w:pos="2160"/>
          <w:tab w:val="left" w:pos="2880"/>
        </w:tabs>
        <w:rPr>
          <w:b/>
          <w:sz w:val="24"/>
          <w:szCs w:val="24"/>
        </w:rPr>
      </w:pPr>
    </w:p>
    <w:p w:rsidR="00536A11" w:rsidRPr="00487D7A" w:rsidRDefault="00EA41BA">
      <w:pPr>
        <w:pStyle w:val="Header"/>
        <w:tabs>
          <w:tab w:val="clear" w:pos="4320"/>
          <w:tab w:val="clear" w:pos="8640"/>
          <w:tab w:val="left" w:pos="547"/>
          <w:tab w:val="left" w:pos="1080"/>
          <w:tab w:val="left" w:pos="1627"/>
          <w:tab w:val="left" w:pos="2160"/>
          <w:tab w:val="left" w:pos="2880"/>
        </w:tabs>
        <w:rPr>
          <w:b/>
          <w:sz w:val="24"/>
          <w:szCs w:val="24"/>
        </w:rPr>
      </w:pPr>
      <w:r w:rsidRPr="00487D7A">
        <w:rPr>
          <w:b/>
          <w:sz w:val="24"/>
          <w:szCs w:val="24"/>
        </w:rPr>
        <w:t>5.</w:t>
      </w:r>
      <w:r w:rsidRPr="00487D7A">
        <w:rPr>
          <w:b/>
          <w:sz w:val="24"/>
          <w:szCs w:val="24"/>
        </w:rPr>
        <w:tab/>
      </w:r>
      <w:r w:rsidR="00536A11" w:rsidRPr="00487D7A">
        <w:rPr>
          <w:b/>
          <w:sz w:val="24"/>
          <w:szCs w:val="24"/>
        </w:rPr>
        <w:t>Provide the name and telephone number of individuals consulted on statistical aspects of the design and the name of the agency unit, contractor(s), grantee(s), or other person(s) who will actually collect and/or analyze the information for the agency.</w:t>
      </w:r>
    </w:p>
    <w:p w:rsidR="00B0482F" w:rsidRPr="00487D7A" w:rsidRDefault="00B0482F">
      <w:pPr>
        <w:tabs>
          <w:tab w:val="left" w:pos="547"/>
          <w:tab w:val="left" w:pos="1080"/>
          <w:tab w:val="left" w:pos="1627"/>
          <w:tab w:val="left" w:pos="2160"/>
          <w:tab w:val="left" w:pos="2880"/>
        </w:tabs>
      </w:pPr>
    </w:p>
    <w:p w:rsidR="001E4DC2" w:rsidRPr="00487D7A" w:rsidRDefault="00B0482F" w:rsidP="00B0482F">
      <w:pPr>
        <w:tabs>
          <w:tab w:val="left" w:pos="547"/>
          <w:tab w:val="left" w:pos="1080"/>
          <w:tab w:val="left" w:pos="1627"/>
          <w:tab w:val="left" w:pos="2160"/>
          <w:tab w:val="left" w:pos="2880"/>
        </w:tabs>
      </w:pPr>
      <w:r w:rsidRPr="00487D7A">
        <w:t xml:space="preserve">Dr. Lynda King, a research psychologist at the Women's Health Sciences Division of the </w:t>
      </w:r>
      <w:smartTag w:uri="urn:schemas-microsoft-com:office:smarttags" w:element="PlaceName">
        <w:r w:rsidRPr="00487D7A">
          <w:t>National</w:t>
        </w:r>
      </w:smartTag>
      <w:r w:rsidRPr="00487D7A">
        <w:t xml:space="preserve"> </w:t>
      </w:r>
      <w:smartTag w:uri="urn:schemas-microsoft-com:office:smarttags" w:element="PlaceType">
        <w:r w:rsidRPr="00487D7A">
          <w:t>Center</w:t>
        </w:r>
      </w:smartTag>
      <w:r w:rsidRPr="00487D7A">
        <w:t xml:space="preserve"> for PTSD, and Dr. Dan</w:t>
      </w:r>
      <w:r w:rsidR="001E4DC2" w:rsidRPr="00487D7A">
        <w:t>iel</w:t>
      </w:r>
      <w:r w:rsidRPr="00487D7A">
        <w:t xml:space="preserve"> King, a research psychologist at the Behavioral Science Division of the </w:t>
      </w:r>
      <w:smartTag w:uri="urn:schemas-microsoft-com:office:smarttags" w:element="place">
        <w:smartTag w:uri="urn:schemas-microsoft-com:office:smarttags" w:element="PlaceName">
          <w:r w:rsidRPr="00487D7A">
            <w:t>National</w:t>
          </w:r>
        </w:smartTag>
        <w:r w:rsidRPr="00487D7A">
          <w:t xml:space="preserve"> </w:t>
        </w:r>
        <w:smartTag w:uri="urn:schemas-microsoft-com:office:smarttags" w:element="PlaceType">
          <w:r w:rsidRPr="00487D7A">
            <w:t>Center</w:t>
          </w:r>
        </w:smartTag>
      </w:smartTag>
      <w:r w:rsidRPr="00487D7A">
        <w:t xml:space="preserve"> for PTSD, </w:t>
      </w:r>
      <w:r w:rsidR="001E4DC2" w:rsidRPr="00487D7A">
        <w:t xml:space="preserve">were </w:t>
      </w:r>
      <w:r w:rsidRPr="00487D7A">
        <w:t xml:space="preserve">consulted on </w:t>
      </w:r>
      <w:r w:rsidR="001E4DC2" w:rsidRPr="00487D7A">
        <w:t xml:space="preserve">all </w:t>
      </w:r>
      <w:r w:rsidRPr="00487D7A">
        <w:t>statistical aspects of the design</w:t>
      </w:r>
      <w:r w:rsidR="007B6A9B" w:rsidRPr="00487D7A">
        <w:t xml:space="preserve">. </w:t>
      </w:r>
      <w:r w:rsidRPr="00487D7A">
        <w:t>Their work telephone number is (</w:t>
      </w:r>
      <w:r w:rsidR="00785333" w:rsidRPr="00487D7A">
        <w:t>857</w:t>
      </w:r>
      <w:r w:rsidRPr="00487D7A">
        <w:t xml:space="preserve">) </w:t>
      </w:r>
      <w:r w:rsidR="00785333" w:rsidRPr="00487D7A">
        <w:t>364</w:t>
      </w:r>
      <w:r w:rsidRPr="00487D7A">
        <w:t>-</w:t>
      </w:r>
      <w:r w:rsidR="00785333" w:rsidRPr="00487D7A">
        <w:t xml:space="preserve">4938. </w:t>
      </w:r>
    </w:p>
    <w:p w:rsidR="001E4DC2" w:rsidRPr="00487D7A" w:rsidRDefault="001E4DC2" w:rsidP="00B0482F">
      <w:pPr>
        <w:tabs>
          <w:tab w:val="left" w:pos="547"/>
          <w:tab w:val="left" w:pos="1080"/>
          <w:tab w:val="left" w:pos="1627"/>
          <w:tab w:val="left" w:pos="2160"/>
          <w:tab w:val="left" w:pos="2880"/>
        </w:tabs>
      </w:pPr>
    </w:p>
    <w:p w:rsidR="001E4DC2" w:rsidRPr="00487D7A" w:rsidRDefault="00B0482F" w:rsidP="00B0482F">
      <w:pPr>
        <w:tabs>
          <w:tab w:val="left" w:pos="547"/>
          <w:tab w:val="left" w:pos="1080"/>
          <w:tab w:val="left" w:pos="1627"/>
          <w:tab w:val="left" w:pos="2160"/>
          <w:tab w:val="left" w:pos="2880"/>
        </w:tabs>
      </w:pPr>
      <w:r w:rsidRPr="00487D7A">
        <w:t xml:space="preserve">Dr. Dawne Vogt, a research psychologist at the Women's Health Sciences Division of the National Center for PTSD, </w:t>
      </w:r>
      <w:r w:rsidR="00ED59CA">
        <w:t>is the lead principal investigator on this project, and is</w:t>
      </w:r>
      <w:r w:rsidRPr="00487D7A">
        <w:t xml:space="preserve"> responsible for directing collection and analysis of the data</w:t>
      </w:r>
      <w:r w:rsidR="007B6A9B" w:rsidRPr="00487D7A">
        <w:t xml:space="preserve">. </w:t>
      </w:r>
      <w:r w:rsidRPr="00487D7A">
        <w:t>Her telephone number is (857) 364-5976</w:t>
      </w:r>
      <w:r w:rsidR="00EA41BA" w:rsidRPr="00487D7A">
        <w:t xml:space="preserve">. </w:t>
      </w:r>
    </w:p>
    <w:p w:rsidR="00ED59CA" w:rsidRDefault="00ED59CA" w:rsidP="00B0482F">
      <w:pPr>
        <w:tabs>
          <w:tab w:val="left" w:pos="547"/>
          <w:tab w:val="left" w:pos="1080"/>
          <w:tab w:val="left" w:pos="1627"/>
          <w:tab w:val="left" w:pos="2160"/>
          <w:tab w:val="left" w:pos="2880"/>
        </w:tabs>
      </w:pPr>
    </w:p>
    <w:p w:rsidR="001E4DC2" w:rsidRDefault="00ED59CA" w:rsidP="00B0482F">
      <w:pPr>
        <w:tabs>
          <w:tab w:val="left" w:pos="547"/>
          <w:tab w:val="left" w:pos="1080"/>
          <w:tab w:val="left" w:pos="1627"/>
          <w:tab w:val="left" w:pos="2160"/>
          <w:tab w:val="left" w:pos="2880"/>
        </w:tabs>
      </w:pPr>
      <w:r>
        <w:t>Dr. Brian Smith, also a research psychologist at the Women’s Health Sciences Division of the National Center for PTSD, will be working directly with Dr. Vogt to manage data collection and analysis, as well as reporting of the results.  Dr. Smith’s telephone number is (857) 364-6196.</w:t>
      </w:r>
    </w:p>
    <w:p w:rsidR="00B0482F" w:rsidRPr="00487D7A" w:rsidRDefault="00B0482F" w:rsidP="00B0482F">
      <w:pPr>
        <w:tabs>
          <w:tab w:val="left" w:pos="547"/>
          <w:tab w:val="left" w:pos="1080"/>
          <w:tab w:val="left" w:pos="1627"/>
          <w:tab w:val="left" w:pos="2160"/>
          <w:tab w:val="left" w:pos="2880"/>
        </w:tabs>
      </w:pPr>
      <w:r w:rsidRPr="00487D7A">
        <w:t>All data will be collected by the research team at the Women's Health Sciences Division of the National Center for PTSD in the VA Boston Healthcare System</w:t>
      </w:r>
      <w:r w:rsidR="007B6A9B" w:rsidRPr="00487D7A">
        <w:t xml:space="preserve">. </w:t>
      </w:r>
    </w:p>
    <w:p w:rsidR="00A15218" w:rsidRPr="00101C61" w:rsidRDefault="00A15218" w:rsidP="00126C3F">
      <w:pPr>
        <w:tabs>
          <w:tab w:val="left" w:pos="547"/>
          <w:tab w:val="left" w:pos="1080"/>
          <w:tab w:val="left" w:pos="1627"/>
          <w:tab w:val="left" w:pos="2160"/>
          <w:tab w:val="left" w:pos="2880"/>
        </w:tabs>
      </w:pPr>
    </w:p>
    <w:p w:rsidR="007B1918" w:rsidRPr="00101C61" w:rsidRDefault="007B1918" w:rsidP="00126C3F">
      <w:pPr>
        <w:tabs>
          <w:tab w:val="left" w:pos="547"/>
          <w:tab w:val="left" w:pos="1080"/>
          <w:tab w:val="left" w:pos="1627"/>
          <w:tab w:val="left" w:pos="2160"/>
          <w:tab w:val="left" w:pos="2880"/>
        </w:tabs>
      </w:pPr>
    </w:p>
    <w:sectPr w:rsidR="007B1918" w:rsidRPr="00101C61" w:rsidSect="00792BC7">
      <w:footerReference w:type="default" r:id="rId7"/>
      <w:footerReference w:type="first" r:id="rId8"/>
      <w:pgSz w:w="12240" w:h="15840" w:code="1"/>
      <w:pgMar w:top="1440" w:right="1440" w:bottom="1440" w:left="1440" w:header="576" w:footer="57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7B4" w:rsidRDefault="00C057B4">
      <w:r>
        <w:separator/>
      </w:r>
    </w:p>
  </w:endnote>
  <w:endnote w:type="continuationSeparator" w:id="0">
    <w:p w:rsidR="00C057B4" w:rsidRDefault="00C05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B4" w:rsidRDefault="00C057B4">
    <w:pPr>
      <w:pStyle w:val="Footer"/>
      <w:tabs>
        <w:tab w:val="clear" w:pos="4320"/>
        <w:tab w:val="clear" w:pos="8640"/>
        <w:tab w:val="right" w:pos="10080"/>
      </w:tabs>
      <w:rPr>
        <w:b/>
        <w:bCs/>
        <w:sz w:val="24"/>
      </w:rPr>
    </w:pPr>
    <w:r>
      <w:tab/>
    </w:r>
    <w:r>
      <w:rPr>
        <w:b/>
        <w:bCs/>
        <w:sz w:val="24"/>
      </w:rPr>
      <w:t xml:space="preserve">Page </w:t>
    </w:r>
    <w:r w:rsidR="00165785">
      <w:rPr>
        <w:rStyle w:val="PageNumber"/>
        <w:b/>
        <w:bCs/>
        <w:sz w:val="24"/>
      </w:rPr>
      <w:fldChar w:fldCharType="begin"/>
    </w:r>
    <w:r>
      <w:rPr>
        <w:rStyle w:val="PageNumber"/>
        <w:b/>
        <w:bCs/>
        <w:sz w:val="24"/>
      </w:rPr>
      <w:instrText xml:space="preserve"> PAGE </w:instrText>
    </w:r>
    <w:r w:rsidR="00165785">
      <w:rPr>
        <w:rStyle w:val="PageNumber"/>
        <w:b/>
        <w:bCs/>
        <w:sz w:val="24"/>
      </w:rPr>
      <w:fldChar w:fldCharType="separate"/>
    </w:r>
    <w:r w:rsidR="00600F18">
      <w:rPr>
        <w:rStyle w:val="PageNumber"/>
        <w:b/>
        <w:bCs/>
        <w:noProof/>
        <w:sz w:val="24"/>
      </w:rPr>
      <w:t>6</w:t>
    </w:r>
    <w:r w:rsidR="00165785">
      <w:rPr>
        <w:rStyle w:val="PageNumber"/>
        <w:b/>
        <w:bCs/>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B4" w:rsidRDefault="00C057B4">
    <w:pPr>
      <w:pStyle w:val="Footer"/>
      <w:tabs>
        <w:tab w:val="clear" w:pos="4320"/>
        <w:tab w:val="clear" w:pos="8640"/>
        <w:tab w:val="right" w:pos="10080"/>
      </w:tabs>
      <w:rPr>
        <w:b/>
        <w:bCs/>
        <w:sz w:val="24"/>
      </w:rPr>
    </w:pPr>
    <w:r>
      <w:tab/>
    </w:r>
    <w:r>
      <w:rPr>
        <w:b/>
        <w:bCs/>
        <w:sz w:val="24"/>
      </w:rPr>
      <w:t xml:space="preserve">Page </w:t>
    </w:r>
    <w:r w:rsidR="00165785">
      <w:rPr>
        <w:rStyle w:val="PageNumber"/>
        <w:b/>
        <w:bCs/>
        <w:sz w:val="24"/>
      </w:rPr>
      <w:fldChar w:fldCharType="begin"/>
    </w:r>
    <w:r>
      <w:rPr>
        <w:rStyle w:val="PageNumber"/>
        <w:b/>
        <w:bCs/>
        <w:sz w:val="24"/>
      </w:rPr>
      <w:instrText xml:space="preserve"> PAGE </w:instrText>
    </w:r>
    <w:r w:rsidR="00165785">
      <w:rPr>
        <w:rStyle w:val="PageNumber"/>
        <w:b/>
        <w:bCs/>
        <w:sz w:val="24"/>
      </w:rPr>
      <w:fldChar w:fldCharType="separate"/>
    </w:r>
    <w:r w:rsidR="00600F18">
      <w:rPr>
        <w:rStyle w:val="PageNumber"/>
        <w:b/>
        <w:bCs/>
        <w:noProof/>
        <w:sz w:val="24"/>
      </w:rPr>
      <w:t>1</w:t>
    </w:r>
    <w:r w:rsidR="00165785">
      <w:rPr>
        <w:rStyle w:val="PageNumber"/>
        <w:b/>
        <w:bC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7B4" w:rsidRDefault="00C057B4">
      <w:r>
        <w:separator/>
      </w:r>
    </w:p>
  </w:footnote>
  <w:footnote w:type="continuationSeparator" w:id="0">
    <w:p w:rsidR="00C057B4" w:rsidRDefault="00C057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5A33070"/>
    <w:multiLevelType w:val="hybridMultilevel"/>
    <w:tmpl w:val="D3447D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26722DFD"/>
    <w:multiLevelType w:val="hybridMultilevel"/>
    <w:tmpl w:val="1FFC51F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6FB7F99"/>
    <w:multiLevelType w:val="hybridMultilevel"/>
    <w:tmpl w:val="D3E8F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43228E"/>
    <w:multiLevelType w:val="hybridMultilevel"/>
    <w:tmpl w:val="A14C4AFC"/>
    <w:lvl w:ilvl="0" w:tplc="04090001">
      <w:start w:val="1"/>
      <w:numFmt w:val="bullet"/>
      <w:lvlText w:val=""/>
      <w:lvlJc w:val="left"/>
      <w:pPr>
        <w:tabs>
          <w:tab w:val="num" w:pos="280"/>
        </w:tabs>
        <w:ind w:left="280" w:hanging="360"/>
      </w:pPr>
      <w:rPr>
        <w:rFonts w:ascii="Symbol" w:hAnsi="Symbol" w:hint="default"/>
      </w:rPr>
    </w:lvl>
    <w:lvl w:ilvl="1" w:tplc="04090003" w:tentative="1">
      <w:start w:val="1"/>
      <w:numFmt w:val="bullet"/>
      <w:lvlText w:val="o"/>
      <w:lvlJc w:val="left"/>
      <w:pPr>
        <w:tabs>
          <w:tab w:val="num" w:pos="1000"/>
        </w:tabs>
        <w:ind w:left="1000" w:hanging="360"/>
      </w:pPr>
      <w:rPr>
        <w:rFonts w:ascii="Courier New" w:hAnsi="Courier New" w:cs="Courier New" w:hint="default"/>
      </w:rPr>
    </w:lvl>
    <w:lvl w:ilvl="2" w:tplc="04090005" w:tentative="1">
      <w:start w:val="1"/>
      <w:numFmt w:val="bullet"/>
      <w:lvlText w:val=""/>
      <w:lvlJc w:val="left"/>
      <w:pPr>
        <w:tabs>
          <w:tab w:val="num" w:pos="1720"/>
        </w:tabs>
        <w:ind w:left="1720" w:hanging="360"/>
      </w:pPr>
      <w:rPr>
        <w:rFonts w:ascii="Wingdings" w:hAnsi="Wingdings" w:hint="default"/>
      </w:rPr>
    </w:lvl>
    <w:lvl w:ilvl="3" w:tplc="04090001" w:tentative="1">
      <w:start w:val="1"/>
      <w:numFmt w:val="bullet"/>
      <w:lvlText w:val=""/>
      <w:lvlJc w:val="left"/>
      <w:pPr>
        <w:tabs>
          <w:tab w:val="num" w:pos="2440"/>
        </w:tabs>
        <w:ind w:left="2440" w:hanging="360"/>
      </w:pPr>
      <w:rPr>
        <w:rFonts w:ascii="Symbol" w:hAnsi="Symbol" w:hint="default"/>
      </w:rPr>
    </w:lvl>
    <w:lvl w:ilvl="4" w:tplc="04090003" w:tentative="1">
      <w:start w:val="1"/>
      <w:numFmt w:val="bullet"/>
      <w:lvlText w:val="o"/>
      <w:lvlJc w:val="left"/>
      <w:pPr>
        <w:tabs>
          <w:tab w:val="num" w:pos="3160"/>
        </w:tabs>
        <w:ind w:left="3160" w:hanging="360"/>
      </w:pPr>
      <w:rPr>
        <w:rFonts w:ascii="Courier New" w:hAnsi="Courier New" w:cs="Courier New" w:hint="default"/>
      </w:rPr>
    </w:lvl>
    <w:lvl w:ilvl="5" w:tplc="04090005" w:tentative="1">
      <w:start w:val="1"/>
      <w:numFmt w:val="bullet"/>
      <w:lvlText w:val=""/>
      <w:lvlJc w:val="left"/>
      <w:pPr>
        <w:tabs>
          <w:tab w:val="num" w:pos="3880"/>
        </w:tabs>
        <w:ind w:left="3880" w:hanging="360"/>
      </w:pPr>
      <w:rPr>
        <w:rFonts w:ascii="Wingdings" w:hAnsi="Wingdings" w:hint="default"/>
      </w:rPr>
    </w:lvl>
    <w:lvl w:ilvl="6" w:tplc="04090001" w:tentative="1">
      <w:start w:val="1"/>
      <w:numFmt w:val="bullet"/>
      <w:lvlText w:val=""/>
      <w:lvlJc w:val="left"/>
      <w:pPr>
        <w:tabs>
          <w:tab w:val="num" w:pos="4600"/>
        </w:tabs>
        <w:ind w:left="4600" w:hanging="360"/>
      </w:pPr>
      <w:rPr>
        <w:rFonts w:ascii="Symbol" w:hAnsi="Symbol" w:hint="default"/>
      </w:rPr>
    </w:lvl>
    <w:lvl w:ilvl="7" w:tplc="04090003" w:tentative="1">
      <w:start w:val="1"/>
      <w:numFmt w:val="bullet"/>
      <w:lvlText w:val="o"/>
      <w:lvlJc w:val="left"/>
      <w:pPr>
        <w:tabs>
          <w:tab w:val="num" w:pos="5320"/>
        </w:tabs>
        <w:ind w:left="5320" w:hanging="360"/>
      </w:pPr>
      <w:rPr>
        <w:rFonts w:ascii="Courier New" w:hAnsi="Courier New" w:cs="Courier New" w:hint="default"/>
      </w:rPr>
    </w:lvl>
    <w:lvl w:ilvl="8" w:tplc="04090005" w:tentative="1">
      <w:start w:val="1"/>
      <w:numFmt w:val="bullet"/>
      <w:lvlText w:val=""/>
      <w:lvlJc w:val="left"/>
      <w:pPr>
        <w:tabs>
          <w:tab w:val="num" w:pos="6040"/>
        </w:tabs>
        <w:ind w:left="604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D5EF6"/>
    <w:rsid w:val="000001B0"/>
    <w:rsid w:val="00002A25"/>
    <w:rsid w:val="00003679"/>
    <w:rsid w:val="000047F7"/>
    <w:rsid w:val="00007FD5"/>
    <w:rsid w:val="000113C2"/>
    <w:rsid w:val="00013B2A"/>
    <w:rsid w:val="00014DE0"/>
    <w:rsid w:val="0002376F"/>
    <w:rsid w:val="00027706"/>
    <w:rsid w:val="00030326"/>
    <w:rsid w:val="00030504"/>
    <w:rsid w:val="0003649F"/>
    <w:rsid w:val="000401CA"/>
    <w:rsid w:val="00053BFE"/>
    <w:rsid w:val="00054FFE"/>
    <w:rsid w:val="00063D4A"/>
    <w:rsid w:val="00064A9C"/>
    <w:rsid w:val="00066CE7"/>
    <w:rsid w:val="00067604"/>
    <w:rsid w:val="00070A46"/>
    <w:rsid w:val="00071CB8"/>
    <w:rsid w:val="00075301"/>
    <w:rsid w:val="00080211"/>
    <w:rsid w:val="00081732"/>
    <w:rsid w:val="00082B38"/>
    <w:rsid w:val="00083A69"/>
    <w:rsid w:val="00090BE2"/>
    <w:rsid w:val="00091F9F"/>
    <w:rsid w:val="0009207A"/>
    <w:rsid w:val="00095524"/>
    <w:rsid w:val="00097ED4"/>
    <w:rsid w:val="000A6A53"/>
    <w:rsid w:val="000B4833"/>
    <w:rsid w:val="000B4D79"/>
    <w:rsid w:val="000B636B"/>
    <w:rsid w:val="000C1457"/>
    <w:rsid w:val="000C29E6"/>
    <w:rsid w:val="000C2AEB"/>
    <w:rsid w:val="000C32B0"/>
    <w:rsid w:val="000C7EA2"/>
    <w:rsid w:val="000D10EE"/>
    <w:rsid w:val="000E7E6C"/>
    <w:rsid w:val="000F7CEF"/>
    <w:rsid w:val="00101C61"/>
    <w:rsid w:val="001020EB"/>
    <w:rsid w:val="001022CE"/>
    <w:rsid w:val="0010476E"/>
    <w:rsid w:val="001060E1"/>
    <w:rsid w:val="00112063"/>
    <w:rsid w:val="00112E2B"/>
    <w:rsid w:val="0011591D"/>
    <w:rsid w:val="00116168"/>
    <w:rsid w:val="00121F62"/>
    <w:rsid w:val="00123428"/>
    <w:rsid w:val="00124F11"/>
    <w:rsid w:val="0012576E"/>
    <w:rsid w:val="00126C3F"/>
    <w:rsid w:val="00145ECB"/>
    <w:rsid w:val="00146CF4"/>
    <w:rsid w:val="00151F96"/>
    <w:rsid w:val="0016423A"/>
    <w:rsid w:val="00165785"/>
    <w:rsid w:val="0016730C"/>
    <w:rsid w:val="00172CA8"/>
    <w:rsid w:val="0017571E"/>
    <w:rsid w:val="00181404"/>
    <w:rsid w:val="00182A3B"/>
    <w:rsid w:val="00183DBF"/>
    <w:rsid w:val="00186838"/>
    <w:rsid w:val="00191C8D"/>
    <w:rsid w:val="00195745"/>
    <w:rsid w:val="00196434"/>
    <w:rsid w:val="001A6B80"/>
    <w:rsid w:val="001A7D10"/>
    <w:rsid w:val="001B02FB"/>
    <w:rsid w:val="001B118B"/>
    <w:rsid w:val="001B5DFE"/>
    <w:rsid w:val="001B63C9"/>
    <w:rsid w:val="001B742F"/>
    <w:rsid w:val="001C56B0"/>
    <w:rsid w:val="001C6B0C"/>
    <w:rsid w:val="001D147B"/>
    <w:rsid w:val="001D303D"/>
    <w:rsid w:val="001D6D2B"/>
    <w:rsid w:val="001E4DC2"/>
    <w:rsid w:val="001F043C"/>
    <w:rsid w:val="001F27EA"/>
    <w:rsid w:val="001F3FA6"/>
    <w:rsid w:val="001F689F"/>
    <w:rsid w:val="002014B8"/>
    <w:rsid w:val="00202922"/>
    <w:rsid w:val="00214DDF"/>
    <w:rsid w:val="00215006"/>
    <w:rsid w:val="00215AA6"/>
    <w:rsid w:val="00220569"/>
    <w:rsid w:val="002219C0"/>
    <w:rsid w:val="00221E43"/>
    <w:rsid w:val="0022422E"/>
    <w:rsid w:val="002321CC"/>
    <w:rsid w:val="00241ABD"/>
    <w:rsid w:val="002479E6"/>
    <w:rsid w:val="00250168"/>
    <w:rsid w:val="00264D88"/>
    <w:rsid w:val="002652CD"/>
    <w:rsid w:val="002677E3"/>
    <w:rsid w:val="00271DD1"/>
    <w:rsid w:val="00273D7C"/>
    <w:rsid w:val="00274F0E"/>
    <w:rsid w:val="002803A4"/>
    <w:rsid w:val="00282906"/>
    <w:rsid w:val="00291A64"/>
    <w:rsid w:val="002A05F3"/>
    <w:rsid w:val="002A0C88"/>
    <w:rsid w:val="002A5CE5"/>
    <w:rsid w:val="002B505A"/>
    <w:rsid w:val="002B7C38"/>
    <w:rsid w:val="002B7CAD"/>
    <w:rsid w:val="002C225F"/>
    <w:rsid w:val="002C2624"/>
    <w:rsid w:val="002C63F1"/>
    <w:rsid w:val="002D05F3"/>
    <w:rsid w:val="002D2B9F"/>
    <w:rsid w:val="002D3429"/>
    <w:rsid w:val="002E4ADD"/>
    <w:rsid w:val="002E5442"/>
    <w:rsid w:val="002E5963"/>
    <w:rsid w:val="002F3352"/>
    <w:rsid w:val="002F441E"/>
    <w:rsid w:val="002F7917"/>
    <w:rsid w:val="0030483D"/>
    <w:rsid w:val="00307813"/>
    <w:rsid w:val="00311442"/>
    <w:rsid w:val="00322B47"/>
    <w:rsid w:val="00330B1D"/>
    <w:rsid w:val="00336C9A"/>
    <w:rsid w:val="003412FA"/>
    <w:rsid w:val="0034414E"/>
    <w:rsid w:val="00350AAF"/>
    <w:rsid w:val="00360721"/>
    <w:rsid w:val="00360D02"/>
    <w:rsid w:val="0036349B"/>
    <w:rsid w:val="00364FE3"/>
    <w:rsid w:val="003658B2"/>
    <w:rsid w:val="00365B9E"/>
    <w:rsid w:val="00370AE0"/>
    <w:rsid w:val="00372149"/>
    <w:rsid w:val="00373DAF"/>
    <w:rsid w:val="00375E5C"/>
    <w:rsid w:val="00376F96"/>
    <w:rsid w:val="00377B05"/>
    <w:rsid w:val="00380F3C"/>
    <w:rsid w:val="00385577"/>
    <w:rsid w:val="00385809"/>
    <w:rsid w:val="00385FC1"/>
    <w:rsid w:val="003871B9"/>
    <w:rsid w:val="00391938"/>
    <w:rsid w:val="00392FA2"/>
    <w:rsid w:val="00393449"/>
    <w:rsid w:val="003A449E"/>
    <w:rsid w:val="003A5AE3"/>
    <w:rsid w:val="003A5E34"/>
    <w:rsid w:val="003A67E9"/>
    <w:rsid w:val="003B00F7"/>
    <w:rsid w:val="003B2CFB"/>
    <w:rsid w:val="003B3E64"/>
    <w:rsid w:val="003C280D"/>
    <w:rsid w:val="003C2ECD"/>
    <w:rsid w:val="003C3462"/>
    <w:rsid w:val="003C3878"/>
    <w:rsid w:val="003C7023"/>
    <w:rsid w:val="003D140B"/>
    <w:rsid w:val="003D3F02"/>
    <w:rsid w:val="003D6118"/>
    <w:rsid w:val="003E0AFB"/>
    <w:rsid w:val="003E1167"/>
    <w:rsid w:val="003E4153"/>
    <w:rsid w:val="003F03FA"/>
    <w:rsid w:val="003F4CC4"/>
    <w:rsid w:val="003F635C"/>
    <w:rsid w:val="00406442"/>
    <w:rsid w:val="00410263"/>
    <w:rsid w:val="0041124A"/>
    <w:rsid w:val="00414403"/>
    <w:rsid w:val="004151EE"/>
    <w:rsid w:val="00417CCB"/>
    <w:rsid w:val="00420689"/>
    <w:rsid w:val="00423476"/>
    <w:rsid w:val="0042597B"/>
    <w:rsid w:val="00427325"/>
    <w:rsid w:val="00435B0A"/>
    <w:rsid w:val="00440ABE"/>
    <w:rsid w:val="0044676F"/>
    <w:rsid w:val="00454303"/>
    <w:rsid w:val="00454777"/>
    <w:rsid w:val="004558DC"/>
    <w:rsid w:val="00463DA5"/>
    <w:rsid w:val="004671BE"/>
    <w:rsid w:val="00473C41"/>
    <w:rsid w:val="004755E5"/>
    <w:rsid w:val="00477FAB"/>
    <w:rsid w:val="004820AD"/>
    <w:rsid w:val="00482A4B"/>
    <w:rsid w:val="004856C2"/>
    <w:rsid w:val="00487D7A"/>
    <w:rsid w:val="004A3F25"/>
    <w:rsid w:val="004A60FC"/>
    <w:rsid w:val="004B3A7E"/>
    <w:rsid w:val="004B5984"/>
    <w:rsid w:val="004C1D64"/>
    <w:rsid w:val="004C51BD"/>
    <w:rsid w:val="004C6C71"/>
    <w:rsid w:val="004D35A5"/>
    <w:rsid w:val="004E0519"/>
    <w:rsid w:val="004E22A6"/>
    <w:rsid w:val="004E265A"/>
    <w:rsid w:val="004E2F0C"/>
    <w:rsid w:val="004E4897"/>
    <w:rsid w:val="004E50AB"/>
    <w:rsid w:val="004F1374"/>
    <w:rsid w:val="004F2B78"/>
    <w:rsid w:val="004F4A79"/>
    <w:rsid w:val="00510E3A"/>
    <w:rsid w:val="00511052"/>
    <w:rsid w:val="005124FB"/>
    <w:rsid w:val="0051559D"/>
    <w:rsid w:val="00516397"/>
    <w:rsid w:val="0051787D"/>
    <w:rsid w:val="00517E1B"/>
    <w:rsid w:val="00521632"/>
    <w:rsid w:val="00523EB4"/>
    <w:rsid w:val="00524642"/>
    <w:rsid w:val="00527FC8"/>
    <w:rsid w:val="00530405"/>
    <w:rsid w:val="00533D15"/>
    <w:rsid w:val="00536A11"/>
    <w:rsid w:val="00536CEC"/>
    <w:rsid w:val="005411B5"/>
    <w:rsid w:val="00541276"/>
    <w:rsid w:val="00552C0D"/>
    <w:rsid w:val="00554E5B"/>
    <w:rsid w:val="00570EA0"/>
    <w:rsid w:val="005715F5"/>
    <w:rsid w:val="00573B18"/>
    <w:rsid w:val="0058239A"/>
    <w:rsid w:val="0058600C"/>
    <w:rsid w:val="005A039A"/>
    <w:rsid w:val="005A6DFF"/>
    <w:rsid w:val="005A7331"/>
    <w:rsid w:val="005B0B49"/>
    <w:rsid w:val="005B0BF2"/>
    <w:rsid w:val="005B6431"/>
    <w:rsid w:val="005C4B08"/>
    <w:rsid w:val="005C66E6"/>
    <w:rsid w:val="005C76C3"/>
    <w:rsid w:val="005D3378"/>
    <w:rsid w:val="005D3393"/>
    <w:rsid w:val="005D5EF6"/>
    <w:rsid w:val="005D611F"/>
    <w:rsid w:val="005E7BB4"/>
    <w:rsid w:val="005F3250"/>
    <w:rsid w:val="005F3268"/>
    <w:rsid w:val="005F4149"/>
    <w:rsid w:val="00600F18"/>
    <w:rsid w:val="006019C9"/>
    <w:rsid w:val="00601C19"/>
    <w:rsid w:val="00601D5F"/>
    <w:rsid w:val="00603B2F"/>
    <w:rsid w:val="00606E30"/>
    <w:rsid w:val="00616049"/>
    <w:rsid w:val="00616C31"/>
    <w:rsid w:val="006303E0"/>
    <w:rsid w:val="0064259A"/>
    <w:rsid w:val="00642A5E"/>
    <w:rsid w:val="00647959"/>
    <w:rsid w:val="006503F9"/>
    <w:rsid w:val="00650AD4"/>
    <w:rsid w:val="006526D6"/>
    <w:rsid w:val="00652E1E"/>
    <w:rsid w:val="0065477E"/>
    <w:rsid w:val="00656967"/>
    <w:rsid w:val="00657C18"/>
    <w:rsid w:val="00660E1E"/>
    <w:rsid w:val="00670863"/>
    <w:rsid w:val="00671E6E"/>
    <w:rsid w:val="00673985"/>
    <w:rsid w:val="0067454E"/>
    <w:rsid w:val="00683EE3"/>
    <w:rsid w:val="00684A16"/>
    <w:rsid w:val="00687E1E"/>
    <w:rsid w:val="006934EB"/>
    <w:rsid w:val="00695674"/>
    <w:rsid w:val="006A0D12"/>
    <w:rsid w:val="006A524D"/>
    <w:rsid w:val="006A60D2"/>
    <w:rsid w:val="006A7124"/>
    <w:rsid w:val="006B0D8C"/>
    <w:rsid w:val="006B1B80"/>
    <w:rsid w:val="006B39F7"/>
    <w:rsid w:val="006B3C35"/>
    <w:rsid w:val="006B557F"/>
    <w:rsid w:val="006C1D8F"/>
    <w:rsid w:val="006C2441"/>
    <w:rsid w:val="006C63E8"/>
    <w:rsid w:val="006C6F66"/>
    <w:rsid w:val="006C7A3A"/>
    <w:rsid w:val="006D5EE6"/>
    <w:rsid w:val="006D69EA"/>
    <w:rsid w:val="006D7320"/>
    <w:rsid w:val="006D74C4"/>
    <w:rsid w:val="006E2237"/>
    <w:rsid w:val="006E2B60"/>
    <w:rsid w:val="006E7879"/>
    <w:rsid w:val="006F31A1"/>
    <w:rsid w:val="007005AD"/>
    <w:rsid w:val="007020F4"/>
    <w:rsid w:val="00703C45"/>
    <w:rsid w:val="00704CBC"/>
    <w:rsid w:val="00704ED7"/>
    <w:rsid w:val="00704F29"/>
    <w:rsid w:val="00705FB4"/>
    <w:rsid w:val="00707242"/>
    <w:rsid w:val="00707308"/>
    <w:rsid w:val="00712672"/>
    <w:rsid w:val="00713D3C"/>
    <w:rsid w:val="0072159A"/>
    <w:rsid w:val="00722216"/>
    <w:rsid w:val="0073189E"/>
    <w:rsid w:val="00732ABE"/>
    <w:rsid w:val="00732BDB"/>
    <w:rsid w:val="00744792"/>
    <w:rsid w:val="007448BA"/>
    <w:rsid w:val="0074625D"/>
    <w:rsid w:val="00746C54"/>
    <w:rsid w:val="007478B9"/>
    <w:rsid w:val="00752585"/>
    <w:rsid w:val="0075274D"/>
    <w:rsid w:val="00756B76"/>
    <w:rsid w:val="007572AB"/>
    <w:rsid w:val="007618C0"/>
    <w:rsid w:val="00762889"/>
    <w:rsid w:val="00762B64"/>
    <w:rsid w:val="007637B6"/>
    <w:rsid w:val="00764FEA"/>
    <w:rsid w:val="00765667"/>
    <w:rsid w:val="00766312"/>
    <w:rsid w:val="0077616B"/>
    <w:rsid w:val="007766D8"/>
    <w:rsid w:val="007772E2"/>
    <w:rsid w:val="007827BA"/>
    <w:rsid w:val="00784AEF"/>
    <w:rsid w:val="00785333"/>
    <w:rsid w:val="00785D61"/>
    <w:rsid w:val="00786B50"/>
    <w:rsid w:val="00792BC7"/>
    <w:rsid w:val="00793774"/>
    <w:rsid w:val="00794C3E"/>
    <w:rsid w:val="00795E3A"/>
    <w:rsid w:val="007A2BFD"/>
    <w:rsid w:val="007B12C6"/>
    <w:rsid w:val="007B1338"/>
    <w:rsid w:val="007B1918"/>
    <w:rsid w:val="007B23E9"/>
    <w:rsid w:val="007B2739"/>
    <w:rsid w:val="007B4780"/>
    <w:rsid w:val="007B6A9B"/>
    <w:rsid w:val="007C05AF"/>
    <w:rsid w:val="007D455B"/>
    <w:rsid w:val="007D5488"/>
    <w:rsid w:val="007D5C82"/>
    <w:rsid w:val="007E0E9C"/>
    <w:rsid w:val="007E26C3"/>
    <w:rsid w:val="007E333E"/>
    <w:rsid w:val="007F1B70"/>
    <w:rsid w:val="007F38C6"/>
    <w:rsid w:val="007F3D0A"/>
    <w:rsid w:val="007F54D4"/>
    <w:rsid w:val="007F5A13"/>
    <w:rsid w:val="007F76B8"/>
    <w:rsid w:val="00800759"/>
    <w:rsid w:val="008008AC"/>
    <w:rsid w:val="00802678"/>
    <w:rsid w:val="00803AA0"/>
    <w:rsid w:val="00810B85"/>
    <w:rsid w:val="00813ABD"/>
    <w:rsid w:val="00823A52"/>
    <w:rsid w:val="00827C71"/>
    <w:rsid w:val="0083431E"/>
    <w:rsid w:val="008372D7"/>
    <w:rsid w:val="00841F36"/>
    <w:rsid w:val="008456D2"/>
    <w:rsid w:val="00846911"/>
    <w:rsid w:val="00850206"/>
    <w:rsid w:val="00851CBA"/>
    <w:rsid w:val="008525F2"/>
    <w:rsid w:val="008527A4"/>
    <w:rsid w:val="0085786E"/>
    <w:rsid w:val="008615D9"/>
    <w:rsid w:val="00863B8B"/>
    <w:rsid w:val="008701DA"/>
    <w:rsid w:val="008726A2"/>
    <w:rsid w:val="00873E3B"/>
    <w:rsid w:val="00881A1E"/>
    <w:rsid w:val="00882C23"/>
    <w:rsid w:val="00884D32"/>
    <w:rsid w:val="00891A4B"/>
    <w:rsid w:val="008A6A19"/>
    <w:rsid w:val="008B1120"/>
    <w:rsid w:val="008B3147"/>
    <w:rsid w:val="008B539B"/>
    <w:rsid w:val="008C2A8D"/>
    <w:rsid w:val="008C3B19"/>
    <w:rsid w:val="008C750E"/>
    <w:rsid w:val="008D294A"/>
    <w:rsid w:val="008D46FC"/>
    <w:rsid w:val="008E01F2"/>
    <w:rsid w:val="008E23D3"/>
    <w:rsid w:val="008E60AB"/>
    <w:rsid w:val="008F0000"/>
    <w:rsid w:val="008F7E2B"/>
    <w:rsid w:val="00900D27"/>
    <w:rsid w:val="00903269"/>
    <w:rsid w:val="00903861"/>
    <w:rsid w:val="00905B47"/>
    <w:rsid w:val="00907F61"/>
    <w:rsid w:val="00911B13"/>
    <w:rsid w:val="00913D51"/>
    <w:rsid w:val="00916F4D"/>
    <w:rsid w:val="00917DB8"/>
    <w:rsid w:val="00920914"/>
    <w:rsid w:val="00932122"/>
    <w:rsid w:val="00932E32"/>
    <w:rsid w:val="00937289"/>
    <w:rsid w:val="00943CE5"/>
    <w:rsid w:val="00952703"/>
    <w:rsid w:val="00954E14"/>
    <w:rsid w:val="0095698C"/>
    <w:rsid w:val="00956D10"/>
    <w:rsid w:val="00960F39"/>
    <w:rsid w:val="00962CA9"/>
    <w:rsid w:val="00963501"/>
    <w:rsid w:val="0096546B"/>
    <w:rsid w:val="00967024"/>
    <w:rsid w:val="00967FB9"/>
    <w:rsid w:val="009727E3"/>
    <w:rsid w:val="00972D15"/>
    <w:rsid w:val="00973744"/>
    <w:rsid w:val="00974FB1"/>
    <w:rsid w:val="0097551D"/>
    <w:rsid w:val="0098408B"/>
    <w:rsid w:val="00984463"/>
    <w:rsid w:val="00995FBD"/>
    <w:rsid w:val="00997E79"/>
    <w:rsid w:val="00997F0C"/>
    <w:rsid w:val="009A7316"/>
    <w:rsid w:val="009B373F"/>
    <w:rsid w:val="009B3D34"/>
    <w:rsid w:val="009B58D9"/>
    <w:rsid w:val="009C2522"/>
    <w:rsid w:val="009C290D"/>
    <w:rsid w:val="009C3436"/>
    <w:rsid w:val="009C5148"/>
    <w:rsid w:val="009C5E79"/>
    <w:rsid w:val="009D49FE"/>
    <w:rsid w:val="009D5324"/>
    <w:rsid w:val="009D567F"/>
    <w:rsid w:val="009D69D9"/>
    <w:rsid w:val="009E5CA4"/>
    <w:rsid w:val="009F0068"/>
    <w:rsid w:val="009F3F03"/>
    <w:rsid w:val="009F6DFB"/>
    <w:rsid w:val="009F7DEC"/>
    <w:rsid w:val="00A00C78"/>
    <w:rsid w:val="00A13348"/>
    <w:rsid w:val="00A148FC"/>
    <w:rsid w:val="00A15218"/>
    <w:rsid w:val="00A202F7"/>
    <w:rsid w:val="00A3162D"/>
    <w:rsid w:val="00A31A0E"/>
    <w:rsid w:val="00A33198"/>
    <w:rsid w:val="00A3557E"/>
    <w:rsid w:val="00A35DD2"/>
    <w:rsid w:val="00A42FB2"/>
    <w:rsid w:val="00A5229F"/>
    <w:rsid w:val="00A52F8D"/>
    <w:rsid w:val="00A659F8"/>
    <w:rsid w:val="00A67401"/>
    <w:rsid w:val="00A72BC0"/>
    <w:rsid w:val="00A77F9C"/>
    <w:rsid w:val="00A80F0F"/>
    <w:rsid w:val="00A83655"/>
    <w:rsid w:val="00A836CB"/>
    <w:rsid w:val="00A871BD"/>
    <w:rsid w:val="00A91B40"/>
    <w:rsid w:val="00A940DA"/>
    <w:rsid w:val="00A94F45"/>
    <w:rsid w:val="00A97CAA"/>
    <w:rsid w:val="00A97E63"/>
    <w:rsid w:val="00AB2EF2"/>
    <w:rsid w:val="00AB52A4"/>
    <w:rsid w:val="00AB5836"/>
    <w:rsid w:val="00AC0BC4"/>
    <w:rsid w:val="00AC3340"/>
    <w:rsid w:val="00AC4EC0"/>
    <w:rsid w:val="00AC59F5"/>
    <w:rsid w:val="00AD1859"/>
    <w:rsid w:val="00AD65D5"/>
    <w:rsid w:val="00AE2651"/>
    <w:rsid w:val="00AF651A"/>
    <w:rsid w:val="00AF67FD"/>
    <w:rsid w:val="00B0117A"/>
    <w:rsid w:val="00B0482F"/>
    <w:rsid w:val="00B10F96"/>
    <w:rsid w:val="00B229B3"/>
    <w:rsid w:val="00B2335F"/>
    <w:rsid w:val="00B23A2A"/>
    <w:rsid w:val="00B2679F"/>
    <w:rsid w:val="00B301BF"/>
    <w:rsid w:val="00B338FE"/>
    <w:rsid w:val="00B404AB"/>
    <w:rsid w:val="00B41B2D"/>
    <w:rsid w:val="00B4387F"/>
    <w:rsid w:val="00B43B76"/>
    <w:rsid w:val="00B44D82"/>
    <w:rsid w:val="00B5667E"/>
    <w:rsid w:val="00B569E1"/>
    <w:rsid w:val="00B62226"/>
    <w:rsid w:val="00B631F5"/>
    <w:rsid w:val="00B6445C"/>
    <w:rsid w:val="00B65218"/>
    <w:rsid w:val="00B67ED9"/>
    <w:rsid w:val="00B703BC"/>
    <w:rsid w:val="00B736FB"/>
    <w:rsid w:val="00B74099"/>
    <w:rsid w:val="00B76355"/>
    <w:rsid w:val="00B82DC0"/>
    <w:rsid w:val="00B84E5A"/>
    <w:rsid w:val="00B854D0"/>
    <w:rsid w:val="00B94409"/>
    <w:rsid w:val="00BA4BA2"/>
    <w:rsid w:val="00BC3F1B"/>
    <w:rsid w:val="00BC7747"/>
    <w:rsid w:val="00BD0CE4"/>
    <w:rsid w:val="00BD1B02"/>
    <w:rsid w:val="00BD20AE"/>
    <w:rsid w:val="00BE1539"/>
    <w:rsid w:val="00BE25E0"/>
    <w:rsid w:val="00BE5FA9"/>
    <w:rsid w:val="00BE67C7"/>
    <w:rsid w:val="00C000A2"/>
    <w:rsid w:val="00C001B0"/>
    <w:rsid w:val="00C003A7"/>
    <w:rsid w:val="00C04BB7"/>
    <w:rsid w:val="00C0526D"/>
    <w:rsid w:val="00C057B4"/>
    <w:rsid w:val="00C10196"/>
    <w:rsid w:val="00C10416"/>
    <w:rsid w:val="00C14514"/>
    <w:rsid w:val="00C22768"/>
    <w:rsid w:val="00C24D3D"/>
    <w:rsid w:val="00C25AE4"/>
    <w:rsid w:val="00C25B44"/>
    <w:rsid w:val="00C266D0"/>
    <w:rsid w:val="00C26E4E"/>
    <w:rsid w:val="00C34AB3"/>
    <w:rsid w:val="00C36FCA"/>
    <w:rsid w:val="00C433A7"/>
    <w:rsid w:val="00C52CCE"/>
    <w:rsid w:val="00C548C8"/>
    <w:rsid w:val="00C55BA1"/>
    <w:rsid w:val="00C600C3"/>
    <w:rsid w:val="00C629F6"/>
    <w:rsid w:val="00C6527E"/>
    <w:rsid w:val="00C77229"/>
    <w:rsid w:val="00C81F84"/>
    <w:rsid w:val="00C945A7"/>
    <w:rsid w:val="00C95C06"/>
    <w:rsid w:val="00CA7352"/>
    <w:rsid w:val="00CB66D9"/>
    <w:rsid w:val="00CC220B"/>
    <w:rsid w:val="00CC5504"/>
    <w:rsid w:val="00CC5C76"/>
    <w:rsid w:val="00CD5C78"/>
    <w:rsid w:val="00CD7BD0"/>
    <w:rsid w:val="00CE08CD"/>
    <w:rsid w:val="00CE2EB4"/>
    <w:rsid w:val="00CE706C"/>
    <w:rsid w:val="00CF0D59"/>
    <w:rsid w:val="00CF23B1"/>
    <w:rsid w:val="00D01E2B"/>
    <w:rsid w:val="00D05703"/>
    <w:rsid w:val="00D11FAB"/>
    <w:rsid w:val="00D16B15"/>
    <w:rsid w:val="00D22094"/>
    <w:rsid w:val="00D24F8B"/>
    <w:rsid w:val="00D25950"/>
    <w:rsid w:val="00D30F9F"/>
    <w:rsid w:val="00D4177E"/>
    <w:rsid w:val="00D424A6"/>
    <w:rsid w:val="00D45179"/>
    <w:rsid w:val="00D46197"/>
    <w:rsid w:val="00D5200D"/>
    <w:rsid w:val="00D540D2"/>
    <w:rsid w:val="00D564BB"/>
    <w:rsid w:val="00D61104"/>
    <w:rsid w:val="00D62CD4"/>
    <w:rsid w:val="00D62DE4"/>
    <w:rsid w:val="00D633C3"/>
    <w:rsid w:val="00D74CE3"/>
    <w:rsid w:val="00D75D0A"/>
    <w:rsid w:val="00D7768C"/>
    <w:rsid w:val="00D80DEA"/>
    <w:rsid w:val="00D81AAF"/>
    <w:rsid w:val="00D861AD"/>
    <w:rsid w:val="00D87720"/>
    <w:rsid w:val="00D90188"/>
    <w:rsid w:val="00D90316"/>
    <w:rsid w:val="00D93EB2"/>
    <w:rsid w:val="00DA1B95"/>
    <w:rsid w:val="00DA2F91"/>
    <w:rsid w:val="00DA611B"/>
    <w:rsid w:val="00DB35B7"/>
    <w:rsid w:val="00DC22D7"/>
    <w:rsid w:val="00DC2587"/>
    <w:rsid w:val="00DC622D"/>
    <w:rsid w:val="00DD2D80"/>
    <w:rsid w:val="00DD66B0"/>
    <w:rsid w:val="00DE191C"/>
    <w:rsid w:val="00DE29B9"/>
    <w:rsid w:val="00DE7F73"/>
    <w:rsid w:val="00DF5133"/>
    <w:rsid w:val="00DF5AA2"/>
    <w:rsid w:val="00E0127A"/>
    <w:rsid w:val="00E109B4"/>
    <w:rsid w:val="00E12EAA"/>
    <w:rsid w:val="00E1358C"/>
    <w:rsid w:val="00E151DA"/>
    <w:rsid w:val="00E154CC"/>
    <w:rsid w:val="00E2149E"/>
    <w:rsid w:val="00E23C0F"/>
    <w:rsid w:val="00E24699"/>
    <w:rsid w:val="00E2621D"/>
    <w:rsid w:val="00E2641C"/>
    <w:rsid w:val="00E26B1B"/>
    <w:rsid w:val="00E351E1"/>
    <w:rsid w:val="00E4170E"/>
    <w:rsid w:val="00E53B55"/>
    <w:rsid w:val="00E5442B"/>
    <w:rsid w:val="00E67AFA"/>
    <w:rsid w:val="00E75989"/>
    <w:rsid w:val="00E8059F"/>
    <w:rsid w:val="00E86650"/>
    <w:rsid w:val="00E87B0C"/>
    <w:rsid w:val="00E910D0"/>
    <w:rsid w:val="00E926C6"/>
    <w:rsid w:val="00E92796"/>
    <w:rsid w:val="00EA0DD6"/>
    <w:rsid w:val="00EA41BA"/>
    <w:rsid w:val="00EB10C3"/>
    <w:rsid w:val="00EB5B6D"/>
    <w:rsid w:val="00EC7D6D"/>
    <w:rsid w:val="00ED1F3A"/>
    <w:rsid w:val="00ED4512"/>
    <w:rsid w:val="00ED59CA"/>
    <w:rsid w:val="00ED6192"/>
    <w:rsid w:val="00ED7018"/>
    <w:rsid w:val="00EE0183"/>
    <w:rsid w:val="00EE6296"/>
    <w:rsid w:val="00EF236B"/>
    <w:rsid w:val="00EF3C69"/>
    <w:rsid w:val="00EF56DB"/>
    <w:rsid w:val="00EF5D50"/>
    <w:rsid w:val="00F03D6B"/>
    <w:rsid w:val="00F03DFF"/>
    <w:rsid w:val="00F03FB2"/>
    <w:rsid w:val="00F041DB"/>
    <w:rsid w:val="00F05172"/>
    <w:rsid w:val="00F110D2"/>
    <w:rsid w:val="00F131AD"/>
    <w:rsid w:val="00F1375C"/>
    <w:rsid w:val="00F13A63"/>
    <w:rsid w:val="00F13BE1"/>
    <w:rsid w:val="00F20ED0"/>
    <w:rsid w:val="00F231CB"/>
    <w:rsid w:val="00F255A3"/>
    <w:rsid w:val="00F2680F"/>
    <w:rsid w:val="00F323FC"/>
    <w:rsid w:val="00F348D9"/>
    <w:rsid w:val="00F41E7A"/>
    <w:rsid w:val="00F43A4F"/>
    <w:rsid w:val="00F4616B"/>
    <w:rsid w:val="00F66AA8"/>
    <w:rsid w:val="00F67615"/>
    <w:rsid w:val="00F70834"/>
    <w:rsid w:val="00F71ECE"/>
    <w:rsid w:val="00F71FEC"/>
    <w:rsid w:val="00F721E3"/>
    <w:rsid w:val="00F82BDB"/>
    <w:rsid w:val="00F84CFD"/>
    <w:rsid w:val="00F93A4F"/>
    <w:rsid w:val="00F96BC3"/>
    <w:rsid w:val="00FA6EC4"/>
    <w:rsid w:val="00FB02F0"/>
    <w:rsid w:val="00FC0F93"/>
    <w:rsid w:val="00FC2FAC"/>
    <w:rsid w:val="00FD51E3"/>
    <w:rsid w:val="00FD5F6E"/>
    <w:rsid w:val="00FD67EA"/>
    <w:rsid w:val="00FD682E"/>
    <w:rsid w:val="00FD7300"/>
    <w:rsid w:val="00FD7A0F"/>
    <w:rsid w:val="00FE1E2D"/>
    <w:rsid w:val="00FE2B13"/>
    <w:rsid w:val="00FF0A65"/>
    <w:rsid w:val="00FF25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CEF"/>
    <w:rPr>
      <w:sz w:val="24"/>
      <w:szCs w:val="24"/>
    </w:rPr>
  </w:style>
  <w:style w:type="paragraph" w:styleId="Heading1">
    <w:name w:val="heading 1"/>
    <w:basedOn w:val="Normal"/>
    <w:next w:val="Normal"/>
    <w:qFormat/>
    <w:rsid w:val="00D93EB2"/>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rsid w:val="00D93EB2"/>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3">
    <w:name w:val="heading 3"/>
    <w:basedOn w:val="Normal"/>
    <w:next w:val="Normal"/>
    <w:qFormat/>
    <w:rsid w:val="00360D02"/>
    <w:pPr>
      <w:keepNext/>
      <w:spacing w:before="240" w:after="60"/>
      <w:outlineLvl w:val="2"/>
    </w:pPr>
    <w:rPr>
      <w:rFonts w:ascii="Arial" w:hAnsi="Arial" w:cs="Arial"/>
      <w:b/>
      <w:bCs/>
      <w:sz w:val="26"/>
      <w:szCs w:val="26"/>
    </w:rPr>
  </w:style>
  <w:style w:type="paragraph" w:styleId="Heading4">
    <w:name w:val="heading 4"/>
    <w:basedOn w:val="Normal"/>
    <w:next w:val="Normal"/>
    <w:qFormat/>
    <w:rsid w:val="00D93EB2"/>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paragraph" w:styleId="Heading8">
    <w:name w:val="heading 8"/>
    <w:basedOn w:val="Normal"/>
    <w:next w:val="Normal"/>
    <w:qFormat/>
    <w:rsid w:val="006B3C3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3EB2"/>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rsid w:val="00D93EB2"/>
    <w:pPr>
      <w:tabs>
        <w:tab w:val="center" w:pos="4320"/>
        <w:tab w:val="right" w:pos="8640"/>
      </w:tabs>
    </w:pPr>
    <w:rPr>
      <w:sz w:val="20"/>
      <w:szCs w:val="20"/>
    </w:rPr>
  </w:style>
  <w:style w:type="paragraph" w:styleId="BodyText">
    <w:name w:val="Body Text"/>
    <w:basedOn w:val="Normal"/>
    <w:link w:val="BodyTextChar"/>
    <w:rsid w:val="00D93EB2"/>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sid w:val="00D93EB2"/>
    <w:rPr>
      <w:color w:val="0000FF"/>
      <w:u w:val="single"/>
    </w:rPr>
  </w:style>
  <w:style w:type="paragraph" w:styleId="BodyText3">
    <w:name w:val="Body Text 3"/>
    <w:basedOn w:val="Normal"/>
    <w:link w:val="BodyText3Char"/>
    <w:rsid w:val="00D93EB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rsid w:val="00D93EB2"/>
  </w:style>
  <w:style w:type="paragraph" w:styleId="Footer">
    <w:name w:val="footer"/>
    <w:basedOn w:val="Normal"/>
    <w:rsid w:val="00D93EB2"/>
    <w:pPr>
      <w:tabs>
        <w:tab w:val="center" w:pos="4320"/>
        <w:tab w:val="right" w:pos="8640"/>
      </w:tabs>
    </w:pPr>
    <w:rPr>
      <w:sz w:val="20"/>
      <w:szCs w:val="20"/>
    </w:rPr>
  </w:style>
  <w:style w:type="paragraph" w:customStyle="1" w:styleId="OmniPage2305">
    <w:name w:val="OmniPage #2305"/>
    <w:rsid w:val="00D93EB2"/>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paragraph" w:styleId="BodyText2">
    <w:name w:val="Body Text 2"/>
    <w:basedOn w:val="Normal"/>
    <w:link w:val="BodyText2Char"/>
    <w:rsid w:val="00BC3F1B"/>
    <w:pPr>
      <w:spacing w:after="120" w:line="480" w:lineRule="auto"/>
    </w:pPr>
  </w:style>
  <w:style w:type="character" w:styleId="EndnoteReference">
    <w:name w:val="endnote reference"/>
    <w:basedOn w:val="DefaultParagraphFont"/>
    <w:semiHidden/>
    <w:rsid w:val="00BC3F1B"/>
    <w:rPr>
      <w:vertAlign w:val="superscript"/>
    </w:rPr>
  </w:style>
  <w:style w:type="character" w:customStyle="1" w:styleId="BodyText3Char">
    <w:name w:val="Body Text 3 Char"/>
    <w:basedOn w:val="DefaultParagraphFont"/>
    <w:link w:val="BodyText3"/>
    <w:rsid w:val="00BC3F1B"/>
    <w:rPr>
      <w:b/>
      <w:lang w:val="en-US" w:eastAsia="en-US" w:bidi="ar-SA"/>
    </w:rPr>
  </w:style>
  <w:style w:type="character" w:customStyle="1" w:styleId="BodyText2Char">
    <w:name w:val="Body Text 2 Char"/>
    <w:basedOn w:val="DefaultParagraphFont"/>
    <w:link w:val="BodyText2"/>
    <w:rsid w:val="00BC3F1B"/>
    <w:rPr>
      <w:sz w:val="24"/>
      <w:szCs w:val="24"/>
      <w:lang w:val="en-US" w:eastAsia="en-US" w:bidi="ar-SA"/>
    </w:rPr>
  </w:style>
  <w:style w:type="paragraph" w:styleId="BodyTextIndent2">
    <w:name w:val="Body Text Indent 2"/>
    <w:basedOn w:val="Normal"/>
    <w:rsid w:val="00A33198"/>
    <w:pPr>
      <w:spacing w:after="120" w:line="480" w:lineRule="auto"/>
      <w:ind w:left="360"/>
    </w:pPr>
  </w:style>
  <w:style w:type="paragraph" w:styleId="FootnoteText">
    <w:name w:val="footnote text"/>
    <w:basedOn w:val="Normal"/>
    <w:semiHidden/>
    <w:rsid w:val="00D25950"/>
    <w:rPr>
      <w:sz w:val="20"/>
      <w:szCs w:val="20"/>
    </w:rPr>
  </w:style>
  <w:style w:type="character" w:styleId="FootnoteReference">
    <w:name w:val="footnote reference"/>
    <w:basedOn w:val="DefaultParagraphFont"/>
    <w:semiHidden/>
    <w:rsid w:val="00D25950"/>
    <w:rPr>
      <w:vertAlign w:val="superscript"/>
    </w:rPr>
  </w:style>
  <w:style w:type="paragraph" w:styleId="EndnoteText">
    <w:name w:val="endnote text"/>
    <w:basedOn w:val="Normal"/>
    <w:semiHidden/>
    <w:rsid w:val="00D25950"/>
    <w:rPr>
      <w:sz w:val="20"/>
      <w:szCs w:val="20"/>
    </w:rPr>
  </w:style>
  <w:style w:type="table" w:styleId="TableGrid">
    <w:name w:val="Table Grid"/>
    <w:basedOn w:val="TableNormal"/>
    <w:rsid w:val="00036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637B6"/>
    <w:rPr>
      <w:color w:val="FF0000"/>
      <w:sz w:val="24"/>
      <w:szCs w:val="24"/>
      <w:lang w:val="en-US" w:eastAsia="en-US" w:bidi="ar-SA"/>
    </w:rPr>
  </w:style>
  <w:style w:type="paragraph" w:styleId="BalloonText">
    <w:name w:val="Balloon Text"/>
    <w:basedOn w:val="Normal"/>
    <w:semiHidden/>
    <w:rsid w:val="00D5200D"/>
    <w:rPr>
      <w:rFonts w:ascii="Tahoma" w:hAnsi="Tahoma" w:cs="Tahoma"/>
      <w:sz w:val="16"/>
      <w:szCs w:val="16"/>
    </w:rPr>
  </w:style>
  <w:style w:type="character" w:customStyle="1" w:styleId="CharChar">
    <w:name w:val="Char Char"/>
    <w:basedOn w:val="DefaultParagraphFont"/>
    <w:rsid w:val="000F7CEF"/>
    <w:rPr>
      <w:rFonts w:ascii="Arial" w:hAnsi="Arial" w:cs="Arial"/>
      <w:sz w:val="22"/>
      <w:lang w:val="en-US" w:eastAsia="en-US" w:bidi="ar-SA"/>
    </w:rPr>
  </w:style>
  <w:style w:type="character" w:customStyle="1" w:styleId="CharChar1">
    <w:name w:val="Char Char1"/>
    <w:basedOn w:val="DefaultParagraphFont"/>
    <w:rsid w:val="000F7CEF"/>
    <w:rPr>
      <w:rFonts w:ascii="Arial" w:hAnsi="Arial" w:cs="Arial"/>
      <w:b/>
      <w:bCs/>
      <w:szCs w:val="24"/>
      <w:lang w:val="en-US" w:eastAsia="en-US" w:bidi="ar-SA"/>
    </w:rPr>
  </w:style>
  <w:style w:type="paragraph" w:customStyle="1" w:styleId="p8">
    <w:name w:val="p8"/>
    <w:basedOn w:val="Normal"/>
    <w:rsid w:val="001D147B"/>
    <w:pPr>
      <w:widowControl w:val="0"/>
      <w:tabs>
        <w:tab w:val="left" w:pos="204"/>
      </w:tabs>
      <w:autoSpaceDE w:val="0"/>
      <w:autoSpaceDN w:val="0"/>
      <w:adjustRightInd w:val="0"/>
      <w:spacing w:line="272" w:lineRule="atLeast"/>
    </w:pPr>
    <w:rPr>
      <w:sz w:val="20"/>
      <w:szCs w:val="20"/>
    </w:rPr>
  </w:style>
  <w:style w:type="paragraph" w:styleId="BodyTextIndent3">
    <w:name w:val="Body Text Indent 3"/>
    <w:basedOn w:val="Normal"/>
    <w:rsid w:val="00B338FE"/>
    <w:pPr>
      <w:spacing w:after="120"/>
      <w:ind w:left="360"/>
    </w:pPr>
    <w:rPr>
      <w:sz w:val="16"/>
      <w:szCs w:val="16"/>
    </w:rPr>
  </w:style>
  <w:style w:type="paragraph" w:customStyle="1" w:styleId="p9">
    <w:name w:val="p9"/>
    <w:basedOn w:val="Normal"/>
    <w:rsid w:val="00B338FE"/>
    <w:pPr>
      <w:widowControl w:val="0"/>
      <w:tabs>
        <w:tab w:val="left" w:pos="759"/>
      </w:tabs>
      <w:autoSpaceDE w:val="0"/>
      <w:autoSpaceDN w:val="0"/>
      <w:adjustRightInd w:val="0"/>
      <w:spacing w:line="272" w:lineRule="atLeast"/>
      <w:ind w:firstLine="759"/>
    </w:pPr>
    <w:rPr>
      <w:sz w:val="20"/>
      <w:szCs w:val="20"/>
    </w:rPr>
  </w:style>
  <w:style w:type="paragraph" w:customStyle="1" w:styleId="p10">
    <w:name w:val="p10"/>
    <w:basedOn w:val="Normal"/>
    <w:rsid w:val="00B338FE"/>
    <w:pPr>
      <w:widowControl w:val="0"/>
      <w:tabs>
        <w:tab w:val="left" w:pos="204"/>
      </w:tabs>
      <w:autoSpaceDE w:val="0"/>
      <w:autoSpaceDN w:val="0"/>
      <w:adjustRightInd w:val="0"/>
      <w:spacing w:line="277" w:lineRule="atLeast"/>
    </w:pPr>
    <w:rPr>
      <w:sz w:val="20"/>
      <w:szCs w:val="20"/>
    </w:rPr>
  </w:style>
  <w:style w:type="paragraph" w:customStyle="1" w:styleId="p11">
    <w:name w:val="p11"/>
    <w:basedOn w:val="Normal"/>
    <w:rsid w:val="00B338FE"/>
    <w:pPr>
      <w:widowControl w:val="0"/>
      <w:tabs>
        <w:tab w:val="left" w:pos="748"/>
        <w:tab w:val="left" w:pos="1105"/>
      </w:tabs>
      <w:autoSpaceDE w:val="0"/>
      <w:autoSpaceDN w:val="0"/>
      <w:adjustRightInd w:val="0"/>
      <w:spacing w:line="272" w:lineRule="atLeast"/>
      <w:ind w:left="1105" w:hanging="357"/>
    </w:pPr>
    <w:rPr>
      <w:sz w:val="20"/>
      <w:szCs w:val="20"/>
    </w:rPr>
  </w:style>
  <w:style w:type="paragraph" w:customStyle="1" w:styleId="p12">
    <w:name w:val="p12"/>
    <w:basedOn w:val="Normal"/>
    <w:rsid w:val="00B338FE"/>
    <w:pPr>
      <w:widowControl w:val="0"/>
      <w:tabs>
        <w:tab w:val="left" w:pos="396"/>
      </w:tabs>
      <w:autoSpaceDE w:val="0"/>
      <w:autoSpaceDN w:val="0"/>
      <w:adjustRightInd w:val="0"/>
      <w:spacing w:line="272" w:lineRule="atLeast"/>
      <w:ind w:left="1044"/>
    </w:pPr>
    <w:rPr>
      <w:sz w:val="20"/>
      <w:szCs w:val="20"/>
    </w:rPr>
  </w:style>
  <w:style w:type="paragraph" w:customStyle="1" w:styleId="p13">
    <w:name w:val="p13"/>
    <w:basedOn w:val="Normal"/>
    <w:rsid w:val="00B338FE"/>
    <w:pPr>
      <w:widowControl w:val="0"/>
      <w:autoSpaceDE w:val="0"/>
      <w:autoSpaceDN w:val="0"/>
      <w:adjustRightInd w:val="0"/>
      <w:spacing w:line="272" w:lineRule="atLeast"/>
      <w:ind w:left="1044"/>
    </w:pPr>
    <w:rPr>
      <w:sz w:val="20"/>
      <w:szCs w:val="20"/>
    </w:rPr>
  </w:style>
  <w:style w:type="character" w:styleId="CommentReference">
    <w:name w:val="annotation reference"/>
    <w:basedOn w:val="DefaultParagraphFont"/>
    <w:semiHidden/>
    <w:rsid w:val="00533D15"/>
    <w:rPr>
      <w:sz w:val="16"/>
      <w:szCs w:val="16"/>
    </w:rPr>
  </w:style>
  <w:style w:type="paragraph" w:styleId="CommentText">
    <w:name w:val="annotation text"/>
    <w:basedOn w:val="Normal"/>
    <w:semiHidden/>
    <w:rsid w:val="00533D15"/>
    <w:rPr>
      <w:sz w:val="20"/>
      <w:szCs w:val="20"/>
    </w:rPr>
  </w:style>
  <w:style w:type="paragraph" w:styleId="CommentSubject">
    <w:name w:val="annotation subject"/>
    <w:basedOn w:val="CommentText"/>
    <w:next w:val="CommentText"/>
    <w:semiHidden/>
    <w:rsid w:val="00533D15"/>
    <w:rPr>
      <w:b/>
      <w:bCs/>
    </w:rPr>
  </w:style>
</w:styles>
</file>

<file path=word/webSettings.xml><?xml version="1.0" encoding="utf-8"?>
<w:webSettings xmlns:r="http://schemas.openxmlformats.org/officeDocument/2006/relationships" xmlns:w="http://schemas.openxmlformats.org/wordprocessingml/2006/main">
  <w:divs>
    <w:div w:id="349576310">
      <w:bodyDiv w:val="1"/>
      <w:marLeft w:val="0"/>
      <w:marRight w:val="0"/>
      <w:marTop w:val="0"/>
      <w:marBottom w:val="0"/>
      <w:divBdr>
        <w:top w:val="none" w:sz="0" w:space="0" w:color="auto"/>
        <w:left w:val="none" w:sz="0" w:space="0" w:color="auto"/>
        <w:bottom w:val="none" w:sz="0" w:space="0" w:color="auto"/>
        <w:right w:val="none" w:sz="0" w:space="0" w:color="auto"/>
      </w:divBdr>
    </w:div>
    <w:div w:id="576985815">
      <w:bodyDiv w:val="1"/>
      <w:marLeft w:val="0"/>
      <w:marRight w:val="0"/>
      <w:marTop w:val="0"/>
      <w:marBottom w:val="0"/>
      <w:divBdr>
        <w:top w:val="none" w:sz="0" w:space="0" w:color="auto"/>
        <w:left w:val="none" w:sz="0" w:space="0" w:color="auto"/>
        <w:bottom w:val="none" w:sz="0" w:space="0" w:color="auto"/>
        <w:right w:val="none" w:sz="0" w:space="0" w:color="auto"/>
      </w:divBdr>
    </w:div>
    <w:div w:id="11784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2796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subject/>
  <dc:creator>vhacobickoa</dc:creator>
  <cp:keywords/>
  <dc:description/>
  <cp:lastModifiedBy>vhacoharvec</cp:lastModifiedBy>
  <cp:revision>2</cp:revision>
  <cp:lastPrinted>2008-04-02T11:33:00Z</cp:lastPrinted>
  <dcterms:created xsi:type="dcterms:W3CDTF">2012-09-27T18:50:00Z</dcterms:created>
  <dcterms:modified xsi:type="dcterms:W3CDTF">2012-09-27T18:50:00Z</dcterms:modified>
</cp:coreProperties>
</file>