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F3E2A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:rsidR="004431C5" w:rsidRDefault="009A4DD5">
      <w:pPr>
        <w:framePr w:hSpace="180" w:wrap="auto" w:vAnchor="text" w:hAnchor="page" w:x="2161" w:y="-1004"/>
      </w:pPr>
      <w:r>
        <w:rPr>
          <w:noProof/>
          <w:sz w:val="20"/>
        </w:rPr>
        <w:drawing>
          <wp:inline distT="0" distB="0" distL="0" distR="0">
            <wp:extent cx="749935" cy="524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1C5" w:rsidRDefault="004431C5"/>
    <w:p w:rsidR="004431C5" w:rsidRDefault="004431C5"/>
    <w:p w:rsidR="00CD5D44" w:rsidRDefault="00CD5D44"/>
    <w:p w:rsidR="003B3E0A" w:rsidRDefault="003B3E0A">
      <w:r>
        <w:t>TO:</w:t>
      </w:r>
      <w:r>
        <w:tab/>
      </w:r>
      <w:r>
        <w:tab/>
      </w:r>
      <w:r w:rsidR="001D4FD0">
        <w:t xml:space="preserve">Julie Wise, </w:t>
      </w:r>
      <w:r>
        <w:t>OMB Desk Officer</w:t>
      </w:r>
    </w:p>
    <w:p w:rsidR="003B3E0A" w:rsidRDefault="003B3E0A">
      <w:r>
        <w:tab/>
      </w:r>
      <w:r>
        <w:tab/>
        <w:t>Office of Information and Regulatory Affairs</w:t>
      </w:r>
    </w:p>
    <w:p w:rsidR="003B3E0A" w:rsidRDefault="003B3E0A">
      <w:r>
        <w:tab/>
      </w:r>
      <w:r>
        <w:tab/>
        <w:t>Office of Management and Budget</w:t>
      </w:r>
    </w:p>
    <w:p w:rsidR="003B3E0A" w:rsidRDefault="003B3E0A"/>
    <w:p w:rsidR="004475CC" w:rsidRDefault="003B3E0A" w:rsidP="004475CC">
      <w:r>
        <w:t>THROUGH:</w:t>
      </w:r>
      <w:r>
        <w:tab/>
      </w:r>
      <w:r w:rsidR="004475CC">
        <w:t>Ruth Brown, Desk Officer</w:t>
      </w:r>
    </w:p>
    <w:p w:rsidR="004475CC" w:rsidRDefault="004475CC" w:rsidP="004475CC">
      <w:pPr>
        <w:ind w:firstLine="270"/>
      </w:pPr>
      <w:r>
        <w:tab/>
      </w:r>
      <w:r>
        <w:tab/>
        <w:t>United States Department of Agriculture</w:t>
      </w:r>
    </w:p>
    <w:p w:rsidR="004475CC" w:rsidRDefault="004475CC" w:rsidP="004475CC">
      <w:pPr>
        <w:ind w:firstLine="270"/>
      </w:pPr>
      <w:r>
        <w:tab/>
        <w:t xml:space="preserve">            Office of Chief Information Office</w:t>
      </w:r>
    </w:p>
    <w:p w:rsidR="003800A1" w:rsidRDefault="001D4FD0" w:rsidP="004475CC">
      <w:r>
        <w:tab/>
      </w:r>
      <w:r>
        <w:tab/>
      </w:r>
    </w:p>
    <w:p w:rsidR="001D4FD0" w:rsidRDefault="003800A1" w:rsidP="004475CC">
      <w:pPr>
        <w:ind w:left="720" w:firstLine="720"/>
      </w:pPr>
      <w:r>
        <w:t xml:space="preserve">    </w:t>
      </w:r>
    </w:p>
    <w:p w:rsidR="004475CC" w:rsidRDefault="00CD5D44" w:rsidP="004475CC">
      <w:r>
        <w:t>FROM:</w:t>
      </w:r>
      <w:r>
        <w:tab/>
      </w:r>
      <w:r w:rsidR="00C749F4">
        <w:t>Lynnette Williams</w:t>
      </w:r>
    </w:p>
    <w:p w:rsidR="00C749F4" w:rsidRDefault="004475CC" w:rsidP="004475CC">
      <w:r>
        <w:tab/>
      </w:r>
      <w:r>
        <w:tab/>
      </w:r>
      <w:r w:rsidR="00C749F4">
        <w:t>Branch Chief, Planning &amp; Regulatory Affairs</w:t>
      </w:r>
    </w:p>
    <w:p w:rsidR="004475CC" w:rsidRDefault="004475CC" w:rsidP="004475CC">
      <w:r>
        <w:tab/>
      </w:r>
      <w:r>
        <w:tab/>
        <w:t>Food and Nutrition Service</w:t>
      </w:r>
    </w:p>
    <w:p w:rsidR="004431C5" w:rsidRDefault="004431C5" w:rsidP="004475CC"/>
    <w:p w:rsidR="004F3E2A" w:rsidRDefault="004F3E2A" w:rsidP="003800A1">
      <w:pPr>
        <w:ind w:left="1440" w:hanging="1440"/>
      </w:pPr>
      <w:r>
        <w:rPr>
          <w:bCs/>
        </w:rPr>
        <w:t>SUBJECT:</w:t>
      </w:r>
      <w:r>
        <w:rPr>
          <w:bCs/>
        </w:rPr>
        <w:tab/>
      </w:r>
      <w:r w:rsidR="00CD5D44">
        <w:t xml:space="preserve">Justification for </w:t>
      </w:r>
      <w:r w:rsidR="003800A1">
        <w:t>Decrease Burden Hours</w:t>
      </w:r>
      <w:r w:rsidR="00C2074A">
        <w:t xml:space="preserve"> </w:t>
      </w:r>
      <w:r>
        <w:t>to</w:t>
      </w:r>
      <w:r w:rsidR="003800A1">
        <w:t xml:space="preserve"> OMB Control No</w:t>
      </w:r>
      <w:r w:rsidR="00C2074A">
        <w:t xml:space="preserve">: </w:t>
      </w:r>
      <w:r w:rsidR="003800A1">
        <w:t xml:space="preserve">0584-0006 </w:t>
      </w:r>
    </w:p>
    <w:p w:rsidR="00CD5D44" w:rsidRDefault="003800A1" w:rsidP="003800A1">
      <w:pPr>
        <w:ind w:left="1440"/>
      </w:pPr>
      <w:r>
        <w:t>National School Lunch Program</w:t>
      </w:r>
    </w:p>
    <w:p w:rsidR="001A4191" w:rsidRDefault="00CD5D44" w:rsidP="00CD5D44">
      <w:r>
        <w:tab/>
      </w:r>
      <w:r>
        <w:tab/>
      </w:r>
    </w:p>
    <w:p w:rsidR="00EB5DD3" w:rsidRDefault="00CD5D44" w:rsidP="00CD5D44">
      <w:r>
        <w:t>Through this</w:t>
      </w:r>
      <w:r w:rsidR="00C2074A">
        <w:t xml:space="preserve"> memorandum, we are requesting </w:t>
      </w:r>
      <w:r w:rsidR="007301C0">
        <w:t xml:space="preserve">a </w:t>
      </w:r>
      <w:r w:rsidR="00C2074A">
        <w:t xml:space="preserve">non-substantive </w:t>
      </w:r>
      <w:r w:rsidR="00AB2609">
        <w:t xml:space="preserve">change </w:t>
      </w:r>
      <w:r w:rsidR="003800A1">
        <w:t>to the burden estimates for the National School Lunch Program</w:t>
      </w:r>
      <w:r w:rsidR="00855A2E">
        <w:t>,</w:t>
      </w:r>
      <w:r w:rsidR="001A4191">
        <w:t xml:space="preserve"> under the</w:t>
      </w:r>
      <w:r>
        <w:t xml:space="preserve"> Information Collection Request (ICR), OMB Control No. 0584-</w:t>
      </w:r>
      <w:r w:rsidR="003800A1">
        <w:t>0006</w:t>
      </w:r>
      <w:r>
        <w:t xml:space="preserve">, which was approved on </w:t>
      </w:r>
      <w:r w:rsidR="003800A1">
        <w:t xml:space="preserve">August 28, </w:t>
      </w:r>
      <w:r w:rsidR="009A4DD5">
        <w:t>20</w:t>
      </w:r>
      <w:r w:rsidR="003800A1">
        <w:t>12</w:t>
      </w:r>
      <w:r>
        <w:t xml:space="preserve">.  </w:t>
      </w:r>
    </w:p>
    <w:p w:rsidR="00EB5DD3" w:rsidRDefault="00EB5DD3" w:rsidP="00CD5D44"/>
    <w:p w:rsidR="00EB5DD3" w:rsidRDefault="00B53F3C" w:rsidP="00EB5DD3">
      <w:pPr>
        <w:rPr>
          <w:color w:val="1F497D"/>
        </w:rPr>
      </w:pPr>
      <w:r>
        <w:rPr>
          <w:szCs w:val="24"/>
        </w:rPr>
        <w:t>Food and Nutrition Service (FNS)</w:t>
      </w:r>
      <w:r w:rsidR="00091B9A">
        <w:rPr>
          <w:szCs w:val="24"/>
        </w:rPr>
        <w:t xml:space="preserve"> Planning and Regulatory Affairs Branch</w:t>
      </w:r>
      <w:r>
        <w:rPr>
          <w:szCs w:val="24"/>
        </w:rPr>
        <w:t xml:space="preserve">, </w:t>
      </w:r>
      <w:r w:rsidR="00091B9A">
        <w:rPr>
          <w:szCs w:val="24"/>
        </w:rPr>
        <w:t xml:space="preserve">FNS </w:t>
      </w:r>
      <w:r>
        <w:rPr>
          <w:szCs w:val="24"/>
        </w:rPr>
        <w:t xml:space="preserve">Child Nutrition Division and </w:t>
      </w:r>
      <w:r w:rsidR="00091B9A">
        <w:rPr>
          <w:szCs w:val="24"/>
        </w:rPr>
        <w:t xml:space="preserve">the </w:t>
      </w:r>
      <w:r w:rsidR="00AC66B4">
        <w:rPr>
          <w:szCs w:val="24"/>
        </w:rPr>
        <w:t xml:space="preserve">Office of Management and Budget (OMB) </w:t>
      </w:r>
      <w:r>
        <w:rPr>
          <w:szCs w:val="24"/>
        </w:rPr>
        <w:t>work</w:t>
      </w:r>
      <w:r w:rsidR="00091B9A">
        <w:rPr>
          <w:szCs w:val="24"/>
        </w:rPr>
        <w:t>ed</w:t>
      </w:r>
      <w:r>
        <w:rPr>
          <w:szCs w:val="24"/>
        </w:rPr>
        <w:t xml:space="preserve"> </w:t>
      </w:r>
      <w:r w:rsidR="00091B9A">
        <w:rPr>
          <w:szCs w:val="24"/>
        </w:rPr>
        <w:t xml:space="preserve">to clarify the nature of the subject information collection and </w:t>
      </w:r>
      <w:r>
        <w:rPr>
          <w:szCs w:val="24"/>
        </w:rPr>
        <w:t xml:space="preserve">to decrease burden on the public.  </w:t>
      </w:r>
      <w:r w:rsidR="00091B9A">
        <w:rPr>
          <w:szCs w:val="24"/>
        </w:rPr>
        <w:t xml:space="preserve">The review resulted in a </w:t>
      </w:r>
      <w:r w:rsidR="00AC66B4">
        <w:rPr>
          <w:szCs w:val="24"/>
        </w:rPr>
        <w:t>significant decrease</w:t>
      </w:r>
      <w:r w:rsidR="004475CC">
        <w:rPr>
          <w:szCs w:val="24"/>
        </w:rPr>
        <w:t xml:space="preserve"> of 2 million burden hours</w:t>
      </w:r>
      <w:r w:rsidR="00091B9A">
        <w:rPr>
          <w:szCs w:val="24"/>
        </w:rPr>
        <w:t xml:space="preserve">.  </w:t>
      </w:r>
      <w:r w:rsidR="00293E4C">
        <w:rPr>
          <w:szCs w:val="24"/>
        </w:rPr>
        <w:t>Unfortunately</w:t>
      </w:r>
      <w:r>
        <w:rPr>
          <w:szCs w:val="24"/>
        </w:rPr>
        <w:t xml:space="preserve">, this information </w:t>
      </w:r>
      <w:r w:rsidR="00AC66B4">
        <w:rPr>
          <w:szCs w:val="24"/>
        </w:rPr>
        <w:t xml:space="preserve">did not get reflected </w:t>
      </w:r>
      <w:r w:rsidR="00091B9A">
        <w:rPr>
          <w:szCs w:val="24"/>
        </w:rPr>
        <w:t xml:space="preserve">in ROCIS </w:t>
      </w:r>
      <w:r w:rsidR="00AC66B4">
        <w:rPr>
          <w:szCs w:val="24"/>
        </w:rPr>
        <w:t xml:space="preserve">prior to OMB’s approval. </w:t>
      </w:r>
      <w:r w:rsidR="00EB5DD3" w:rsidRPr="00AC66B4">
        <w:rPr>
          <w:szCs w:val="24"/>
        </w:rPr>
        <w:t xml:space="preserve"> </w:t>
      </w:r>
    </w:p>
    <w:p w:rsidR="00AC66B4" w:rsidRDefault="00AC66B4" w:rsidP="00EB5DD3">
      <w:pPr>
        <w:rPr>
          <w:color w:val="1F497D"/>
        </w:rPr>
      </w:pPr>
    </w:p>
    <w:p w:rsidR="00EB5DD3" w:rsidRDefault="00B53F3C" w:rsidP="00CD5D44">
      <w:r>
        <w:t>There are n</w:t>
      </w:r>
      <w:r w:rsidR="00EB5DD3">
        <w:t>o other changes</w:t>
      </w:r>
      <w:r>
        <w:t xml:space="preserve"> at this time to this data collection.  Below are two charts, the first is what </w:t>
      </w:r>
      <w:proofErr w:type="gramStart"/>
      <w:r>
        <w:t>is</w:t>
      </w:r>
      <w:proofErr w:type="gramEnd"/>
      <w:r>
        <w:t xml:space="preserve"> currently approved in ROCIS and the </w:t>
      </w:r>
      <w:r w:rsidR="00091B9A">
        <w:t xml:space="preserve">second </w:t>
      </w:r>
      <w:r>
        <w:t>chart reflect</w:t>
      </w:r>
      <w:r w:rsidR="00091B9A">
        <w:t>s</w:t>
      </w:r>
      <w:r>
        <w:t xml:space="preserve"> the </w:t>
      </w:r>
      <w:r w:rsidR="004475CC">
        <w:t>revised burden</w:t>
      </w:r>
      <w:r>
        <w:t xml:space="preserve"> hours </w:t>
      </w:r>
      <w:r w:rsidR="00091B9A">
        <w:t xml:space="preserve">for which </w:t>
      </w:r>
      <w:r>
        <w:t xml:space="preserve">the program is seeking approval. </w:t>
      </w:r>
    </w:p>
    <w:p w:rsidR="00EB5DD3" w:rsidRDefault="00EB5DD3" w:rsidP="00CD5D44"/>
    <w:p w:rsidR="001D2830" w:rsidRDefault="001D2830" w:rsidP="00CD5D44"/>
    <w:tbl>
      <w:tblPr>
        <w:tblW w:w="10295" w:type="dxa"/>
        <w:tblCellMar>
          <w:left w:w="0" w:type="dxa"/>
          <w:right w:w="0" w:type="dxa"/>
        </w:tblCellMar>
        <w:tblLook w:val="04A0"/>
      </w:tblPr>
      <w:tblGrid>
        <w:gridCol w:w="108"/>
        <w:gridCol w:w="2888"/>
        <w:gridCol w:w="1322"/>
        <w:gridCol w:w="1460"/>
        <w:gridCol w:w="1825"/>
        <w:gridCol w:w="906"/>
        <w:gridCol w:w="410"/>
        <w:gridCol w:w="1319"/>
        <w:gridCol w:w="57"/>
      </w:tblGrid>
      <w:tr w:rsidR="00021092" w:rsidRPr="001D2830" w:rsidTr="001102B3">
        <w:trPr>
          <w:gridAfter w:val="1"/>
          <w:wAfter w:w="57" w:type="dxa"/>
          <w:trHeight w:val="330"/>
        </w:trPr>
        <w:tc>
          <w:tcPr>
            <w:tcW w:w="8509" w:type="dxa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F3C" w:rsidRDefault="00B53F3C" w:rsidP="00B53F3C">
            <w:r>
              <w:lastRenderedPageBreak/>
              <w:t>The currently approved burden hours are:</w:t>
            </w:r>
          </w:p>
          <w:p w:rsidR="00B53F3C" w:rsidRDefault="00B53F3C" w:rsidP="00B53F3C"/>
          <w:p w:rsidR="001D2830" w:rsidRPr="001D2830" w:rsidRDefault="001D2830" w:rsidP="001D28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ICR #0584-0006, 7 CFR Part 210, National School Lunch Program - Revenue ADDED</w:t>
            </w:r>
          </w:p>
        </w:tc>
        <w:tc>
          <w:tcPr>
            <w:tcW w:w="172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2830" w:rsidRPr="001D2830" w:rsidRDefault="001D2830" w:rsidP="001D2830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021092" w:rsidRPr="001D2830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10"/>
        </w:trPr>
        <w:tc>
          <w:tcPr>
            <w:tcW w:w="28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Estimated # Respondents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Responses Per Respondent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Annual Responses (Col. </w:t>
            </w:r>
            <w:proofErr w:type="spellStart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BxC</w:t>
            </w:r>
            <w:proofErr w:type="spellEnd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 xml:space="preserve">Estimated Total Hours (Col. </w:t>
            </w:r>
            <w:proofErr w:type="spellStart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DxE</w:t>
            </w:r>
            <w:proofErr w:type="spellEnd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021092" w:rsidRPr="001D2830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Reporting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122,661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20.178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ind w:right="172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2,475,102.000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1.17668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2,912,405.980</w:t>
            </w:r>
          </w:p>
        </w:tc>
      </w:tr>
      <w:tr w:rsidR="00021092" w:rsidRPr="001D2830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Recordkeeping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122,661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D2830">
              <w:rPr>
                <w:rFonts w:ascii="Arial" w:hAnsi="Arial" w:cs="Arial"/>
                <w:sz w:val="16"/>
                <w:szCs w:val="16"/>
              </w:rPr>
              <w:t>62,589,529.000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0.14129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8,843,485.842</w:t>
            </w:r>
          </w:p>
        </w:tc>
      </w:tr>
      <w:tr w:rsidR="00021092" w:rsidRPr="001D2830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sz w:val="16"/>
                <w:szCs w:val="16"/>
              </w:rPr>
              <w:t>TOTAL BURDEN FOR #0584-0006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sz w:val="16"/>
                <w:szCs w:val="16"/>
              </w:rPr>
              <w:t>122,661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D2830">
              <w:rPr>
                <w:rFonts w:ascii="Arial" w:hAnsi="Arial" w:cs="Arial"/>
                <w:sz w:val="16"/>
                <w:szCs w:val="16"/>
              </w:rPr>
              <w:t>530.44269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sz w:val="16"/>
                <w:szCs w:val="16"/>
              </w:rPr>
              <w:t>65,064,631.000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D2830">
              <w:rPr>
                <w:rFonts w:ascii="Arial" w:hAnsi="Arial" w:cs="Arial"/>
                <w:sz w:val="16"/>
                <w:szCs w:val="16"/>
              </w:rPr>
              <w:t>0.1806802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sz w:val="16"/>
                <w:szCs w:val="16"/>
              </w:rPr>
              <w:t>11,755,891.822</w:t>
            </w:r>
          </w:p>
        </w:tc>
      </w:tr>
      <w:tr w:rsidR="004F1D58" w:rsidRPr="001D2830" w:rsidTr="001102B3">
        <w:trPr>
          <w:gridAfter w:val="1"/>
          <w:wAfter w:w="57" w:type="dxa"/>
          <w:trHeight w:val="330"/>
        </w:trPr>
        <w:tc>
          <w:tcPr>
            <w:tcW w:w="850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4475CC" w:rsidRDefault="004475CC" w:rsidP="001102B3">
            <w:pPr>
              <w:jc w:val="center"/>
            </w:pPr>
            <w:r>
              <w:t>The currently revised burden hours are:</w:t>
            </w:r>
          </w:p>
          <w:p w:rsidR="004475CC" w:rsidRDefault="004475CC" w:rsidP="001102B3">
            <w:pPr>
              <w:jc w:val="center"/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B5DD3" w:rsidRPr="001D2830" w:rsidRDefault="00EB5DD3" w:rsidP="001102B3">
            <w:pP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ICR #0584-0006, 7 CFR Part 210, National School Lunch Program - Revenue ADDED</w:t>
            </w:r>
          </w:p>
        </w:tc>
        <w:tc>
          <w:tcPr>
            <w:tcW w:w="172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DD3" w:rsidRPr="001D2830" w:rsidRDefault="00EB5DD3" w:rsidP="001102B3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1102B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690"/>
        </w:trPr>
        <w:tc>
          <w:tcPr>
            <w:tcW w:w="28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Estimated # Respondents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Responses Per Respondent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Annual Responses (Col. </w:t>
            </w:r>
            <w:proofErr w:type="spellStart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BxC</w:t>
            </w:r>
            <w:proofErr w:type="spellEnd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 xml:space="preserve">Estimated Total Hours (Col. </w:t>
            </w:r>
            <w:proofErr w:type="spellStart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DxE</w:t>
            </w:r>
            <w:proofErr w:type="spellEnd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1102B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Reporting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122,661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10.877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1,334,190.000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0.71520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954,207.240</w:t>
            </w:r>
          </w:p>
        </w:tc>
      </w:tr>
      <w:tr w:rsidR="001102B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Recordkeeping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122,661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102B3">
              <w:rPr>
                <w:rFonts w:ascii="Arial" w:hAnsi="Arial" w:cs="Arial"/>
                <w:sz w:val="16"/>
                <w:szCs w:val="16"/>
              </w:rPr>
              <w:t>62,706,590.000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0.14023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8,793,589.702</w:t>
            </w:r>
          </w:p>
        </w:tc>
      </w:tr>
      <w:tr w:rsidR="001102B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sz w:val="16"/>
                <w:szCs w:val="16"/>
              </w:rPr>
              <w:t>TOTAL BURDEN FOR #0584-0006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sz w:val="16"/>
                <w:szCs w:val="16"/>
              </w:rPr>
              <w:t>122,661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102B3">
              <w:rPr>
                <w:rFonts w:ascii="Arial" w:hAnsi="Arial" w:cs="Arial"/>
                <w:sz w:val="16"/>
                <w:szCs w:val="16"/>
              </w:rPr>
              <w:t>522.09569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sz w:val="16"/>
                <w:szCs w:val="16"/>
              </w:rPr>
              <w:t>64,040,780.000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102B3">
              <w:rPr>
                <w:rFonts w:ascii="Arial" w:hAnsi="Arial" w:cs="Arial"/>
                <w:sz w:val="16"/>
                <w:szCs w:val="16"/>
              </w:rPr>
              <w:t>0.1522123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sz w:val="16"/>
                <w:szCs w:val="16"/>
              </w:rPr>
              <w:t>9,747,796.942</w:t>
            </w:r>
          </w:p>
        </w:tc>
      </w:tr>
    </w:tbl>
    <w:p w:rsidR="00EB5DD3" w:rsidRDefault="00EB5DD3" w:rsidP="00CD5D44"/>
    <w:p w:rsidR="001102B3" w:rsidRDefault="001102B3" w:rsidP="00CD5D44"/>
    <w:p w:rsidR="00C2074A" w:rsidRDefault="00C2074A" w:rsidP="00C2074A">
      <w:pPr>
        <w:pStyle w:val="BodyText"/>
      </w:pPr>
      <w:r>
        <w:t xml:space="preserve">If you have any questions regarding this request, please contact </w:t>
      </w:r>
      <w:r w:rsidR="001D2830">
        <w:t>Lynnette Williams</w:t>
      </w:r>
      <w:r w:rsidR="00091B9A">
        <w:t>, Branch Chief for</w:t>
      </w:r>
      <w:r>
        <w:t xml:space="preserve"> the Food and Nutrition Service, </w:t>
      </w:r>
      <w:r w:rsidR="001D2830">
        <w:t>Planning &amp; Regulatory Affairs Branch</w:t>
      </w:r>
      <w:r>
        <w:t xml:space="preserve"> at (703) </w:t>
      </w:r>
      <w:r w:rsidR="001D2830">
        <w:t>605</w:t>
      </w:r>
      <w:r>
        <w:t>-</w:t>
      </w:r>
      <w:r w:rsidR="001D2830">
        <w:t>4782</w:t>
      </w:r>
      <w:r>
        <w:t>.</w:t>
      </w:r>
    </w:p>
    <w:p w:rsidR="00C2074A" w:rsidRDefault="00C2074A" w:rsidP="00CD5D44"/>
    <w:p w:rsidR="004431C5" w:rsidRDefault="00CD5D44" w:rsidP="00CD5D44">
      <w:pPr>
        <w:ind w:left="2160" w:firstLine="720"/>
      </w:pPr>
      <w:r>
        <w:t xml:space="preserve"> </w:t>
      </w:r>
      <w:r>
        <w:tab/>
      </w:r>
    </w:p>
    <w:p w:rsidR="004431C5" w:rsidRDefault="004431C5">
      <w:pPr>
        <w:ind w:left="270"/>
        <w:rPr>
          <w:rFonts w:ascii="Univers" w:hAnsi="Univers"/>
        </w:rPr>
      </w:pPr>
    </w:p>
    <w:p w:rsidR="004431C5" w:rsidRDefault="004431C5">
      <w:pPr>
        <w:ind w:left="270"/>
        <w:rPr>
          <w:rFonts w:ascii="Univers" w:hAnsi="Univers"/>
        </w:rPr>
      </w:pPr>
    </w:p>
    <w:bookmarkStart w:id="0" w:name="Text2"/>
    <w:p w:rsidR="004431C5" w:rsidRDefault="00757A9C">
      <w:pPr>
        <w:tabs>
          <w:tab w:val="left" w:pos="2160"/>
        </w:tabs>
        <w:ind w:left="7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4431C5">
        <w:instrText xml:space="preserve"> FORMTEXT </w:instrText>
      </w:r>
      <w:r>
        <w:fldChar w:fldCharType="separate"/>
      </w:r>
      <w:r w:rsidR="004431C5">
        <w:rPr>
          <w:noProof/>
        </w:rPr>
        <w:t xml:space="preserve">     </w:t>
      </w:r>
      <w:r>
        <w:fldChar w:fldCharType="end"/>
      </w:r>
      <w:bookmarkEnd w:id="0"/>
    </w:p>
    <w:bookmarkStart w:id="1" w:name="Text1"/>
    <w:p w:rsidR="004431C5" w:rsidRDefault="00757A9C">
      <w:pPr>
        <w:tabs>
          <w:tab w:val="left" w:pos="2160"/>
        </w:tabs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431C5">
        <w:instrText xml:space="preserve"> FORMTEXT </w:instrText>
      </w:r>
      <w:r>
        <w:fldChar w:fldCharType="separate"/>
      </w:r>
      <w:r w:rsidR="004431C5">
        <w:rPr>
          <w:noProof/>
        </w:rPr>
        <w:t xml:space="preserve">     </w:t>
      </w:r>
      <w:r>
        <w:fldChar w:fldCharType="end"/>
      </w:r>
      <w:bookmarkEnd w:id="1"/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 w:rsidP="00293E4C">
      <w:pPr>
        <w:tabs>
          <w:tab w:val="left" w:pos="2160"/>
        </w:tabs>
      </w:pPr>
    </w:p>
    <w:sectPr w:rsidR="004431C5" w:rsidSect="002F6473">
      <w:footerReference w:type="default" r:id="rId7"/>
      <w:pgSz w:w="12240" w:h="15840" w:code="1"/>
      <w:pgMar w:top="1440" w:right="1800" w:bottom="360" w:left="1800" w:header="720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F2" w:rsidRDefault="00C706F2">
      <w:r>
        <w:separator/>
      </w:r>
    </w:p>
  </w:endnote>
  <w:endnote w:type="continuationSeparator" w:id="0">
    <w:p w:rsidR="00C706F2" w:rsidRDefault="00C7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2" w:rsidRDefault="00C706F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C706F2" w:rsidRDefault="00C706F2">
    <w:pPr>
      <w:pStyle w:val="Footer"/>
      <w:rPr>
        <w:rFonts w:ascii="Univers" w:hAnsi="Univers"/>
        <w:sz w:val="16"/>
      </w:rPr>
    </w:pPr>
  </w:p>
  <w:p w:rsidR="00C706F2" w:rsidRDefault="00C706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F2" w:rsidRDefault="00C706F2">
      <w:r>
        <w:separator/>
      </w:r>
    </w:p>
  </w:footnote>
  <w:footnote w:type="continuationSeparator" w:id="0">
    <w:p w:rsidR="00C706F2" w:rsidRDefault="00C70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D3230"/>
    <w:rsid w:val="00021092"/>
    <w:rsid w:val="00064345"/>
    <w:rsid w:val="00091B9A"/>
    <w:rsid w:val="000942AD"/>
    <w:rsid w:val="000E365C"/>
    <w:rsid w:val="001024E3"/>
    <w:rsid w:val="001102B3"/>
    <w:rsid w:val="001A4191"/>
    <w:rsid w:val="001D2830"/>
    <w:rsid w:val="001D4FD0"/>
    <w:rsid w:val="00214864"/>
    <w:rsid w:val="0026587C"/>
    <w:rsid w:val="00293E4C"/>
    <w:rsid w:val="002A0B23"/>
    <w:rsid w:val="002D3230"/>
    <w:rsid w:val="002F6473"/>
    <w:rsid w:val="0034544B"/>
    <w:rsid w:val="003800A1"/>
    <w:rsid w:val="003B3E0A"/>
    <w:rsid w:val="004431C5"/>
    <w:rsid w:val="004475CC"/>
    <w:rsid w:val="004F1D58"/>
    <w:rsid w:val="004F3E2A"/>
    <w:rsid w:val="0052189D"/>
    <w:rsid w:val="00563C32"/>
    <w:rsid w:val="005B3A1F"/>
    <w:rsid w:val="006629A1"/>
    <w:rsid w:val="00663935"/>
    <w:rsid w:val="006A17D0"/>
    <w:rsid w:val="006F47C3"/>
    <w:rsid w:val="007301C0"/>
    <w:rsid w:val="00757A9C"/>
    <w:rsid w:val="00783843"/>
    <w:rsid w:val="00855A2E"/>
    <w:rsid w:val="0088072F"/>
    <w:rsid w:val="008F1C8B"/>
    <w:rsid w:val="00944B01"/>
    <w:rsid w:val="009A4DD5"/>
    <w:rsid w:val="009E6A7B"/>
    <w:rsid w:val="009F46D5"/>
    <w:rsid w:val="00A91556"/>
    <w:rsid w:val="00AB2609"/>
    <w:rsid w:val="00AB2ED5"/>
    <w:rsid w:val="00AC66B4"/>
    <w:rsid w:val="00B02E2F"/>
    <w:rsid w:val="00B53F3C"/>
    <w:rsid w:val="00BD0A70"/>
    <w:rsid w:val="00BE64D9"/>
    <w:rsid w:val="00C2074A"/>
    <w:rsid w:val="00C706F2"/>
    <w:rsid w:val="00C74452"/>
    <w:rsid w:val="00C749F4"/>
    <w:rsid w:val="00CD5D44"/>
    <w:rsid w:val="00D01A2E"/>
    <w:rsid w:val="00EB5DD3"/>
    <w:rsid w:val="00EF2D6F"/>
    <w:rsid w:val="00F35E23"/>
    <w:rsid w:val="00F42326"/>
    <w:rsid w:val="00FC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jackson\LOCALS~1\Temp\Letterhead%20New%20Us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Usda.dot</Template>
  <TotalTime>0</TotalTime>
  <Pages>2</Pages>
  <Words>379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FJackson</dc:creator>
  <cp:lastModifiedBy>lywilliams</cp:lastModifiedBy>
  <cp:revision>2</cp:revision>
  <cp:lastPrinted>2000-08-25T21:20:00Z</cp:lastPrinted>
  <dcterms:created xsi:type="dcterms:W3CDTF">2012-10-15T14:36:00Z</dcterms:created>
  <dcterms:modified xsi:type="dcterms:W3CDTF">2012-10-15T14:36:00Z</dcterms:modified>
</cp:coreProperties>
</file>