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849" w:rsidRPr="00F472B0" w:rsidRDefault="003A6849" w:rsidP="003A6849">
      <w:pPr>
        <w:spacing w:after="0" w:line="240" w:lineRule="auto"/>
        <w:jc w:val="center"/>
        <w:rPr>
          <w:rFonts w:ascii="Times New Roman" w:hAnsi="Times New Roman" w:cs="Times New Roman"/>
          <w:b/>
          <w:sz w:val="24"/>
          <w:szCs w:val="24"/>
        </w:rPr>
      </w:pPr>
      <w:r w:rsidRPr="00F472B0">
        <w:rPr>
          <w:rFonts w:ascii="Times New Roman" w:hAnsi="Times New Roman" w:cs="Times New Roman"/>
          <w:b/>
          <w:sz w:val="24"/>
          <w:szCs w:val="24"/>
        </w:rPr>
        <w:t>JUSTIFICATION</w:t>
      </w:r>
    </w:p>
    <w:p w:rsidR="003A6849" w:rsidRPr="00F472B0" w:rsidRDefault="003A6849" w:rsidP="003A6849">
      <w:pPr>
        <w:spacing w:after="0" w:line="240" w:lineRule="auto"/>
        <w:jc w:val="center"/>
        <w:rPr>
          <w:rFonts w:ascii="Times New Roman" w:hAnsi="Times New Roman" w:cs="Times New Roman"/>
          <w:b/>
          <w:sz w:val="24"/>
          <w:szCs w:val="24"/>
        </w:rPr>
      </w:pPr>
      <w:r w:rsidRPr="00F472B0">
        <w:rPr>
          <w:rFonts w:ascii="Times New Roman" w:hAnsi="Times New Roman" w:cs="Times New Roman"/>
          <w:b/>
          <w:sz w:val="24"/>
          <w:szCs w:val="24"/>
        </w:rPr>
        <w:t>ALASKA REGION LOGBOOK FAMILY OF FORMS</w:t>
      </w:r>
    </w:p>
    <w:p w:rsidR="003A6849" w:rsidRPr="00F472B0" w:rsidRDefault="003A6849" w:rsidP="003A6849">
      <w:pPr>
        <w:spacing w:after="0" w:line="240" w:lineRule="auto"/>
        <w:jc w:val="center"/>
        <w:rPr>
          <w:rFonts w:ascii="Times New Roman" w:hAnsi="Times New Roman" w:cs="Times New Roman"/>
          <w:b/>
          <w:sz w:val="24"/>
          <w:szCs w:val="24"/>
        </w:rPr>
      </w:pPr>
      <w:proofErr w:type="gramStart"/>
      <w:r w:rsidRPr="00F472B0">
        <w:rPr>
          <w:rFonts w:ascii="Times New Roman" w:hAnsi="Times New Roman" w:cs="Times New Roman"/>
          <w:b/>
          <w:sz w:val="24"/>
          <w:szCs w:val="24"/>
        </w:rPr>
        <w:t>OMB CONTROL NO.</w:t>
      </w:r>
      <w:proofErr w:type="gramEnd"/>
      <w:r w:rsidRPr="00F472B0">
        <w:rPr>
          <w:rFonts w:ascii="Times New Roman" w:hAnsi="Times New Roman" w:cs="Times New Roman"/>
          <w:b/>
          <w:sz w:val="24"/>
          <w:szCs w:val="24"/>
        </w:rPr>
        <w:t xml:space="preserve"> 0648-0213</w:t>
      </w:r>
    </w:p>
    <w:p w:rsidR="003A6849" w:rsidRPr="00F472B0" w:rsidRDefault="003A6849" w:rsidP="003A6849">
      <w:pPr>
        <w:spacing w:after="0" w:line="240" w:lineRule="auto"/>
        <w:rPr>
          <w:rFonts w:ascii="Times New Roman" w:hAnsi="Times New Roman" w:cs="Times New Roman"/>
          <w:sz w:val="24"/>
          <w:szCs w:val="24"/>
        </w:rPr>
      </w:pPr>
    </w:p>
    <w:p w:rsidR="00F472B0" w:rsidRPr="00F472B0" w:rsidRDefault="00F472B0" w:rsidP="003A6849">
      <w:pPr>
        <w:spacing w:after="0" w:line="240" w:lineRule="auto"/>
        <w:rPr>
          <w:rFonts w:ascii="Times New Roman" w:hAnsi="Times New Roman" w:cs="Times New Roman"/>
          <w:sz w:val="24"/>
          <w:szCs w:val="24"/>
        </w:rPr>
      </w:pPr>
    </w:p>
    <w:p w:rsidR="003A6849" w:rsidRPr="00F472B0" w:rsidRDefault="003A6849" w:rsidP="003A6849">
      <w:pPr>
        <w:spacing w:after="0" w:line="240" w:lineRule="auto"/>
        <w:rPr>
          <w:rFonts w:ascii="Times New Roman" w:hAnsi="Times New Roman" w:cs="Times New Roman"/>
          <w:b/>
          <w:sz w:val="24"/>
          <w:szCs w:val="24"/>
        </w:rPr>
      </w:pPr>
      <w:r w:rsidRPr="00F472B0">
        <w:rPr>
          <w:rFonts w:ascii="Times New Roman" w:hAnsi="Times New Roman" w:cs="Times New Roman"/>
          <w:b/>
          <w:sz w:val="24"/>
          <w:szCs w:val="24"/>
        </w:rPr>
        <w:t>JUSTIFICATION:  This action re</w:t>
      </w:r>
      <w:r w:rsidR="000C4796" w:rsidRPr="00F472B0">
        <w:rPr>
          <w:rFonts w:ascii="Times New Roman" w:hAnsi="Times New Roman" w:cs="Times New Roman"/>
          <w:b/>
          <w:sz w:val="24"/>
          <w:szCs w:val="24"/>
        </w:rPr>
        <w:t>vises</w:t>
      </w:r>
      <w:r w:rsidRPr="00F472B0">
        <w:rPr>
          <w:rFonts w:ascii="Times New Roman" w:hAnsi="Times New Roman" w:cs="Times New Roman"/>
          <w:b/>
          <w:sz w:val="24"/>
          <w:szCs w:val="24"/>
        </w:rPr>
        <w:t xml:space="preserve"> a data element, “catcher/processor longline or pot gear daily cumulative production logbook” </w:t>
      </w:r>
      <w:r w:rsidR="000C4796" w:rsidRPr="00F472B0">
        <w:rPr>
          <w:rFonts w:ascii="Times New Roman" w:hAnsi="Times New Roman" w:cs="Times New Roman"/>
          <w:b/>
          <w:sz w:val="24"/>
          <w:szCs w:val="24"/>
        </w:rPr>
        <w:t xml:space="preserve">in </w:t>
      </w:r>
      <w:r w:rsidRPr="00F472B0">
        <w:rPr>
          <w:rFonts w:ascii="Times New Roman" w:hAnsi="Times New Roman" w:cs="Times New Roman"/>
          <w:b/>
          <w:sz w:val="24"/>
          <w:szCs w:val="24"/>
        </w:rPr>
        <w:t xml:space="preserve">the existing collection due to an associated proposed rule, </w:t>
      </w:r>
      <w:r w:rsidR="00F472B0">
        <w:rPr>
          <w:rFonts w:ascii="Times New Roman" w:hAnsi="Times New Roman" w:cs="Times New Roman"/>
          <w:b/>
          <w:sz w:val="24"/>
          <w:szCs w:val="24"/>
        </w:rPr>
        <w:t>RIN</w:t>
      </w:r>
      <w:r w:rsidRPr="00F472B0">
        <w:rPr>
          <w:rFonts w:ascii="Times New Roman" w:hAnsi="Times New Roman" w:cs="Times New Roman"/>
          <w:b/>
          <w:sz w:val="24"/>
          <w:szCs w:val="24"/>
        </w:rPr>
        <w:t xml:space="preserve"> 0648-BB67.   </w:t>
      </w:r>
      <w:bookmarkStart w:id="0" w:name="_GoBack"/>
      <w:bookmarkEnd w:id="0"/>
    </w:p>
    <w:p w:rsidR="003A6849" w:rsidRPr="00F472B0" w:rsidRDefault="003A6849" w:rsidP="003A6849">
      <w:pPr>
        <w:spacing w:after="0" w:line="240" w:lineRule="auto"/>
        <w:rPr>
          <w:rFonts w:ascii="Times New Roman" w:hAnsi="Times New Roman" w:cs="Times New Roman"/>
          <w:sz w:val="24"/>
          <w:szCs w:val="24"/>
        </w:rPr>
      </w:pPr>
    </w:p>
    <w:p w:rsidR="003A6849" w:rsidRPr="00F472B0" w:rsidRDefault="003A6849" w:rsidP="003A6849">
      <w:pPr>
        <w:spacing w:after="0" w:line="240" w:lineRule="auto"/>
        <w:rPr>
          <w:rFonts w:ascii="Times New Roman" w:hAnsi="Times New Roman" w:cs="Times New Roman"/>
          <w:sz w:val="24"/>
          <w:szCs w:val="24"/>
        </w:rPr>
      </w:pPr>
      <w:r w:rsidRPr="00F472B0">
        <w:rPr>
          <w:rFonts w:ascii="Times New Roman" w:hAnsi="Times New Roman" w:cs="Times New Roman"/>
          <w:sz w:val="24"/>
          <w:szCs w:val="24"/>
        </w:rPr>
        <w:t xml:space="preserve">National Marine Fisheries Service (NMFS) manages the groundfish fisheries in the exclusive economic zone (EEZ) off Alaska.  The North Pacific Fishery Management Council (Council) prepared the Fishery Management Plan for Groundfish of the Bering Sea and Aleutian Islands Management Area (FMP) under the authority of the Magnuson-Stevens Fishery Conservation &amp; Management Act (16 U.S.C. 1801 </w:t>
      </w:r>
      <w:r w:rsidRPr="00F472B0">
        <w:rPr>
          <w:rFonts w:ascii="Times New Roman" w:hAnsi="Times New Roman" w:cs="Times New Roman"/>
          <w:i/>
          <w:sz w:val="24"/>
          <w:szCs w:val="24"/>
        </w:rPr>
        <w:t>et seq</w:t>
      </w:r>
      <w:r w:rsidRPr="00F472B0">
        <w:rPr>
          <w:rFonts w:ascii="Times New Roman" w:hAnsi="Times New Roman" w:cs="Times New Roman"/>
          <w:sz w:val="24"/>
          <w:szCs w:val="24"/>
        </w:rPr>
        <w:t xml:space="preserve">.) as amended in 2006.  Regulations implementing the FMP appear at 50 CFR </w:t>
      </w:r>
      <w:proofErr w:type="gramStart"/>
      <w:r w:rsidRPr="00F472B0">
        <w:rPr>
          <w:rFonts w:ascii="Times New Roman" w:hAnsi="Times New Roman" w:cs="Times New Roman"/>
          <w:sz w:val="24"/>
          <w:szCs w:val="24"/>
        </w:rPr>
        <w:t>part</w:t>
      </w:r>
      <w:proofErr w:type="gramEnd"/>
      <w:r w:rsidRPr="00F472B0">
        <w:rPr>
          <w:rFonts w:ascii="Times New Roman" w:hAnsi="Times New Roman" w:cs="Times New Roman"/>
          <w:sz w:val="24"/>
          <w:szCs w:val="24"/>
        </w:rPr>
        <w:t xml:space="preserve"> 679. </w:t>
      </w:r>
    </w:p>
    <w:p w:rsidR="00D34305" w:rsidRPr="00F472B0" w:rsidRDefault="00D34305" w:rsidP="003A6849">
      <w:pPr>
        <w:spacing w:after="0" w:line="240" w:lineRule="auto"/>
        <w:rPr>
          <w:rFonts w:ascii="Times New Roman" w:hAnsi="Times New Roman" w:cs="Times New Roman"/>
          <w:sz w:val="24"/>
          <w:szCs w:val="24"/>
        </w:rPr>
      </w:pPr>
    </w:p>
    <w:p w:rsidR="00D34305" w:rsidRPr="00F472B0" w:rsidRDefault="00D34305" w:rsidP="00D34305">
      <w:pPr>
        <w:spacing w:after="0" w:line="240" w:lineRule="auto"/>
        <w:rPr>
          <w:rFonts w:ascii="Times New Roman" w:hAnsi="Times New Roman" w:cs="Times New Roman"/>
          <w:sz w:val="24"/>
          <w:szCs w:val="24"/>
        </w:rPr>
      </w:pPr>
      <w:r w:rsidRPr="00F472B0">
        <w:rPr>
          <w:rFonts w:ascii="Times New Roman" w:hAnsi="Times New Roman" w:cs="Times New Roman"/>
          <w:sz w:val="24"/>
          <w:szCs w:val="24"/>
        </w:rPr>
        <w:t>Owners of catcher/processors possessing a License Limitation Program (LLP) license endorsed for longline gear, catcher/processor fishing, Bering Sea and Aleutian Islands Management Area (BSAI) operations, and Pacific cod must use additional catch monitoring measures, designed to enhance catch accounting, when fishing in the BSAI or Gulf of Alaska (GOA) at any time when Pacific cod is open to directed fishing in the BSAI and at all times while groundfish Western Alaska Community Development Quota (CDQ) fishing.</w:t>
      </w:r>
    </w:p>
    <w:p w:rsidR="00D34305" w:rsidRPr="00F472B0" w:rsidRDefault="00D34305" w:rsidP="00D34305">
      <w:pPr>
        <w:spacing w:after="0" w:line="240" w:lineRule="auto"/>
        <w:rPr>
          <w:rFonts w:ascii="Times New Roman" w:hAnsi="Times New Roman" w:cs="Times New Roman"/>
          <w:sz w:val="24"/>
          <w:szCs w:val="24"/>
        </w:rPr>
      </w:pPr>
    </w:p>
    <w:p w:rsidR="00D34305" w:rsidRPr="00F472B0" w:rsidRDefault="00D34305" w:rsidP="00D34305">
      <w:pPr>
        <w:spacing w:after="0" w:line="240" w:lineRule="auto"/>
        <w:rPr>
          <w:rFonts w:ascii="Times New Roman" w:hAnsi="Times New Roman" w:cs="Times New Roman"/>
          <w:sz w:val="24"/>
          <w:szCs w:val="24"/>
        </w:rPr>
      </w:pPr>
      <w:r w:rsidRPr="00F472B0">
        <w:rPr>
          <w:rFonts w:ascii="Times New Roman" w:hAnsi="Times New Roman" w:cs="Times New Roman"/>
          <w:sz w:val="24"/>
          <w:szCs w:val="24"/>
        </w:rPr>
        <w:t>Thirty-three catcher/processors currently possessing LLP licenses that allow directed fishing for Pacific cod in the BSAI with hook-and-line gear must carry and use an electronic logbook (ELB) to report all Pacific cod catch for each set.  Pacific cod total allowable catch (TAC) and halibut prohibited species catch (PSC) are each apportioned specifically to this subsector.  Because no additional LLP licenses may be issued, and no other group of vessels may harvest this allocation, the owners of these LLP licenses have been able to form a voluntary fishing cooperative to which the owners of all of the vessels belong.   This cooperative has effectively created a quota type fishery.  This requirement will increase the speed and accuracy of data transmission to NMFS and will assist in accurate quota monitoring.</w:t>
      </w:r>
    </w:p>
    <w:p w:rsidR="00622F8D" w:rsidRPr="00F472B0" w:rsidRDefault="00622F8D" w:rsidP="00D34305">
      <w:pPr>
        <w:spacing w:after="0" w:line="240" w:lineRule="auto"/>
        <w:rPr>
          <w:rFonts w:ascii="Times New Roman" w:hAnsi="Times New Roman" w:cs="Times New Roman"/>
          <w:sz w:val="24"/>
          <w:szCs w:val="24"/>
        </w:rPr>
      </w:pPr>
    </w:p>
    <w:p w:rsidR="00622F8D" w:rsidRPr="00F472B0" w:rsidRDefault="005822AB" w:rsidP="00622F8D">
      <w:pPr>
        <w:spacing w:after="0" w:line="240" w:lineRule="auto"/>
        <w:rPr>
          <w:rFonts w:ascii="Times New Roman" w:hAnsi="Times New Roman" w:cs="Times New Roman"/>
          <w:b/>
          <w:sz w:val="24"/>
          <w:szCs w:val="24"/>
        </w:rPr>
      </w:pPr>
      <w:r w:rsidRPr="00F472B0">
        <w:rPr>
          <w:rFonts w:ascii="Times New Roman" w:hAnsi="Times New Roman" w:cs="Times New Roman"/>
          <w:sz w:val="24"/>
          <w:szCs w:val="24"/>
        </w:rPr>
        <w:t xml:space="preserve">The reporting requirements for the catcher/processor longline or pot gear daily cumulative logbook (DCPL) are removed for certain catcher/processors with this action; the electronic logbook (see OMB 0648-0515) is used in place of the DCPL by freezer longliners (catcher/processors) named on License Limitation Program licenses (LLPs) endorsed to catch and process Pacific cod at sea with hook-and-line gear in the Bering Sea and Aleutian Islands Management Area (BSAI).  </w:t>
      </w:r>
      <w:r w:rsidR="00622F8D" w:rsidRPr="00F472B0">
        <w:rPr>
          <w:rFonts w:ascii="Times New Roman" w:hAnsi="Times New Roman" w:cs="Times New Roman"/>
          <w:b/>
          <w:sz w:val="24"/>
          <w:szCs w:val="24"/>
        </w:rPr>
        <w:t>The requirement to maintain a catcher/processor longline DCPL is removed for thirty-thr</w:t>
      </w:r>
      <w:r w:rsidR="00CB1B33" w:rsidRPr="00F472B0">
        <w:rPr>
          <w:rFonts w:ascii="Times New Roman" w:hAnsi="Times New Roman" w:cs="Times New Roman"/>
          <w:b/>
          <w:sz w:val="24"/>
          <w:szCs w:val="24"/>
        </w:rPr>
        <w:t xml:space="preserve">ee catcher/processors, leaving </w:t>
      </w:r>
      <w:r w:rsidR="00622F8D" w:rsidRPr="00F472B0">
        <w:rPr>
          <w:rFonts w:ascii="Times New Roman" w:hAnsi="Times New Roman" w:cs="Times New Roman"/>
          <w:b/>
          <w:sz w:val="24"/>
          <w:szCs w:val="24"/>
        </w:rPr>
        <w:t xml:space="preserve">97 longline respondents using the longline DPCL.  This revision would result in </w:t>
      </w:r>
      <w:r w:rsidR="00E116D2" w:rsidRPr="00F472B0">
        <w:rPr>
          <w:rFonts w:ascii="Times New Roman" w:hAnsi="Times New Roman" w:cs="Times New Roman"/>
          <w:b/>
          <w:sz w:val="24"/>
          <w:szCs w:val="24"/>
        </w:rPr>
        <w:t>reduced burden</w:t>
      </w:r>
      <w:r w:rsidR="009F7FCD" w:rsidRPr="00F472B0">
        <w:rPr>
          <w:rFonts w:ascii="Times New Roman" w:hAnsi="Times New Roman" w:cs="Times New Roman"/>
          <w:b/>
          <w:sz w:val="24"/>
          <w:szCs w:val="24"/>
        </w:rPr>
        <w:t xml:space="preserve"> of 4,519 hours</w:t>
      </w:r>
      <w:r w:rsidR="00E116D2" w:rsidRPr="00F472B0">
        <w:rPr>
          <w:rFonts w:ascii="Times New Roman" w:hAnsi="Times New Roman" w:cs="Times New Roman"/>
          <w:b/>
          <w:sz w:val="24"/>
          <w:szCs w:val="24"/>
        </w:rPr>
        <w:t xml:space="preserve"> </w:t>
      </w:r>
      <w:r w:rsidR="00622F8D" w:rsidRPr="00F472B0">
        <w:rPr>
          <w:rFonts w:ascii="Times New Roman" w:hAnsi="Times New Roman" w:cs="Times New Roman"/>
          <w:b/>
          <w:sz w:val="24"/>
          <w:szCs w:val="24"/>
        </w:rPr>
        <w:t>in respondent burden.</w:t>
      </w:r>
      <w:r w:rsidR="009F7FCD" w:rsidRPr="00F472B0">
        <w:rPr>
          <w:rFonts w:ascii="Times New Roman" w:hAnsi="Times New Roman" w:cs="Times New Roman"/>
          <w:b/>
          <w:sz w:val="24"/>
          <w:szCs w:val="24"/>
        </w:rPr>
        <w:t xml:space="preserve"> There is no change in recordkeeping/reporting cost, as there is none associated with these responses.</w:t>
      </w:r>
    </w:p>
    <w:p w:rsidR="00E116D2" w:rsidRPr="00F472B0" w:rsidRDefault="00E116D2" w:rsidP="003A6849">
      <w:pPr>
        <w:spacing w:after="0" w:line="240" w:lineRule="auto"/>
        <w:rPr>
          <w:rFonts w:ascii="Times New Roman" w:hAnsi="Times New Roman" w:cs="Times New Roman"/>
          <w:sz w:val="24"/>
          <w:szCs w:val="24"/>
        </w:rPr>
      </w:pPr>
    </w:p>
    <w:p w:rsidR="00DB7394" w:rsidRPr="00F472B0" w:rsidRDefault="00DB7394" w:rsidP="00FD3EB9">
      <w:pPr>
        <w:spacing w:after="0" w:line="240" w:lineRule="auto"/>
        <w:rPr>
          <w:rFonts w:ascii="Times New Roman" w:hAnsi="Times New Roman" w:cs="Times New Roman"/>
          <w:sz w:val="24"/>
          <w:szCs w:val="24"/>
        </w:rPr>
      </w:pPr>
    </w:p>
    <w:sectPr w:rsidR="00DB7394" w:rsidRPr="00F472B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B9F" w:rsidRDefault="00871B9F" w:rsidP="00622F8D">
      <w:pPr>
        <w:spacing w:after="0" w:line="240" w:lineRule="auto"/>
      </w:pPr>
      <w:r>
        <w:separator/>
      </w:r>
    </w:p>
  </w:endnote>
  <w:endnote w:type="continuationSeparator" w:id="0">
    <w:p w:rsidR="00871B9F" w:rsidRDefault="00871B9F" w:rsidP="00622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28063"/>
      <w:docPartObj>
        <w:docPartGallery w:val="Page Numbers (Bottom of Page)"/>
        <w:docPartUnique/>
      </w:docPartObj>
    </w:sdtPr>
    <w:sdtEndPr/>
    <w:sdtContent>
      <w:sdt>
        <w:sdtPr>
          <w:id w:val="-1669238322"/>
          <w:docPartObj>
            <w:docPartGallery w:val="Page Numbers (Top of Page)"/>
            <w:docPartUnique/>
          </w:docPartObj>
        </w:sdtPr>
        <w:sdtEndPr/>
        <w:sdtContent>
          <w:p w:rsidR="008E0956" w:rsidRDefault="008E095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472B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72B0">
              <w:rPr>
                <w:b/>
                <w:bCs/>
                <w:noProof/>
              </w:rPr>
              <w:t>1</w:t>
            </w:r>
            <w:r>
              <w:rPr>
                <w:b/>
                <w:bCs/>
                <w:sz w:val="24"/>
                <w:szCs w:val="24"/>
              </w:rPr>
              <w:fldChar w:fldCharType="end"/>
            </w:r>
          </w:p>
        </w:sdtContent>
      </w:sdt>
    </w:sdtContent>
  </w:sdt>
  <w:p w:rsidR="008E0956" w:rsidRDefault="008E0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B9F" w:rsidRDefault="00871B9F" w:rsidP="00622F8D">
      <w:pPr>
        <w:spacing w:after="0" w:line="240" w:lineRule="auto"/>
      </w:pPr>
      <w:r>
        <w:separator/>
      </w:r>
    </w:p>
  </w:footnote>
  <w:footnote w:type="continuationSeparator" w:id="0">
    <w:p w:rsidR="00871B9F" w:rsidRDefault="00871B9F" w:rsidP="00622F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49"/>
    <w:rsid w:val="000C4796"/>
    <w:rsid w:val="00246796"/>
    <w:rsid w:val="003A6849"/>
    <w:rsid w:val="00435C08"/>
    <w:rsid w:val="00515DB9"/>
    <w:rsid w:val="005822AB"/>
    <w:rsid w:val="00622F8D"/>
    <w:rsid w:val="008129F0"/>
    <w:rsid w:val="00871B9F"/>
    <w:rsid w:val="008E0956"/>
    <w:rsid w:val="00967BD9"/>
    <w:rsid w:val="009F7FCD"/>
    <w:rsid w:val="00B6593D"/>
    <w:rsid w:val="00CB1B33"/>
    <w:rsid w:val="00D34305"/>
    <w:rsid w:val="00D43D0E"/>
    <w:rsid w:val="00DB7394"/>
    <w:rsid w:val="00E116D2"/>
    <w:rsid w:val="00EC6EAC"/>
    <w:rsid w:val="00ED50B5"/>
    <w:rsid w:val="00F472B0"/>
    <w:rsid w:val="00F76551"/>
    <w:rsid w:val="00FD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F8D"/>
    <w:rPr>
      <w:rFonts w:eastAsiaTheme="minorEastAsia"/>
    </w:rPr>
  </w:style>
  <w:style w:type="paragraph" w:styleId="Footer">
    <w:name w:val="footer"/>
    <w:basedOn w:val="Normal"/>
    <w:link w:val="FooterChar"/>
    <w:uiPriority w:val="99"/>
    <w:unhideWhenUsed/>
    <w:rsid w:val="00622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F8D"/>
    <w:rPr>
      <w:rFonts w:eastAsiaTheme="minorEastAsia"/>
    </w:rPr>
  </w:style>
  <w:style w:type="paragraph" w:styleId="BalloonText">
    <w:name w:val="Balloon Text"/>
    <w:basedOn w:val="Normal"/>
    <w:link w:val="BalloonTextChar"/>
    <w:uiPriority w:val="99"/>
    <w:semiHidden/>
    <w:unhideWhenUsed/>
    <w:rsid w:val="0081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F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8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F8D"/>
    <w:rPr>
      <w:rFonts w:eastAsiaTheme="minorEastAsia"/>
    </w:rPr>
  </w:style>
  <w:style w:type="paragraph" w:styleId="Footer">
    <w:name w:val="footer"/>
    <w:basedOn w:val="Normal"/>
    <w:link w:val="FooterChar"/>
    <w:uiPriority w:val="99"/>
    <w:unhideWhenUsed/>
    <w:rsid w:val="00622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F8D"/>
    <w:rPr>
      <w:rFonts w:eastAsiaTheme="minorEastAsia"/>
    </w:rPr>
  </w:style>
  <w:style w:type="paragraph" w:styleId="BalloonText">
    <w:name w:val="Balloon Text"/>
    <w:basedOn w:val="Normal"/>
    <w:link w:val="BalloonTextChar"/>
    <w:uiPriority w:val="99"/>
    <w:semiHidden/>
    <w:unhideWhenUsed/>
    <w:rsid w:val="00812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F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6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KSmith</cp:lastModifiedBy>
  <cp:revision>5</cp:revision>
  <cp:lastPrinted>2012-09-17T14:25:00Z</cp:lastPrinted>
  <dcterms:created xsi:type="dcterms:W3CDTF">2012-09-14T17:41:00Z</dcterms:created>
  <dcterms:modified xsi:type="dcterms:W3CDTF">2012-09-17T14:25:00Z</dcterms:modified>
</cp:coreProperties>
</file>