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C9" w:rsidRPr="004571DB" w:rsidRDefault="006839C9" w:rsidP="001A5E75">
      <w:bookmarkStart w:id="0" w:name="OLE_LINK5"/>
      <w:bookmarkStart w:id="1" w:name="OLE_LINK6"/>
      <w:bookmarkStart w:id="2" w:name="_GoBack"/>
      <w:bookmarkEnd w:id="2"/>
    </w:p>
    <w:p w:rsidR="006839C9" w:rsidRDefault="00ED07F2" w:rsidP="00F04D44">
      <w:pPr>
        <w:pStyle w:val="CoverTitle"/>
        <w:spacing w:line="240" w:lineRule="auto"/>
        <w:jc w:val="center"/>
      </w:pPr>
      <w:r w:rsidRPr="00E87C38">
        <w:t xml:space="preserve">Community Transformation Grants: </w:t>
      </w:r>
      <w:r w:rsidR="00AD3826" w:rsidRPr="00E87C38">
        <w:t xml:space="preserve">Evaluation of Nutrition, Physical Activity, and Obesity-related </w:t>
      </w:r>
      <w:r w:rsidR="00EB75BE">
        <w:t xml:space="preserve">Television </w:t>
      </w:r>
      <w:r w:rsidR="00AD3826" w:rsidRPr="00E87C38">
        <w:t>Media Campaigns</w:t>
      </w:r>
      <w:r w:rsidR="00EB75BE">
        <w:t xml:space="preserve"> </w:t>
      </w:r>
    </w:p>
    <w:p w:rsidR="00F04D44" w:rsidRDefault="00F04D44" w:rsidP="00F04D44">
      <w:pPr>
        <w:pStyle w:val="CoverTitle"/>
        <w:spacing w:line="240" w:lineRule="auto"/>
        <w:jc w:val="center"/>
      </w:pPr>
    </w:p>
    <w:p w:rsidR="00F04D44" w:rsidRDefault="00F04D44" w:rsidP="00F04D44">
      <w:pPr>
        <w:pStyle w:val="CoverTitle"/>
        <w:spacing w:line="240" w:lineRule="auto"/>
        <w:jc w:val="center"/>
      </w:pPr>
    </w:p>
    <w:p w:rsidR="00F04D44" w:rsidRDefault="00F04D44" w:rsidP="00F04D44">
      <w:pPr>
        <w:pStyle w:val="CoverTitle"/>
        <w:spacing w:line="240" w:lineRule="auto"/>
        <w:jc w:val="center"/>
      </w:pPr>
      <w:r>
        <w:t>New</w:t>
      </w:r>
    </w:p>
    <w:p w:rsidR="00F04D44" w:rsidRDefault="00F04D44" w:rsidP="00F04D44">
      <w:pPr>
        <w:pStyle w:val="CoverTitle"/>
        <w:spacing w:line="240" w:lineRule="auto"/>
        <w:jc w:val="center"/>
      </w:pPr>
    </w:p>
    <w:p w:rsidR="00F04D44" w:rsidRDefault="00F04D44" w:rsidP="00F04D44">
      <w:pPr>
        <w:pStyle w:val="CoverTitle"/>
        <w:spacing w:line="240" w:lineRule="auto"/>
        <w:jc w:val="center"/>
      </w:pPr>
    </w:p>
    <w:p w:rsidR="00F04D44" w:rsidRPr="00E87C38" w:rsidRDefault="00F04D44" w:rsidP="00F04D44">
      <w:pPr>
        <w:pStyle w:val="CoverTitle"/>
        <w:spacing w:line="240" w:lineRule="auto"/>
        <w:jc w:val="center"/>
      </w:pPr>
    </w:p>
    <w:p w:rsidR="006839C9" w:rsidRPr="004571DB" w:rsidRDefault="006839C9" w:rsidP="00F04D44">
      <w:pPr>
        <w:jc w:val="center"/>
      </w:pPr>
    </w:p>
    <w:p w:rsidR="00F04D44" w:rsidRDefault="006839C9" w:rsidP="00F04D44">
      <w:pPr>
        <w:pStyle w:val="CoverText"/>
        <w:jc w:val="center"/>
      </w:pPr>
      <w:r w:rsidRPr="004571DB">
        <w:t>Supporting Statement</w:t>
      </w:r>
    </w:p>
    <w:p w:rsidR="00F04D44" w:rsidRDefault="00F04D44" w:rsidP="00F04D44">
      <w:pPr>
        <w:pStyle w:val="CoverText"/>
        <w:jc w:val="center"/>
      </w:pPr>
    </w:p>
    <w:p w:rsidR="006839C9" w:rsidRPr="004571DB" w:rsidRDefault="006839C9" w:rsidP="00F04D44">
      <w:pPr>
        <w:pStyle w:val="CoverText"/>
        <w:jc w:val="center"/>
      </w:pPr>
      <w:r w:rsidRPr="004571DB">
        <w:t xml:space="preserve">Part </w:t>
      </w:r>
      <w:proofErr w:type="gramStart"/>
      <w:r w:rsidRPr="004571DB">
        <w:t>A</w:t>
      </w:r>
      <w:r w:rsidR="00F04D44">
        <w:t>—</w:t>
      </w:r>
      <w:proofErr w:type="gramEnd"/>
      <w:r w:rsidR="00F04D44">
        <w:t>Justification</w:t>
      </w:r>
    </w:p>
    <w:p w:rsidR="006839C9" w:rsidRPr="004571DB" w:rsidRDefault="006839C9" w:rsidP="00F04D44">
      <w:pPr>
        <w:jc w:val="center"/>
      </w:pPr>
    </w:p>
    <w:p w:rsidR="00F04D44" w:rsidRDefault="00F04D44" w:rsidP="00F04D44">
      <w:pPr>
        <w:pStyle w:val="CoverText"/>
        <w:jc w:val="center"/>
      </w:pPr>
    </w:p>
    <w:bookmarkEnd w:id="0"/>
    <w:bookmarkEnd w:id="1"/>
    <w:p w:rsidR="00F04D44" w:rsidRDefault="00F04D44" w:rsidP="00F04D44">
      <w:pPr>
        <w:pStyle w:val="CoverText"/>
        <w:jc w:val="center"/>
      </w:pPr>
    </w:p>
    <w:p w:rsidR="00F04D44" w:rsidRDefault="00F04D44" w:rsidP="00F04D44">
      <w:pPr>
        <w:pStyle w:val="CoverText"/>
        <w:jc w:val="center"/>
      </w:pPr>
    </w:p>
    <w:p w:rsidR="00F04D44" w:rsidRDefault="00F04D44" w:rsidP="00F04D44">
      <w:pPr>
        <w:pStyle w:val="CoverText"/>
        <w:jc w:val="center"/>
      </w:pPr>
    </w:p>
    <w:p w:rsidR="00F04D44" w:rsidRDefault="00DC418E" w:rsidP="00DC418E">
      <w:pPr>
        <w:pStyle w:val="CoverText"/>
        <w:jc w:val="center"/>
      </w:pPr>
      <w:r>
        <w:t xml:space="preserve">May </w:t>
      </w:r>
      <w:r w:rsidR="008C65BE">
        <w:t>10</w:t>
      </w:r>
      <w:r>
        <w:t>, 2013</w:t>
      </w:r>
    </w:p>
    <w:p w:rsidR="006839C9" w:rsidRPr="00E87C38" w:rsidRDefault="006839C9" w:rsidP="00F04D44">
      <w:pPr>
        <w:pStyle w:val="Footer"/>
        <w:tabs>
          <w:tab w:val="clear" w:pos="4320"/>
          <w:tab w:val="clear" w:pos="8640"/>
        </w:tabs>
        <w:jc w:val="center"/>
        <w:rPr>
          <w:rFonts w:asciiTheme="majorBidi" w:hAnsiTheme="majorBidi" w:cstheme="majorBidi"/>
          <w:szCs w:val="24"/>
        </w:rPr>
      </w:pPr>
    </w:p>
    <w:p w:rsidR="00F04D44" w:rsidRDefault="00F04D44" w:rsidP="00F04D44">
      <w:pPr>
        <w:jc w:val="center"/>
        <w:rPr>
          <w:szCs w:val="24"/>
        </w:rPr>
      </w:pPr>
    </w:p>
    <w:p w:rsidR="00F04D44" w:rsidRDefault="00F04D44" w:rsidP="00F04D44">
      <w:pPr>
        <w:jc w:val="center"/>
        <w:rPr>
          <w:szCs w:val="24"/>
        </w:rPr>
      </w:pPr>
    </w:p>
    <w:p w:rsidR="00F04D44" w:rsidRDefault="00F04D44" w:rsidP="00F04D44">
      <w:pPr>
        <w:jc w:val="center"/>
        <w:rPr>
          <w:szCs w:val="24"/>
        </w:rPr>
      </w:pPr>
    </w:p>
    <w:p w:rsidR="00F04D44" w:rsidRPr="00950266" w:rsidRDefault="00F04D44" w:rsidP="00F04D44">
      <w:pPr>
        <w:jc w:val="center"/>
        <w:rPr>
          <w:szCs w:val="24"/>
        </w:rPr>
      </w:pPr>
      <w:r w:rsidRPr="00950266">
        <w:rPr>
          <w:szCs w:val="24"/>
        </w:rPr>
        <w:t>Robin Soler, PhD</w:t>
      </w:r>
    </w:p>
    <w:p w:rsidR="00F04D44" w:rsidRPr="00950266" w:rsidRDefault="00F04D44" w:rsidP="00F04D44">
      <w:pPr>
        <w:jc w:val="center"/>
        <w:rPr>
          <w:szCs w:val="24"/>
        </w:rPr>
      </w:pPr>
      <w:r w:rsidRPr="00950266">
        <w:rPr>
          <w:szCs w:val="24"/>
        </w:rPr>
        <w:t>Contracting Officer Representative (COR)</w:t>
      </w:r>
    </w:p>
    <w:p w:rsidR="00F04D44" w:rsidRPr="00950266" w:rsidRDefault="00F04D44" w:rsidP="00F04D44">
      <w:pPr>
        <w:jc w:val="center"/>
        <w:rPr>
          <w:szCs w:val="24"/>
        </w:rPr>
      </w:pPr>
      <w:r w:rsidRPr="00950266">
        <w:rPr>
          <w:szCs w:val="24"/>
        </w:rPr>
        <w:t>Division of Community Health</w:t>
      </w:r>
    </w:p>
    <w:p w:rsidR="00F04D44" w:rsidRPr="00950266" w:rsidRDefault="00F04D44" w:rsidP="00F04D44">
      <w:pPr>
        <w:jc w:val="center"/>
        <w:rPr>
          <w:szCs w:val="24"/>
        </w:rPr>
      </w:pPr>
      <w:r w:rsidRPr="00950266">
        <w:rPr>
          <w:szCs w:val="24"/>
        </w:rPr>
        <w:t>Centers for Disease Control and Prevention (CDC)</w:t>
      </w:r>
    </w:p>
    <w:p w:rsidR="00F04D44" w:rsidRPr="00950266" w:rsidRDefault="00F04D44" w:rsidP="00F04D44">
      <w:pPr>
        <w:jc w:val="center"/>
        <w:rPr>
          <w:szCs w:val="24"/>
        </w:rPr>
      </w:pPr>
      <w:r w:rsidRPr="00950266">
        <w:rPr>
          <w:szCs w:val="24"/>
        </w:rPr>
        <w:t>4770 Buford Hwy, N.E. MS K-45</w:t>
      </w:r>
    </w:p>
    <w:p w:rsidR="00F04D44" w:rsidRPr="00950266" w:rsidRDefault="00F04D44" w:rsidP="00F04D44">
      <w:pPr>
        <w:jc w:val="center"/>
        <w:rPr>
          <w:szCs w:val="24"/>
        </w:rPr>
      </w:pPr>
      <w:r w:rsidRPr="00950266">
        <w:rPr>
          <w:szCs w:val="24"/>
        </w:rPr>
        <w:t>Atlanta GA 30341</w:t>
      </w:r>
    </w:p>
    <w:p w:rsidR="00F04D44" w:rsidRPr="00950266" w:rsidRDefault="00F04D44" w:rsidP="00F04D44">
      <w:pPr>
        <w:jc w:val="center"/>
        <w:rPr>
          <w:szCs w:val="24"/>
        </w:rPr>
      </w:pPr>
      <w:r w:rsidRPr="00950266">
        <w:rPr>
          <w:szCs w:val="24"/>
        </w:rPr>
        <w:t>Telephone: (770) 488-5103</w:t>
      </w:r>
    </w:p>
    <w:p w:rsidR="00F04D44" w:rsidRPr="00950266" w:rsidRDefault="00F04D44" w:rsidP="00F04D44">
      <w:pPr>
        <w:jc w:val="center"/>
        <w:rPr>
          <w:szCs w:val="24"/>
        </w:rPr>
      </w:pPr>
      <w:r w:rsidRPr="00950266">
        <w:rPr>
          <w:szCs w:val="24"/>
        </w:rPr>
        <w:t>E-mail: RSoler@cdc.gov</w:t>
      </w:r>
    </w:p>
    <w:p w:rsidR="006839C9" w:rsidRPr="004571DB" w:rsidRDefault="006839C9" w:rsidP="001A5E75"/>
    <w:p w:rsidR="006839C9" w:rsidRPr="004571DB" w:rsidRDefault="006839C9" w:rsidP="001A5E75"/>
    <w:p w:rsidR="006839C9" w:rsidRPr="004571DB" w:rsidRDefault="006839C9" w:rsidP="001A5E75"/>
    <w:p w:rsidR="006839C9" w:rsidRPr="004571DB" w:rsidRDefault="006839C9" w:rsidP="001A5E75"/>
    <w:p w:rsidR="006839C9" w:rsidRPr="004571DB" w:rsidRDefault="006839C9" w:rsidP="001A5E75"/>
    <w:p w:rsidR="006839C9" w:rsidRPr="004571DB" w:rsidRDefault="006839C9" w:rsidP="001A5E75">
      <w:r w:rsidRPr="004571DB">
        <w:br w:type="page"/>
      </w:r>
    </w:p>
    <w:p w:rsidR="006839C9" w:rsidRPr="00E87C38" w:rsidRDefault="00F04D44" w:rsidP="00B3578B">
      <w:pPr>
        <w:pStyle w:val="TOC0"/>
        <w:spacing w:after="120" w:line="240" w:lineRule="auto"/>
        <w:jc w:val="center"/>
      </w:pPr>
      <w:r w:rsidRPr="00E87C38">
        <w:lastRenderedPageBreak/>
        <w:t>TABLE OF CONTENTS</w:t>
      </w:r>
    </w:p>
    <w:p w:rsidR="006839C9" w:rsidRPr="00401EC4" w:rsidRDefault="00F04D44" w:rsidP="001A5E75">
      <w:pPr>
        <w:pStyle w:val="TOC0"/>
        <w:tabs>
          <w:tab w:val="right" w:pos="9360"/>
        </w:tabs>
        <w:spacing w:line="240" w:lineRule="auto"/>
      </w:pPr>
      <w:r>
        <w:t>PART A.</w:t>
      </w:r>
      <w:r w:rsidR="009A173B">
        <w:t xml:space="preserve"> </w:t>
      </w:r>
      <w:r>
        <w:t>JUSTIFICATION</w:t>
      </w:r>
      <w:r w:rsidR="006839C9" w:rsidRPr="00E87C38">
        <w:tab/>
      </w:r>
      <w:r w:rsidR="00596558">
        <w:t xml:space="preserve"> </w:t>
      </w:r>
    </w:p>
    <w:p w:rsidR="003F78ED" w:rsidRDefault="00A62988">
      <w:pPr>
        <w:pStyle w:val="TOC1"/>
        <w:rPr>
          <w:rFonts w:asciiTheme="minorHAnsi" w:eastAsiaTheme="minorEastAsia" w:hAnsiTheme="minorHAnsi" w:cstheme="minorBidi"/>
          <w:sz w:val="22"/>
          <w:szCs w:val="22"/>
        </w:rPr>
      </w:pPr>
      <w:r>
        <w:fldChar w:fldCharType="begin"/>
      </w:r>
      <w:r w:rsidR="00F339A0">
        <w:instrText xml:space="preserve"> TOC \o "1-1" \n \t "Heading 2,2" </w:instrText>
      </w:r>
      <w:r>
        <w:fldChar w:fldCharType="separate"/>
      </w:r>
      <w:r w:rsidR="003F78ED">
        <w:t>Abstract</w:t>
      </w:r>
    </w:p>
    <w:p w:rsidR="003F78ED" w:rsidRDefault="003F78ED">
      <w:pPr>
        <w:pStyle w:val="TOC1"/>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Justification</w:t>
      </w:r>
    </w:p>
    <w:p w:rsidR="003F78ED" w:rsidRDefault="003F78ED">
      <w:pPr>
        <w:pStyle w:val="TOC2"/>
        <w:rPr>
          <w:rFonts w:asciiTheme="minorHAnsi" w:hAnsiTheme="minorHAnsi"/>
          <w:sz w:val="22"/>
        </w:rPr>
      </w:pPr>
      <w:r>
        <w:t>A.1</w:t>
      </w:r>
      <w:r>
        <w:rPr>
          <w:rFonts w:asciiTheme="minorHAnsi" w:hAnsiTheme="minorHAnsi"/>
          <w:sz w:val="22"/>
        </w:rPr>
        <w:tab/>
      </w:r>
      <w:r>
        <w:t>Circumstances Making the Collection of Information Necessary</w:t>
      </w:r>
    </w:p>
    <w:p w:rsidR="003F78ED" w:rsidRDefault="003F78ED">
      <w:pPr>
        <w:pStyle w:val="TOC2"/>
        <w:rPr>
          <w:rFonts w:asciiTheme="minorHAnsi" w:hAnsiTheme="minorHAnsi"/>
          <w:sz w:val="22"/>
        </w:rPr>
      </w:pPr>
      <w:r>
        <w:t>A.2</w:t>
      </w:r>
      <w:r>
        <w:rPr>
          <w:rFonts w:asciiTheme="minorHAnsi" w:hAnsiTheme="minorHAnsi"/>
          <w:sz w:val="22"/>
        </w:rPr>
        <w:tab/>
      </w:r>
      <w:r>
        <w:t>Purposes and Use of Information Collection</w:t>
      </w:r>
    </w:p>
    <w:p w:rsidR="003F78ED" w:rsidRDefault="003F78ED">
      <w:pPr>
        <w:pStyle w:val="TOC2"/>
        <w:rPr>
          <w:rFonts w:asciiTheme="minorHAnsi" w:hAnsiTheme="minorHAnsi"/>
          <w:sz w:val="22"/>
        </w:rPr>
      </w:pPr>
      <w:r>
        <w:t>A.3</w:t>
      </w:r>
      <w:r>
        <w:rPr>
          <w:rFonts w:asciiTheme="minorHAnsi" w:hAnsiTheme="minorHAnsi"/>
          <w:sz w:val="22"/>
        </w:rPr>
        <w:tab/>
      </w:r>
      <w:r>
        <w:t>Use of Improved Information Technology and Burden Reduction</w:t>
      </w:r>
    </w:p>
    <w:p w:rsidR="003F78ED" w:rsidRDefault="003F78ED">
      <w:pPr>
        <w:pStyle w:val="TOC2"/>
        <w:rPr>
          <w:rFonts w:asciiTheme="minorHAnsi" w:hAnsiTheme="minorHAnsi"/>
          <w:sz w:val="22"/>
        </w:rPr>
      </w:pPr>
      <w:r>
        <w:t>A.4</w:t>
      </w:r>
      <w:r>
        <w:rPr>
          <w:rFonts w:asciiTheme="minorHAnsi" w:hAnsiTheme="minorHAnsi"/>
          <w:sz w:val="22"/>
        </w:rPr>
        <w:tab/>
      </w:r>
      <w:r>
        <w:t>Efforts to Identify Duplication and Use of Similar Information</w:t>
      </w:r>
    </w:p>
    <w:p w:rsidR="003F78ED" w:rsidRDefault="003F78ED">
      <w:pPr>
        <w:pStyle w:val="TOC2"/>
        <w:rPr>
          <w:rFonts w:asciiTheme="minorHAnsi" w:hAnsiTheme="minorHAnsi"/>
          <w:sz w:val="22"/>
        </w:rPr>
      </w:pPr>
      <w:r>
        <w:t>A.5</w:t>
      </w:r>
      <w:r>
        <w:rPr>
          <w:rFonts w:asciiTheme="minorHAnsi" w:hAnsiTheme="minorHAnsi"/>
          <w:sz w:val="22"/>
        </w:rPr>
        <w:tab/>
      </w:r>
      <w:r>
        <w:t>Impact on Small Businesses or Other Small Entities</w:t>
      </w:r>
    </w:p>
    <w:p w:rsidR="003F78ED" w:rsidRDefault="003F78ED">
      <w:pPr>
        <w:pStyle w:val="TOC2"/>
        <w:rPr>
          <w:rFonts w:asciiTheme="minorHAnsi" w:hAnsiTheme="minorHAnsi"/>
          <w:sz w:val="22"/>
        </w:rPr>
      </w:pPr>
      <w:r>
        <w:t>A.6</w:t>
      </w:r>
      <w:r>
        <w:rPr>
          <w:rFonts w:asciiTheme="minorHAnsi" w:hAnsiTheme="minorHAnsi"/>
          <w:sz w:val="22"/>
        </w:rPr>
        <w:tab/>
      </w:r>
      <w:r>
        <w:t>Consequences of Collecting the Information Less Frequently</w:t>
      </w:r>
    </w:p>
    <w:p w:rsidR="003F78ED" w:rsidRDefault="003F78ED">
      <w:pPr>
        <w:pStyle w:val="TOC2"/>
        <w:rPr>
          <w:rFonts w:asciiTheme="minorHAnsi" w:hAnsiTheme="minorHAnsi"/>
          <w:sz w:val="22"/>
        </w:rPr>
      </w:pPr>
      <w:r>
        <w:t>A.7</w:t>
      </w:r>
      <w:r>
        <w:rPr>
          <w:rFonts w:asciiTheme="minorHAnsi" w:hAnsiTheme="minorHAnsi"/>
          <w:sz w:val="22"/>
        </w:rPr>
        <w:tab/>
      </w:r>
      <w:r>
        <w:t>Special Circumstances Relating to the Guidelines of 5 CFR 1320.5</w:t>
      </w:r>
    </w:p>
    <w:p w:rsidR="003F78ED" w:rsidRDefault="003F78ED">
      <w:pPr>
        <w:pStyle w:val="TOC2"/>
        <w:rPr>
          <w:rFonts w:asciiTheme="minorHAnsi" w:hAnsiTheme="minorHAnsi"/>
          <w:sz w:val="22"/>
        </w:rPr>
      </w:pPr>
      <w:r>
        <w:t>A.8</w:t>
      </w:r>
      <w:r>
        <w:rPr>
          <w:rFonts w:asciiTheme="minorHAnsi" w:hAnsiTheme="minorHAnsi"/>
          <w:sz w:val="22"/>
        </w:rPr>
        <w:tab/>
      </w:r>
      <w:r>
        <w:t>Comments in Response to the Federal Register Notice and Efforts to Consult Outside the Agency</w:t>
      </w:r>
    </w:p>
    <w:p w:rsidR="003F78ED" w:rsidRDefault="003F78ED">
      <w:pPr>
        <w:pStyle w:val="TOC2"/>
        <w:rPr>
          <w:rFonts w:asciiTheme="minorHAnsi" w:hAnsiTheme="minorHAnsi"/>
          <w:sz w:val="22"/>
        </w:rPr>
      </w:pPr>
      <w:r>
        <w:t>A.9</w:t>
      </w:r>
      <w:r>
        <w:rPr>
          <w:rFonts w:asciiTheme="minorHAnsi" w:hAnsiTheme="minorHAnsi"/>
          <w:sz w:val="22"/>
        </w:rPr>
        <w:tab/>
      </w:r>
      <w:r>
        <w:t>Explanations of Any Payment or Gift to Respondents</w:t>
      </w:r>
    </w:p>
    <w:p w:rsidR="003F78ED" w:rsidRDefault="003F78ED">
      <w:pPr>
        <w:pStyle w:val="TOC2"/>
        <w:rPr>
          <w:rFonts w:asciiTheme="minorHAnsi" w:hAnsiTheme="minorHAnsi"/>
          <w:sz w:val="22"/>
        </w:rPr>
      </w:pPr>
      <w:r>
        <w:t>A.10</w:t>
      </w:r>
      <w:r>
        <w:rPr>
          <w:rFonts w:asciiTheme="minorHAnsi" w:hAnsiTheme="minorHAnsi"/>
          <w:sz w:val="22"/>
        </w:rPr>
        <w:tab/>
      </w:r>
      <w:r>
        <w:t>Assurance of Confidentiality Provided to Respondents</w:t>
      </w:r>
    </w:p>
    <w:p w:rsidR="003F78ED" w:rsidRDefault="003F78ED">
      <w:pPr>
        <w:pStyle w:val="TOC2"/>
        <w:rPr>
          <w:rFonts w:asciiTheme="minorHAnsi" w:hAnsiTheme="minorHAnsi"/>
          <w:sz w:val="22"/>
        </w:rPr>
      </w:pPr>
      <w:r>
        <w:t>A.11</w:t>
      </w:r>
      <w:r>
        <w:rPr>
          <w:rFonts w:asciiTheme="minorHAnsi" w:hAnsiTheme="minorHAnsi"/>
          <w:sz w:val="22"/>
        </w:rPr>
        <w:tab/>
      </w:r>
      <w:r>
        <w:t>Justification for Sensitive Questions</w:t>
      </w:r>
    </w:p>
    <w:p w:rsidR="003F78ED" w:rsidRDefault="003F78ED">
      <w:pPr>
        <w:pStyle w:val="TOC2"/>
        <w:rPr>
          <w:rFonts w:asciiTheme="minorHAnsi" w:hAnsiTheme="minorHAnsi"/>
          <w:sz w:val="22"/>
        </w:rPr>
      </w:pPr>
      <w:r>
        <w:t>A.12</w:t>
      </w:r>
      <w:r>
        <w:rPr>
          <w:rFonts w:asciiTheme="minorHAnsi" w:hAnsiTheme="minorHAnsi"/>
          <w:sz w:val="22"/>
        </w:rPr>
        <w:tab/>
      </w:r>
      <w:r>
        <w:t>Estimated Annualized Burden Hours and Cost to Respondents</w:t>
      </w:r>
    </w:p>
    <w:p w:rsidR="003F78ED" w:rsidRDefault="003F78ED">
      <w:pPr>
        <w:pStyle w:val="TOC2"/>
        <w:rPr>
          <w:rFonts w:asciiTheme="minorHAnsi" w:hAnsiTheme="minorHAnsi"/>
          <w:sz w:val="22"/>
        </w:rPr>
      </w:pPr>
      <w:r>
        <w:t>A.13</w:t>
      </w:r>
      <w:r>
        <w:rPr>
          <w:rFonts w:asciiTheme="minorHAnsi" w:hAnsiTheme="minorHAnsi"/>
          <w:sz w:val="22"/>
        </w:rPr>
        <w:tab/>
      </w:r>
      <w:r>
        <w:t>Estimate of Other Total Annual Cost Burden to Respondents or Record Keepers</w:t>
      </w:r>
    </w:p>
    <w:p w:rsidR="003F78ED" w:rsidRDefault="003F78ED">
      <w:pPr>
        <w:pStyle w:val="TOC2"/>
        <w:rPr>
          <w:rFonts w:asciiTheme="minorHAnsi" w:hAnsiTheme="minorHAnsi"/>
          <w:sz w:val="22"/>
        </w:rPr>
      </w:pPr>
      <w:r>
        <w:t>A.14</w:t>
      </w:r>
      <w:r>
        <w:rPr>
          <w:rFonts w:asciiTheme="minorHAnsi" w:hAnsiTheme="minorHAnsi"/>
          <w:sz w:val="22"/>
        </w:rPr>
        <w:tab/>
      </w:r>
      <w:r>
        <w:t>Estimates of Annualized Cost to the Federal Government</w:t>
      </w:r>
    </w:p>
    <w:p w:rsidR="003F78ED" w:rsidRDefault="003F78ED">
      <w:pPr>
        <w:pStyle w:val="TOC2"/>
        <w:rPr>
          <w:rFonts w:asciiTheme="minorHAnsi" w:hAnsiTheme="minorHAnsi"/>
          <w:sz w:val="22"/>
        </w:rPr>
      </w:pPr>
      <w:r>
        <w:t>A.15</w:t>
      </w:r>
      <w:r>
        <w:rPr>
          <w:rFonts w:asciiTheme="minorHAnsi" w:hAnsiTheme="minorHAnsi"/>
          <w:sz w:val="22"/>
        </w:rPr>
        <w:tab/>
      </w:r>
      <w:r>
        <w:t>Explanation for Program Changes or Adjustments</w:t>
      </w:r>
    </w:p>
    <w:p w:rsidR="003F78ED" w:rsidRDefault="003F78ED">
      <w:pPr>
        <w:pStyle w:val="TOC2"/>
        <w:rPr>
          <w:rFonts w:asciiTheme="minorHAnsi" w:hAnsiTheme="minorHAnsi"/>
          <w:sz w:val="22"/>
        </w:rPr>
      </w:pPr>
      <w:r>
        <w:t>A.16</w:t>
      </w:r>
      <w:r>
        <w:rPr>
          <w:rFonts w:asciiTheme="minorHAnsi" w:hAnsiTheme="minorHAnsi"/>
          <w:sz w:val="22"/>
        </w:rPr>
        <w:tab/>
      </w:r>
      <w:r>
        <w:t>Plans for Tabulation and Publication and Project Time Schedule</w:t>
      </w:r>
    </w:p>
    <w:p w:rsidR="003F78ED" w:rsidRDefault="003F78ED">
      <w:pPr>
        <w:pStyle w:val="TOC2"/>
        <w:rPr>
          <w:rFonts w:asciiTheme="minorHAnsi" w:hAnsiTheme="minorHAnsi"/>
          <w:sz w:val="22"/>
        </w:rPr>
      </w:pPr>
      <w:r>
        <w:t>A.17</w:t>
      </w:r>
      <w:r>
        <w:rPr>
          <w:rFonts w:asciiTheme="minorHAnsi" w:hAnsiTheme="minorHAnsi"/>
          <w:sz w:val="22"/>
        </w:rPr>
        <w:tab/>
      </w:r>
      <w:r>
        <w:t>Reason(s) Display of OMB Expiration Date is Inappropriate</w:t>
      </w:r>
    </w:p>
    <w:p w:rsidR="003F78ED" w:rsidRDefault="003F78ED">
      <w:pPr>
        <w:pStyle w:val="TOC2"/>
        <w:rPr>
          <w:rFonts w:asciiTheme="minorHAnsi" w:hAnsiTheme="minorHAnsi"/>
          <w:sz w:val="22"/>
        </w:rPr>
      </w:pPr>
      <w:r>
        <w:t>A.18</w:t>
      </w:r>
      <w:r>
        <w:rPr>
          <w:rFonts w:asciiTheme="minorHAnsi" w:hAnsiTheme="minorHAnsi"/>
          <w:sz w:val="22"/>
        </w:rPr>
        <w:tab/>
      </w:r>
      <w:r>
        <w:t>Exceptions to the Certification Statement</w:t>
      </w:r>
    </w:p>
    <w:p w:rsidR="003F78ED" w:rsidRDefault="003F78ED">
      <w:pPr>
        <w:pStyle w:val="TOC2"/>
        <w:rPr>
          <w:rFonts w:asciiTheme="minorHAnsi" w:hAnsiTheme="minorHAnsi"/>
          <w:sz w:val="22"/>
        </w:rPr>
      </w:pPr>
      <w:r>
        <w:t>A.19</w:t>
      </w:r>
      <w:r>
        <w:rPr>
          <w:rFonts w:asciiTheme="minorHAnsi" w:hAnsiTheme="minorHAnsi"/>
          <w:sz w:val="22"/>
        </w:rPr>
        <w:tab/>
      </w:r>
      <w:r>
        <w:t>References</w:t>
      </w:r>
    </w:p>
    <w:p w:rsidR="00401EC4" w:rsidRPr="004571DB" w:rsidRDefault="00A62988" w:rsidP="001A5E75">
      <w:r>
        <w:rPr>
          <w:noProof/>
        </w:rPr>
        <w:fldChar w:fldCharType="end"/>
      </w:r>
    </w:p>
    <w:p w:rsidR="00F339A0" w:rsidRPr="00395FD9" w:rsidRDefault="00F339A0" w:rsidP="00260411">
      <w:pPr>
        <w:pStyle w:val="TOC0"/>
      </w:pPr>
      <w:r w:rsidRPr="00395FD9">
        <w:t>LIST OF ATTACHMENTS</w:t>
      </w:r>
    </w:p>
    <w:tbl>
      <w:tblPr>
        <w:tblW w:w="0" w:type="auto"/>
        <w:tblCellMar>
          <w:left w:w="0" w:type="dxa"/>
          <w:right w:w="0" w:type="dxa"/>
        </w:tblCellMar>
        <w:tblLook w:val="04A0" w:firstRow="1" w:lastRow="0" w:firstColumn="1" w:lastColumn="0" w:noHBand="0" w:noVBand="1"/>
      </w:tblPr>
      <w:tblGrid>
        <w:gridCol w:w="1336"/>
        <w:gridCol w:w="6782"/>
      </w:tblGrid>
      <w:tr w:rsidR="00F339A0" w:rsidRPr="0068121F" w:rsidTr="00F339A0">
        <w:tc>
          <w:tcPr>
            <w:tcW w:w="1336" w:type="dxa"/>
            <w:tcMar>
              <w:top w:w="0" w:type="dxa"/>
              <w:left w:w="108" w:type="dxa"/>
              <w:bottom w:w="0" w:type="dxa"/>
              <w:right w:w="108" w:type="dxa"/>
            </w:tcMar>
          </w:tcPr>
          <w:p w:rsidR="00F339A0" w:rsidRDefault="00F339A0" w:rsidP="00F339A0">
            <w:pPr>
              <w:shd w:val="clear" w:color="auto" w:fill="FFFFFF"/>
              <w:tabs>
                <w:tab w:val="left" w:pos="270"/>
                <w:tab w:val="left" w:pos="360"/>
                <w:tab w:val="left" w:pos="630"/>
                <w:tab w:val="left" w:pos="1350"/>
                <w:tab w:val="right" w:leader="dot" w:pos="9350"/>
              </w:tabs>
              <w:jc w:val="center"/>
              <w:rPr>
                <w:noProof/>
                <w:szCs w:val="24"/>
              </w:rPr>
            </w:pPr>
            <w:r w:rsidRPr="00395FD9">
              <w:rPr>
                <w:noProof/>
                <w:szCs w:val="24"/>
              </w:rPr>
              <w:t>Attachment Number</w:t>
            </w:r>
          </w:p>
        </w:tc>
        <w:tc>
          <w:tcPr>
            <w:tcW w:w="6782" w:type="dxa"/>
            <w:tcMar>
              <w:top w:w="0" w:type="dxa"/>
              <w:left w:w="108" w:type="dxa"/>
              <w:bottom w:w="0" w:type="dxa"/>
              <w:right w:w="108" w:type="dxa"/>
            </w:tcMar>
          </w:tcPr>
          <w:p w:rsidR="00F339A0" w:rsidRPr="00395FD9" w:rsidRDefault="00F339A0" w:rsidP="00F339A0">
            <w:pPr>
              <w:shd w:val="clear" w:color="auto" w:fill="FFFFFF"/>
              <w:tabs>
                <w:tab w:val="left" w:pos="270"/>
                <w:tab w:val="left" w:pos="360"/>
                <w:tab w:val="left" w:pos="630"/>
                <w:tab w:val="left" w:pos="1350"/>
                <w:tab w:val="right" w:leader="dot" w:pos="9350"/>
              </w:tabs>
              <w:rPr>
                <w:noProof/>
                <w:szCs w:val="24"/>
              </w:rPr>
            </w:pPr>
          </w:p>
        </w:tc>
      </w:tr>
    </w:tbl>
    <w:p w:rsidR="007C3F14" w:rsidRPr="004571DB" w:rsidRDefault="004571DB" w:rsidP="001A5E75">
      <w:r w:rsidRPr="004571DB">
        <w:t>1a.</w:t>
      </w:r>
      <w:r w:rsidRPr="004571DB">
        <w:tab/>
      </w:r>
      <w:r w:rsidR="00495FE1" w:rsidRPr="004571DB">
        <w:t>Public Health Service Act</w:t>
      </w:r>
    </w:p>
    <w:p w:rsidR="00495FE1" w:rsidRDefault="00495FE1" w:rsidP="001A5E75">
      <w:r w:rsidRPr="004571DB">
        <w:t>1b.</w:t>
      </w:r>
      <w:r w:rsidR="004571DB" w:rsidRPr="004571DB">
        <w:tab/>
      </w:r>
      <w:r w:rsidRPr="004571DB">
        <w:t>Authorizing Legislation: American Recovery and Reinvestment Act of 2009</w:t>
      </w:r>
    </w:p>
    <w:p w:rsidR="00492375" w:rsidRDefault="00492375" w:rsidP="001A5E75">
      <w:r>
        <w:t>1c.</w:t>
      </w:r>
      <w:r>
        <w:tab/>
        <w:t>Patient Protection and Affordable Care Act</w:t>
      </w:r>
    </w:p>
    <w:p w:rsidR="00492375" w:rsidRDefault="00492375" w:rsidP="001A5E75">
      <w:r>
        <w:t>1d.</w:t>
      </w:r>
      <w:r>
        <w:tab/>
        <w:t>Prevention and Public Health Fund</w:t>
      </w:r>
    </w:p>
    <w:p w:rsidR="00C32647" w:rsidRPr="004571DB" w:rsidRDefault="00C32647" w:rsidP="001A5E75">
      <w:r>
        <w:t>1e.</w:t>
      </w:r>
      <w:r>
        <w:tab/>
      </w:r>
      <w:r w:rsidRPr="00C32647">
        <w:t>ACA Section 4201, Community Transformation Grants</w:t>
      </w:r>
    </w:p>
    <w:p w:rsidR="004F1417" w:rsidRDefault="00260411" w:rsidP="00260411">
      <w:r>
        <w:t>2</w:t>
      </w:r>
      <w:r w:rsidR="00EF5882">
        <w:t>a</w:t>
      </w:r>
      <w:r>
        <w:t>.</w:t>
      </w:r>
      <w:r>
        <w:tab/>
      </w:r>
      <w:r w:rsidR="004F1417" w:rsidRPr="00260411">
        <w:t>Federal Register Notice</w:t>
      </w:r>
    </w:p>
    <w:p w:rsidR="00EF5882" w:rsidRPr="00260411" w:rsidRDefault="00EF5882" w:rsidP="00260411">
      <w:r>
        <w:t>2b.</w:t>
      </w:r>
      <w:r>
        <w:tab/>
        <w:t>Summary of Public Comments</w:t>
      </w:r>
    </w:p>
    <w:p w:rsidR="00495FE1" w:rsidRPr="00260411" w:rsidRDefault="00260411" w:rsidP="00260411">
      <w:r>
        <w:t>3.</w:t>
      </w:r>
      <w:r>
        <w:tab/>
      </w:r>
      <w:r w:rsidR="00495FE1" w:rsidRPr="00260411">
        <w:t>Community Transformation Grants—Strategic Directions</w:t>
      </w:r>
    </w:p>
    <w:p w:rsidR="00495FE1" w:rsidRPr="00260411" w:rsidRDefault="00260411" w:rsidP="00260411">
      <w:r>
        <w:t>4.</w:t>
      </w:r>
      <w:r>
        <w:tab/>
      </w:r>
      <w:r w:rsidR="00495FE1" w:rsidRPr="00260411">
        <w:t>List of Community Transformation Grant Awardees</w:t>
      </w:r>
    </w:p>
    <w:p w:rsidR="003C2A21" w:rsidRDefault="00260411" w:rsidP="006D26B1">
      <w:r>
        <w:t>5</w:t>
      </w:r>
      <w:r w:rsidR="003C2A21">
        <w:t>a</w:t>
      </w:r>
      <w:r>
        <w:t>.</w:t>
      </w:r>
      <w:r>
        <w:tab/>
      </w:r>
      <w:r w:rsidR="006D26B1" w:rsidRPr="00260411">
        <w:t>Screening and Consent Process</w:t>
      </w:r>
    </w:p>
    <w:p w:rsidR="006D26B1" w:rsidRDefault="003C2A21" w:rsidP="006D26B1">
      <w:r>
        <w:t>5b.</w:t>
      </w:r>
      <w:r>
        <w:tab/>
      </w:r>
      <w:r w:rsidR="00990569">
        <w:t>Screening and Consent Process (representative screen shots)</w:t>
      </w:r>
    </w:p>
    <w:p w:rsidR="00495FE1" w:rsidRDefault="006D26B1" w:rsidP="003C2A21">
      <w:pPr>
        <w:ind w:left="720" w:hanging="720"/>
      </w:pPr>
      <w:r>
        <w:t>6</w:t>
      </w:r>
      <w:r w:rsidR="003C2A21">
        <w:t>a</w:t>
      </w:r>
      <w:r>
        <w:t>.</w:t>
      </w:r>
      <w:r>
        <w:tab/>
      </w:r>
      <w:r w:rsidR="00495FE1" w:rsidRPr="00260411">
        <w:t>Nutrition, Physical Activity, and Obesity Survey</w:t>
      </w:r>
      <w:r w:rsidR="003C2A21">
        <w:t xml:space="preserve"> (outline of content including</w:t>
      </w:r>
      <w:r w:rsidR="00FB0169">
        <w:t xml:space="preserve"> each question’s rationale</w:t>
      </w:r>
      <w:r w:rsidR="003C2A21">
        <w:t xml:space="preserve"> </w:t>
      </w:r>
      <w:r w:rsidR="00FB0169">
        <w:t>and source</w:t>
      </w:r>
      <w:r w:rsidR="003C2A21">
        <w:t>)</w:t>
      </w:r>
    </w:p>
    <w:p w:rsidR="003C2A21" w:rsidRDefault="003C2A21" w:rsidP="003C2A21">
      <w:pPr>
        <w:ind w:left="720" w:hanging="720"/>
      </w:pPr>
      <w:r>
        <w:t>6b.</w:t>
      </w:r>
      <w:r>
        <w:tab/>
        <w:t>Nutrition, Physical Activity, and Obesity Survey (</w:t>
      </w:r>
      <w:r w:rsidR="00FB0169">
        <w:t xml:space="preserve">representative </w:t>
      </w:r>
      <w:r>
        <w:t>screen shots</w:t>
      </w:r>
      <w:r w:rsidR="00FB0169">
        <w:t>)</w:t>
      </w:r>
    </w:p>
    <w:p w:rsidR="0072097D" w:rsidRDefault="006D26B1" w:rsidP="003C2A21">
      <w:pPr>
        <w:ind w:left="720" w:hanging="720"/>
      </w:pPr>
      <w:r>
        <w:t>7.</w:t>
      </w:r>
      <w:r>
        <w:tab/>
      </w:r>
      <w:r w:rsidR="0072097D">
        <w:t>Research Now’s Panel Recruitment</w:t>
      </w:r>
      <w:r w:rsidR="0072097D" w:rsidRPr="00260411">
        <w:t xml:space="preserve"> Procedures </w:t>
      </w:r>
    </w:p>
    <w:p w:rsidR="006D26B1" w:rsidRPr="00260411" w:rsidRDefault="0072097D" w:rsidP="003C2A21">
      <w:pPr>
        <w:ind w:left="720" w:hanging="720"/>
      </w:pPr>
      <w:r>
        <w:t>8.</w:t>
      </w:r>
      <w:r>
        <w:tab/>
      </w:r>
      <w:r w:rsidR="006D26B1" w:rsidRPr="00260411">
        <w:t>E-mail Notifications and Reminder</w:t>
      </w:r>
    </w:p>
    <w:p w:rsidR="00971D8D" w:rsidRPr="004571DB" w:rsidRDefault="00610394" w:rsidP="00B3578B">
      <w:r>
        <w:t>9</w:t>
      </w:r>
      <w:r w:rsidR="00260411">
        <w:t>.</w:t>
      </w:r>
      <w:r w:rsidR="00260411">
        <w:tab/>
      </w:r>
      <w:r w:rsidR="00495FE1" w:rsidRPr="00260411">
        <w:t>RTI IRB Approval Notice</w:t>
      </w:r>
    </w:p>
    <w:p w:rsidR="006839C9" w:rsidRPr="0028273E" w:rsidRDefault="006839C9" w:rsidP="00F339A0">
      <w:pPr>
        <w:pStyle w:val="Hdg1Abstr"/>
      </w:pPr>
      <w:r w:rsidRPr="004571DB">
        <w:br w:type="page"/>
      </w:r>
      <w:bookmarkStart w:id="3" w:name="_Toc332782714"/>
      <w:bookmarkStart w:id="4" w:name="_Toc332782762"/>
      <w:bookmarkStart w:id="5" w:name="_Toc332783137"/>
      <w:r w:rsidRPr="0028273E">
        <w:lastRenderedPageBreak/>
        <w:t>Abstract</w:t>
      </w:r>
      <w:bookmarkEnd w:id="3"/>
      <w:bookmarkEnd w:id="4"/>
      <w:bookmarkEnd w:id="5"/>
    </w:p>
    <w:p w:rsidR="006839C9" w:rsidRPr="00971D8D" w:rsidRDefault="006839C9" w:rsidP="008B6151">
      <w:r w:rsidRPr="00E87C38">
        <w:t xml:space="preserve">The Centers for Disease Control and Prevention (CDC) requests a </w:t>
      </w:r>
      <w:r w:rsidR="00DD1013">
        <w:t>one</w:t>
      </w:r>
      <w:r w:rsidRPr="00E87C38">
        <w:t xml:space="preserve">-year </w:t>
      </w:r>
      <w:r w:rsidR="00C630B5">
        <w:t xml:space="preserve">Office of Management and Budget </w:t>
      </w:r>
      <w:r w:rsidRPr="00E87C38">
        <w:t xml:space="preserve">approval to conduct a </w:t>
      </w:r>
      <w:r w:rsidR="00FE3052">
        <w:t>W</w:t>
      </w:r>
      <w:r w:rsidRPr="00E87C38">
        <w:t xml:space="preserve">eb-based survey of </w:t>
      </w:r>
      <w:r w:rsidR="00AD3826" w:rsidRPr="00E87C38">
        <w:t>adults</w:t>
      </w:r>
      <w:r w:rsidRPr="00E87C38">
        <w:t xml:space="preserve"> in the </w:t>
      </w:r>
      <w:r w:rsidR="00C630B5">
        <w:t>United States</w:t>
      </w:r>
      <w:r w:rsidRPr="00E87C38">
        <w:t xml:space="preserve">. This survey will be fielded for purposes of evaluating </w:t>
      </w:r>
      <w:r w:rsidR="0001632D" w:rsidRPr="00E87C38">
        <w:t>nutrition, physical activity, and ob</w:t>
      </w:r>
      <w:r w:rsidR="00AD3826" w:rsidRPr="00E87C38">
        <w:t>esity</w:t>
      </w:r>
      <w:r w:rsidR="00AA47F5" w:rsidRPr="00E87C38">
        <w:t xml:space="preserve"> (NPAO)</w:t>
      </w:r>
      <w:r w:rsidR="00AD3826" w:rsidRPr="00E87C38">
        <w:t xml:space="preserve">-related </w:t>
      </w:r>
      <w:r w:rsidR="00EC7F3D">
        <w:t xml:space="preserve">television </w:t>
      </w:r>
      <w:r w:rsidR="00AD3826" w:rsidRPr="00E87C38">
        <w:t xml:space="preserve">media campaigns </w:t>
      </w:r>
      <w:r w:rsidR="00175214">
        <w:t xml:space="preserve">conducted </w:t>
      </w:r>
      <w:r w:rsidR="00AD3826" w:rsidRPr="00E87C38">
        <w:t xml:space="preserve">as part of CDC’s Community Transformation Grants </w:t>
      </w:r>
      <w:r w:rsidR="00C630B5">
        <w:t>(CTG)</w:t>
      </w:r>
      <w:r w:rsidR="004A2E74">
        <w:t xml:space="preserve"> Program</w:t>
      </w:r>
      <w:r w:rsidR="00AD3826" w:rsidRPr="00E87C38">
        <w:t>.</w:t>
      </w:r>
      <w:r w:rsidR="00596558">
        <w:t xml:space="preserve"> </w:t>
      </w:r>
      <w:r w:rsidRPr="00E87C38">
        <w:t xml:space="preserve">It will consist of </w:t>
      </w:r>
      <w:r w:rsidR="00AD3826" w:rsidRPr="00E87C38">
        <w:t xml:space="preserve">one cross-sectional survey administered </w:t>
      </w:r>
      <w:r w:rsidR="00AA47F5" w:rsidRPr="00E87C38">
        <w:t xml:space="preserve">to respondents in </w:t>
      </w:r>
      <w:r w:rsidR="008B6151">
        <w:t>areas</w:t>
      </w:r>
      <w:r w:rsidR="008B6151" w:rsidRPr="00E87C38">
        <w:t xml:space="preserve"> </w:t>
      </w:r>
      <w:r w:rsidR="008B6151">
        <w:t xml:space="preserve">where </w:t>
      </w:r>
      <w:r w:rsidR="00AA47F5" w:rsidRPr="00E87C38">
        <w:t>CTG</w:t>
      </w:r>
      <w:r w:rsidR="00CB2AF4">
        <w:t xml:space="preserve"> </w:t>
      </w:r>
      <w:r w:rsidR="009D2073">
        <w:t>awardee</w:t>
      </w:r>
      <w:r w:rsidR="008B6151">
        <w:t>s are</w:t>
      </w:r>
      <w:r w:rsidR="009D2073">
        <w:t xml:space="preserve"> </w:t>
      </w:r>
      <w:r w:rsidR="00AA47F5" w:rsidRPr="00E87C38">
        <w:t>conducting media campaign</w:t>
      </w:r>
      <w:r w:rsidR="00175214">
        <w:t>s</w:t>
      </w:r>
      <w:r w:rsidR="00AA47F5" w:rsidRPr="00E87C38">
        <w:t xml:space="preserve"> and in two comparison </w:t>
      </w:r>
      <w:r w:rsidR="004F0E03">
        <w:t>populations</w:t>
      </w:r>
      <w:r w:rsidR="00AA47F5" w:rsidRPr="00E87C38">
        <w:t>.</w:t>
      </w:r>
      <w:r w:rsidR="00596558">
        <w:t xml:space="preserve"> </w:t>
      </w:r>
      <w:r w:rsidR="00AA47F5" w:rsidRPr="00E87C38">
        <w:t xml:space="preserve">Information will be collected about individuals’ awareness and recall of the campaign; reactions to and perceptions of </w:t>
      </w:r>
      <w:r w:rsidR="00EC7F3D">
        <w:t xml:space="preserve">current and potential </w:t>
      </w:r>
      <w:r w:rsidR="00AA47F5" w:rsidRPr="00E87C38">
        <w:t>campaign messages; NPAO-related knowledge, attitudes, and beliefs; support for NPAO-related policy/environmental change; intentions to change NPAO-related behaviors; NPAO-related behaviors; and sociodemographic characteristics.</w:t>
      </w:r>
      <w:r w:rsidR="00596558">
        <w:t xml:space="preserve"> </w:t>
      </w:r>
      <w:r w:rsidRPr="00E87C38">
        <w:t xml:space="preserve">Data from this survey will be used to examine the statistical relationships between exposure </w:t>
      </w:r>
      <w:r w:rsidR="00EC7F3D">
        <w:t xml:space="preserve">and receptivity </w:t>
      </w:r>
      <w:r w:rsidRPr="00E87C38">
        <w:t xml:space="preserve">to the campaign </w:t>
      </w:r>
      <w:r w:rsidR="00EC7F3D">
        <w:t xml:space="preserve">messages </w:t>
      </w:r>
      <w:r w:rsidR="00AA47F5" w:rsidRPr="00E87C38">
        <w:t xml:space="preserve">and </w:t>
      </w:r>
      <w:r w:rsidRPr="00E87C38">
        <w:t>outcome variables of interest</w:t>
      </w:r>
      <w:r w:rsidRPr="00971D8D">
        <w:t xml:space="preserve">. </w:t>
      </w:r>
    </w:p>
    <w:p w:rsidR="006839C9" w:rsidRPr="004571DB" w:rsidRDefault="006839C9" w:rsidP="001A5E75"/>
    <w:p w:rsidR="00260411" w:rsidRDefault="00260411" w:rsidP="001A5E75">
      <w:pPr>
        <w:sectPr w:rsidR="00260411" w:rsidSect="00260411">
          <w:headerReference w:type="default" r:id="rId9"/>
          <w:footerReference w:type="even" r:id="rId10"/>
          <w:footerReference w:type="default" r:id="rId11"/>
          <w:headerReference w:type="first" r:id="rId12"/>
          <w:type w:val="continuous"/>
          <w:pgSz w:w="12240" w:h="15840"/>
          <w:pgMar w:top="1440" w:right="1440" w:bottom="1440" w:left="1440" w:header="720" w:footer="720" w:gutter="0"/>
          <w:pgNumType w:fmt="lowerRoman" w:start="1"/>
          <w:cols w:space="720"/>
          <w:titlePg/>
          <w:rtlGutter/>
          <w:docGrid w:linePitch="360"/>
        </w:sectPr>
      </w:pPr>
    </w:p>
    <w:p w:rsidR="0028273E" w:rsidRPr="004571DB" w:rsidRDefault="0028273E" w:rsidP="001A5E75"/>
    <w:p w:rsidR="006839C9" w:rsidRDefault="006839C9" w:rsidP="00971D8D">
      <w:pPr>
        <w:pStyle w:val="Heading1"/>
      </w:pPr>
      <w:bookmarkStart w:id="6" w:name="_Toc321734048"/>
      <w:bookmarkStart w:id="7" w:name="_Toc332782715"/>
      <w:bookmarkStart w:id="8" w:name="_Toc332782763"/>
      <w:bookmarkStart w:id="9" w:name="_Toc332783138"/>
      <w:r w:rsidRPr="009A173B">
        <w:t>A</w:t>
      </w:r>
      <w:r w:rsidR="00971D8D">
        <w:t>.</w:t>
      </w:r>
      <w:r w:rsidRPr="009A173B">
        <w:tab/>
        <w:t>Justification</w:t>
      </w:r>
      <w:bookmarkEnd w:id="6"/>
      <w:bookmarkEnd w:id="7"/>
      <w:bookmarkEnd w:id="8"/>
      <w:bookmarkEnd w:id="9"/>
    </w:p>
    <w:p w:rsidR="006839C9" w:rsidRPr="0028273E" w:rsidRDefault="006839C9" w:rsidP="00971D8D">
      <w:pPr>
        <w:pStyle w:val="Heading2"/>
      </w:pPr>
      <w:bookmarkStart w:id="10" w:name="_Toc321734049"/>
      <w:bookmarkStart w:id="11" w:name="_Toc332782716"/>
      <w:bookmarkStart w:id="12" w:name="_Toc332782764"/>
      <w:bookmarkStart w:id="13" w:name="_Toc332783139"/>
      <w:r w:rsidRPr="0028273E">
        <w:t>A.1</w:t>
      </w:r>
      <w:r w:rsidRPr="0028273E">
        <w:tab/>
        <w:t>Circumstances Making the Collection of Information Necessary</w:t>
      </w:r>
      <w:bookmarkEnd w:id="10"/>
      <w:bookmarkEnd w:id="11"/>
      <w:bookmarkEnd w:id="12"/>
      <w:bookmarkEnd w:id="13"/>
    </w:p>
    <w:p w:rsidR="003D4B15" w:rsidRDefault="003D4B15" w:rsidP="00971D8D">
      <w:pPr>
        <w:pStyle w:val="BodyText"/>
      </w:pPr>
      <w:r w:rsidRPr="00E87C38">
        <w:t>This is a new Information Collection Request (ICR).</w:t>
      </w:r>
      <w:r w:rsidR="00596558">
        <w:t xml:space="preserve"> </w:t>
      </w:r>
      <w:r w:rsidR="00B923B0">
        <w:t>Office of Management and Budget (</w:t>
      </w:r>
      <w:r w:rsidR="008B5827" w:rsidRPr="00E87C38">
        <w:t>OMB</w:t>
      </w:r>
      <w:r w:rsidR="00B923B0">
        <w:t>)</w:t>
      </w:r>
      <w:r w:rsidR="008B5827" w:rsidRPr="00E87C38">
        <w:t xml:space="preserve"> approval is being requested for </w:t>
      </w:r>
      <w:r w:rsidR="007E6607">
        <w:t>one</w:t>
      </w:r>
      <w:r w:rsidR="00C630B5" w:rsidRPr="00E87C38">
        <w:t xml:space="preserve"> </w:t>
      </w:r>
      <w:r w:rsidR="008B5827" w:rsidRPr="00E87C38">
        <w:t xml:space="preserve">year of data collection through a </w:t>
      </w:r>
      <w:r w:rsidR="00FE3052">
        <w:t>W</w:t>
      </w:r>
      <w:r w:rsidR="008B5827" w:rsidRPr="00E87C38">
        <w:t xml:space="preserve">eb-based survey of adults in the </w:t>
      </w:r>
      <w:r w:rsidR="00C630B5">
        <w:t>United States</w:t>
      </w:r>
      <w:r w:rsidR="008B5827" w:rsidRPr="00E87C38">
        <w:t xml:space="preserve"> to evaluate the impact of </w:t>
      </w:r>
      <w:r w:rsidR="00B923B0">
        <w:t>nutrition, physical activity, and obesity (</w:t>
      </w:r>
      <w:r w:rsidR="008B5827" w:rsidRPr="00E87C38">
        <w:t>NPAO</w:t>
      </w:r>
      <w:r w:rsidR="00B923B0">
        <w:t>)</w:t>
      </w:r>
      <w:r w:rsidR="008B5827" w:rsidRPr="00E87C38">
        <w:t xml:space="preserve">-related media campaigns </w:t>
      </w:r>
      <w:r w:rsidR="00175214" w:rsidRPr="00356485">
        <w:t xml:space="preserve">conducted </w:t>
      </w:r>
      <w:r w:rsidR="008B5827" w:rsidRPr="00356485">
        <w:t xml:space="preserve">as part of </w:t>
      </w:r>
      <w:r w:rsidR="0001632D">
        <w:t>the Centers for Disease Control and Prevention’s (</w:t>
      </w:r>
      <w:r w:rsidR="008B5827" w:rsidRPr="00356485">
        <w:t>CDC’s</w:t>
      </w:r>
      <w:r w:rsidR="0001632D">
        <w:t>)</w:t>
      </w:r>
      <w:r w:rsidR="008B5827" w:rsidRPr="00356485">
        <w:t xml:space="preserve"> </w:t>
      </w:r>
      <w:r w:rsidR="00B923B0" w:rsidRPr="00356485">
        <w:t>Community Transformation Grant</w:t>
      </w:r>
      <w:r w:rsidR="0077102B">
        <w:t>s</w:t>
      </w:r>
      <w:r w:rsidR="00B923B0" w:rsidRPr="00356485">
        <w:t xml:space="preserve"> (</w:t>
      </w:r>
      <w:r w:rsidR="00C630B5" w:rsidRPr="00356485">
        <w:t>CTG</w:t>
      </w:r>
      <w:r w:rsidR="00B923B0" w:rsidRPr="00356485">
        <w:t>)</w:t>
      </w:r>
      <w:r w:rsidR="004A2E74">
        <w:t xml:space="preserve"> Program</w:t>
      </w:r>
      <w:r w:rsidR="00175214" w:rsidRPr="00356485">
        <w:t>.</w:t>
      </w:r>
      <w:r w:rsidR="00B3578B">
        <w:t xml:space="preserve"> </w:t>
      </w:r>
      <w:r w:rsidR="00C32647" w:rsidRPr="00C32647">
        <w:t>CDC’s authorization to conduct this survey is provided by the Public Heal</w:t>
      </w:r>
      <w:r w:rsidR="00C32647">
        <w:t>th Service Act (Attachment 1a).</w:t>
      </w:r>
      <w:r w:rsidR="00876653">
        <w:t xml:space="preserve"> </w:t>
      </w:r>
    </w:p>
    <w:p w:rsidR="00D83D1D" w:rsidRPr="001A5E75" w:rsidRDefault="003D4B15" w:rsidP="00E51735">
      <w:pPr>
        <w:pStyle w:val="BodyText"/>
        <w:rPr>
          <w:iCs/>
        </w:rPr>
      </w:pPr>
      <w:bookmarkStart w:id="14" w:name="OLE_LINK4"/>
      <w:r w:rsidRPr="00E87C38">
        <w:t>In 2009, Title VIII of the American Recovery and Reinvestment Act (ARRA), Public Law 111–5 (</w:t>
      </w:r>
      <w:r w:rsidRPr="00D857C5">
        <w:rPr>
          <w:bCs/>
          <w:iCs/>
        </w:rPr>
        <w:t>Attachment 1b</w:t>
      </w:r>
      <w:r w:rsidRPr="00E87C38">
        <w:t>), provided $650 million to carry out evidence-based prev</w:t>
      </w:r>
      <w:r w:rsidR="00D83D1D">
        <w:t>ention and wellness strategies.</w:t>
      </w:r>
      <w:r w:rsidR="009A173B">
        <w:t xml:space="preserve"> </w:t>
      </w:r>
      <w:r w:rsidRPr="00E87C38">
        <w:t>The Department of Health and Human Services (HHS) developed an initiative in response to A</w:t>
      </w:r>
      <w:r w:rsidR="007D5703">
        <w:t>RRA, Communities Putting Prevention to Work (CPPW</w:t>
      </w:r>
      <w:r w:rsidR="00E6483E">
        <w:t>) that</w:t>
      </w:r>
      <w:r w:rsidRPr="00E87C38">
        <w:rPr>
          <w:iCs/>
        </w:rPr>
        <w:t xml:space="preserve"> is helping to </w:t>
      </w:r>
      <w:r w:rsidRPr="00E87C38">
        <w:t xml:space="preserve">reorient the U.S. health care system </w:t>
      </w:r>
      <w:r w:rsidRPr="00E87C38">
        <w:rPr>
          <w:iCs/>
        </w:rPr>
        <w:t>from primarily treating disease to promoting population health and well-being.</w:t>
      </w:r>
      <w:r w:rsidRPr="00E87C38">
        <w:t xml:space="preserve"> </w:t>
      </w:r>
      <w:r w:rsidR="007D5703">
        <w:t>In 2010, the Affordable Care Act (ACA, Attachment 1c) continued this reorientation by creating</w:t>
      </w:r>
      <w:r w:rsidRPr="00E87C38">
        <w:rPr>
          <w:iCs/>
        </w:rPr>
        <w:t xml:space="preserve"> a new Prevention and Public Health Fund </w:t>
      </w:r>
      <w:r w:rsidR="00492375">
        <w:rPr>
          <w:iCs/>
        </w:rPr>
        <w:t>(</w:t>
      </w:r>
      <w:r w:rsidR="00492375" w:rsidRPr="00D857C5">
        <w:rPr>
          <w:iCs/>
        </w:rPr>
        <w:t>Attachment 1d</w:t>
      </w:r>
      <w:r w:rsidR="00492375">
        <w:rPr>
          <w:iCs/>
        </w:rPr>
        <w:t xml:space="preserve">) </w:t>
      </w:r>
      <w:r w:rsidRPr="00E87C38">
        <w:rPr>
          <w:iCs/>
        </w:rPr>
        <w:t xml:space="preserve">designed to expand and sustain the necessary infrastructure </w:t>
      </w:r>
      <w:r w:rsidRPr="001A5E75">
        <w:rPr>
          <w:iCs/>
        </w:rPr>
        <w:t xml:space="preserve">to prevent </w:t>
      </w:r>
      <w:r w:rsidR="00B81D81" w:rsidRPr="001A5E75">
        <w:rPr>
          <w:iCs/>
        </w:rPr>
        <w:t xml:space="preserve">chronic </w:t>
      </w:r>
      <w:r w:rsidRPr="001A5E75">
        <w:rPr>
          <w:iCs/>
        </w:rPr>
        <w:t>disease, detect it early, and manage conditions before they become sev</w:t>
      </w:r>
      <w:r w:rsidR="001A5E75" w:rsidRPr="001A5E75">
        <w:rPr>
          <w:iCs/>
        </w:rPr>
        <w:t>ere.</w:t>
      </w:r>
      <w:r w:rsidR="009A173B">
        <w:rPr>
          <w:iCs/>
        </w:rPr>
        <w:t xml:space="preserve"> </w:t>
      </w:r>
      <w:r w:rsidR="007D5703">
        <w:rPr>
          <w:iCs/>
        </w:rPr>
        <w:t xml:space="preserve">This funding was used to develop the Community Transformation Grants (CTG) Program requiring awardees to support evidence-based interventions to reduce the prevalence and burden of chronic diseases. This ICR seeks approval to conduct an evaluation of education efforts </w:t>
      </w:r>
      <w:r w:rsidR="00134BA8">
        <w:rPr>
          <w:iCs/>
        </w:rPr>
        <w:t xml:space="preserve">to promote healthy eating and increase physical activity </w:t>
      </w:r>
      <w:r w:rsidR="007D5703">
        <w:rPr>
          <w:iCs/>
        </w:rPr>
        <w:t xml:space="preserve">conducted via media channels by </w:t>
      </w:r>
      <w:r w:rsidR="00134BA8">
        <w:rPr>
          <w:iCs/>
        </w:rPr>
        <w:t xml:space="preserve">CTG </w:t>
      </w:r>
      <w:r w:rsidR="007D5703">
        <w:rPr>
          <w:iCs/>
        </w:rPr>
        <w:t>awardees.</w:t>
      </w:r>
    </w:p>
    <w:p w:rsidR="0076775B" w:rsidRPr="00906ABC" w:rsidRDefault="0076775B" w:rsidP="007D5703">
      <w:pPr>
        <w:pStyle w:val="BodyText"/>
      </w:pPr>
      <w:r w:rsidRPr="00906ABC">
        <w:t>Through CPPW, CDC provided funding to 5</w:t>
      </w:r>
      <w:r w:rsidR="00581D59">
        <w:t>1</w:t>
      </w:r>
      <w:r w:rsidRPr="00906ABC">
        <w:t xml:space="preserve"> </w:t>
      </w:r>
      <w:r w:rsidR="0012470F">
        <w:t>awardees</w:t>
      </w:r>
      <w:r w:rsidRPr="00906ABC">
        <w:t xml:space="preserve"> nationwide to implement evidence-based prevention and wellness strategies </w:t>
      </w:r>
      <w:r>
        <w:t>to increase physical activity, improve nutrition, and reduce tobacco use and exposure to secondhand smoke.</w:t>
      </w:r>
      <w:r w:rsidR="009A173B">
        <w:t xml:space="preserve"> </w:t>
      </w:r>
      <w:r w:rsidRPr="00906ABC">
        <w:t xml:space="preserve">A key focus of CPPW is to promote community-wide </w:t>
      </w:r>
      <w:r w:rsidR="007D5703">
        <w:t>interventions</w:t>
      </w:r>
      <w:r w:rsidRPr="00906ABC">
        <w:t xml:space="preserve"> across five evidence-based MAPPS strategies</w:t>
      </w:r>
      <w:r w:rsidR="00B923B0">
        <w:t xml:space="preserve"> (</w:t>
      </w:r>
      <w:r w:rsidRPr="00906ABC">
        <w:t xml:space="preserve">Media, Access, </w:t>
      </w:r>
      <w:proofErr w:type="gramStart"/>
      <w:r w:rsidRPr="00906ABC">
        <w:t>Point</w:t>
      </w:r>
      <w:proofErr w:type="gramEnd"/>
      <w:r w:rsidRPr="00906ABC">
        <w:t xml:space="preserve"> of decision information, Price</w:t>
      </w:r>
      <w:r w:rsidR="004A2E74">
        <w:t>,</w:t>
      </w:r>
      <w:r w:rsidRPr="00906ABC">
        <w:t xml:space="preserve"> and Social support services</w:t>
      </w:r>
      <w:r w:rsidR="00B923B0">
        <w:t>)</w:t>
      </w:r>
      <w:r w:rsidRPr="00906ABC">
        <w:t xml:space="preserve">. CPPW </w:t>
      </w:r>
      <w:r w:rsidR="0012470F">
        <w:t xml:space="preserve">awardees </w:t>
      </w:r>
      <w:r w:rsidRPr="00906ABC">
        <w:t>were charged with using multiple MAPPS strategies to implement specific high-priority interventions</w:t>
      </w:r>
      <w:r>
        <w:t>.</w:t>
      </w:r>
      <w:r w:rsidR="009A173B">
        <w:t xml:space="preserve"> </w:t>
      </w:r>
      <w:r w:rsidRPr="00906ABC">
        <w:t>These efforts were designed to improve behaviors related to CPPW targets of physical activity, nutrition, and tobacco use and ultimately to reduce morbidity and mortality associated with multiple chronic disease outcomes.</w:t>
      </w:r>
    </w:p>
    <w:p w:rsidR="00F56750" w:rsidRPr="0056461F" w:rsidRDefault="003D4B15" w:rsidP="00F56750">
      <w:pPr>
        <w:pStyle w:val="BodyText"/>
        <w:rPr>
          <w:rFonts w:eastAsia="Calibri"/>
        </w:rPr>
      </w:pPr>
      <w:r w:rsidRPr="00E87C38">
        <w:rPr>
          <w:iCs/>
        </w:rPr>
        <w:t xml:space="preserve">In fiscal year 2011, funding of </w:t>
      </w:r>
      <w:r w:rsidRPr="00E87C38">
        <w:t xml:space="preserve">$102.6 million was authorized to the CTG </w:t>
      </w:r>
      <w:r w:rsidR="004A2E74">
        <w:t>Program</w:t>
      </w:r>
      <w:r w:rsidR="0001632D">
        <w:t xml:space="preserve"> </w:t>
      </w:r>
      <w:r w:rsidRPr="00E87C38">
        <w:t>(CDC-RFA-DP11-1103PPHF11) to</w:t>
      </w:r>
      <w:r w:rsidR="00E54EC9" w:rsidRPr="00E54EC9">
        <w:t xml:space="preserve"> </w:t>
      </w:r>
      <w:r w:rsidR="00E54EC9" w:rsidRPr="0056461F">
        <w:t xml:space="preserve">fund </w:t>
      </w:r>
      <w:r w:rsidR="00134BA8">
        <w:t xml:space="preserve">61 cooperative agreements with </w:t>
      </w:r>
      <w:r w:rsidR="00E54EC9" w:rsidRPr="0056461F">
        <w:t xml:space="preserve">state and local governmental agencies, tribes and territories, state or local nonprofit organizations, and national networks of community-based organizations. The purpose of this funding </w:t>
      </w:r>
      <w:r w:rsidR="00E54EC9">
        <w:t>i</w:t>
      </w:r>
      <w:r w:rsidR="00E54EC9" w:rsidRPr="0056461F">
        <w:t>s to implement, evaluate, and disseminate evidence-based community preventive health activities to reduce chronic disease rates, prevent the development of secondary conditions, address health disparities, and develop a stronger evidence base for effective prevention programming. Section 4201 of the ACA specifies that an evaluation of CTG is to be conducted “</w:t>
      </w:r>
      <w:r w:rsidR="00E54EC9" w:rsidRPr="0056461F">
        <w:rPr>
          <w:rFonts w:ascii="NewCenturySchlbk-Roman" w:hAnsi="NewCenturySchlbk-Roman" w:cs="NewCenturySchlbk-Roman"/>
        </w:rPr>
        <w:t>to measure changes in the prevalence of chronic disease risk factors among community members participating in preventive health activities”</w:t>
      </w:r>
      <w:r w:rsidR="00F56750">
        <w:rPr>
          <w:rFonts w:ascii="NewCenturySchlbk-Roman" w:hAnsi="NewCenturySchlbk-Roman" w:cs="NewCenturySchlbk-Roman"/>
        </w:rPr>
        <w:t xml:space="preserve"> (Attachment </w:t>
      </w:r>
      <w:r w:rsidR="00C32647">
        <w:rPr>
          <w:rFonts w:ascii="NewCenturySchlbk-Roman" w:hAnsi="NewCenturySchlbk-Roman" w:cs="NewCenturySchlbk-Roman"/>
        </w:rPr>
        <w:t>1e</w:t>
      </w:r>
      <w:r w:rsidR="00F56750">
        <w:rPr>
          <w:rFonts w:ascii="NewCenturySchlbk-Roman" w:hAnsi="NewCenturySchlbk-Roman" w:cs="NewCenturySchlbk-Roman"/>
        </w:rPr>
        <w:t>).</w:t>
      </w:r>
      <w:r w:rsidR="00E54EC9" w:rsidRPr="0056461F">
        <w:rPr>
          <w:rFonts w:ascii="NewCenturySchlbk-Roman" w:hAnsi="NewCenturySchlbk-Roman" w:cs="NewCenturySchlbk-Roman"/>
        </w:rPr>
        <w:t xml:space="preserve"> </w:t>
      </w:r>
      <w:r w:rsidR="00F56750" w:rsidRPr="0056461F">
        <w:rPr>
          <w:rFonts w:eastAsia="Calibri"/>
        </w:rPr>
        <w:t xml:space="preserve">The ACA </w:t>
      </w:r>
      <w:r w:rsidR="00F56750" w:rsidRPr="0056461F">
        <w:t>further</w:t>
      </w:r>
      <w:r w:rsidR="00F56750" w:rsidRPr="0056461F">
        <w:rPr>
          <w:rFonts w:eastAsia="Calibri"/>
        </w:rPr>
        <w:t xml:space="preserve"> specifies that measures for the following core outcomes must be collected and assessed over time: </w:t>
      </w:r>
    </w:p>
    <w:p w:rsidR="00F56750" w:rsidRPr="0056461F" w:rsidRDefault="00F56750" w:rsidP="00F56750">
      <w:pPr>
        <w:pStyle w:val="ListParagraph"/>
        <w:numPr>
          <w:ilvl w:val="0"/>
          <w:numId w:val="34"/>
        </w:numPr>
        <w:ind w:left="1440"/>
        <w:rPr>
          <w:szCs w:val="24"/>
        </w:rPr>
      </w:pPr>
      <w:r w:rsidRPr="0056461F">
        <w:rPr>
          <w:rFonts w:eastAsia="Calibri"/>
          <w:bCs/>
          <w:szCs w:val="24"/>
        </w:rPr>
        <w:lastRenderedPageBreak/>
        <w:t>c</w:t>
      </w:r>
      <w:r w:rsidRPr="0056461F">
        <w:rPr>
          <w:szCs w:val="24"/>
        </w:rPr>
        <w:t xml:space="preserve">hanges in weight; </w:t>
      </w:r>
    </w:p>
    <w:p w:rsidR="00F56750" w:rsidRPr="0056461F" w:rsidRDefault="00F56750" w:rsidP="00F56750">
      <w:pPr>
        <w:pStyle w:val="ListParagraph"/>
        <w:numPr>
          <w:ilvl w:val="0"/>
          <w:numId w:val="34"/>
        </w:numPr>
        <w:ind w:left="1440"/>
        <w:rPr>
          <w:szCs w:val="24"/>
        </w:rPr>
      </w:pPr>
      <w:r w:rsidRPr="0056461F">
        <w:rPr>
          <w:szCs w:val="24"/>
        </w:rPr>
        <w:t xml:space="preserve">changes in proper nutrition; </w:t>
      </w:r>
    </w:p>
    <w:p w:rsidR="00F56750" w:rsidRPr="0056461F" w:rsidRDefault="00F56750" w:rsidP="00F56750">
      <w:pPr>
        <w:pStyle w:val="ListParagraph"/>
        <w:numPr>
          <w:ilvl w:val="0"/>
          <w:numId w:val="34"/>
        </w:numPr>
        <w:ind w:left="1440"/>
        <w:rPr>
          <w:szCs w:val="24"/>
        </w:rPr>
      </w:pPr>
      <w:r w:rsidRPr="0056461F">
        <w:rPr>
          <w:szCs w:val="24"/>
        </w:rPr>
        <w:t>changes in physical activity;</w:t>
      </w:r>
    </w:p>
    <w:p w:rsidR="00F56750" w:rsidRPr="0056461F" w:rsidRDefault="00F56750" w:rsidP="00F56750">
      <w:pPr>
        <w:pStyle w:val="ListParagraph"/>
        <w:numPr>
          <w:ilvl w:val="0"/>
          <w:numId w:val="34"/>
        </w:numPr>
        <w:ind w:left="1440"/>
        <w:rPr>
          <w:szCs w:val="24"/>
        </w:rPr>
      </w:pPr>
      <w:r w:rsidRPr="0056461F">
        <w:rPr>
          <w:szCs w:val="24"/>
        </w:rPr>
        <w:t xml:space="preserve">changes in tobacco use prevalence; </w:t>
      </w:r>
    </w:p>
    <w:p w:rsidR="00F56750" w:rsidRDefault="00F56750" w:rsidP="00F56750">
      <w:pPr>
        <w:pStyle w:val="ListParagraph"/>
        <w:numPr>
          <w:ilvl w:val="0"/>
          <w:numId w:val="34"/>
        </w:numPr>
        <w:ind w:left="1440"/>
        <w:rPr>
          <w:szCs w:val="24"/>
        </w:rPr>
      </w:pPr>
      <w:r w:rsidRPr="0056461F">
        <w:rPr>
          <w:szCs w:val="24"/>
        </w:rPr>
        <w:t>changes in emotional well-being and overall mental health; and</w:t>
      </w:r>
    </w:p>
    <w:p w:rsidR="00C32647" w:rsidRDefault="00C32647" w:rsidP="00F56750">
      <w:pPr>
        <w:pStyle w:val="ListParagraph"/>
        <w:numPr>
          <w:ilvl w:val="0"/>
          <w:numId w:val="34"/>
        </w:numPr>
        <w:ind w:left="1440"/>
        <w:rPr>
          <w:szCs w:val="24"/>
        </w:rPr>
      </w:pPr>
      <w:r>
        <w:rPr>
          <w:szCs w:val="24"/>
        </w:rPr>
        <w:t>other factors using community-specific data from the Behavioral Risk Factor Surveillance Survey; and</w:t>
      </w:r>
    </w:p>
    <w:p w:rsidR="00F56750" w:rsidRPr="00C32647" w:rsidRDefault="00F56750" w:rsidP="00F56750">
      <w:pPr>
        <w:pStyle w:val="ListParagraph"/>
        <w:numPr>
          <w:ilvl w:val="0"/>
          <w:numId w:val="34"/>
        </w:numPr>
        <w:ind w:left="1440"/>
        <w:rPr>
          <w:szCs w:val="24"/>
        </w:rPr>
      </w:pPr>
      <w:proofErr w:type="gramStart"/>
      <w:r w:rsidRPr="0056461F">
        <w:rPr>
          <w:szCs w:val="24"/>
        </w:rPr>
        <w:t>other</w:t>
      </w:r>
      <w:proofErr w:type="gramEnd"/>
      <w:r w:rsidRPr="0056461F">
        <w:rPr>
          <w:szCs w:val="24"/>
        </w:rPr>
        <w:t xml:space="preserve"> factors as determined by the Secretary.</w:t>
      </w:r>
    </w:p>
    <w:p w:rsidR="00C32647" w:rsidRDefault="00C32647" w:rsidP="0078669C">
      <w:pPr>
        <w:pStyle w:val="BodyText"/>
        <w:spacing w:after="0"/>
        <w:rPr>
          <w:rFonts w:ascii="NewCenturySchlbk-Roman" w:hAnsi="NewCenturySchlbk-Roman" w:cs="NewCenturySchlbk-Roman"/>
        </w:rPr>
      </w:pPr>
    </w:p>
    <w:p w:rsidR="00134BA8" w:rsidRDefault="00134BA8" w:rsidP="00F56750">
      <w:pPr>
        <w:pStyle w:val="BodyText"/>
      </w:pPr>
      <w:r w:rsidRPr="00E87C38">
        <w:t>Twenty-six awardees are focused on capacity</w:t>
      </w:r>
      <w:r>
        <w:t>-</w:t>
      </w:r>
      <w:r w:rsidRPr="00E87C38">
        <w:t>building efforts, and 35 awardees are working to implement sustainable, broad, e</w:t>
      </w:r>
      <w:r>
        <w:t>vidence- and practice-based</w:t>
      </w:r>
      <w:r w:rsidRPr="00E87C38">
        <w:t xml:space="preserve"> changes to improve public health</w:t>
      </w:r>
      <w:r>
        <w:t xml:space="preserve"> </w:t>
      </w:r>
      <w:r w:rsidRPr="00F0200C">
        <w:t>(see Attachme</w:t>
      </w:r>
      <w:r>
        <w:t>nt 3, CTG Strategic Directions)</w:t>
      </w:r>
      <w:r w:rsidRPr="00E87C38">
        <w:t>.</w:t>
      </w:r>
      <w:r>
        <w:t xml:space="preserve"> A list of CTG awardees is provided in </w:t>
      </w:r>
      <w:r w:rsidRPr="00D857C5">
        <w:t>Attachment 4</w:t>
      </w:r>
      <w:r>
        <w:t>.</w:t>
      </w:r>
    </w:p>
    <w:p w:rsidR="0076775B" w:rsidRDefault="00E54EC9" w:rsidP="00F56750">
      <w:pPr>
        <w:pStyle w:val="BodyText"/>
      </w:pPr>
      <w:r w:rsidRPr="0056461F">
        <w:rPr>
          <w:rFonts w:ascii="NewCenturySchlbk-Roman" w:hAnsi="NewCenturySchlbk-Roman" w:cs="NewCenturySchlbk-Roman"/>
        </w:rPr>
        <w:t xml:space="preserve">In implementing </w:t>
      </w:r>
      <w:r w:rsidR="00185EE9">
        <w:rPr>
          <w:rFonts w:ascii="NewCenturySchlbk-Roman" w:hAnsi="NewCenturySchlbk-Roman" w:cs="NewCenturySchlbk-Roman"/>
        </w:rPr>
        <w:t>ACA mandates</w:t>
      </w:r>
      <w:r w:rsidRPr="0056461F">
        <w:rPr>
          <w:rFonts w:ascii="NewCenturySchlbk-Roman" w:hAnsi="NewCenturySchlbk-Roman" w:cs="NewCenturySchlbk-Roman"/>
        </w:rPr>
        <w:t xml:space="preserve">, CDC designed a multicomponent national evaluation of CTG that includes this </w:t>
      </w:r>
      <w:r w:rsidRPr="00E87C38">
        <w:t xml:space="preserve">Evaluation of Nutrition, Physical Activity, and Obesity-related </w:t>
      </w:r>
      <w:r>
        <w:t xml:space="preserve">Television </w:t>
      </w:r>
      <w:r w:rsidRPr="00E87C38">
        <w:t>Media Campaigns</w:t>
      </w:r>
      <w:r>
        <w:rPr>
          <w:rFonts w:ascii="NewCenturySchlbk-Roman" w:hAnsi="NewCenturySchlbk-Roman" w:cs="NewCenturySchlbk-Roman"/>
        </w:rPr>
        <w:t xml:space="preserve"> </w:t>
      </w:r>
      <w:r w:rsidRPr="0056461F">
        <w:rPr>
          <w:rFonts w:ascii="NewCenturySchlbk-Roman" w:hAnsi="NewCenturySchlbk-Roman" w:cs="NewCenturySchlbk-Roman"/>
        </w:rPr>
        <w:t xml:space="preserve">described within this </w:t>
      </w:r>
      <w:r>
        <w:rPr>
          <w:rFonts w:ascii="NewCenturySchlbk-Roman" w:hAnsi="NewCenturySchlbk-Roman" w:cs="NewCenturySchlbk-Roman"/>
        </w:rPr>
        <w:t>ICR</w:t>
      </w:r>
      <w:r w:rsidRPr="0056461F">
        <w:rPr>
          <w:rFonts w:ascii="NewCenturySchlbk-Roman" w:hAnsi="NewCenturySchlbk-Roman" w:cs="NewCenturySchlbk-Roman"/>
        </w:rPr>
        <w:t>.</w:t>
      </w:r>
      <w:r>
        <w:rPr>
          <w:rFonts w:ascii="NewCenturySchlbk-Roman" w:hAnsi="NewCenturySchlbk-Roman" w:cs="NewCenturySchlbk-Roman"/>
        </w:rPr>
        <w:t xml:space="preserve"> </w:t>
      </w:r>
      <w:r w:rsidR="00F56750">
        <w:t xml:space="preserve"> </w:t>
      </w:r>
    </w:p>
    <w:p w:rsidR="0076775B" w:rsidRDefault="002905D3" w:rsidP="00971D8D">
      <w:pPr>
        <w:pStyle w:val="Heading4"/>
      </w:pPr>
      <w:r>
        <w:t>Rationale and Evaluation Questions</w:t>
      </w:r>
    </w:p>
    <w:p w:rsidR="0075108A" w:rsidRDefault="000D5C3C" w:rsidP="00971D8D">
      <w:pPr>
        <w:pStyle w:val="BodyText"/>
      </w:pPr>
      <w:r>
        <w:t xml:space="preserve">Three </w:t>
      </w:r>
      <w:r w:rsidR="00231323" w:rsidRPr="00E87C38">
        <w:t>CTG</w:t>
      </w:r>
      <w:r w:rsidR="0076775B">
        <w:t xml:space="preserve"> </w:t>
      </w:r>
      <w:r w:rsidR="00142C1F" w:rsidRPr="00E87C38">
        <w:t>awardees</w:t>
      </w:r>
      <w:r w:rsidR="00142C1F" w:rsidRPr="00E87C38" w:rsidDel="00142C1F">
        <w:t xml:space="preserve"> </w:t>
      </w:r>
      <w:r w:rsidR="000A3474">
        <w:t xml:space="preserve">have implemented or </w:t>
      </w:r>
      <w:r w:rsidR="00142C1F" w:rsidRPr="00E87C38">
        <w:t xml:space="preserve">are planning to </w:t>
      </w:r>
      <w:r w:rsidR="00472E65" w:rsidRPr="00E87C38">
        <w:t xml:space="preserve">implement </w:t>
      </w:r>
      <w:r w:rsidR="001F6700" w:rsidRPr="00E87C38">
        <w:t xml:space="preserve">community-driven, </w:t>
      </w:r>
      <w:r w:rsidR="00956C21" w:rsidRPr="00E87C38">
        <w:t>mass-media campaign</w:t>
      </w:r>
      <w:r w:rsidR="00142C1F" w:rsidRPr="00E87C38">
        <w:t>s</w:t>
      </w:r>
      <w:r w:rsidR="00956C21" w:rsidRPr="00E87C38">
        <w:t xml:space="preserve"> </w:t>
      </w:r>
      <w:r w:rsidR="00142C1F" w:rsidRPr="00E87C38">
        <w:t xml:space="preserve">addressing </w:t>
      </w:r>
      <w:r w:rsidR="0086043B" w:rsidRPr="00E87C38">
        <w:t>NPAO</w:t>
      </w:r>
      <w:r w:rsidR="00956C21" w:rsidRPr="00E87C38">
        <w:t>.</w:t>
      </w:r>
      <w:r w:rsidR="00596558">
        <w:t xml:space="preserve"> </w:t>
      </w:r>
      <w:r>
        <w:t>T</w:t>
      </w:r>
      <w:r w:rsidR="005A1162" w:rsidRPr="00C95627">
        <w:t xml:space="preserve">hese campaigns </w:t>
      </w:r>
      <w:r w:rsidR="005A1162" w:rsidRPr="00E87C38">
        <w:t xml:space="preserve">include messaging about the importance of </w:t>
      </w:r>
      <w:r w:rsidR="00370B87" w:rsidRPr="00E87C38">
        <w:t xml:space="preserve">regular physical activity, </w:t>
      </w:r>
      <w:r w:rsidR="005A1162" w:rsidRPr="00E87C38">
        <w:t>f</w:t>
      </w:r>
      <w:r w:rsidR="00370B87" w:rsidRPr="00E87C38">
        <w:t>ruit and vegetable consumption, and avoidance of sugar-sweetened beverages</w:t>
      </w:r>
      <w:r w:rsidR="00D91BE2" w:rsidRPr="00E87C38">
        <w:t xml:space="preserve"> in adults and children</w:t>
      </w:r>
      <w:r w:rsidR="00370B87" w:rsidRPr="00E87C38">
        <w:t xml:space="preserve">, </w:t>
      </w:r>
      <w:r w:rsidR="002D79DF">
        <w:t>a</w:t>
      </w:r>
      <w:r>
        <w:t xml:space="preserve">nd focus on </w:t>
      </w:r>
      <w:r w:rsidR="00370B87" w:rsidRPr="00E87C38">
        <w:t>raising awareness about obesity prevalence and associated health outcomes.</w:t>
      </w:r>
      <w:r w:rsidR="00596558">
        <w:t xml:space="preserve"> </w:t>
      </w:r>
      <w:r w:rsidR="008E4CDB" w:rsidRPr="00E87C38">
        <w:t xml:space="preserve">Primary objectives </w:t>
      </w:r>
      <w:r w:rsidR="00370B87" w:rsidRPr="00E87C38">
        <w:t xml:space="preserve">of the campaigns </w:t>
      </w:r>
      <w:r w:rsidR="008E4CDB" w:rsidRPr="00E87C38">
        <w:t>are</w:t>
      </w:r>
      <w:r w:rsidR="00370B87" w:rsidRPr="00E87C38">
        <w:t xml:space="preserve"> to increase public awareness of these messages</w:t>
      </w:r>
      <w:r w:rsidR="008E4CDB" w:rsidRPr="00E87C38">
        <w:t>, shift attitudes</w:t>
      </w:r>
      <w:r w:rsidR="0086043B" w:rsidRPr="00E87C38">
        <w:t xml:space="preserve"> and beliefs</w:t>
      </w:r>
      <w:r w:rsidR="008E4CDB" w:rsidRPr="00E87C38">
        <w:t xml:space="preserve"> toward healthy behavior change, and increase public support for </w:t>
      </w:r>
      <w:r w:rsidR="00DB6387" w:rsidRPr="00E87C38">
        <w:t>proven policies and programs</w:t>
      </w:r>
      <w:r w:rsidR="0086043B" w:rsidRPr="00E87C38">
        <w:t xml:space="preserve"> to prevent obesity</w:t>
      </w:r>
      <w:r w:rsidR="008E4CDB" w:rsidRPr="00E87C38">
        <w:t>.</w:t>
      </w:r>
      <w:r w:rsidR="00596558">
        <w:t xml:space="preserve"> </w:t>
      </w:r>
      <w:r w:rsidR="00231323" w:rsidRPr="00E87C38">
        <w:t>The campaigns’ primary audience</w:t>
      </w:r>
      <w:r w:rsidR="00FA782A">
        <w:t>s</w:t>
      </w:r>
      <w:r w:rsidR="00231323" w:rsidRPr="00E87C38">
        <w:t xml:space="preserve"> </w:t>
      </w:r>
      <w:r w:rsidR="00440302">
        <w:t>are</w:t>
      </w:r>
      <w:r w:rsidR="00231323" w:rsidRPr="00E87C38">
        <w:t xml:space="preserve"> adu</w:t>
      </w:r>
      <w:r w:rsidR="0080136C" w:rsidRPr="00E87C38">
        <w:t>lts</w:t>
      </w:r>
      <w:r w:rsidR="0075108A">
        <w:t xml:space="preserve"> aged 18 and older</w:t>
      </w:r>
      <w:r>
        <w:t>.</w:t>
      </w:r>
    </w:p>
    <w:p w:rsidR="001342A4" w:rsidRPr="00E87C38" w:rsidRDefault="001342A4" w:rsidP="00975957">
      <w:pPr>
        <w:pStyle w:val="BodyText"/>
      </w:pPr>
      <w:r w:rsidRPr="00E87C38">
        <w:t>Although there is growing evidence of the impact of tobacco control media campaigns on tobacco us</w:t>
      </w:r>
      <w:r w:rsidR="00FA782A">
        <w:t>e,</w:t>
      </w:r>
      <w:r w:rsidRPr="00E87C38">
        <w:t xml:space="preserve"> less is known about the effectiveness of media campaigns targeting </w:t>
      </w:r>
      <w:r w:rsidR="004D1DFB" w:rsidRPr="00E87C38">
        <w:t>NPAO</w:t>
      </w:r>
      <w:r w:rsidR="00440302">
        <w:t>-related outcomes</w:t>
      </w:r>
      <w:r w:rsidRPr="00E87C38">
        <w:t>.</w:t>
      </w:r>
      <w:r w:rsidR="00832DC6" w:rsidRPr="00832DC6">
        <w:rPr>
          <w:vertAlign w:val="superscript"/>
        </w:rPr>
        <w:t>1</w:t>
      </w:r>
      <w:r w:rsidRPr="00E87C38">
        <w:t xml:space="preserve"> </w:t>
      </w:r>
      <w:r w:rsidR="008F3851" w:rsidRPr="00E87C38">
        <w:t xml:space="preserve">CTG </w:t>
      </w:r>
      <w:r w:rsidR="00C40B85">
        <w:t xml:space="preserve">offers a unique opportunity to begin to </w:t>
      </w:r>
      <w:r w:rsidRPr="00E87C38">
        <w:t>establish an evidence base for obesity prevention communication efforts operating within the broader context of community-level policy, systems, and environmental change efforts.</w:t>
      </w:r>
      <w:r w:rsidR="00596558">
        <w:t xml:space="preserve"> </w:t>
      </w:r>
      <w:r w:rsidR="00231323" w:rsidRPr="00E87C38">
        <w:t>The goal of the propose</w:t>
      </w:r>
      <w:r w:rsidRPr="00E87C38">
        <w:t xml:space="preserve">d information collection is to evaluate the </w:t>
      </w:r>
      <w:r w:rsidR="00F05D5D">
        <w:t xml:space="preserve">extent </w:t>
      </w:r>
      <w:r w:rsidR="00440302">
        <w:t>to which NPAO-related media campaigns</w:t>
      </w:r>
      <w:r w:rsidR="00440302" w:rsidRPr="00E87C38">
        <w:t xml:space="preserve"> </w:t>
      </w:r>
      <w:r w:rsidR="00440302">
        <w:t>impact</w:t>
      </w:r>
      <w:r w:rsidRPr="00E87C38">
        <w:t xml:space="preserve"> specific cognitive and behavioral outcomes that are targeted by the campaigns</w:t>
      </w:r>
      <w:bookmarkEnd w:id="14"/>
      <w:r w:rsidRPr="00E87C38">
        <w:t>.</w:t>
      </w:r>
      <w:r w:rsidR="00596558">
        <w:t xml:space="preserve"> </w:t>
      </w:r>
      <w:r w:rsidR="00C40B85" w:rsidRPr="00E87C38">
        <w:t xml:space="preserve">Data from this information collection will be used to </w:t>
      </w:r>
      <w:r w:rsidR="00C40B85">
        <w:t>assess potential</w:t>
      </w:r>
      <w:r w:rsidR="00C40B85" w:rsidRPr="00E87C38">
        <w:t xml:space="preserve"> associations between </w:t>
      </w:r>
      <w:r w:rsidR="00C40B85">
        <w:t xml:space="preserve">the extent of </w:t>
      </w:r>
      <w:r w:rsidR="00C40B85" w:rsidRPr="00E87C38">
        <w:t xml:space="preserve">exposure to </w:t>
      </w:r>
      <w:r w:rsidR="00C40B85">
        <w:t xml:space="preserve">media </w:t>
      </w:r>
      <w:r w:rsidR="00C40B85" w:rsidRPr="00E87C38">
        <w:t>campaign</w:t>
      </w:r>
      <w:r w:rsidR="00C40B85">
        <w:t>s</w:t>
      </w:r>
      <w:r w:rsidR="00C40B85" w:rsidRPr="00E87C38">
        <w:t xml:space="preserve"> and specific outcomes of interest</w:t>
      </w:r>
      <w:r w:rsidR="00C40B85">
        <w:t xml:space="preserve">. </w:t>
      </w:r>
      <w:r w:rsidR="00BD0576">
        <w:t>Below</w:t>
      </w:r>
      <w:r w:rsidR="00440302">
        <w:t xml:space="preserve"> are</w:t>
      </w:r>
      <w:r w:rsidR="00BD0576">
        <w:t xml:space="preserve"> the three </w:t>
      </w:r>
      <w:r w:rsidR="00B207F8">
        <w:t>e</w:t>
      </w:r>
      <w:r w:rsidR="000D5C3C">
        <w:t xml:space="preserve">valuation </w:t>
      </w:r>
      <w:r w:rsidR="00B207F8">
        <w:t>q</w:t>
      </w:r>
      <w:r w:rsidR="000D5C3C">
        <w:t xml:space="preserve">uestions </w:t>
      </w:r>
      <w:r w:rsidR="00B207F8">
        <w:t>that guid</w:t>
      </w:r>
      <w:r w:rsidR="00E6483E">
        <w:t>e</w:t>
      </w:r>
      <w:r w:rsidR="00B207F8">
        <w:t xml:space="preserve"> </w:t>
      </w:r>
      <w:r w:rsidR="00BD0576">
        <w:t>this study</w:t>
      </w:r>
      <w:r w:rsidR="000D5C3C">
        <w:t>.</w:t>
      </w:r>
      <w:r w:rsidR="00BD0576">
        <w:t xml:space="preserve"> </w:t>
      </w:r>
    </w:p>
    <w:p w:rsidR="00823068" w:rsidRDefault="00440302" w:rsidP="00F56750">
      <w:pPr>
        <w:pStyle w:val="bullets-blank"/>
        <w:numPr>
          <w:ilvl w:val="1"/>
          <w:numId w:val="33"/>
        </w:numPr>
        <w:tabs>
          <w:tab w:val="clear" w:pos="1080"/>
        </w:tabs>
        <w:ind w:left="1080"/>
      </w:pPr>
      <w:r>
        <w:t xml:space="preserve">To what extent do </w:t>
      </w:r>
      <w:r w:rsidR="0061062C">
        <w:t>levels of</w:t>
      </w:r>
      <w:r w:rsidR="00AC100A">
        <w:t xml:space="preserve"> </w:t>
      </w:r>
      <w:r w:rsidR="00BD0576">
        <w:t xml:space="preserve">NPAO-related knowledge, attitudes, beliefs, behavioral intentions, and behaviors </w:t>
      </w:r>
      <w:r w:rsidR="003675FF">
        <w:t xml:space="preserve">vary </w:t>
      </w:r>
      <w:r w:rsidR="00BD0576">
        <w:t xml:space="preserve">between </w:t>
      </w:r>
      <w:r w:rsidR="003675FF">
        <w:t>individuals</w:t>
      </w:r>
      <w:r w:rsidR="00BD0576">
        <w:t xml:space="preserve"> </w:t>
      </w:r>
      <w:r w:rsidR="00DF4F55">
        <w:t xml:space="preserve">who </w:t>
      </w:r>
      <w:r w:rsidR="00BD0576">
        <w:t xml:space="preserve">were exposed to </w:t>
      </w:r>
      <w:r w:rsidR="005A1881">
        <w:t>ANY</w:t>
      </w:r>
      <w:r w:rsidR="003675FF">
        <w:t xml:space="preserve"> </w:t>
      </w:r>
      <w:r w:rsidR="00934696">
        <w:t xml:space="preserve">degree </w:t>
      </w:r>
      <w:r w:rsidR="003675FF">
        <w:t>NPAO-related media campaign</w:t>
      </w:r>
      <w:r w:rsidR="00BD0576">
        <w:t xml:space="preserve"> and those </w:t>
      </w:r>
      <w:r w:rsidR="00DF4F55">
        <w:t xml:space="preserve">who were </w:t>
      </w:r>
      <w:r w:rsidR="00543F40" w:rsidRPr="00C50157">
        <w:rPr>
          <w:b/>
        </w:rPr>
        <w:t>not</w:t>
      </w:r>
      <w:r w:rsidR="00DF4F55">
        <w:t xml:space="preserve"> exposed to </w:t>
      </w:r>
      <w:r w:rsidR="004A2E74">
        <w:t xml:space="preserve">any </w:t>
      </w:r>
      <w:r w:rsidR="00DF4F55">
        <w:t xml:space="preserve">NPAO-related </w:t>
      </w:r>
      <w:r w:rsidR="00D92DAA">
        <w:t xml:space="preserve">media </w:t>
      </w:r>
      <w:r w:rsidR="00DF4F55">
        <w:t>campaign?</w:t>
      </w:r>
      <w:r w:rsidR="00B3578B">
        <w:t xml:space="preserve"> </w:t>
      </w:r>
    </w:p>
    <w:p w:rsidR="00823068" w:rsidRDefault="00440302" w:rsidP="00F56750">
      <w:pPr>
        <w:pStyle w:val="bullets-blank"/>
        <w:numPr>
          <w:ilvl w:val="1"/>
          <w:numId w:val="33"/>
        </w:numPr>
        <w:tabs>
          <w:tab w:val="clear" w:pos="1080"/>
        </w:tabs>
        <w:ind w:left="1080"/>
      </w:pPr>
      <w:r>
        <w:t xml:space="preserve">To what extent do </w:t>
      </w:r>
      <w:r w:rsidR="0061062C">
        <w:t>levels of</w:t>
      </w:r>
      <w:r w:rsidR="00DF4F55">
        <w:t xml:space="preserve"> support for obesity prevention policies and programs vary between individuals who were exposed to </w:t>
      </w:r>
      <w:r w:rsidR="00D041C8">
        <w:t>ANY</w:t>
      </w:r>
      <w:r w:rsidR="00DF4F55">
        <w:t xml:space="preserve"> NPAO-related media campaign and those who were </w:t>
      </w:r>
      <w:r w:rsidR="00DF4F55" w:rsidRPr="00440302">
        <w:rPr>
          <w:b/>
        </w:rPr>
        <w:t>not</w:t>
      </w:r>
      <w:r w:rsidR="00DF4F55">
        <w:t xml:space="preserve"> exposed to </w:t>
      </w:r>
      <w:r w:rsidR="004A2E74">
        <w:t xml:space="preserve">any </w:t>
      </w:r>
      <w:r w:rsidR="00DF4F55">
        <w:t xml:space="preserve">NPAO-related </w:t>
      </w:r>
      <w:r w:rsidR="00D92DAA">
        <w:t xml:space="preserve">media </w:t>
      </w:r>
      <w:r w:rsidR="00DF4F55">
        <w:t>campaign?</w:t>
      </w:r>
      <w:r w:rsidR="00B3578B">
        <w:t xml:space="preserve"> </w:t>
      </w:r>
    </w:p>
    <w:p w:rsidR="00823068" w:rsidRDefault="00BD0576" w:rsidP="00F56750">
      <w:pPr>
        <w:pStyle w:val="bullets-blanklast"/>
        <w:numPr>
          <w:ilvl w:val="1"/>
          <w:numId w:val="33"/>
        </w:numPr>
        <w:tabs>
          <w:tab w:val="clear" w:pos="1080"/>
        </w:tabs>
        <w:ind w:left="1080"/>
      </w:pPr>
      <w:r>
        <w:lastRenderedPageBreak/>
        <w:t xml:space="preserve">To what extent do respondents perceive </w:t>
      </w:r>
      <w:r w:rsidR="00D92DAA">
        <w:t xml:space="preserve">specific </w:t>
      </w:r>
      <w:r>
        <w:t>NPAO-related messages to be effective?</w:t>
      </w:r>
      <w:r w:rsidR="00B3578B">
        <w:t xml:space="preserve"> </w:t>
      </w:r>
    </w:p>
    <w:p w:rsidR="00510952" w:rsidRDefault="00510952" w:rsidP="001A5E75">
      <w:pPr>
        <w:pStyle w:val="Heading4"/>
        <w:rPr>
          <w:b w:val="0"/>
        </w:rPr>
      </w:pPr>
      <w:r>
        <w:rPr>
          <w:b w:val="0"/>
        </w:rPr>
        <w:t>However, t</w:t>
      </w:r>
      <w:r w:rsidR="00BD299D">
        <w:rPr>
          <w:b w:val="0"/>
        </w:rPr>
        <w:t>hree</w:t>
      </w:r>
      <w:r>
        <w:rPr>
          <w:b w:val="0"/>
        </w:rPr>
        <w:t xml:space="preserve"> important factors limit</w:t>
      </w:r>
      <w:r w:rsidRPr="00510952">
        <w:rPr>
          <w:b w:val="0"/>
        </w:rPr>
        <w:t xml:space="preserve"> CDC’s ability to conclude that </w:t>
      </w:r>
      <w:r w:rsidR="00BD299D" w:rsidRPr="00510952">
        <w:rPr>
          <w:b w:val="0"/>
        </w:rPr>
        <w:t>CTG-related differences in media exposure are</w:t>
      </w:r>
      <w:r w:rsidRPr="00510952">
        <w:rPr>
          <w:b w:val="0"/>
        </w:rPr>
        <w:t xml:space="preserve"> strictly responsible for the differences in outcomes observed</w:t>
      </w:r>
      <w:r>
        <w:rPr>
          <w:b w:val="0"/>
        </w:rPr>
        <w:t xml:space="preserve">. First, although </w:t>
      </w:r>
      <w:r w:rsidRPr="00510952">
        <w:rPr>
          <w:b w:val="0"/>
        </w:rPr>
        <w:t>the sampling frame used in this study is sufficiently large and varied</w:t>
      </w:r>
      <w:r>
        <w:rPr>
          <w:b w:val="0"/>
        </w:rPr>
        <w:t>, it is not</w:t>
      </w:r>
      <w:r w:rsidRPr="00510952">
        <w:rPr>
          <w:b w:val="0"/>
        </w:rPr>
        <w:t xml:space="preserve"> </w:t>
      </w:r>
      <w:r w:rsidR="000C282A">
        <w:rPr>
          <w:b w:val="0"/>
        </w:rPr>
        <w:t xml:space="preserve">fully </w:t>
      </w:r>
      <w:r w:rsidRPr="00510952">
        <w:rPr>
          <w:b w:val="0"/>
        </w:rPr>
        <w:t>representative of each of the areas</w:t>
      </w:r>
      <w:r>
        <w:rPr>
          <w:b w:val="0"/>
        </w:rPr>
        <w:t xml:space="preserve">. Second, </w:t>
      </w:r>
      <w:r w:rsidR="00BD299D" w:rsidRPr="00BD299D">
        <w:rPr>
          <w:b w:val="0"/>
        </w:rPr>
        <w:t xml:space="preserve">CDC acknowledges that there is heterogeneity of media campaign approaches and dosage across intervention areas in CTG. </w:t>
      </w:r>
      <w:r w:rsidR="00BD299D">
        <w:rPr>
          <w:b w:val="0"/>
        </w:rPr>
        <w:t xml:space="preserve">Finally, </w:t>
      </w:r>
      <w:r>
        <w:rPr>
          <w:b w:val="0"/>
        </w:rPr>
        <w:t xml:space="preserve">it is not possible to control the differences in “experimental” treatment with respect to media exposure in each area; even though CTG programs may not exist in those areas, other locally supported obesity-related media (or non-media) campaigns may exist in those area.  </w:t>
      </w:r>
    </w:p>
    <w:p w:rsidR="00510952" w:rsidRDefault="00510952" w:rsidP="001A5E75">
      <w:pPr>
        <w:pStyle w:val="Heading4"/>
        <w:rPr>
          <w:b w:val="0"/>
        </w:rPr>
      </w:pPr>
    </w:p>
    <w:p w:rsidR="006839C9" w:rsidRPr="002D4AE8" w:rsidRDefault="006839C9" w:rsidP="001A5E75">
      <w:pPr>
        <w:pStyle w:val="Heading4"/>
      </w:pPr>
      <w:r w:rsidRPr="002D4AE8">
        <w:t>Privacy Impact Assessment</w:t>
      </w:r>
    </w:p>
    <w:p w:rsidR="00741C52" w:rsidRDefault="002D79DF" w:rsidP="00971D8D">
      <w:pPr>
        <w:pStyle w:val="BodyText"/>
      </w:pPr>
      <w:r>
        <w:t>CDC proposes to conduct</w:t>
      </w:r>
      <w:r w:rsidR="005073A6" w:rsidRPr="00E87C38">
        <w:t xml:space="preserve"> a Web-based survey among adults </w:t>
      </w:r>
      <w:r w:rsidR="00B923B0">
        <w:t xml:space="preserve">aged </w:t>
      </w:r>
      <w:r w:rsidR="005073A6" w:rsidRPr="00E87C38">
        <w:t>18 years and older. The items of information to be collected focus on the following areas: audience awareness and recall of the campaign; reactions to and perceptions of campaign messages; NPAO-related knowledge, attitudes, and beliefs; support for NPAO-related policy/environmental change; intentions to change NPAO-related behaviors; NPAO-related behaviors; and sociodemographic characteristics.</w:t>
      </w:r>
      <w:r w:rsidR="00596558">
        <w:t xml:space="preserve"> </w:t>
      </w:r>
      <w:r w:rsidR="005073A6" w:rsidRPr="00E87C38">
        <w:t xml:space="preserve">Data collected are regarded as being no greater than minimally sensitive, and no information in identifiable form is being collected. Therefore, the data collection will have little or no effect on the respondent’s privacy. Nevertheless, safeguards will be put in place to ensure that all collected data remain </w:t>
      </w:r>
      <w:r w:rsidR="00581D59">
        <w:t>protected</w:t>
      </w:r>
      <w:r w:rsidR="005073A6" w:rsidRPr="00E87C38">
        <w:t>.</w:t>
      </w:r>
      <w:r w:rsidR="00596558">
        <w:t xml:space="preserve"> </w:t>
      </w:r>
    </w:p>
    <w:p w:rsidR="006839C9" w:rsidRPr="00E87C38" w:rsidRDefault="006839C9" w:rsidP="001A5E75">
      <w:pPr>
        <w:pStyle w:val="Heading4"/>
      </w:pPr>
      <w:r w:rsidRPr="00E87C38">
        <w:t>Overview of the Information Collection</w:t>
      </w:r>
    </w:p>
    <w:p w:rsidR="009D2073" w:rsidRPr="00E87C38" w:rsidRDefault="006839C9" w:rsidP="00071BCD">
      <w:pPr>
        <w:pStyle w:val="BodyText"/>
      </w:pPr>
      <w:r w:rsidRPr="00E87C38">
        <w:t xml:space="preserve">This study is designed to measure awareness of and exposure to </w:t>
      </w:r>
      <w:r w:rsidR="007804BD" w:rsidRPr="00E87C38">
        <w:t xml:space="preserve">obesity prevention </w:t>
      </w:r>
      <w:r w:rsidR="004A6C51">
        <w:t xml:space="preserve">television </w:t>
      </w:r>
      <w:r w:rsidR="007804BD" w:rsidRPr="00E87C38">
        <w:t xml:space="preserve">media campaigns and the </w:t>
      </w:r>
      <w:r w:rsidR="001449A6" w:rsidRPr="00E87C38">
        <w:t xml:space="preserve">impact </w:t>
      </w:r>
      <w:r w:rsidR="007804BD" w:rsidRPr="00E87C38">
        <w:t>of these efforts on key cognitive and behavioral outcomes targeted by the campaigns.</w:t>
      </w:r>
      <w:r w:rsidR="00596558">
        <w:t xml:space="preserve"> </w:t>
      </w:r>
      <w:r w:rsidR="007804BD" w:rsidRPr="00E87C38">
        <w:t xml:space="preserve">This study will rely on </w:t>
      </w:r>
      <w:r w:rsidR="00E4226C">
        <w:t xml:space="preserve">self-administered </w:t>
      </w:r>
      <w:r w:rsidR="007804BD" w:rsidRPr="00E87C38">
        <w:t>Web</w:t>
      </w:r>
      <w:r w:rsidR="00FE3052">
        <w:t>-based</w:t>
      </w:r>
      <w:r w:rsidR="007804BD" w:rsidRPr="00E87C38">
        <w:t xml:space="preserve"> surveys</w:t>
      </w:r>
      <w:r w:rsidR="00E4226C">
        <w:t>.</w:t>
      </w:r>
      <w:r w:rsidR="00B3578B">
        <w:t xml:space="preserve"> </w:t>
      </w:r>
      <w:r w:rsidR="00943EB7" w:rsidRPr="00943EB7">
        <w:t xml:space="preserve">The screening and consent process is outlined in </w:t>
      </w:r>
      <w:r w:rsidR="00943EB7" w:rsidRPr="00D857C5">
        <w:t>Attachment</w:t>
      </w:r>
      <w:r w:rsidR="0051599C">
        <w:t>s</w:t>
      </w:r>
      <w:r w:rsidR="00943EB7" w:rsidRPr="00D857C5">
        <w:t xml:space="preserve"> 5</w:t>
      </w:r>
      <w:r w:rsidR="0051599C">
        <w:t>a/5b</w:t>
      </w:r>
      <w:r w:rsidR="00943EB7" w:rsidRPr="00943EB7">
        <w:t xml:space="preserve"> and the </w:t>
      </w:r>
      <w:r w:rsidR="00943EB7" w:rsidRPr="005A6DDB">
        <w:t xml:space="preserve">survey is included as </w:t>
      </w:r>
      <w:r w:rsidR="00943EB7" w:rsidRPr="00D857C5">
        <w:t>Attachment</w:t>
      </w:r>
      <w:r w:rsidR="0051599C">
        <w:t>s</w:t>
      </w:r>
      <w:r w:rsidR="00943EB7" w:rsidRPr="00D857C5">
        <w:t xml:space="preserve"> 6</w:t>
      </w:r>
      <w:r w:rsidR="0051599C">
        <w:t>a/6b</w:t>
      </w:r>
      <w:r w:rsidR="00943EB7" w:rsidRPr="00943EB7">
        <w:t>.</w:t>
      </w:r>
      <w:r w:rsidR="00943EB7">
        <w:t xml:space="preserve"> </w:t>
      </w:r>
      <w:r w:rsidR="007804BD" w:rsidRPr="00E87C38">
        <w:t xml:space="preserve">This study will be conducted using the </w:t>
      </w:r>
      <w:r w:rsidR="00071BCD">
        <w:t>Research Now (RN) General Population</w:t>
      </w:r>
      <w:r w:rsidR="007804BD" w:rsidRPr="00E87C38">
        <w:t xml:space="preserve"> panel, a large online panel of the U.S. population</w:t>
      </w:r>
      <w:r w:rsidR="00D67385">
        <w:t xml:space="preserve"> (</w:t>
      </w:r>
      <w:r w:rsidR="00D67385" w:rsidRPr="00D857C5">
        <w:t xml:space="preserve">Attachment </w:t>
      </w:r>
      <w:r w:rsidR="005A6DDB" w:rsidRPr="00D857C5">
        <w:t>7</w:t>
      </w:r>
      <w:r w:rsidR="00D67385">
        <w:t>)</w:t>
      </w:r>
      <w:r w:rsidR="007804BD" w:rsidRPr="00E87C38">
        <w:t xml:space="preserve">. Specifically, we will conduct one cross-sectional survey </w:t>
      </w:r>
      <w:r w:rsidR="00E541B5" w:rsidRPr="00E87C38">
        <w:t xml:space="preserve">among adults </w:t>
      </w:r>
      <w:r w:rsidR="001449A6" w:rsidRPr="00E87C38">
        <w:t xml:space="preserve">drawn from </w:t>
      </w:r>
      <w:r w:rsidR="007804BD" w:rsidRPr="00E87C38">
        <w:t xml:space="preserve">three populations: </w:t>
      </w:r>
    </w:p>
    <w:p w:rsidR="004B05C6" w:rsidRPr="00E87C38" w:rsidRDefault="00775B7F" w:rsidP="009B3714">
      <w:pPr>
        <w:pStyle w:val="bullets-blank"/>
      </w:pPr>
      <w:r>
        <w:t>1.</w:t>
      </w:r>
      <w:r>
        <w:tab/>
      </w:r>
      <w:r w:rsidR="004A6FC7">
        <w:t xml:space="preserve">Intervention population - </w:t>
      </w:r>
      <w:r w:rsidR="001449A6" w:rsidRPr="00E87C38">
        <w:t>Adult</w:t>
      </w:r>
      <w:r w:rsidR="00EC49F6" w:rsidRPr="00E87C38">
        <w:t>s</w:t>
      </w:r>
      <w:r w:rsidR="001449A6" w:rsidRPr="00E87C38">
        <w:t xml:space="preserve"> residing in s</w:t>
      </w:r>
      <w:r w:rsidR="007804BD" w:rsidRPr="00E87C38">
        <w:t>elect</w:t>
      </w:r>
      <w:r w:rsidR="001449A6" w:rsidRPr="00E87C38">
        <w:t>ed</w:t>
      </w:r>
      <w:r w:rsidR="007804BD" w:rsidRPr="00E87C38">
        <w:t xml:space="preserve"> CTG </w:t>
      </w:r>
      <w:r w:rsidR="001449A6" w:rsidRPr="00E87C38">
        <w:t xml:space="preserve">awardee areas </w:t>
      </w:r>
      <w:r w:rsidR="007804BD" w:rsidRPr="00E87C38">
        <w:t xml:space="preserve">where </w:t>
      </w:r>
      <w:r w:rsidR="004A6C51">
        <w:t xml:space="preserve">CTG-sponsored </w:t>
      </w:r>
      <w:r w:rsidR="007804BD" w:rsidRPr="00E87C38">
        <w:t xml:space="preserve">obesity prevention </w:t>
      </w:r>
      <w:r w:rsidR="004A6C51">
        <w:t xml:space="preserve">television </w:t>
      </w:r>
      <w:r w:rsidR="007804BD" w:rsidRPr="00E87C38">
        <w:t xml:space="preserve">media campaigns </w:t>
      </w:r>
      <w:r w:rsidR="004A6C51">
        <w:t xml:space="preserve">have been or </w:t>
      </w:r>
      <w:r w:rsidR="007804BD" w:rsidRPr="00E87C38">
        <w:t>are being delivered</w:t>
      </w:r>
      <w:r w:rsidR="00A16D62" w:rsidRPr="00E87C38">
        <w:t xml:space="preserve"> (intervention</w:t>
      </w:r>
      <w:r w:rsidR="009D2073">
        <w:t xml:space="preserve"> awardee areas).</w:t>
      </w:r>
    </w:p>
    <w:p w:rsidR="00A74529" w:rsidRPr="00E87C38" w:rsidRDefault="00775B7F" w:rsidP="009B3714">
      <w:pPr>
        <w:pStyle w:val="bullets-blank"/>
      </w:pPr>
      <w:r>
        <w:t>2.</w:t>
      </w:r>
      <w:r>
        <w:tab/>
      </w:r>
      <w:r w:rsidR="004A6FC7">
        <w:t>C</w:t>
      </w:r>
      <w:r w:rsidR="009239E3">
        <w:t>omparison</w:t>
      </w:r>
      <w:r w:rsidR="004A6FC7">
        <w:t xml:space="preserve"> 1 population - </w:t>
      </w:r>
      <w:r w:rsidR="00EC49F6" w:rsidRPr="00E87C38">
        <w:t xml:space="preserve">Adults residing in </w:t>
      </w:r>
      <w:r w:rsidR="00D67E94" w:rsidRPr="00E87C38">
        <w:t xml:space="preserve">CTG </w:t>
      </w:r>
      <w:r w:rsidR="00EC49F6" w:rsidRPr="00E87C38">
        <w:t xml:space="preserve">awardee areas </w:t>
      </w:r>
      <w:r w:rsidR="00D67E94" w:rsidRPr="00E87C38">
        <w:t xml:space="preserve">where no </w:t>
      </w:r>
      <w:r w:rsidR="00F37C36">
        <w:t xml:space="preserve">CTG- or CPPW-sponsored </w:t>
      </w:r>
      <w:r w:rsidR="00D67E94" w:rsidRPr="00E87C38">
        <w:t xml:space="preserve">obesity prevention </w:t>
      </w:r>
      <w:r w:rsidR="004A6C51">
        <w:t xml:space="preserve">television </w:t>
      </w:r>
      <w:r w:rsidR="00D67E94" w:rsidRPr="00E87C38">
        <w:t>media campai</w:t>
      </w:r>
      <w:r w:rsidR="00E541B5" w:rsidRPr="00E87C38">
        <w:t xml:space="preserve">gns </w:t>
      </w:r>
      <w:r w:rsidR="004A6C51">
        <w:t xml:space="preserve">have been </w:t>
      </w:r>
      <w:r w:rsidR="002905D3">
        <w:t xml:space="preserve">or </w:t>
      </w:r>
      <w:r w:rsidR="00E541B5" w:rsidRPr="00E87C38">
        <w:t>are being delivered</w:t>
      </w:r>
      <w:r w:rsidR="0013082B">
        <w:t xml:space="preserve"> (media-control awardee areas)</w:t>
      </w:r>
      <w:r w:rsidR="00C630B5">
        <w:t>.</w:t>
      </w:r>
      <w:r w:rsidR="00E541B5" w:rsidRPr="00E87C38">
        <w:t xml:space="preserve"> </w:t>
      </w:r>
    </w:p>
    <w:p w:rsidR="00A75D02" w:rsidRPr="00E87C38" w:rsidRDefault="00775B7F" w:rsidP="009B3714">
      <w:pPr>
        <w:pStyle w:val="bullets-blanklast"/>
      </w:pPr>
      <w:r>
        <w:t>3.</w:t>
      </w:r>
      <w:r>
        <w:tab/>
      </w:r>
      <w:r w:rsidR="004A6FC7">
        <w:t>Co</w:t>
      </w:r>
      <w:r w:rsidR="009239E3">
        <w:t>mparison</w:t>
      </w:r>
      <w:r w:rsidR="004A6FC7">
        <w:t xml:space="preserve"> 2 population - </w:t>
      </w:r>
      <w:r w:rsidR="00EC49F6" w:rsidRPr="00E87C38">
        <w:t xml:space="preserve">Adults residing in areas </w:t>
      </w:r>
      <w:r w:rsidR="005D0255" w:rsidRPr="00E87C38">
        <w:t xml:space="preserve">not </w:t>
      </w:r>
      <w:r w:rsidR="00EC49F6" w:rsidRPr="00E87C38">
        <w:t xml:space="preserve">covered by either CTG </w:t>
      </w:r>
      <w:r w:rsidR="00993C82">
        <w:t xml:space="preserve">or </w:t>
      </w:r>
      <w:r w:rsidR="00EC49F6" w:rsidRPr="00E87C38">
        <w:t xml:space="preserve">CPPW </w:t>
      </w:r>
      <w:r w:rsidR="0013082B">
        <w:t>(program-control awardee areas)</w:t>
      </w:r>
      <w:r w:rsidR="00A75D02" w:rsidRPr="00E87C38">
        <w:t>.</w:t>
      </w:r>
      <w:r w:rsidR="00596558">
        <w:t xml:space="preserve"> </w:t>
      </w:r>
    </w:p>
    <w:p w:rsidR="004D2D71" w:rsidRPr="00971D8D" w:rsidRDefault="003841A9" w:rsidP="00202F3C">
      <w:pPr>
        <w:pStyle w:val="BodyText"/>
      </w:pPr>
      <w:r w:rsidRPr="00E87C38">
        <w:t xml:space="preserve">We plan to </w:t>
      </w:r>
      <w:r w:rsidR="00B81D81" w:rsidRPr="00E87C38">
        <w:t xml:space="preserve">begin fielding </w:t>
      </w:r>
      <w:r w:rsidRPr="00E87C38">
        <w:t>the survey</w:t>
      </w:r>
      <w:r w:rsidR="00E541B5" w:rsidRPr="00E87C38">
        <w:t xml:space="preserve"> in </w:t>
      </w:r>
      <w:r w:rsidR="000C282A">
        <w:t xml:space="preserve">June </w:t>
      </w:r>
      <w:r w:rsidR="008776FC">
        <w:t>2013</w:t>
      </w:r>
      <w:r w:rsidR="00E541B5" w:rsidRPr="00E87C38">
        <w:t>.</w:t>
      </w:r>
      <w:r w:rsidR="00596558">
        <w:t xml:space="preserve"> </w:t>
      </w:r>
      <w:r w:rsidR="00E541B5" w:rsidRPr="00E87C38">
        <w:t xml:space="preserve">Survey items will </w:t>
      </w:r>
      <w:r w:rsidR="00A16D62" w:rsidRPr="00E87C38">
        <w:t>include me</w:t>
      </w:r>
      <w:r w:rsidR="0080136C" w:rsidRPr="00E87C38">
        <w:t xml:space="preserve">asures of </w:t>
      </w:r>
      <w:r w:rsidR="00745069" w:rsidRPr="00E87C38">
        <w:t>awareness and recall of the campaign</w:t>
      </w:r>
      <w:r w:rsidR="00FA782A">
        <w:t>s</w:t>
      </w:r>
      <w:r w:rsidR="00745069" w:rsidRPr="00E87C38">
        <w:t>; reactions to and perceptions of campaign messages; NPAO-related knowledge, attitudes, and beliefs; support for NPAO-related policy/environmental change; intentions to change NPAO-related behaviors; NPAO-related behaviors; and sociodemographic characteristics</w:t>
      </w:r>
      <w:r w:rsidR="00745069" w:rsidRPr="00971D8D">
        <w:t>.</w:t>
      </w:r>
      <w:r w:rsidR="00596558" w:rsidRPr="00971D8D">
        <w:t xml:space="preserve"> </w:t>
      </w:r>
      <w:r w:rsidR="004D2D71">
        <w:t xml:space="preserve">These item domains and rationale for including </w:t>
      </w:r>
      <w:r w:rsidR="00C92DE7">
        <w:t xml:space="preserve">items </w:t>
      </w:r>
      <w:r w:rsidR="004D2D71">
        <w:t xml:space="preserve">in the survey are described more thoroughly </w:t>
      </w:r>
      <w:r w:rsidR="004A2E74">
        <w:t>below</w:t>
      </w:r>
      <w:r w:rsidR="004D2D71">
        <w:t>.</w:t>
      </w:r>
      <w:r w:rsidR="00B3578B">
        <w:t xml:space="preserve"> </w:t>
      </w:r>
    </w:p>
    <w:p w:rsidR="000A303F" w:rsidRDefault="00E41981" w:rsidP="00971D8D">
      <w:pPr>
        <w:pStyle w:val="BodyText"/>
      </w:pPr>
      <w:r w:rsidRPr="00E87C38">
        <w:lastRenderedPageBreak/>
        <w:t>This data collection effort will enable us to assess</w:t>
      </w:r>
      <w:r w:rsidR="00C40B85">
        <w:t xml:space="preserve"> potential associations </w:t>
      </w:r>
      <w:r w:rsidR="000C282A">
        <w:t>between</w:t>
      </w:r>
      <w:r w:rsidRPr="00E87C38">
        <w:t xml:space="preserve"> </w:t>
      </w:r>
      <w:r w:rsidR="004F0E03">
        <w:t xml:space="preserve">CTG </w:t>
      </w:r>
      <w:r w:rsidR="000C282A" w:rsidRPr="00E87C38">
        <w:t xml:space="preserve">media campaign exposure </w:t>
      </w:r>
      <w:r w:rsidR="000C282A">
        <w:t xml:space="preserve">and </w:t>
      </w:r>
      <w:r w:rsidRPr="00E87C38">
        <w:t>key cognitive and behavioral outcomes.</w:t>
      </w:r>
      <w:r w:rsidR="00596558">
        <w:t xml:space="preserve"> </w:t>
      </w:r>
      <w:r w:rsidR="000A303F" w:rsidRPr="00E87C38">
        <w:t>By including two comparison populations—</w:t>
      </w:r>
      <w:r w:rsidR="004A6FC7">
        <w:t xml:space="preserve"> 1) </w:t>
      </w:r>
      <w:r w:rsidR="000A303F" w:rsidRPr="00E87C38">
        <w:t>CTG</w:t>
      </w:r>
      <w:r w:rsidR="000A303F">
        <w:t xml:space="preserve"> awardee areas</w:t>
      </w:r>
      <w:r w:rsidR="000A303F" w:rsidRPr="00E87C38">
        <w:t xml:space="preserve"> with no </w:t>
      </w:r>
      <w:r w:rsidR="004A6FC7">
        <w:t xml:space="preserve">CTG nor CPPW </w:t>
      </w:r>
      <w:r w:rsidR="000A303F" w:rsidRPr="00E87C38">
        <w:t>media campaign</w:t>
      </w:r>
      <w:r w:rsidR="004A6FC7">
        <w:t>s</w:t>
      </w:r>
      <w:r w:rsidR="000A303F" w:rsidRPr="00E87C38">
        <w:t xml:space="preserve"> and </w:t>
      </w:r>
      <w:r w:rsidR="004A6FC7">
        <w:t xml:space="preserve">2) </w:t>
      </w:r>
      <w:r w:rsidR="000A303F" w:rsidRPr="00E87C38">
        <w:t xml:space="preserve">a national sample excluding CTG and CPPW </w:t>
      </w:r>
      <w:r w:rsidR="000A303F">
        <w:t>awardee areas</w:t>
      </w:r>
      <w:r w:rsidR="000A303F" w:rsidRPr="00E87C38">
        <w:t xml:space="preserve">—we will be able to </w:t>
      </w:r>
      <w:r w:rsidR="00C40B85">
        <w:t xml:space="preserve">generate hypotheses regarding </w:t>
      </w:r>
      <w:r w:rsidR="000A303F" w:rsidRPr="00E87C38">
        <w:t xml:space="preserve">differences in outcomes of interest as a function of campaign exposure while accounting for potential confounding influences of other CTG-related </w:t>
      </w:r>
      <w:proofErr w:type="spellStart"/>
      <w:r w:rsidR="00C92DE7">
        <w:t>nonmedia</w:t>
      </w:r>
      <w:proofErr w:type="spellEnd"/>
      <w:r w:rsidR="00C92DE7">
        <w:t xml:space="preserve"> </w:t>
      </w:r>
      <w:r w:rsidR="000A303F" w:rsidRPr="00E87C38">
        <w:t>efforts.</w:t>
      </w:r>
      <w:r w:rsidR="00B3578B">
        <w:t xml:space="preserve"> </w:t>
      </w:r>
      <w:r w:rsidR="00661DFC">
        <w:t xml:space="preserve">Further, </w:t>
      </w:r>
      <w:r w:rsidR="00E0252A">
        <w:t xml:space="preserve">disaggregating specific NPAO media campaigns will enable a more thorough examination of the </w:t>
      </w:r>
      <w:r w:rsidR="00C40B85">
        <w:t xml:space="preserve">potential </w:t>
      </w:r>
      <w:r w:rsidR="00E0252A">
        <w:t xml:space="preserve">impact of each media campaign on key outcomes targeted by the campaigns. </w:t>
      </w:r>
    </w:p>
    <w:p w:rsidR="000C282A" w:rsidRDefault="004A2E74" w:rsidP="0078669C">
      <w:r>
        <w:t>T</w:t>
      </w:r>
      <w:r w:rsidR="00B13A7E" w:rsidRPr="00B3578B">
        <w:t xml:space="preserve">o account for differences </w:t>
      </w:r>
      <w:r w:rsidR="005D29F4">
        <w:t xml:space="preserve">among </w:t>
      </w:r>
      <w:r w:rsidR="00B13A7E" w:rsidRPr="00B3578B">
        <w:t>the three populations sampled for this evaluation, we will use propensity scoring, a statistical technique used in the evaluation of other media campaigns</w:t>
      </w:r>
      <w:r w:rsidR="00832DC6" w:rsidRPr="00832DC6">
        <w:rPr>
          <w:rFonts w:asciiTheme="majorBidi" w:hAnsiTheme="majorBidi" w:cstheme="majorBidi"/>
          <w:szCs w:val="24"/>
          <w:vertAlign w:val="superscript"/>
        </w:rPr>
        <w:t>2</w:t>
      </w:r>
      <w:proofErr w:type="gramStart"/>
      <w:r w:rsidR="00832DC6" w:rsidRPr="00832DC6">
        <w:rPr>
          <w:rFonts w:asciiTheme="majorBidi" w:hAnsiTheme="majorBidi" w:cstheme="majorBidi"/>
          <w:szCs w:val="24"/>
          <w:vertAlign w:val="superscript"/>
        </w:rPr>
        <w:t>,3</w:t>
      </w:r>
      <w:proofErr w:type="gramEnd"/>
      <w:r w:rsidR="00B13A7E" w:rsidRPr="00832DC6">
        <w:rPr>
          <w:rFonts w:asciiTheme="majorBidi" w:hAnsiTheme="majorBidi" w:cstheme="majorBidi"/>
          <w:szCs w:val="24"/>
          <w:vertAlign w:val="superscript"/>
        </w:rPr>
        <w:t xml:space="preserve"> </w:t>
      </w:r>
      <w:r w:rsidR="00B13A7E" w:rsidRPr="00B3578B">
        <w:t>that offers a means of creating equal intervention and comparison groups</w:t>
      </w:r>
      <w:r w:rsidR="009239E3">
        <w:t xml:space="preserve">. It </w:t>
      </w:r>
      <w:r w:rsidR="00B13A7E" w:rsidRPr="00B3578B">
        <w:t xml:space="preserve">is used in nonrandomized observational studies to estimate the probability that a person will belong to a particular group. Propensity scores </w:t>
      </w:r>
      <w:r w:rsidR="000C282A" w:rsidRPr="00B3578B">
        <w:t xml:space="preserve">will be developed </w:t>
      </w:r>
      <w:r w:rsidR="000C282A">
        <w:t>to reduce the effects of confounding in estimating intervention effects by accounting for differences in measured baseline characteristics among</w:t>
      </w:r>
      <w:r w:rsidR="000C282A" w:rsidRPr="00B3578B">
        <w:t xml:space="preserve"> the </w:t>
      </w:r>
      <w:r w:rsidR="000C282A">
        <w:t>three</w:t>
      </w:r>
      <w:r w:rsidR="000C282A" w:rsidRPr="00B3578B">
        <w:t xml:space="preserve"> </w:t>
      </w:r>
      <w:r w:rsidR="009239E3">
        <w:t>sampled populations</w:t>
      </w:r>
      <w:r w:rsidR="000C282A" w:rsidRPr="00B3578B">
        <w:t xml:space="preserve"> (CTG media intervention</w:t>
      </w:r>
      <w:r w:rsidR="009239E3">
        <w:t xml:space="preserve"> population</w:t>
      </w:r>
      <w:r w:rsidR="000C282A" w:rsidRPr="00B3578B">
        <w:t xml:space="preserve">, and </w:t>
      </w:r>
      <w:r w:rsidR="009239E3">
        <w:t>the t</w:t>
      </w:r>
      <w:r w:rsidR="000C282A" w:rsidRPr="00B3578B">
        <w:t>wo</w:t>
      </w:r>
      <w:r w:rsidR="009239E3">
        <w:t xml:space="preserve"> comparison populations</w:t>
      </w:r>
      <w:r w:rsidR="000C282A" w:rsidRPr="00B3578B">
        <w:t>)</w:t>
      </w:r>
      <w:r w:rsidR="000C282A">
        <w:t>.</w:t>
      </w:r>
      <w:r w:rsidR="000C282A" w:rsidRPr="00B3578B">
        <w:t xml:space="preserve"> </w:t>
      </w:r>
      <w:r w:rsidR="000C282A">
        <w:t xml:space="preserve">CDC recognizes the limitations of this approach for eliminating differences among groups with respect to unmeasured characteristics such as exposure to non-CTG </w:t>
      </w:r>
      <w:r w:rsidR="000C282A" w:rsidRPr="00E10F2C">
        <w:t xml:space="preserve">supported obesity-related media (or non-media) campaigns in </w:t>
      </w:r>
      <w:r w:rsidR="009239E3">
        <w:t>the comparison populations</w:t>
      </w:r>
      <w:r w:rsidR="000C282A">
        <w:t>.</w:t>
      </w:r>
      <w:r w:rsidR="000C282A" w:rsidRPr="00E10F2C">
        <w:t xml:space="preserve"> </w:t>
      </w:r>
      <w:r w:rsidR="009239E3">
        <w:t>T</w:t>
      </w:r>
      <w:r w:rsidR="000C282A">
        <w:t xml:space="preserve">his unmeasured </w:t>
      </w:r>
      <w:r w:rsidR="009239E3">
        <w:t xml:space="preserve">potential </w:t>
      </w:r>
      <w:r w:rsidR="000C282A">
        <w:t xml:space="preserve">confounding </w:t>
      </w:r>
      <w:r w:rsidR="009239E3">
        <w:t xml:space="preserve">would </w:t>
      </w:r>
      <w:r w:rsidR="000C282A">
        <w:t xml:space="preserve">be expected to result in a smaller effect </w:t>
      </w:r>
      <w:r w:rsidR="009239E3">
        <w:t xml:space="preserve">of the CTG media intervention </w:t>
      </w:r>
      <w:r w:rsidR="000C282A">
        <w:t xml:space="preserve">than what would be observed with a strict control group for comparison. Thus, sensitivity analysis techniques will be used to draw conclusions about likely bounds for the magnitude of the effect that </w:t>
      </w:r>
      <w:r w:rsidR="000C282A" w:rsidRPr="00B3578B">
        <w:t>could be attributed to campaign activities</w:t>
      </w:r>
      <w:r w:rsidR="005D29F4">
        <w:t>,</w:t>
      </w:r>
      <w:r w:rsidR="000C282A">
        <w:t xml:space="preserve"> based on a range of plausible assumptions about the direction and strength of unmeasured confounding</w:t>
      </w:r>
      <w:r w:rsidR="000C282A" w:rsidRPr="00B3578B">
        <w:t>.</w:t>
      </w:r>
    </w:p>
    <w:p w:rsidR="00B3578B" w:rsidRPr="00B3578B" w:rsidRDefault="00B3578B" w:rsidP="00B3578B"/>
    <w:p w:rsidR="00CA75CB" w:rsidRDefault="00E41981" w:rsidP="00971D8D">
      <w:pPr>
        <w:pStyle w:val="BodyText"/>
      </w:pPr>
      <w:r w:rsidRPr="00E87C38">
        <w:t xml:space="preserve">To address </w:t>
      </w:r>
      <w:r w:rsidR="00AD6CB1">
        <w:t>Evaluation Question</w:t>
      </w:r>
      <w:r w:rsidR="005D6AE2">
        <w:t>s</w:t>
      </w:r>
      <w:r w:rsidRPr="00E87C38">
        <w:t xml:space="preserve"> 1</w:t>
      </w:r>
      <w:r w:rsidR="005D6AE2">
        <w:t xml:space="preserve"> and 2</w:t>
      </w:r>
      <w:r w:rsidRPr="00E87C38">
        <w:t xml:space="preserve">, we </w:t>
      </w:r>
      <w:r w:rsidR="00AC100A">
        <w:t>will generate an aggregate measure of NPAO media exposure that is defined as exposure to any NPAO media campaign.</w:t>
      </w:r>
      <w:r w:rsidR="005D6AE2">
        <w:t xml:space="preserve"> For Evaluation Question 1, w</w:t>
      </w:r>
      <w:r w:rsidR="00AC100A">
        <w:t xml:space="preserve">e intend to </w:t>
      </w:r>
      <w:r w:rsidR="00DC4A0D">
        <w:t>examine differences in</w:t>
      </w:r>
      <w:r w:rsidR="00DC4A0D" w:rsidRPr="00E87C38">
        <w:t xml:space="preserve"> </w:t>
      </w:r>
      <w:r w:rsidR="00AC100A">
        <w:t xml:space="preserve">means or prevalence estimates for </w:t>
      </w:r>
      <w:r w:rsidRPr="00E87C38">
        <w:t xml:space="preserve">NPAO-related knowledge, attitudes, beliefs, behavioral intentions, and behaviors </w:t>
      </w:r>
      <w:r w:rsidR="002C486F" w:rsidRPr="00E87C38">
        <w:t>among</w:t>
      </w:r>
      <w:r w:rsidR="00C77DE8" w:rsidRPr="00E87C38">
        <w:t xml:space="preserve"> individuals in</w:t>
      </w:r>
      <w:r w:rsidR="005D6AE2">
        <w:t xml:space="preserve"> the “exposed”</w:t>
      </w:r>
      <w:r w:rsidR="00C77DE8" w:rsidRPr="00E87C38">
        <w:t xml:space="preserve"> </w:t>
      </w:r>
      <w:r w:rsidR="005D6AE2">
        <w:t>group</w:t>
      </w:r>
      <w:r w:rsidR="00C77DE8" w:rsidRPr="00E87C38">
        <w:t xml:space="preserve"> </w:t>
      </w:r>
      <w:r w:rsidR="002C486F" w:rsidRPr="00E87C38">
        <w:t>(</w:t>
      </w:r>
      <w:r w:rsidR="00E45D35">
        <w:t xml:space="preserve">Intervention population, </w:t>
      </w:r>
      <w:r w:rsidR="002C486F" w:rsidRPr="00E87C38">
        <w:t xml:space="preserve">intervention </w:t>
      </w:r>
      <w:r w:rsidR="009D2073">
        <w:t>awardee areas</w:t>
      </w:r>
      <w:r w:rsidR="002C486F" w:rsidRPr="00E87C38">
        <w:t>) and</w:t>
      </w:r>
      <w:r w:rsidR="00DC4A0D">
        <w:t xml:space="preserve"> </w:t>
      </w:r>
      <w:r w:rsidR="004A2E74">
        <w:t>(</w:t>
      </w:r>
      <w:r w:rsidR="00DC4A0D">
        <w:t>a)</w:t>
      </w:r>
      <w:r w:rsidR="002C486F" w:rsidRPr="00E87C38">
        <w:t xml:space="preserve"> </w:t>
      </w:r>
      <w:r w:rsidR="00DC4A0D">
        <w:t xml:space="preserve">individuals in </w:t>
      </w:r>
      <w:r w:rsidR="00DC4A0D" w:rsidRPr="00E87C38">
        <w:t xml:space="preserve">CTG awardee areas where no </w:t>
      </w:r>
      <w:r w:rsidR="00DC4A0D">
        <w:t xml:space="preserve">CTG- or CPPW-sponsored </w:t>
      </w:r>
      <w:r w:rsidR="00DC4A0D" w:rsidRPr="00E87C38">
        <w:t xml:space="preserve">obesity prevention </w:t>
      </w:r>
      <w:r w:rsidR="00DC4A0D">
        <w:t xml:space="preserve">television </w:t>
      </w:r>
      <w:r w:rsidR="00DC4A0D" w:rsidRPr="00E87C38">
        <w:t xml:space="preserve">media campaigns </w:t>
      </w:r>
      <w:r w:rsidR="00DC4A0D">
        <w:t xml:space="preserve">have been </w:t>
      </w:r>
      <w:r w:rsidR="0001632D">
        <w:t xml:space="preserve">or </w:t>
      </w:r>
      <w:r w:rsidR="00DC4A0D" w:rsidRPr="00E87C38">
        <w:t>are being delivered</w:t>
      </w:r>
      <w:r w:rsidR="00DC4A0D">
        <w:t xml:space="preserve"> (</w:t>
      </w:r>
      <w:r w:rsidR="00E45D35">
        <w:t xml:space="preserve">Comparison 1 population, </w:t>
      </w:r>
      <w:r w:rsidR="00DC4A0D">
        <w:t xml:space="preserve">media-control awardee areas), and </w:t>
      </w:r>
      <w:r w:rsidR="004A2E74">
        <w:t>(</w:t>
      </w:r>
      <w:r w:rsidR="00DC4A0D">
        <w:t xml:space="preserve">b) individuals </w:t>
      </w:r>
      <w:r w:rsidR="00DC4A0D" w:rsidRPr="00E87C38">
        <w:t xml:space="preserve">residing in areas not covered by either CTG </w:t>
      </w:r>
      <w:r w:rsidR="00DC4A0D">
        <w:t xml:space="preserve">or </w:t>
      </w:r>
      <w:r w:rsidR="00DC4A0D" w:rsidRPr="00E87C38">
        <w:t xml:space="preserve">CPPW </w:t>
      </w:r>
      <w:r w:rsidR="00DC4A0D">
        <w:t>(</w:t>
      </w:r>
      <w:r w:rsidR="00E45D35">
        <w:t xml:space="preserve">Comparison 2 population, </w:t>
      </w:r>
      <w:r w:rsidR="00DC4A0D">
        <w:t>program-control awardee areas)</w:t>
      </w:r>
      <w:r w:rsidR="00DC4A0D" w:rsidRPr="00E87C38">
        <w:t>.</w:t>
      </w:r>
      <w:r w:rsidR="005D6AE2">
        <w:t xml:space="preserve"> </w:t>
      </w:r>
    </w:p>
    <w:p w:rsidR="00802FCB" w:rsidRDefault="00802FCB" w:rsidP="00802FCB">
      <w:pPr>
        <w:pStyle w:val="BodyText"/>
      </w:pPr>
      <w:r>
        <w:t xml:space="preserve">Our approach for addressing </w:t>
      </w:r>
      <w:r w:rsidR="00AD6CB1">
        <w:t>Evaluation Question</w:t>
      </w:r>
      <w:r>
        <w:t xml:space="preserve"> 2 follows that of </w:t>
      </w:r>
      <w:r w:rsidR="00AD6CB1">
        <w:t>Evaluation Question</w:t>
      </w:r>
      <w:r>
        <w:t xml:space="preserve"> 1, but with </w:t>
      </w:r>
      <w:r w:rsidRPr="00E87C38">
        <w:t>support for obesity prevention policies and programs</w:t>
      </w:r>
      <w:r>
        <w:t xml:space="preserve"> as the primary outcome measure. For Evaluation Question 2, we will examine differences in</w:t>
      </w:r>
      <w:r w:rsidRPr="00E87C38">
        <w:t xml:space="preserve"> </w:t>
      </w:r>
      <w:r>
        <w:t xml:space="preserve">levels of </w:t>
      </w:r>
      <w:r w:rsidRPr="00E87C38">
        <w:t xml:space="preserve">support for obesity prevention policies </w:t>
      </w:r>
      <w:r>
        <w:t>among</w:t>
      </w:r>
      <w:r w:rsidRPr="00E87C38">
        <w:t xml:space="preserve"> individuals in</w:t>
      </w:r>
      <w:r>
        <w:t xml:space="preserve"> the “exposed”</w:t>
      </w:r>
      <w:r w:rsidRPr="00E87C38">
        <w:t xml:space="preserve"> </w:t>
      </w:r>
      <w:r>
        <w:t>group</w:t>
      </w:r>
      <w:r w:rsidRPr="00E87C38">
        <w:t xml:space="preserve"> (intervention </w:t>
      </w:r>
      <w:r>
        <w:t>awardee areas</w:t>
      </w:r>
      <w:r w:rsidRPr="00E87C38">
        <w:t>) and</w:t>
      </w:r>
      <w:r>
        <w:t xml:space="preserve"> </w:t>
      </w:r>
      <w:r w:rsidR="004A2E74">
        <w:t>(</w:t>
      </w:r>
      <w:r>
        <w:t>a)</w:t>
      </w:r>
      <w:r w:rsidRPr="00E87C38">
        <w:t xml:space="preserve"> </w:t>
      </w:r>
      <w:r>
        <w:t xml:space="preserve">individuals in </w:t>
      </w:r>
      <w:r w:rsidRPr="00E87C38">
        <w:t xml:space="preserve">CTG awardee areas where no </w:t>
      </w:r>
      <w:r>
        <w:t xml:space="preserve">CTG- or CPPW-sponsored </w:t>
      </w:r>
      <w:r w:rsidRPr="00E87C38">
        <w:t xml:space="preserve">obesity prevention </w:t>
      </w:r>
      <w:r>
        <w:t xml:space="preserve">television </w:t>
      </w:r>
      <w:r w:rsidRPr="00E87C38">
        <w:t xml:space="preserve">media campaigns </w:t>
      </w:r>
      <w:r>
        <w:t xml:space="preserve">have been </w:t>
      </w:r>
      <w:r w:rsidR="004A2E74">
        <w:t xml:space="preserve">or </w:t>
      </w:r>
      <w:r w:rsidRPr="00E87C38">
        <w:t>are being delivered</w:t>
      </w:r>
      <w:r>
        <w:t xml:space="preserve"> (media-control awardee areas), and </w:t>
      </w:r>
      <w:r w:rsidR="004A2E74">
        <w:t>(</w:t>
      </w:r>
      <w:r>
        <w:t xml:space="preserve">b) individuals </w:t>
      </w:r>
      <w:r w:rsidRPr="00E87C38">
        <w:t xml:space="preserve">residing in areas not covered by either CTG </w:t>
      </w:r>
      <w:r>
        <w:t xml:space="preserve">or </w:t>
      </w:r>
      <w:r w:rsidRPr="00E87C38">
        <w:t xml:space="preserve">CPPW </w:t>
      </w:r>
      <w:r>
        <w:t>(program-control awardee areas)</w:t>
      </w:r>
      <w:r w:rsidRPr="00E87C38">
        <w:t>.</w:t>
      </w:r>
      <w:r>
        <w:t xml:space="preserve"> </w:t>
      </w:r>
    </w:p>
    <w:p w:rsidR="0075108A" w:rsidRDefault="00DC4A0D" w:rsidP="00971D8D">
      <w:pPr>
        <w:pStyle w:val="BodyText"/>
      </w:pPr>
      <w:r>
        <w:t xml:space="preserve">To address </w:t>
      </w:r>
      <w:r w:rsidR="00AD6CB1">
        <w:t>Evaluation Question</w:t>
      </w:r>
      <w:r>
        <w:t xml:space="preserve"> 3, </w:t>
      </w:r>
      <w:r w:rsidR="00436FC0">
        <w:t xml:space="preserve">we will </w:t>
      </w:r>
      <w:r w:rsidR="00126282">
        <w:t xml:space="preserve">assess the extent to which respondents </w:t>
      </w:r>
      <w:r w:rsidR="00EC6650">
        <w:t xml:space="preserve">are receptive to the campaign </w:t>
      </w:r>
      <w:r w:rsidR="00823068">
        <w:t xml:space="preserve">messages </w:t>
      </w:r>
      <w:r w:rsidR="00EC6650">
        <w:t xml:space="preserve">and perceive </w:t>
      </w:r>
      <w:r w:rsidR="00823068">
        <w:t xml:space="preserve">them </w:t>
      </w:r>
      <w:r w:rsidR="00EC6650">
        <w:t>to be effective</w:t>
      </w:r>
      <w:r w:rsidR="00126282">
        <w:t>.</w:t>
      </w:r>
      <w:r w:rsidR="00B3578B">
        <w:t xml:space="preserve"> </w:t>
      </w:r>
      <w:r w:rsidR="00126282">
        <w:t xml:space="preserve">As described below, the survey </w:t>
      </w:r>
      <w:r w:rsidR="00126282">
        <w:lastRenderedPageBreak/>
        <w:t xml:space="preserve">instrument includes several validated measures of ad receptivity </w:t>
      </w:r>
      <w:r w:rsidR="00C50208">
        <w:t xml:space="preserve">and perceived effectiveness </w:t>
      </w:r>
      <w:r w:rsidR="00126282">
        <w:t>that have been used to evaluate the effectiveness of other public health campaign messages.</w:t>
      </w:r>
      <w:r w:rsidR="007169A2">
        <w:t xml:space="preserve"> </w:t>
      </w:r>
    </w:p>
    <w:p w:rsidR="006839C9" w:rsidRPr="00E87C38" w:rsidRDefault="006839C9" w:rsidP="001A5E75">
      <w:pPr>
        <w:pStyle w:val="Heading4"/>
      </w:pPr>
      <w:r w:rsidRPr="00E87C38">
        <w:t xml:space="preserve">Items of Information to be </w:t>
      </w:r>
      <w:proofErr w:type="gramStart"/>
      <w:r w:rsidRPr="00E87C38">
        <w:t>Collected</w:t>
      </w:r>
      <w:proofErr w:type="gramEnd"/>
    </w:p>
    <w:p w:rsidR="00BA5D12" w:rsidRDefault="009439C9" w:rsidP="00202F3C">
      <w:pPr>
        <w:pStyle w:val="BodyText"/>
      </w:pPr>
      <w:r w:rsidRPr="00E87C38">
        <w:t xml:space="preserve">The survey will include </w:t>
      </w:r>
      <w:r w:rsidR="00F901AB" w:rsidRPr="00E87C38">
        <w:t xml:space="preserve">measures of </w:t>
      </w:r>
      <w:bookmarkStart w:id="15" w:name="OLE_LINK7"/>
      <w:bookmarkStart w:id="16" w:name="OLE_LINK8"/>
      <w:r w:rsidR="005A5D37" w:rsidRPr="00E87C38">
        <w:t xml:space="preserve">audience </w:t>
      </w:r>
      <w:bookmarkStart w:id="17" w:name="OLE_LINK9"/>
      <w:bookmarkStart w:id="18" w:name="OLE_LINK10"/>
      <w:r w:rsidR="005A5D37" w:rsidRPr="00E87C38">
        <w:t>awareness and recall of the</w:t>
      </w:r>
      <w:r w:rsidR="00FA782A">
        <w:t>ir relevant</w:t>
      </w:r>
      <w:r w:rsidR="005A5D37" w:rsidRPr="00E87C38">
        <w:t xml:space="preserve"> campaign</w:t>
      </w:r>
      <w:r w:rsidR="00FA782A">
        <w:t xml:space="preserve"> messages</w:t>
      </w:r>
      <w:r w:rsidR="005A5D37" w:rsidRPr="00E87C38">
        <w:t>; reactions to and perceptions of campaign messages; NPAO-related knowledge, attitudes, and beliefs; support for NPAO-related policy/environmental change; intentions to change NPAO-related behaviors; NPAO-related behaviors; and sociodemographic characteristics.</w:t>
      </w:r>
      <w:r w:rsidR="00596558">
        <w:t xml:space="preserve"> </w:t>
      </w:r>
      <w:bookmarkEnd w:id="15"/>
      <w:bookmarkEnd w:id="16"/>
      <w:bookmarkEnd w:id="17"/>
      <w:bookmarkEnd w:id="18"/>
      <w:r w:rsidR="00AF5B1B" w:rsidRPr="00E87C38" w:rsidDel="0095344F">
        <w:t>Below, we provide an overview of and rationale for including each of these domains in the survey.</w:t>
      </w:r>
      <w:r w:rsidR="00596558" w:rsidDel="0095344F">
        <w:t xml:space="preserve"> </w:t>
      </w:r>
      <w:r w:rsidR="005A5D37" w:rsidRPr="00D857C5">
        <w:rPr>
          <w:bCs/>
          <w:iCs/>
        </w:rPr>
        <w:t xml:space="preserve">Exhibit </w:t>
      </w:r>
      <w:r w:rsidR="00B923B0" w:rsidRPr="00D857C5">
        <w:rPr>
          <w:bCs/>
          <w:iCs/>
        </w:rPr>
        <w:t>A.1.1</w:t>
      </w:r>
      <w:r w:rsidR="00B923B0" w:rsidRPr="00E87C38">
        <w:rPr>
          <w:b/>
          <w:bCs/>
          <w:i/>
          <w:iCs/>
        </w:rPr>
        <w:t xml:space="preserve"> </w:t>
      </w:r>
      <w:r w:rsidR="005A5D37" w:rsidRPr="00E87C38">
        <w:t xml:space="preserve">illustrates </w:t>
      </w:r>
      <w:r w:rsidR="00AF5B1B" w:rsidRPr="00E87C38">
        <w:t>each domain</w:t>
      </w:r>
      <w:r w:rsidR="005A5D37" w:rsidRPr="00E87C38">
        <w:t xml:space="preserve"> and </w:t>
      </w:r>
      <w:r w:rsidR="00AF5B1B" w:rsidRPr="00E87C38">
        <w:t>its</w:t>
      </w:r>
      <w:r w:rsidR="005A5D37" w:rsidRPr="00E87C38">
        <w:t xml:space="preserve"> hypothesized position in the pathway between media exposure and outcomes.</w:t>
      </w:r>
      <w:r w:rsidR="00596558">
        <w:t xml:space="preserve"> </w:t>
      </w:r>
      <w:r w:rsidR="00A009B5" w:rsidRPr="00D857C5">
        <w:t xml:space="preserve">Exhibit A.1.2 </w:t>
      </w:r>
      <w:r w:rsidR="00A009B5">
        <w:t xml:space="preserve">lists each key outcome, its operational definition, associated survey measures, and corresponding </w:t>
      </w:r>
      <w:r w:rsidR="00AD6CB1">
        <w:t>Evaluation Question</w:t>
      </w:r>
      <w:r w:rsidR="00A009B5">
        <w:t xml:space="preserve">. </w:t>
      </w:r>
      <w:r w:rsidRPr="00D857C5">
        <w:rPr>
          <w:bCs/>
          <w:iCs/>
        </w:rPr>
        <w:t xml:space="preserve">Attachment </w:t>
      </w:r>
      <w:r w:rsidR="00202F3C" w:rsidRPr="00D857C5">
        <w:rPr>
          <w:bCs/>
          <w:iCs/>
        </w:rPr>
        <w:t>6</w:t>
      </w:r>
      <w:r w:rsidR="003F396B" w:rsidRPr="00D857C5">
        <w:rPr>
          <w:bCs/>
          <w:iCs/>
        </w:rPr>
        <w:t>a</w:t>
      </w:r>
      <w:r w:rsidRPr="00E87C38">
        <w:t xml:space="preserve"> provides the questionnaire with a brief description of the rationale and source for each survey item.</w:t>
      </w:r>
      <w:r w:rsidR="00596558">
        <w:t xml:space="preserve"> </w:t>
      </w:r>
      <w:r w:rsidR="00202F3C">
        <w:t>Each</w:t>
      </w:r>
      <w:r w:rsidR="004E0B46">
        <w:t xml:space="preserve"> </w:t>
      </w:r>
      <w:r w:rsidR="003E3A59">
        <w:t xml:space="preserve">item is linked to a specific construct outlined in the conceptual model and items are mainly drawn from prior, validated, survey instruments and surveillance systems such as </w:t>
      </w:r>
      <w:r w:rsidR="00B923B0">
        <w:t xml:space="preserve">the </w:t>
      </w:r>
      <w:r w:rsidR="00AF7EEF">
        <w:t xml:space="preserve">state-based </w:t>
      </w:r>
      <w:r w:rsidR="00B923B0">
        <w:t>Behavioral Risk Factor Surveillance System (</w:t>
      </w:r>
      <w:r w:rsidR="003E3A59">
        <w:t>BRFSS</w:t>
      </w:r>
      <w:r w:rsidR="00B923B0">
        <w:t>)</w:t>
      </w:r>
      <w:r w:rsidR="003E3A59">
        <w:t>.</w:t>
      </w:r>
      <w:r w:rsidR="009A173B">
        <w:t xml:space="preserve"> </w:t>
      </w:r>
    </w:p>
    <w:p w:rsidR="00FD0382" w:rsidRPr="00775B7F" w:rsidRDefault="00AB0ECD" w:rsidP="009B3714">
      <w:pPr>
        <w:pStyle w:val="ExhibitTitle"/>
      </w:pPr>
      <w:bookmarkStart w:id="19" w:name="_Toc317244932"/>
      <w:bookmarkStart w:id="20" w:name="_Toc321745131"/>
      <w:r w:rsidRPr="00775B7F">
        <w:t xml:space="preserve">Exhibit </w:t>
      </w:r>
      <w:r w:rsidR="00ED37D6" w:rsidRPr="00775B7F">
        <w:t>A.</w:t>
      </w:r>
      <w:r w:rsidRPr="00775B7F">
        <w:t>1</w:t>
      </w:r>
      <w:r w:rsidR="00ED37D6" w:rsidRPr="00775B7F">
        <w:t>.1</w:t>
      </w:r>
      <w:r w:rsidR="00775B7F">
        <w:tab/>
      </w:r>
      <w:r w:rsidR="005A5D37" w:rsidRPr="00775B7F">
        <w:t>Conceptual Model of NPAO-related Media Campaign Effects</w:t>
      </w:r>
      <w:bookmarkEnd w:id="19"/>
      <w:bookmarkEnd w:id="20"/>
    </w:p>
    <w:p w:rsidR="0095344F" w:rsidRPr="004571DB" w:rsidRDefault="0007461A" w:rsidP="00775B7F">
      <w:pPr>
        <w:pStyle w:val="exhibitsource"/>
      </w:pPr>
      <w:r w:rsidRPr="001F6743">
        <w:object w:dxaOrig="11809" w:dyaOrig="5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9.4pt" o:ole="">
            <v:imagedata r:id="rId13" o:title=""/>
          </v:shape>
          <o:OLEObject Type="Embed" ProgID="Visio.Drawing.11" ShapeID="_x0000_i1025" DrawAspect="Content" ObjectID="_1429697250" r:id="rId14"/>
        </w:object>
      </w:r>
    </w:p>
    <w:p w:rsidR="00DB11B0" w:rsidRDefault="0085234C" w:rsidP="0095344F">
      <w:pPr>
        <w:pStyle w:val="BodyText"/>
      </w:pPr>
      <w:proofErr w:type="gramStart"/>
      <w:r w:rsidRPr="00775B7F">
        <w:rPr>
          <w:b/>
        </w:rPr>
        <w:t xml:space="preserve">Audience </w:t>
      </w:r>
      <w:r w:rsidR="00775B7F" w:rsidRPr="00775B7F">
        <w:rPr>
          <w:b/>
        </w:rPr>
        <w:t xml:space="preserve">Awareness </w:t>
      </w:r>
      <w:r w:rsidRPr="00775B7F">
        <w:rPr>
          <w:b/>
        </w:rPr>
        <w:t xml:space="preserve">and </w:t>
      </w:r>
      <w:r w:rsidR="00775B7F" w:rsidRPr="00775B7F">
        <w:rPr>
          <w:b/>
        </w:rPr>
        <w:t xml:space="preserve">Recall </w:t>
      </w:r>
      <w:r w:rsidRPr="00775B7F">
        <w:rPr>
          <w:b/>
        </w:rPr>
        <w:t xml:space="preserve">of </w:t>
      </w:r>
      <w:r w:rsidR="00775B7F" w:rsidRPr="00775B7F">
        <w:rPr>
          <w:b/>
        </w:rPr>
        <w:t>Campaigns</w:t>
      </w:r>
      <w:r w:rsidR="00C630B5" w:rsidRPr="00775B7F">
        <w:rPr>
          <w:b/>
        </w:rPr>
        <w:t>.</w:t>
      </w:r>
      <w:proofErr w:type="gramEnd"/>
      <w:r w:rsidR="00C630B5" w:rsidRPr="00775B7F">
        <w:rPr>
          <w:b/>
        </w:rPr>
        <w:t xml:space="preserve"> </w:t>
      </w:r>
      <w:r w:rsidR="006845EA" w:rsidRPr="00E87C38">
        <w:t xml:space="preserve">This study will rely on </w:t>
      </w:r>
      <w:r w:rsidR="00E4226C">
        <w:t xml:space="preserve">self-administered </w:t>
      </w:r>
      <w:r w:rsidR="006845EA" w:rsidRPr="00E87C38">
        <w:t>Web</w:t>
      </w:r>
      <w:r w:rsidR="006845EA">
        <w:t>-based</w:t>
      </w:r>
      <w:r w:rsidR="006845EA" w:rsidRPr="00E87C38">
        <w:t xml:space="preserve"> surveys </w:t>
      </w:r>
      <w:r w:rsidR="00A6005B">
        <w:t xml:space="preserve">using </w:t>
      </w:r>
      <w:r w:rsidR="00903118">
        <w:t>RN</w:t>
      </w:r>
      <w:r w:rsidR="00A6005B">
        <w:t>’s General Population panel</w:t>
      </w:r>
      <w:r w:rsidR="006845EA" w:rsidRPr="00E87C38">
        <w:t xml:space="preserve"> </w:t>
      </w:r>
      <w:r w:rsidR="006845EA">
        <w:t>(</w:t>
      </w:r>
      <w:r w:rsidR="004A2E74">
        <w:t>see</w:t>
      </w:r>
      <w:r w:rsidR="006845EA">
        <w:t xml:space="preserve"> </w:t>
      </w:r>
      <w:r w:rsidR="006845EA" w:rsidRPr="00D857C5">
        <w:t xml:space="preserve">Attachment 7 </w:t>
      </w:r>
      <w:r w:rsidR="006845EA">
        <w:t>for details about the panel).</w:t>
      </w:r>
      <w:r w:rsidR="006845EA" w:rsidRPr="00E87C38">
        <w:t xml:space="preserve"> </w:t>
      </w:r>
      <w:r w:rsidR="00774A08" w:rsidRPr="00E87C38">
        <w:t xml:space="preserve">The use of the </w:t>
      </w:r>
      <w:r w:rsidR="00071BCD">
        <w:t>RN</w:t>
      </w:r>
      <w:r w:rsidR="00774A08" w:rsidRPr="00E87C38">
        <w:t xml:space="preserve"> online panel for our </w:t>
      </w:r>
      <w:r w:rsidR="00745069" w:rsidRPr="00E87C38">
        <w:t>survey</w:t>
      </w:r>
      <w:r w:rsidR="00774A08" w:rsidRPr="00E87C38">
        <w:t xml:space="preserve"> provides distinct advantages over using telephone tracking surveys to measure </w:t>
      </w:r>
      <w:r w:rsidR="00551E56">
        <w:t xml:space="preserve">local </w:t>
      </w:r>
      <w:r w:rsidR="00774A08" w:rsidRPr="00E87C38">
        <w:t xml:space="preserve">media campaign awareness. First, it would be extremely challenging to </w:t>
      </w:r>
      <w:r w:rsidR="00FA659C" w:rsidRPr="00E87C38">
        <w:t xml:space="preserve">measure </w:t>
      </w:r>
      <w:r w:rsidR="00774A08" w:rsidRPr="00E87C38">
        <w:t xml:space="preserve">accurately and comprehensively self-reported awareness of all of </w:t>
      </w:r>
      <w:r w:rsidR="00551E56">
        <w:t>a</w:t>
      </w:r>
      <w:r w:rsidR="00774A08" w:rsidRPr="00E87C38">
        <w:t xml:space="preserve"> campaign’s a</w:t>
      </w:r>
      <w:r w:rsidR="00745069" w:rsidRPr="00E87C38">
        <w:t>dvertising via telephone surveys</w:t>
      </w:r>
      <w:r w:rsidR="00774A08" w:rsidRPr="00E87C38">
        <w:t xml:space="preserve"> because </w:t>
      </w:r>
      <w:r w:rsidR="00FA659C" w:rsidRPr="00E87C38">
        <w:t xml:space="preserve">this method </w:t>
      </w:r>
      <w:r w:rsidR="00774A08" w:rsidRPr="00E87C38">
        <w:t>lack</w:t>
      </w:r>
      <w:r w:rsidR="00FA659C" w:rsidRPr="00E87C38">
        <w:t>s</w:t>
      </w:r>
      <w:r w:rsidR="00774A08" w:rsidRPr="00E87C38">
        <w:t xml:space="preserve"> the capability of visual cues to prompt recognition. Furthermore, to measure confirmed awareness specifically, telephone surveys must rely on crude interviewer descriptions of the ads to cue participants’ recognition. Online surveys allow us to show any </w:t>
      </w:r>
      <w:r w:rsidR="00595825">
        <w:t xml:space="preserve">television </w:t>
      </w:r>
      <w:r w:rsidR="00774A08" w:rsidRPr="00E87C38">
        <w:t>campaign advertisement</w:t>
      </w:r>
      <w:r w:rsidR="003F78ED">
        <w:t xml:space="preserve"> </w:t>
      </w:r>
      <w:r w:rsidR="00774A08" w:rsidRPr="00E87C38">
        <w:t xml:space="preserve">directly to survey participants. Because respondents are not forced to rely strictly on memory recall of the ads, this facilitates a more accurate measurement of both ad recognition and cognitive receptivity to the ads. After viewing the materials, participants will be asked a series of questions to assess </w:t>
      </w:r>
      <w:r w:rsidR="00774A08" w:rsidRPr="00E87C38">
        <w:lastRenderedPageBreak/>
        <w:t xml:space="preserve">how frequently they have seen the materials. These individual self-reported awareness measures are typically strongly correlated with </w:t>
      </w:r>
      <w:r w:rsidRPr="00E87C38">
        <w:t>exogenous me</w:t>
      </w:r>
      <w:r w:rsidR="009A4852" w:rsidRPr="00E87C38">
        <w:t>asures of campaign reach (e.g.</w:t>
      </w:r>
      <w:r w:rsidR="00C630B5">
        <w:t>,</w:t>
      </w:r>
      <w:r w:rsidR="009A4852" w:rsidRPr="00E87C38">
        <w:t xml:space="preserve"> gross rating p</w:t>
      </w:r>
      <w:r w:rsidRPr="00E87C38">
        <w:t>oints</w:t>
      </w:r>
      <w:r w:rsidR="007B27FF" w:rsidRPr="00993C82">
        <w:rPr>
          <w:rStyle w:val="FootnoteReference"/>
          <w:rFonts w:cstheme="majorBidi"/>
          <w:vertAlign w:val="superscript"/>
        </w:rPr>
        <w:footnoteReference w:id="1"/>
      </w:r>
      <w:r w:rsidRPr="00E87C38">
        <w:t xml:space="preserve">). </w:t>
      </w:r>
      <w:r w:rsidR="00D324B5" w:rsidRPr="00E87C38">
        <w:t xml:space="preserve">Assessing audience awareness and recall of </w:t>
      </w:r>
      <w:r w:rsidR="00551E56">
        <w:t xml:space="preserve">local </w:t>
      </w:r>
      <w:r w:rsidR="00D324B5" w:rsidRPr="00E87C38">
        <w:t xml:space="preserve">media campaigns will </w:t>
      </w:r>
      <w:r w:rsidR="00EF258C" w:rsidRPr="00E87C38">
        <w:t xml:space="preserve">provide a key measure of campaign exposure to address </w:t>
      </w:r>
      <w:r w:rsidR="00AD6CB1">
        <w:t>Evaluation Question</w:t>
      </w:r>
      <w:r w:rsidR="00EF258C" w:rsidRPr="00E87C38">
        <w:t>s 1 and 2.</w:t>
      </w:r>
      <w:r w:rsidR="00596558">
        <w:t xml:space="preserve"> </w:t>
      </w:r>
    </w:p>
    <w:p w:rsidR="008F415F" w:rsidRDefault="0085234C" w:rsidP="0095344F">
      <w:pPr>
        <w:pStyle w:val="BodyText"/>
      </w:pPr>
      <w:proofErr w:type="gramStart"/>
      <w:r w:rsidRPr="00775B7F">
        <w:rPr>
          <w:b/>
          <w:bCs/>
        </w:rPr>
        <w:t xml:space="preserve">Reactions to and </w:t>
      </w:r>
      <w:r w:rsidR="00775B7F" w:rsidRPr="00775B7F">
        <w:rPr>
          <w:b/>
          <w:bCs/>
        </w:rPr>
        <w:t xml:space="preserve">Perceptions </w:t>
      </w:r>
      <w:r w:rsidRPr="00775B7F">
        <w:rPr>
          <w:b/>
          <w:bCs/>
        </w:rPr>
        <w:t xml:space="preserve">of </w:t>
      </w:r>
      <w:r w:rsidR="00775B7F" w:rsidRPr="00775B7F">
        <w:rPr>
          <w:b/>
          <w:bCs/>
        </w:rPr>
        <w:t>Campaign Messages</w:t>
      </w:r>
      <w:r w:rsidR="00774A08" w:rsidRPr="00775B7F">
        <w:rPr>
          <w:b/>
        </w:rPr>
        <w:t>.</w:t>
      </w:r>
      <w:proofErr w:type="gramEnd"/>
      <w:r w:rsidR="00774A08" w:rsidRPr="00775B7F">
        <w:t xml:space="preserve"> </w:t>
      </w:r>
      <w:r w:rsidR="00774A08" w:rsidRPr="00E87C38">
        <w:t>Health communication researchers have argued that the mere presence of ads does not guarantee that target audiences have engaged with the messages in any meaningful way.</w:t>
      </w:r>
      <w:r w:rsidR="007515C9">
        <w:rPr>
          <w:vertAlign w:val="superscript"/>
        </w:rPr>
        <w:t>4</w:t>
      </w:r>
      <w:r w:rsidR="00774A08" w:rsidRPr="004A2E74">
        <w:rPr>
          <w:vertAlign w:val="superscript"/>
        </w:rPr>
        <w:t xml:space="preserve"> </w:t>
      </w:r>
      <w:r w:rsidR="00774A08" w:rsidRPr="00E87C38">
        <w:t xml:space="preserve">Messages must not only be viewed and remembered but also attended to, understood, and perceived as </w:t>
      </w:r>
      <w:r w:rsidR="001505B0" w:rsidRPr="00E87C38">
        <w:t>persuasive</w:t>
      </w:r>
      <w:r w:rsidR="00774A08" w:rsidRPr="00E87C38">
        <w:t xml:space="preserve"> For example, the </w:t>
      </w:r>
      <w:r w:rsidR="0037000F">
        <w:t>“</w:t>
      </w:r>
      <w:r w:rsidR="00774A08" w:rsidRPr="00E87C38">
        <w:t>elaboration likelihood model</w:t>
      </w:r>
      <w:r w:rsidR="0037000F">
        <w:t>”</w:t>
      </w:r>
      <w:r w:rsidR="00774A08" w:rsidRPr="00E87C38">
        <w:t xml:space="preserve"> notes that </w:t>
      </w:r>
      <w:r w:rsidR="005364F2" w:rsidRPr="00E87C38">
        <w:t xml:space="preserve">for a message to be persuasive </w:t>
      </w:r>
      <w:r w:rsidR="00774A08" w:rsidRPr="00E87C38">
        <w:t xml:space="preserve">it must be fully attended to by the viewer and the message content must be </w:t>
      </w:r>
      <w:r w:rsidR="001258DE">
        <w:t xml:space="preserve">cognitively </w:t>
      </w:r>
      <w:r w:rsidR="001505B0" w:rsidRPr="00E87C38">
        <w:t>processed</w:t>
      </w:r>
      <w:r w:rsidR="00774A08" w:rsidRPr="00E87C38">
        <w:t xml:space="preserve"> Thus, attitudinal changes are, to a certain extent, a function of the level of cognitive processing or “elaboration” that occurs in response to a campaign message. As a result, a wide body of research in the health communication literature has emerged to establish measures of “ad receptivity,” and this research has demonstrated that </w:t>
      </w:r>
      <w:r w:rsidR="001258DE">
        <w:t>ad receptivity</w:t>
      </w:r>
      <w:r w:rsidR="001258DE" w:rsidRPr="00E87C38">
        <w:t xml:space="preserve"> </w:t>
      </w:r>
      <w:r w:rsidR="00774A08" w:rsidRPr="00E87C38">
        <w:t>measures predict changes in attitudes about the topic.</w:t>
      </w:r>
      <w:r w:rsidR="00F34C07" w:rsidRPr="00F56750">
        <w:rPr>
          <w:vertAlign w:val="superscript"/>
        </w:rPr>
        <w:fldChar w:fldCharType="begin"/>
      </w:r>
      <w:r w:rsidR="00F34C07" w:rsidRPr="00F56750">
        <w:rPr>
          <w:vertAlign w:val="superscript"/>
        </w:rPr>
        <w:instrText xml:space="preserve"> REF _Ref321736765 \r \h  \* MERGEFORMAT </w:instrText>
      </w:r>
      <w:r w:rsidR="00F34C07" w:rsidRPr="00F56750">
        <w:rPr>
          <w:vertAlign w:val="superscript"/>
        </w:rPr>
      </w:r>
      <w:r w:rsidR="00F34C07" w:rsidRPr="00F56750">
        <w:rPr>
          <w:vertAlign w:val="superscript"/>
        </w:rPr>
        <w:fldChar w:fldCharType="separate"/>
      </w:r>
      <w:r w:rsidR="00832DC6" w:rsidRPr="00F56750">
        <w:rPr>
          <w:vertAlign w:val="superscript"/>
        </w:rPr>
        <w:t>7</w:t>
      </w:r>
      <w:r w:rsidR="00F34C07" w:rsidRPr="00F56750">
        <w:rPr>
          <w:vertAlign w:val="superscript"/>
        </w:rPr>
        <w:fldChar w:fldCharType="end"/>
      </w:r>
      <w:proofErr w:type="gramStart"/>
      <w:r w:rsidR="00D63F29" w:rsidRPr="003F78ED">
        <w:rPr>
          <w:vertAlign w:val="superscript"/>
        </w:rPr>
        <w:t>,</w:t>
      </w:r>
      <w:proofErr w:type="gramEnd"/>
      <w:r w:rsidR="00A62988" w:rsidRPr="003F78ED">
        <w:rPr>
          <w:vertAlign w:val="superscript"/>
        </w:rPr>
        <w:fldChar w:fldCharType="begin"/>
      </w:r>
      <w:r w:rsidR="00BF313D" w:rsidRPr="003F78ED">
        <w:rPr>
          <w:vertAlign w:val="superscript"/>
        </w:rPr>
        <w:instrText xml:space="preserve"> REF _Ref248053963 \r \h  \* MERGEFORMAT </w:instrText>
      </w:r>
      <w:r w:rsidR="00A62988" w:rsidRPr="003F78ED">
        <w:rPr>
          <w:vertAlign w:val="superscript"/>
        </w:rPr>
      </w:r>
      <w:r w:rsidR="00A62988" w:rsidRPr="003F78ED">
        <w:rPr>
          <w:vertAlign w:val="superscript"/>
        </w:rPr>
        <w:fldChar w:fldCharType="separate"/>
      </w:r>
      <w:r w:rsidR="00832DC6">
        <w:rPr>
          <w:vertAlign w:val="superscript"/>
        </w:rPr>
        <w:t>8</w:t>
      </w:r>
      <w:r w:rsidR="00A62988" w:rsidRPr="003F78ED">
        <w:rPr>
          <w:vertAlign w:val="superscript"/>
        </w:rPr>
        <w:fldChar w:fldCharType="end"/>
      </w:r>
      <w:r w:rsidR="00774A08" w:rsidRPr="00E87C38">
        <w:t xml:space="preserve"> In applying this to our evaluation of NPAO-targeted media campaigns, </w:t>
      </w:r>
      <w:r w:rsidRPr="00E87C38">
        <w:t>the proposed survey</w:t>
      </w:r>
      <w:r w:rsidR="00774A08" w:rsidRPr="00E87C38">
        <w:t xml:space="preserve"> will include multiple measures of receptivity to specific campaign media materials. These measures will gauge the perceived persuasiveness of campaign messages, perceptions of the salience of campaign messages, and other general impressions about the campaign. </w:t>
      </w:r>
      <w:r w:rsidR="00EF258C" w:rsidRPr="00E87C38">
        <w:t xml:space="preserve">These </w:t>
      </w:r>
      <w:r w:rsidR="005F72E8" w:rsidRPr="00E87C38">
        <w:t>measures</w:t>
      </w:r>
      <w:r w:rsidR="00EF258C" w:rsidRPr="00E87C38">
        <w:t xml:space="preserve"> will </w:t>
      </w:r>
      <w:r w:rsidR="005F72E8" w:rsidRPr="00E87C38">
        <w:t>enable us to assess</w:t>
      </w:r>
      <w:r w:rsidR="00EF258C" w:rsidRPr="00E87C38">
        <w:t xml:space="preserve"> key proximal cognitive outcome</w:t>
      </w:r>
      <w:r w:rsidR="005F72E8" w:rsidRPr="00E87C38">
        <w:t xml:space="preserve">s </w:t>
      </w:r>
      <w:r w:rsidR="00EF258C" w:rsidRPr="00E87C38">
        <w:t xml:space="preserve">that </w:t>
      </w:r>
      <w:r w:rsidR="001258DE">
        <w:t>are</w:t>
      </w:r>
      <w:r w:rsidR="00EF258C" w:rsidRPr="00E87C38">
        <w:t xml:space="preserve"> vital to addressing </w:t>
      </w:r>
      <w:r w:rsidR="00AD6CB1">
        <w:t>Evaluation Question</w:t>
      </w:r>
      <w:r w:rsidR="005F72E8" w:rsidRPr="00E87C38">
        <w:t xml:space="preserve"> 3. </w:t>
      </w:r>
    </w:p>
    <w:p w:rsidR="005A5D37" w:rsidRDefault="00213F58" w:rsidP="0095344F">
      <w:pPr>
        <w:pStyle w:val="BodyText"/>
      </w:pPr>
      <w:proofErr w:type="gramStart"/>
      <w:r w:rsidRPr="00775B7F">
        <w:rPr>
          <w:b/>
          <w:bCs/>
          <w:iCs/>
        </w:rPr>
        <w:t>K</w:t>
      </w:r>
      <w:r w:rsidR="00B54072" w:rsidRPr="00775B7F">
        <w:rPr>
          <w:b/>
          <w:bCs/>
          <w:iCs/>
        </w:rPr>
        <w:t xml:space="preserve">nowledge, </w:t>
      </w:r>
      <w:r w:rsidR="00775B7F" w:rsidRPr="00775B7F">
        <w:rPr>
          <w:b/>
          <w:bCs/>
          <w:iCs/>
        </w:rPr>
        <w:t>Attitudes</w:t>
      </w:r>
      <w:r w:rsidR="00B54072" w:rsidRPr="00775B7F">
        <w:rPr>
          <w:b/>
          <w:bCs/>
          <w:iCs/>
        </w:rPr>
        <w:t xml:space="preserve">, </w:t>
      </w:r>
      <w:r w:rsidRPr="00775B7F">
        <w:rPr>
          <w:b/>
          <w:bCs/>
          <w:iCs/>
        </w:rPr>
        <w:t xml:space="preserve">and </w:t>
      </w:r>
      <w:r w:rsidR="00775B7F" w:rsidRPr="00775B7F">
        <w:rPr>
          <w:b/>
          <w:bCs/>
          <w:iCs/>
        </w:rPr>
        <w:t xml:space="preserve">Beliefs </w:t>
      </w:r>
      <w:r w:rsidRPr="00775B7F">
        <w:rPr>
          <w:b/>
          <w:bCs/>
          <w:iCs/>
        </w:rPr>
        <w:t>about NPAO</w:t>
      </w:r>
      <w:r w:rsidR="00B54072" w:rsidRPr="00775B7F">
        <w:rPr>
          <w:b/>
          <w:bCs/>
          <w:iCs/>
        </w:rPr>
        <w:t xml:space="preserve">, and </w:t>
      </w:r>
      <w:r w:rsidR="00775B7F" w:rsidRPr="00775B7F">
        <w:rPr>
          <w:b/>
          <w:bCs/>
          <w:iCs/>
        </w:rPr>
        <w:t xml:space="preserve">Intentions </w:t>
      </w:r>
      <w:r w:rsidR="00B54072" w:rsidRPr="00775B7F">
        <w:rPr>
          <w:b/>
          <w:bCs/>
          <w:iCs/>
        </w:rPr>
        <w:t xml:space="preserve">to </w:t>
      </w:r>
      <w:r w:rsidR="00775B7F" w:rsidRPr="00775B7F">
        <w:rPr>
          <w:b/>
          <w:bCs/>
          <w:iCs/>
        </w:rPr>
        <w:t xml:space="preserve">Change </w:t>
      </w:r>
      <w:r w:rsidR="00B54072" w:rsidRPr="00775B7F">
        <w:rPr>
          <w:b/>
          <w:bCs/>
          <w:iCs/>
        </w:rPr>
        <w:t xml:space="preserve">NPAO-related </w:t>
      </w:r>
      <w:r w:rsidR="00775B7F" w:rsidRPr="00775B7F">
        <w:rPr>
          <w:b/>
          <w:bCs/>
          <w:iCs/>
        </w:rPr>
        <w:t>Behaviors</w:t>
      </w:r>
      <w:r w:rsidR="00B54072" w:rsidRPr="00775B7F">
        <w:rPr>
          <w:b/>
          <w:bCs/>
          <w:iCs/>
        </w:rPr>
        <w:t>.</w:t>
      </w:r>
      <w:proofErr w:type="gramEnd"/>
      <w:r w:rsidR="00B54072" w:rsidRPr="00775B7F">
        <w:rPr>
          <w:b/>
          <w:bCs/>
          <w:iCs/>
        </w:rPr>
        <w:t xml:space="preserve"> </w:t>
      </w:r>
      <w:r w:rsidR="008F415F" w:rsidRPr="00E87C38">
        <w:t xml:space="preserve">A challenge with evaluating media campaigns is the substantial lag-time between media exposure and </w:t>
      </w:r>
      <w:r w:rsidR="00B54072" w:rsidRPr="00E87C38">
        <w:t xml:space="preserve">subsequent </w:t>
      </w:r>
      <w:r w:rsidR="008F415F" w:rsidRPr="00E87C38">
        <w:t>changes in behavior</w:t>
      </w:r>
      <w:r w:rsidR="00B54072" w:rsidRPr="00E87C38">
        <w:t>s</w:t>
      </w:r>
      <w:r w:rsidR="008F415F" w:rsidRPr="00E87C38">
        <w:t xml:space="preserve"> and long-term outcomes such as reductions in obesity and chronic disease prevale</w:t>
      </w:r>
      <w:r w:rsidR="00B54072" w:rsidRPr="00E87C38">
        <w:t>nce.</w:t>
      </w:r>
      <w:r w:rsidR="00596558">
        <w:t xml:space="preserve"> </w:t>
      </w:r>
      <w:r w:rsidR="008F415F" w:rsidRPr="00E87C38">
        <w:t xml:space="preserve">Demonstrating changes in </w:t>
      </w:r>
      <w:r w:rsidR="00B54072" w:rsidRPr="00E87C38">
        <w:t>NPAO-related behaviors may take several years.</w:t>
      </w:r>
      <w:r w:rsidR="00596558">
        <w:t xml:space="preserve"> </w:t>
      </w:r>
      <w:r w:rsidR="00B54072" w:rsidRPr="00E87C38">
        <w:t xml:space="preserve">Therefore, </w:t>
      </w:r>
      <w:r w:rsidR="00CB7B3B" w:rsidRPr="00E87C38">
        <w:t>in addition to examining campaign impact on behavior, it is also important to assess antecedents of behavior such as knowledge, attitudes, beliefs, and intentions.</w:t>
      </w:r>
      <w:r w:rsidR="00F34C07" w:rsidRPr="00F56750">
        <w:rPr>
          <w:vertAlign w:val="superscript"/>
        </w:rPr>
        <w:fldChar w:fldCharType="begin"/>
      </w:r>
      <w:r w:rsidR="00F34C07" w:rsidRPr="00F56750">
        <w:rPr>
          <w:vertAlign w:val="superscript"/>
        </w:rPr>
        <w:instrText xml:space="preserve"> REF _Ref321736774 \r \h  \* MERGEFORMAT </w:instrText>
      </w:r>
      <w:r w:rsidR="00F34C07" w:rsidRPr="00F56750">
        <w:rPr>
          <w:vertAlign w:val="superscript"/>
        </w:rPr>
      </w:r>
      <w:r w:rsidR="00F34C07" w:rsidRPr="00F56750">
        <w:rPr>
          <w:vertAlign w:val="superscript"/>
        </w:rPr>
        <w:fldChar w:fldCharType="separate"/>
      </w:r>
      <w:r w:rsidR="00832DC6" w:rsidRPr="00F56750">
        <w:rPr>
          <w:vertAlign w:val="superscript"/>
        </w:rPr>
        <w:t>9</w:t>
      </w:r>
      <w:r w:rsidR="00F34C07" w:rsidRPr="00F56750">
        <w:rPr>
          <w:vertAlign w:val="superscript"/>
        </w:rPr>
        <w:fldChar w:fldCharType="end"/>
      </w:r>
      <w:r w:rsidR="00596558">
        <w:t xml:space="preserve"> </w:t>
      </w:r>
      <w:r w:rsidR="00CA47E3" w:rsidRPr="00E87C38">
        <w:t>Our selection of survey items in these domains has been guided</w:t>
      </w:r>
      <w:r w:rsidR="00CB7B3B" w:rsidRPr="00E87C38">
        <w:t xml:space="preserve"> by a set of </w:t>
      </w:r>
      <w:r w:rsidR="005D0666" w:rsidRPr="00E87C38">
        <w:t>related theories of health behavior change, including social cognitive theory,</w:t>
      </w:r>
      <w:r w:rsidR="00F34C07">
        <w:fldChar w:fldCharType="begin"/>
      </w:r>
      <w:r w:rsidR="00F34C07">
        <w:instrText xml:space="preserve"> REF _Ref321736779 \r \h  \* MERGEFORMAT </w:instrText>
      </w:r>
      <w:r w:rsidR="00F34C07">
        <w:fldChar w:fldCharType="separate"/>
      </w:r>
      <w:r w:rsidR="00832DC6">
        <w:rPr>
          <w:vertAlign w:val="superscript"/>
        </w:rPr>
        <w:t>10</w:t>
      </w:r>
      <w:r w:rsidR="00F34C07">
        <w:fldChar w:fldCharType="end"/>
      </w:r>
      <w:r w:rsidR="005D0666" w:rsidRPr="004A2E74">
        <w:rPr>
          <w:vertAlign w:val="superscript"/>
        </w:rPr>
        <w:t xml:space="preserve"> </w:t>
      </w:r>
      <w:r w:rsidR="005D0666" w:rsidRPr="00E87C38">
        <w:t>the theory of reasoned action,</w:t>
      </w:r>
      <w:r w:rsidR="00F34C07">
        <w:fldChar w:fldCharType="begin"/>
      </w:r>
      <w:r w:rsidR="00F34C07">
        <w:instrText xml:space="preserve"> REF _Ref321736788 \r \h  \* MERGEFORMAT </w:instrText>
      </w:r>
      <w:r w:rsidR="00F34C07">
        <w:fldChar w:fldCharType="separate"/>
      </w:r>
      <w:r w:rsidR="00832DC6">
        <w:rPr>
          <w:vertAlign w:val="superscript"/>
        </w:rPr>
        <w:t>11</w:t>
      </w:r>
      <w:r w:rsidR="00F34C07">
        <w:fldChar w:fldCharType="end"/>
      </w:r>
      <w:r w:rsidR="005D0666" w:rsidRPr="00E87C38">
        <w:t xml:space="preserve"> the health belief model,</w:t>
      </w:r>
      <w:r w:rsidR="00F34C07">
        <w:fldChar w:fldCharType="begin"/>
      </w:r>
      <w:r w:rsidR="00F34C07">
        <w:instrText xml:space="preserve"> REF _Ref321736793 \r \h  \* MERGEFORMAT </w:instrText>
      </w:r>
      <w:r w:rsidR="00F34C07">
        <w:fldChar w:fldCharType="separate"/>
      </w:r>
      <w:r w:rsidR="00832DC6" w:rsidRPr="00832DC6">
        <w:rPr>
          <w:vertAlign w:val="superscript"/>
        </w:rPr>
        <w:t>12</w:t>
      </w:r>
      <w:r w:rsidR="00F34C07">
        <w:fldChar w:fldCharType="end"/>
      </w:r>
      <w:r w:rsidR="005D0666" w:rsidRPr="00551E56">
        <w:rPr>
          <w:vertAlign w:val="superscript"/>
        </w:rPr>
        <w:t xml:space="preserve"> </w:t>
      </w:r>
      <w:r w:rsidR="005D0666" w:rsidRPr="00E87C38">
        <w:t xml:space="preserve">and the </w:t>
      </w:r>
      <w:proofErr w:type="spellStart"/>
      <w:r w:rsidR="005D0666" w:rsidRPr="00E87C38">
        <w:t>socioecological</w:t>
      </w:r>
      <w:proofErr w:type="spellEnd"/>
      <w:r w:rsidR="005D0666" w:rsidRPr="00E87C38">
        <w:t xml:space="preserve"> model.</w:t>
      </w:r>
      <w:r w:rsidR="00F34C07">
        <w:fldChar w:fldCharType="begin"/>
      </w:r>
      <w:r w:rsidR="00F34C07">
        <w:instrText xml:space="preserve"> REF _Ref321736799 \r \h  \* MERGEFORMAT </w:instrText>
      </w:r>
      <w:r w:rsidR="00F34C07">
        <w:fldChar w:fldCharType="separate"/>
      </w:r>
      <w:r w:rsidR="00832DC6" w:rsidRPr="00832DC6">
        <w:rPr>
          <w:vertAlign w:val="superscript"/>
        </w:rPr>
        <w:t>13</w:t>
      </w:r>
      <w:r w:rsidR="00F34C07">
        <w:fldChar w:fldCharType="end"/>
      </w:r>
      <w:r w:rsidR="005D0666" w:rsidRPr="00E87C38">
        <w:t xml:space="preserve"> These theoretical underpinnings </w:t>
      </w:r>
      <w:r w:rsidR="00CB7B3B" w:rsidRPr="00E87C38">
        <w:t>provide a</w:t>
      </w:r>
      <w:r w:rsidR="005D0666" w:rsidRPr="00E87C38">
        <w:t xml:space="preserve"> “roadmap” </w:t>
      </w:r>
      <w:r w:rsidR="00CA47E3" w:rsidRPr="00E87C38">
        <w:t>to guide selection of relevant measures of</w:t>
      </w:r>
      <w:r w:rsidR="005D0666" w:rsidRPr="00E87C38">
        <w:t xml:space="preserve"> the </w:t>
      </w:r>
      <w:r w:rsidR="00CA47E3" w:rsidRPr="00E87C38">
        <w:t>antecedent cognitive and social indicators</w:t>
      </w:r>
      <w:r w:rsidR="005D0666" w:rsidRPr="00E87C38">
        <w:t xml:space="preserve"> that affect </w:t>
      </w:r>
      <w:r w:rsidR="00CB7B3B" w:rsidRPr="00E87C38">
        <w:t>NPAO</w:t>
      </w:r>
      <w:r w:rsidR="005D0666" w:rsidRPr="00E87C38">
        <w:t>-related behavior and the necessary processes that must occur prior to changes in such behavior.</w:t>
      </w:r>
      <w:r w:rsidR="00596558">
        <w:t xml:space="preserve"> </w:t>
      </w:r>
      <w:r w:rsidR="005F72E8" w:rsidRPr="00E87C38">
        <w:t>Measures of knowledge, attitudes, and beliefs about NPAO, and intentions to change NPAO-related behaviors</w:t>
      </w:r>
      <w:r w:rsidR="00B923B0">
        <w:t>,</w:t>
      </w:r>
      <w:r w:rsidR="005F72E8" w:rsidRPr="00E87C38">
        <w:t xml:space="preserve"> will serve as key outcomes that are necessary to address </w:t>
      </w:r>
      <w:r w:rsidR="00AD6CB1">
        <w:t>Evaluation Question</w:t>
      </w:r>
      <w:r w:rsidR="005F72E8" w:rsidRPr="00E87C38">
        <w:t xml:space="preserve"> 1.</w:t>
      </w:r>
    </w:p>
    <w:p w:rsidR="005A5D37" w:rsidRDefault="005A5D37" w:rsidP="0095344F">
      <w:pPr>
        <w:pStyle w:val="BodyText"/>
      </w:pPr>
      <w:r w:rsidRPr="00775B7F">
        <w:rPr>
          <w:b/>
          <w:bCs/>
          <w:iCs/>
        </w:rPr>
        <w:t>Support for</w:t>
      </w:r>
      <w:r w:rsidR="004A7A38" w:rsidRPr="00775B7F">
        <w:rPr>
          <w:b/>
          <w:bCs/>
          <w:iCs/>
        </w:rPr>
        <w:t xml:space="preserve"> NPAO-related </w:t>
      </w:r>
      <w:r w:rsidR="00775B7F" w:rsidRPr="00775B7F">
        <w:rPr>
          <w:b/>
          <w:bCs/>
          <w:iCs/>
        </w:rPr>
        <w:t>Policy</w:t>
      </w:r>
      <w:r w:rsidR="004A7A38" w:rsidRPr="00775B7F">
        <w:rPr>
          <w:b/>
          <w:bCs/>
          <w:iCs/>
        </w:rPr>
        <w:t>/</w:t>
      </w:r>
      <w:r w:rsidR="00775B7F" w:rsidRPr="00775B7F">
        <w:rPr>
          <w:b/>
          <w:bCs/>
          <w:iCs/>
        </w:rPr>
        <w:t>Environmental Change</w:t>
      </w:r>
      <w:r w:rsidR="004A7A38" w:rsidRPr="00775B7F">
        <w:rPr>
          <w:b/>
          <w:bCs/>
          <w:iCs/>
        </w:rPr>
        <w:t>.</w:t>
      </w:r>
      <w:r w:rsidR="00596558" w:rsidRPr="00775B7F">
        <w:t xml:space="preserve"> </w:t>
      </w:r>
      <w:r w:rsidR="004A7A38" w:rsidRPr="00E87C38">
        <w:t xml:space="preserve">Increased support for policy and environmental efforts to promote physical activity and healthy eating/drinking is a key objective of the </w:t>
      </w:r>
      <w:r w:rsidR="00551E56">
        <w:t xml:space="preserve">local </w:t>
      </w:r>
      <w:r w:rsidR="004A7A38" w:rsidRPr="00E87C38">
        <w:t>campaigns.</w:t>
      </w:r>
      <w:r w:rsidR="00596558">
        <w:t xml:space="preserve"> </w:t>
      </w:r>
      <w:r w:rsidR="004A7A38" w:rsidRPr="00E87C38">
        <w:t xml:space="preserve">Therefore, we have included survey items to measure support for </w:t>
      </w:r>
      <w:r w:rsidR="000029DD" w:rsidRPr="00E87C38">
        <w:t>proven policies and programs to prevent obesity</w:t>
      </w:r>
      <w:r w:rsidR="00196F38">
        <w:t>,</w:t>
      </w:r>
      <w:r w:rsidR="000029DD" w:rsidRPr="00E87C38">
        <w:t xml:space="preserve"> </w:t>
      </w:r>
      <w:r w:rsidR="004A7A38" w:rsidRPr="00E87C38">
        <w:t xml:space="preserve">and </w:t>
      </w:r>
      <w:r w:rsidR="00196F38">
        <w:t xml:space="preserve">to </w:t>
      </w:r>
      <w:r w:rsidR="004A7A38" w:rsidRPr="00E87C38">
        <w:t xml:space="preserve">examine potential associations between media exposure and </w:t>
      </w:r>
      <w:r w:rsidR="00196F38">
        <w:t>policy</w:t>
      </w:r>
      <w:r w:rsidR="00196F38" w:rsidRPr="00E87C38">
        <w:t xml:space="preserve"> </w:t>
      </w:r>
      <w:r w:rsidR="004A7A38" w:rsidRPr="00E87C38">
        <w:t>support.</w:t>
      </w:r>
      <w:r w:rsidR="00596558">
        <w:t xml:space="preserve"> </w:t>
      </w:r>
      <w:r w:rsidR="005F72E8" w:rsidRPr="00E87C38">
        <w:t xml:space="preserve">These measures will serve as key outcomes necessary to address </w:t>
      </w:r>
      <w:r w:rsidR="00AD6CB1">
        <w:t>Evaluation Question</w:t>
      </w:r>
      <w:r w:rsidR="005F72E8" w:rsidRPr="00E87C38">
        <w:t xml:space="preserve"> 2. </w:t>
      </w:r>
    </w:p>
    <w:p w:rsidR="00774A08" w:rsidRDefault="007B1762" w:rsidP="0095344F">
      <w:pPr>
        <w:pStyle w:val="BodyText"/>
      </w:pPr>
      <w:proofErr w:type="gramStart"/>
      <w:r w:rsidRPr="00775B7F">
        <w:rPr>
          <w:b/>
          <w:bCs/>
          <w:iCs/>
        </w:rPr>
        <w:lastRenderedPageBreak/>
        <w:t xml:space="preserve">NPAO-related </w:t>
      </w:r>
      <w:r w:rsidR="00775B7F" w:rsidRPr="00775B7F">
        <w:rPr>
          <w:b/>
          <w:bCs/>
          <w:iCs/>
        </w:rPr>
        <w:t>Behaviors</w:t>
      </w:r>
      <w:r w:rsidRPr="00775B7F">
        <w:rPr>
          <w:b/>
          <w:bCs/>
          <w:iCs/>
        </w:rPr>
        <w:t>.</w:t>
      </w:r>
      <w:proofErr w:type="gramEnd"/>
      <w:r w:rsidRPr="00E87C38">
        <w:t xml:space="preserve"> The survey includes several items to assess NPAO-related behaviors, including fruit</w:t>
      </w:r>
      <w:r w:rsidR="00C14116" w:rsidRPr="00E87C38">
        <w:t>,</w:t>
      </w:r>
      <w:r w:rsidRPr="00E87C38">
        <w:t xml:space="preserve"> </w:t>
      </w:r>
      <w:proofErr w:type="gramStart"/>
      <w:r w:rsidR="00C10F9B" w:rsidRPr="00E87C38">
        <w:t>vegetable</w:t>
      </w:r>
      <w:r w:rsidR="004A2E74">
        <w:t>,</w:t>
      </w:r>
      <w:proofErr w:type="gramEnd"/>
      <w:r w:rsidRPr="00E87C38">
        <w:t xml:space="preserve"> </w:t>
      </w:r>
      <w:r w:rsidR="002206A0" w:rsidRPr="00E87C38">
        <w:t xml:space="preserve">and healthy beverage </w:t>
      </w:r>
      <w:r w:rsidRPr="00E87C38">
        <w:t>consumption</w:t>
      </w:r>
      <w:r w:rsidR="00C630B5">
        <w:t>;</w:t>
      </w:r>
      <w:r w:rsidR="00C630B5" w:rsidRPr="00E87C38">
        <w:t xml:space="preserve"> </w:t>
      </w:r>
      <w:r w:rsidRPr="00E87C38">
        <w:t>physical activity</w:t>
      </w:r>
      <w:r w:rsidR="00C630B5">
        <w:t>;</w:t>
      </w:r>
      <w:r w:rsidR="00C630B5" w:rsidRPr="00E87C38">
        <w:t xml:space="preserve"> </w:t>
      </w:r>
      <w:r w:rsidRPr="00E87C38">
        <w:t>and consumption of unhealthy foods and beverages</w:t>
      </w:r>
      <w:r w:rsidR="002206A0" w:rsidRPr="00E87C38">
        <w:rPr>
          <w:rStyle w:val="CommentReference"/>
          <w:rFonts w:cstheme="majorBidi"/>
          <w:sz w:val="24"/>
          <w:szCs w:val="24"/>
        </w:rPr>
        <w:t>.</w:t>
      </w:r>
      <w:r w:rsidR="00596558">
        <w:rPr>
          <w:rStyle w:val="CommentReference"/>
          <w:rFonts w:cstheme="majorBidi"/>
          <w:sz w:val="24"/>
          <w:szCs w:val="24"/>
        </w:rPr>
        <w:t xml:space="preserve"> </w:t>
      </w:r>
      <w:r w:rsidR="002206A0" w:rsidRPr="00E87C38">
        <w:rPr>
          <w:rStyle w:val="CommentReference"/>
          <w:rFonts w:cstheme="majorBidi"/>
          <w:sz w:val="24"/>
          <w:szCs w:val="24"/>
        </w:rPr>
        <w:t>T</w:t>
      </w:r>
      <w:r w:rsidRPr="00E87C38">
        <w:t>hese behaviors are associated with obesity and represent an important target for the media campaigns and other CTG efforts.</w:t>
      </w:r>
      <w:r w:rsidR="00596558">
        <w:t xml:space="preserve"> </w:t>
      </w:r>
      <w:r w:rsidR="003D6306" w:rsidRPr="00E87C38">
        <w:t xml:space="preserve">These </w:t>
      </w:r>
      <w:r w:rsidR="001258DE">
        <w:t xml:space="preserve">items </w:t>
      </w:r>
      <w:r w:rsidR="003E3A59">
        <w:t xml:space="preserve">are mainly drawn from </w:t>
      </w:r>
      <w:r w:rsidR="001258DE">
        <w:t>existing</w:t>
      </w:r>
      <w:r w:rsidR="003E3A59">
        <w:t xml:space="preserve">, validated, survey instruments and surveillance systems such as </w:t>
      </w:r>
      <w:r w:rsidR="00AF7EEF">
        <w:t xml:space="preserve">the state-based </w:t>
      </w:r>
      <w:r w:rsidR="003E3A59">
        <w:t>BRFSS</w:t>
      </w:r>
      <w:r w:rsidR="00A6005B">
        <w:t>, the International Physical Activity Questionnaire, PACE Questionnaire,</w:t>
      </w:r>
      <w:r w:rsidR="00A6005B" w:rsidRPr="00A6005B">
        <w:t xml:space="preserve"> </w:t>
      </w:r>
      <w:r w:rsidR="0051599C">
        <w:t xml:space="preserve">and the </w:t>
      </w:r>
      <w:r w:rsidR="00A6005B" w:rsidRPr="00A6005B">
        <w:t xml:space="preserve">CKG! </w:t>
      </w:r>
      <w:proofErr w:type="gramStart"/>
      <w:r w:rsidR="00A6005B" w:rsidRPr="00A6005B">
        <w:t>Healthy Living Awareness Survey</w:t>
      </w:r>
      <w:r w:rsidR="00A6005B">
        <w:t>.</w:t>
      </w:r>
      <w:proofErr w:type="gramEnd"/>
      <w:r w:rsidR="00B3578B">
        <w:t xml:space="preserve"> </w:t>
      </w:r>
      <w:r w:rsidR="00A6005B">
        <w:t>These items</w:t>
      </w:r>
      <w:r w:rsidR="00A6005B" w:rsidRPr="00A6005B">
        <w:t xml:space="preserve"> </w:t>
      </w:r>
      <w:r w:rsidR="003D6306" w:rsidRPr="00E87C38">
        <w:t xml:space="preserve">will serve as key outcomes necessary to address </w:t>
      </w:r>
      <w:r w:rsidR="00AD6CB1">
        <w:t>Evaluation Question</w:t>
      </w:r>
      <w:r w:rsidR="003D6306" w:rsidRPr="00E87C38">
        <w:t xml:space="preserve"> 1.</w:t>
      </w:r>
      <w:r w:rsidR="009A173B">
        <w:t xml:space="preserve"> </w:t>
      </w:r>
    </w:p>
    <w:p w:rsidR="00F81406" w:rsidRDefault="001029B1" w:rsidP="00971D8D">
      <w:pPr>
        <w:pStyle w:val="BodyText"/>
      </w:pPr>
      <w:proofErr w:type="gramStart"/>
      <w:r w:rsidRPr="00775B7F">
        <w:rPr>
          <w:b/>
          <w:bCs/>
          <w:iCs/>
        </w:rPr>
        <w:t xml:space="preserve">Sociodemographic </w:t>
      </w:r>
      <w:r w:rsidR="00775B7F" w:rsidRPr="00775B7F">
        <w:rPr>
          <w:b/>
          <w:bCs/>
          <w:iCs/>
        </w:rPr>
        <w:t>Characteristics</w:t>
      </w:r>
      <w:r w:rsidRPr="00775B7F">
        <w:rPr>
          <w:b/>
          <w:bCs/>
          <w:iCs/>
        </w:rPr>
        <w:t>.</w:t>
      </w:r>
      <w:proofErr w:type="gramEnd"/>
      <w:r w:rsidRPr="00775B7F">
        <w:t xml:space="preserve"> </w:t>
      </w:r>
      <w:r w:rsidRPr="00E87C38">
        <w:t xml:space="preserve">The survey includes several </w:t>
      </w:r>
      <w:r w:rsidR="005761DC" w:rsidRPr="00E87C38">
        <w:t xml:space="preserve">demographic measures taken from </w:t>
      </w:r>
      <w:r w:rsidRPr="00E87C38">
        <w:t xml:space="preserve">HHS data standards for the collection of race, ethnicity, sex, primary language, and disability status for self-reported data collected </w:t>
      </w:r>
      <w:r w:rsidR="00F463B2" w:rsidRPr="00E87C38">
        <w:t xml:space="preserve">through </w:t>
      </w:r>
      <w:r w:rsidRPr="00E87C38">
        <w:t>population-based health surveys</w:t>
      </w:r>
      <w:r w:rsidR="002206A0" w:rsidRPr="00E87C38">
        <w:t>.</w:t>
      </w:r>
      <w:r w:rsidR="00F34C07">
        <w:fldChar w:fldCharType="begin"/>
      </w:r>
      <w:r w:rsidR="00F34C07">
        <w:instrText xml:space="preserve"> REF _Ref321736864 \r \h  \* MERGEFORMAT </w:instrText>
      </w:r>
      <w:r w:rsidR="00F34C07">
        <w:fldChar w:fldCharType="separate"/>
      </w:r>
      <w:r w:rsidR="00832DC6" w:rsidRPr="00832DC6">
        <w:rPr>
          <w:vertAlign w:val="superscript"/>
        </w:rPr>
        <w:t>14</w:t>
      </w:r>
      <w:r w:rsidR="00F34C07">
        <w:fldChar w:fldCharType="end"/>
      </w:r>
      <w:r w:rsidR="00B3578B">
        <w:t xml:space="preserve"> </w:t>
      </w:r>
      <w:r w:rsidRPr="00E87C38">
        <w:t xml:space="preserve">Data standards were developed in accordance with </w:t>
      </w:r>
      <w:r w:rsidR="004A2E74" w:rsidRPr="00E87C38">
        <w:t xml:space="preserve">Section </w:t>
      </w:r>
      <w:r w:rsidRPr="00E87C38">
        <w:t xml:space="preserve">4302 of the </w:t>
      </w:r>
      <w:r w:rsidR="00C630B5">
        <w:t>ACA</w:t>
      </w:r>
      <w:r w:rsidR="0051599C">
        <w:t xml:space="preserve"> (Attachment 1f)</w:t>
      </w:r>
      <w:r w:rsidRPr="00E87C38">
        <w:t>.</w:t>
      </w:r>
      <w:r w:rsidR="00596558">
        <w:t xml:space="preserve"> </w:t>
      </w:r>
      <w:r w:rsidR="002253F3" w:rsidRPr="00E87C38">
        <w:t>In addition, the survey includes measures of sociodemographic and physical characteristics that may be associated with key outcomes and will need to be accounted for in analyses.</w:t>
      </w:r>
      <w:r w:rsidR="00596558">
        <w:t xml:space="preserve"> </w:t>
      </w:r>
      <w:r w:rsidR="002253F3" w:rsidRPr="00E87C38">
        <w:t xml:space="preserve">These measures will </w:t>
      </w:r>
      <w:r w:rsidR="003D6306" w:rsidRPr="00E87C38">
        <w:t>enable us to examine</w:t>
      </w:r>
      <w:r w:rsidR="002253F3" w:rsidRPr="00E87C38">
        <w:t xml:space="preserve"> differences </w:t>
      </w:r>
      <w:r w:rsidR="003D6306" w:rsidRPr="00E87C38">
        <w:t xml:space="preserve">in exposure and outcomes </w:t>
      </w:r>
      <w:r w:rsidR="002253F3" w:rsidRPr="00E87C38">
        <w:t xml:space="preserve">among population sub-groups and </w:t>
      </w:r>
      <w:r w:rsidR="003D6306" w:rsidRPr="00E87C38">
        <w:t xml:space="preserve">account for differences in sociodemographic characteristics in analyses relevant to </w:t>
      </w:r>
      <w:r w:rsidR="00AD6CB1">
        <w:t>Evaluation Question</w:t>
      </w:r>
      <w:r w:rsidR="003D6306" w:rsidRPr="00E87C38">
        <w:t xml:space="preserve">s 1, 2, and 3. </w:t>
      </w:r>
    </w:p>
    <w:p w:rsidR="00A009B5" w:rsidRPr="00AC78C7" w:rsidRDefault="00A009B5" w:rsidP="00F34C07">
      <w:pPr>
        <w:pStyle w:val="TableTitle"/>
        <w:spacing w:beforeLines="23" w:before="55" w:afterLines="23" w:after="55" w:line="276" w:lineRule="auto"/>
        <w:rPr>
          <w:rFonts w:ascii="Times New Roman" w:hAnsi="Times New Roman"/>
          <w:sz w:val="24"/>
          <w:szCs w:val="24"/>
        </w:rPr>
      </w:pPr>
      <w:r>
        <w:rPr>
          <w:rFonts w:ascii="Times New Roman" w:hAnsi="Times New Roman"/>
          <w:sz w:val="24"/>
          <w:szCs w:val="24"/>
        </w:rPr>
        <w:t>Exhibit A.1.2</w:t>
      </w:r>
      <w:r w:rsidRPr="00AC78C7">
        <w:rPr>
          <w:rFonts w:ascii="Times New Roman" w:hAnsi="Times New Roman"/>
          <w:sz w:val="24"/>
          <w:szCs w:val="24"/>
        </w:rPr>
        <w:tab/>
      </w:r>
      <w:r>
        <w:rPr>
          <w:rFonts w:ascii="Times New Roman" w:hAnsi="Times New Roman"/>
          <w:sz w:val="24"/>
          <w:szCs w:val="24"/>
        </w:rPr>
        <w:tab/>
      </w:r>
      <w:r w:rsidRPr="00AC78C7">
        <w:rPr>
          <w:rFonts w:ascii="Times New Roman" w:hAnsi="Times New Roman"/>
          <w:sz w:val="24"/>
          <w:szCs w:val="24"/>
        </w:rPr>
        <w:t>CTG Media Study Key Outcomes</w:t>
      </w:r>
    </w:p>
    <w:tbl>
      <w:tblPr>
        <w:tblpPr w:leftFromText="187" w:rightFromText="187" w:vertAnchor="text" w:horzAnchor="margin" w:tblpY="1"/>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86"/>
        <w:gridCol w:w="2068"/>
        <w:gridCol w:w="4233"/>
        <w:gridCol w:w="1798"/>
      </w:tblGrid>
      <w:tr w:rsidR="00A009B5" w:rsidRPr="009E608B" w:rsidTr="009E608B">
        <w:tc>
          <w:tcPr>
            <w:tcW w:w="685" w:type="pct"/>
            <w:vAlign w:val="center"/>
          </w:tcPr>
          <w:p w:rsidR="00E4226C" w:rsidRPr="009E608B" w:rsidRDefault="00AD6CB1" w:rsidP="004A2E74">
            <w:pPr>
              <w:rPr>
                <w:b/>
                <w:szCs w:val="22"/>
              </w:rPr>
            </w:pPr>
            <w:r w:rsidRPr="009E608B">
              <w:rPr>
                <w:b/>
                <w:sz w:val="22"/>
                <w:szCs w:val="22"/>
              </w:rPr>
              <w:t>Evaluation Question</w:t>
            </w:r>
          </w:p>
        </w:tc>
        <w:tc>
          <w:tcPr>
            <w:tcW w:w="1102" w:type="pct"/>
            <w:noWrap/>
            <w:vAlign w:val="center"/>
          </w:tcPr>
          <w:p w:rsidR="00E4226C" w:rsidRPr="009E608B" w:rsidRDefault="00A009B5" w:rsidP="004A2E74">
            <w:pPr>
              <w:rPr>
                <w:b/>
                <w:szCs w:val="22"/>
              </w:rPr>
            </w:pPr>
            <w:r w:rsidRPr="009E608B">
              <w:rPr>
                <w:b/>
                <w:sz w:val="22"/>
                <w:szCs w:val="22"/>
              </w:rPr>
              <w:t>Outcome</w:t>
            </w:r>
          </w:p>
          <w:p w:rsidR="00E4226C" w:rsidRPr="009E608B" w:rsidRDefault="00A009B5" w:rsidP="004A2E74">
            <w:pPr>
              <w:rPr>
                <w:b/>
                <w:szCs w:val="22"/>
              </w:rPr>
            </w:pPr>
            <w:r w:rsidRPr="009E608B">
              <w:rPr>
                <w:b/>
                <w:sz w:val="22"/>
                <w:szCs w:val="22"/>
              </w:rPr>
              <w:t>Indicator</w:t>
            </w:r>
          </w:p>
        </w:tc>
        <w:tc>
          <w:tcPr>
            <w:tcW w:w="2255" w:type="pct"/>
            <w:vAlign w:val="center"/>
          </w:tcPr>
          <w:p w:rsidR="00E4226C" w:rsidRPr="009E608B" w:rsidRDefault="00A009B5" w:rsidP="004A2E74">
            <w:pPr>
              <w:rPr>
                <w:b/>
                <w:szCs w:val="22"/>
              </w:rPr>
            </w:pPr>
            <w:r w:rsidRPr="009E608B">
              <w:rPr>
                <w:b/>
                <w:sz w:val="22"/>
                <w:szCs w:val="22"/>
              </w:rPr>
              <w:t>Operational Definition</w:t>
            </w:r>
          </w:p>
        </w:tc>
        <w:tc>
          <w:tcPr>
            <w:tcW w:w="958" w:type="pct"/>
            <w:noWrap/>
            <w:vAlign w:val="center"/>
          </w:tcPr>
          <w:p w:rsidR="00E4226C" w:rsidRPr="009E608B" w:rsidRDefault="00A009B5" w:rsidP="004A2E74">
            <w:pPr>
              <w:rPr>
                <w:b/>
                <w:szCs w:val="22"/>
              </w:rPr>
            </w:pPr>
            <w:r w:rsidRPr="009E608B">
              <w:rPr>
                <w:b/>
                <w:sz w:val="22"/>
                <w:szCs w:val="22"/>
              </w:rPr>
              <w:t>Measure(s) (survey item numbers)</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 xml:space="preserve">Meets CDC Physical Activity Guidelines for adult aerobic physical activity </w:t>
            </w:r>
          </w:p>
        </w:tc>
        <w:tc>
          <w:tcPr>
            <w:tcW w:w="2255" w:type="pct"/>
            <w:vAlign w:val="center"/>
          </w:tcPr>
          <w:p w:rsidR="00823068" w:rsidRDefault="00A009B5" w:rsidP="000A050F">
            <w:pPr>
              <w:rPr>
                <w:szCs w:val="22"/>
              </w:rPr>
            </w:pPr>
            <w:r w:rsidRPr="009E608B">
              <w:rPr>
                <w:sz w:val="22"/>
                <w:szCs w:val="22"/>
              </w:rPr>
              <w:t xml:space="preserve">150 minutes of </w:t>
            </w:r>
            <w:r w:rsidR="000A050F">
              <w:rPr>
                <w:sz w:val="22"/>
                <w:szCs w:val="22"/>
              </w:rPr>
              <w:t xml:space="preserve">weekly </w:t>
            </w:r>
            <w:r w:rsidRPr="009E608B">
              <w:rPr>
                <w:sz w:val="22"/>
                <w:szCs w:val="22"/>
              </w:rPr>
              <w:t>moderate-intensity aerobic activity, 75 minutes of vigorous-intensity aerobic activity, or an equivalent mix of both</w:t>
            </w:r>
            <w:r w:rsidR="00B3578B" w:rsidRPr="009E608B">
              <w:rPr>
                <w:sz w:val="22"/>
                <w:szCs w:val="22"/>
              </w:rPr>
              <w:t xml:space="preserve"> </w:t>
            </w:r>
            <w:r w:rsidRPr="009E608B">
              <w:rPr>
                <w:sz w:val="22"/>
                <w:szCs w:val="22"/>
              </w:rPr>
              <w:t>(categorical</w:t>
            </w:r>
            <w:r w:rsidR="004A2E74">
              <w:rPr>
                <w:sz w:val="22"/>
                <w:szCs w:val="22"/>
              </w:rPr>
              <w:t>—</w:t>
            </w:r>
            <w:r w:rsidRPr="009E608B">
              <w:rPr>
                <w:sz w:val="22"/>
                <w:szCs w:val="22"/>
              </w:rPr>
              <w:t>dichotomous)</w:t>
            </w:r>
          </w:p>
        </w:tc>
        <w:tc>
          <w:tcPr>
            <w:tcW w:w="958" w:type="pct"/>
            <w:noWrap/>
            <w:vAlign w:val="center"/>
          </w:tcPr>
          <w:p w:rsidR="00E4226C" w:rsidRPr="009E608B" w:rsidRDefault="00A009B5" w:rsidP="004A2E74">
            <w:pPr>
              <w:rPr>
                <w:szCs w:val="22"/>
              </w:rPr>
            </w:pPr>
            <w:r w:rsidRPr="009E608B">
              <w:rPr>
                <w:sz w:val="22"/>
                <w:szCs w:val="22"/>
              </w:rPr>
              <w:t>Measure constructed from A1, A2, A3, and A4</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Fruit and vegetable consumption</w:t>
            </w:r>
          </w:p>
        </w:tc>
        <w:tc>
          <w:tcPr>
            <w:tcW w:w="2255" w:type="pct"/>
            <w:vAlign w:val="center"/>
          </w:tcPr>
          <w:p w:rsidR="00823068" w:rsidRDefault="00A009B5">
            <w:pPr>
              <w:rPr>
                <w:szCs w:val="22"/>
              </w:rPr>
            </w:pPr>
            <w:r w:rsidRPr="009E608B">
              <w:rPr>
                <w:sz w:val="22"/>
                <w:szCs w:val="22"/>
              </w:rPr>
              <w:t xml:space="preserve">Consumes </w:t>
            </w:r>
            <w:r w:rsidR="0001632D">
              <w:rPr>
                <w:sz w:val="22"/>
                <w:szCs w:val="22"/>
              </w:rPr>
              <w:t>five</w:t>
            </w:r>
            <w:r w:rsidR="0001632D" w:rsidRPr="009E608B">
              <w:rPr>
                <w:sz w:val="22"/>
                <w:szCs w:val="22"/>
              </w:rPr>
              <w:t xml:space="preserve"> </w:t>
            </w:r>
            <w:r w:rsidRPr="009E608B">
              <w:rPr>
                <w:sz w:val="22"/>
                <w:szCs w:val="22"/>
              </w:rPr>
              <w:t xml:space="preserve">or more </w:t>
            </w:r>
            <w:r w:rsidR="000A050F">
              <w:rPr>
                <w:sz w:val="22"/>
                <w:szCs w:val="22"/>
              </w:rPr>
              <w:t xml:space="preserve">daily </w:t>
            </w:r>
            <w:r w:rsidRPr="009E608B">
              <w:rPr>
                <w:sz w:val="22"/>
                <w:szCs w:val="22"/>
              </w:rPr>
              <w:t>servings of fruit and vegetables (categorical</w:t>
            </w:r>
            <w:r w:rsidR="004A2E74">
              <w:rPr>
                <w:sz w:val="22"/>
                <w:szCs w:val="22"/>
              </w:rPr>
              <w:t>—</w:t>
            </w:r>
            <w:r w:rsidRPr="009E608B">
              <w:rPr>
                <w:sz w:val="22"/>
                <w:szCs w:val="22"/>
              </w:rPr>
              <w:t>dichotomous)</w:t>
            </w:r>
          </w:p>
        </w:tc>
        <w:tc>
          <w:tcPr>
            <w:tcW w:w="958" w:type="pct"/>
            <w:noWrap/>
            <w:vAlign w:val="center"/>
          </w:tcPr>
          <w:p w:rsidR="00E4226C" w:rsidRPr="009E608B" w:rsidRDefault="00A009B5" w:rsidP="004A2E74">
            <w:pPr>
              <w:rPr>
                <w:szCs w:val="22"/>
              </w:rPr>
            </w:pPr>
            <w:r w:rsidRPr="009E608B">
              <w:rPr>
                <w:sz w:val="22"/>
                <w:szCs w:val="22"/>
              </w:rPr>
              <w:t>A7</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Sugar-sweetened beverage consumption</w:t>
            </w:r>
          </w:p>
        </w:tc>
        <w:tc>
          <w:tcPr>
            <w:tcW w:w="2255" w:type="pct"/>
            <w:vAlign w:val="center"/>
          </w:tcPr>
          <w:p w:rsidR="00E4226C" w:rsidRPr="009E608B" w:rsidRDefault="00A009B5" w:rsidP="004A2E74">
            <w:pPr>
              <w:rPr>
                <w:szCs w:val="22"/>
              </w:rPr>
            </w:pPr>
            <w:r w:rsidRPr="009E608B">
              <w:rPr>
                <w:sz w:val="22"/>
                <w:szCs w:val="22"/>
              </w:rPr>
              <w:t>Average weekly consumption of soda or sugar-sweetened fruit drinks (continuous)</w:t>
            </w:r>
          </w:p>
        </w:tc>
        <w:tc>
          <w:tcPr>
            <w:tcW w:w="958" w:type="pct"/>
            <w:noWrap/>
            <w:vAlign w:val="center"/>
          </w:tcPr>
          <w:p w:rsidR="00E4226C" w:rsidRPr="009E608B" w:rsidRDefault="00A009B5" w:rsidP="004A2E74">
            <w:pPr>
              <w:rPr>
                <w:szCs w:val="22"/>
              </w:rPr>
            </w:pPr>
            <w:r w:rsidRPr="009E608B">
              <w:rPr>
                <w:sz w:val="22"/>
                <w:szCs w:val="22"/>
              </w:rPr>
              <w:t>Measure constructed from A11 and A12</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 xml:space="preserve">Intention to increase physical activity </w:t>
            </w:r>
          </w:p>
        </w:tc>
        <w:tc>
          <w:tcPr>
            <w:tcW w:w="2255" w:type="pct"/>
            <w:vAlign w:val="center"/>
          </w:tcPr>
          <w:p w:rsidR="00823068" w:rsidRDefault="00A009B5">
            <w:pPr>
              <w:rPr>
                <w:szCs w:val="22"/>
              </w:rPr>
            </w:pPr>
            <w:r w:rsidRPr="009E608B">
              <w:rPr>
                <w:sz w:val="22"/>
                <w:szCs w:val="22"/>
              </w:rPr>
              <w:t>No intention to increase physical activity; intends to within next 6 months; intends to in next 30 days (categorical</w:t>
            </w:r>
            <w:r w:rsidR="004A2E74">
              <w:rPr>
                <w:sz w:val="22"/>
                <w:szCs w:val="22"/>
              </w:rPr>
              <w:t>—</w:t>
            </w:r>
            <w:proofErr w:type="spellStart"/>
            <w:r w:rsidRPr="009E608B">
              <w:rPr>
                <w:sz w:val="22"/>
                <w:szCs w:val="22"/>
              </w:rPr>
              <w:t>trichotomous</w:t>
            </w:r>
            <w:proofErr w:type="spellEnd"/>
            <w:r w:rsidRPr="009E608B">
              <w:rPr>
                <w:sz w:val="22"/>
                <w:szCs w:val="22"/>
              </w:rPr>
              <w:t>)</w:t>
            </w:r>
          </w:p>
        </w:tc>
        <w:tc>
          <w:tcPr>
            <w:tcW w:w="958" w:type="pct"/>
            <w:noWrap/>
            <w:vAlign w:val="center"/>
          </w:tcPr>
          <w:p w:rsidR="00E4226C" w:rsidRPr="009E608B" w:rsidRDefault="00A009B5" w:rsidP="004A2E74">
            <w:pPr>
              <w:rPr>
                <w:szCs w:val="22"/>
              </w:rPr>
            </w:pPr>
            <w:r w:rsidRPr="009E608B">
              <w:rPr>
                <w:sz w:val="22"/>
                <w:szCs w:val="22"/>
              </w:rPr>
              <w:t>A14</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 xml:space="preserve">Intention to increase consumption of fruits and vegetables </w:t>
            </w:r>
          </w:p>
        </w:tc>
        <w:tc>
          <w:tcPr>
            <w:tcW w:w="2255" w:type="pct"/>
            <w:vAlign w:val="center"/>
          </w:tcPr>
          <w:p w:rsidR="00823068" w:rsidRDefault="00A009B5">
            <w:pPr>
              <w:rPr>
                <w:szCs w:val="22"/>
              </w:rPr>
            </w:pPr>
            <w:r w:rsidRPr="009E608B">
              <w:rPr>
                <w:sz w:val="22"/>
                <w:szCs w:val="22"/>
              </w:rPr>
              <w:t>No intention to increase consumption; intends to within next 6 months; intends to in next 30 days (categorical</w:t>
            </w:r>
            <w:r w:rsidR="0001632D">
              <w:rPr>
                <w:sz w:val="22"/>
                <w:szCs w:val="22"/>
              </w:rPr>
              <w:t>—</w:t>
            </w:r>
            <w:proofErr w:type="spellStart"/>
            <w:r w:rsidRPr="009E608B">
              <w:rPr>
                <w:sz w:val="22"/>
                <w:szCs w:val="22"/>
              </w:rPr>
              <w:t>trichotomous</w:t>
            </w:r>
            <w:proofErr w:type="spellEnd"/>
            <w:r w:rsidRPr="009E608B">
              <w:rPr>
                <w:sz w:val="22"/>
                <w:szCs w:val="22"/>
              </w:rPr>
              <w:t>)</w:t>
            </w:r>
          </w:p>
        </w:tc>
        <w:tc>
          <w:tcPr>
            <w:tcW w:w="958" w:type="pct"/>
            <w:noWrap/>
            <w:vAlign w:val="center"/>
          </w:tcPr>
          <w:p w:rsidR="00E4226C" w:rsidRPr="009E608B" w:rsidRDefault="00A009B5" w:rsidP="004A2E74">
            <w:pPr>
              <w:rPr>
                <w:szCs w:val="22"/>
              </w:rPr>
            </w:pPr>
            <w:r w:rsidRPr="009E608B">
              <w:rPr>
                <w:sz w:val="22"/>
                <w:szCs w:val="22"/>
              </w:rPr>
              <w:t>A15</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 xml:space="preserve">Intention to reduce consumption of sugar-sweetened beverages </w:t>
            </w:r>
          </w:p>
        </w:tc>
        <w:tc>
          <w:tcPr>
            <w:tcW w:w="2255" w:type="pct"/>
            <w:vAlign w:val="center"/>
          </w:tcPr>
          <w:p w:rsidR="00823068" w:rsidRDefault="00A009B5">
            <w:pPr>
              <w:rPr>
                <w:szCs w:val="22"/>
              </w:rPr>
            </w:pPr>
            <w:r w:rsidRPr="009E608B">
              <w:rPr>
                <w:sz w:val="22"/>
                <w:szCs w:val="22"/>
              </w:rPr>
              <w:t>No intention to reduce consumption; intends to within next 6 months; intends to in next 30 days (categorical</w:t>
            </w:r>
            <w:r w:rsidR="004A2E74">
              <w:rPr>
                <w:sz w:val="22"/>
                <w:szCs w:val="22"/>
              </w:rPr>
              <w:t>—</w:t>
            </w:r>
            <w:proofErr w:type="spellStart"/>
            <w:r w:rsidRPr="009E608B">
              <w:rPr>
                <w:sz w:val="22"/>
                <w:szCs w:val="22"/>
              </w:rPr>
              <w:t>trichotomous</w:t>
            </w:r>
            <w:proofErr w:type="spellEnd"/>
            <w:r w:rsidRPr="009E608B">
              <w:rPr>
                <w:sz w:val="22"/>
                <w:szCs w:val="22"/>
              </w:rPr>
              <w:t>)</w:t>
            </w:r>
          </w:p>
        </w:tc>
        <w:tc>
          <w:tcPr>
            <w:tcW w:w="958" w:type="pct"/>
            <w:noWrap/>
            <w:vAlign w:val="center"/>
          </w:tcPr>
          <w:p w:rsidR="00E4226C" w:rsidRPr="009E608B" w:rsidRDefault="00A009B5" w:rsidP="004A2E74">
            <w:pPr>
              <w:rPr>
                <w:szCs w:val="22"/>
              </w:rPr>
            </w:pPr>
            <w:r w:rsidRPr="009E608B">
              <w:rPr>
                <w:sz w:val="22"/>
                <w:szCs w:val="22"/>
              </w:rPr>
              <w:t>A16</w:t>
            </w:r>
          </w:p>
        </w:tc>
      </w:tr>
      <w:tr w:rsidR="00A009B5" w:rsidRPr="009E608B" w:rsidTr="009E608B">
        <w:trPr>
          <w:trHeight w:val="1007"/>
        </w:trPr>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Healthy eating attitudes</w:t>
            </w:r>
          </w:p>
        </w:tc>
        <w:tc>
          <w:tcPr>
            <w:tcW w:w="2255" w:type="pct"/>
            <w:vAlign w:val="center"/>
          </w:tcPr>
          <w:p w:rsidR="00E4226C" w:rsidRPr="009E608B" w:rsidRDefault="00A009B5" w:rsidP="004A2E74">
            <w:pPr>
              <w:rPr>
                <w:szCs w:val="22"/>
              </w:rPr>
            </w:pPr>
            <w:r w:rsidRPr="009E608B">
              <w:rPr>
                <w:iCs/>
                <w:sz w:val="22"/>
                <w:szCs w:val="22"/>
              </w:rPr>
              <w:t xml:space="preserve">Level of agreement with statement “It is important for me to eat healthy foods” (ordinal </w:t>
            </w:r>
            <w:r w:rsidR="004A2E74">
              <w:rPr>
                <w:iCs/>
                <w:sz w:val="22"/>
                <w:szCs w:val="22"/>
              </w:rPr>
              <w:t>five</w:t>
            </w:r>
            <w:r w:rsidRPr="009E608B">
              <w:rPr>
                <w:iCs/>
                <w:sz w:val="22"/>
                <w:szCs w:val="22"/>
              </w:rPr>
              <w:t>-</w:t>
            </w:r>
            <w:r w:rsidR="004A2E74">
              <w:rPr>
                <w:iCs/>
                <w:sz w:val="22"/>
                <w:szCs w:val="22"/>
              </w:rPr>
              <w:t xml:space="preserve">point </w:t>
            </w:r>
            <w:r w:rsidRPr="009E608B">
              <w:rPr>
                <w:iCs/>
                <w:sz w:val="22"/>
                <w:szCs w:val="22"/>
              </w:rPr>
              <w:t>scale)</w:t>
            </w:r>
          </w:p>
        </w:tc>
        <w:tc>
          <w:tcPr>
            <w:tcW w:w="958" w:type="pct"/>
            <w:noWrap/>
            <w:vAlign w:val="center"/>
          </w:tcPr>
          <w:p w:rsidR="00E4226C" w:rsidRPr="009E608B" w:rsidRDefault="00A009B5" w:rsidP="004A2E74">
            <w:pPr>
              <w:rPr>
                <w:szCs w:val="22"/>
              </w:rPr>
            </w:pPr>
            <w:r w:rsidRPr="009E608B">
              <w:rPr>
                <w:sz w:val="22"/>
                <w:szCs w:val="22"/>
              </w:rPr>
              <w:t>B5</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lastRenderedPageBreak/>
              <w:t>1</w:t>
            </w:r>
          </w:p>
        </w:tc>
        <w:tc>
          <w:tcPr>
            <w:tcW w:w="1102" w:type="pct"/>
            <w:noWrap/>
            <w:vAlign w:val="center"/>
          </w:tcPr>
          <w:p w:rsidR="00E4226C" w:rsidRPr="009E608B" w:rsidRDefault="00A009B5" w:rsidP="004A2E74">
            <w:pPr>
              <w:rPr>
                <w:szCs w:val="22"/>
              </w:rPr>
            </w:pPr>
            <w:r w:rsidRPr="009E608B">
              <w:rPr>
                <w:sz w:val="22"/>
                <w:szCs w:val="22"/>
              </w:rPr>
              <w:t>Attitudes about consuming sugar-sweetened beverages</w:t>
            </w:r>
          </w:p>
        </w:tc>
        <w:tc>
          <w:tcPr>
            <w:tcW w:w="2255" w:type="pct"/>
            <w:vAlign w:val="center"/>
          </w:tcPr>
          <w:p w:rsidR="00823068" w:rsidRDefault="00A009B5">
            <w:pPr>
              <w:rPr>
                <w:iCs/>
                <w:szCs w:val="22"/>
              </w:rPr>
            </w:pPr>
            <w:r w:rsidRPr="009E608B">
              <w:rPr>
                <w:iCs/>
                <w:sz w:val="22"/>
                <w:szCs w:val="22"/>
              </w:rPr>
              <w:t>Level of agreement with statement “It is important for me to avoid non-diet sugar-sweetened drinks (</w:t>
            </w:r>
            <w:r w:rsidR="004A2E74" w:rsidRPr="009E608B">
              <w:rPr>
                <w:iCs/>
                <w:sz w:val="22"/>
                <w:szCs w:val="22"/>
              </w:rPr>
              <w:t xml:space="preserve">for </w:t>
            </w:r>
            <w:r w:rsidRPr="009E608B">
              <w:rPr>
                <w:iCs/>
                <w:sz w:val="22"/>
                <w:szCs w:val="22"/>
              </w:rPr>
              <w:t>example, Coke, Kool-Aid, Snapple, Gatorade)”</w:t>
            </w:r>
            <w:r w:rsidR="0001632D">
              <w:rPr>
                <w:iCs/>
                <w:sz w:val="22"/>
                <w:szCs w:val="22"/>
              </w:rPr>
              <w:t xml:space="preserve"> </w:t>
            </w:r>
            <w:r w:rsidRPr="009E608B">
              <w:rPr>
                <w:iCs/>
                <w:sz w:val="22"/>
                <w:szCs w:val="22"/>
              </w:rPr>
              <w:t xml:space="preserve">(ordinal </w:t>
            </w:r>
            <w:r w:rsidR="004A2E74">
              <w:rPr>
                <w:iCs/>
                <w:sz w:val="22"/>
                <w:szCs w:val="22"/>
              </w:rPr>
              <w:t>five-point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B7</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1</w:t>
            </w:r>
          </w:p>
        </w:tc>
        <w:tc>
          <w:tcPr>
            <w:tcW w:w="1102" w:type="pct"/>
            <w:noWrap/>
            <w:vAlign w:val="center"/>
          </w:tcPr>
          <w:p w:rsidR="00E4226C" w:rsidRPr="009E608B" w:rsidRDefault="00A009B5" w:rsidP="004A2E74">
            <w:pPr>
              <w:rPr>
                <w:szCs w:val="22"/>
              </w:rPr>
            </w:pPr>
            <w:r w:rsidRPr="009E608B">
              <w:rPr>
                <w:sz w:val="22"/>
                <w:szCs w:val="22"/>
              </w:rPr>
              <w:t>Physical activity attitudes</w:t>
            </w:r>
          </w:p>
        </w:tc>
        <w:tc>
          <w:tcPr>
            <w:tcW w:w="2255" w:type="pct"/>
            <w:vAlign w:val="center"/>
          </w:tcPr>
          <w:p w:rsidR="00E4226C" w:rsidRPr="009E608B" w:rsidRDefault="00A009B5" w:rsidP="0001632D">
            <w:pPr>
              <w:rPr>
                <w:szCs w:val="22"/>
              </w:rPr>
            </w:pPr>
            <w:r w:rsidRPr="009E608B">
              <w:rPr>
                <w:iCs/>
                <w:sz w:val="22"/>
                <w:szCs w:val="22"/>
              </w:rPr>
              <w:t xml:space="preserve">Reported level of agreement with statement “It is important for me to be active and do things like walk, bike and play” (ordinal </w:t>
            </w:r>
            <w:r w:rsidR="004A2E74">
              <w:rPr>
                <w:iCs/>
                <w:sz w:val="22"/>
                <w:szCs w:val="22"/>
              </w:rPr>
              <w:t>five-point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B9</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2</w:t>
            </w:r>
          </w:p>
        </w:tc>
        <w:tc>
          <w:tcPr>
            <w:tcW w:w="1102" w:type="pct"/>
            <w:noWrap/>
            <w:vAlign w:val="center"/>
          </w:tcPr>
          <w:p w:rsidR="00E4226C" w:rsidRPr="009E608B" w:rsidRDefault="00A009B5" w:rsidP="004A2E74">
            <w:pPr>
              <w:rPr>
                <w:szCs w:val="22"/>
              </w:rPr>
            </w:pPr>
            <w:r w:rsidRPr="009E608B">
              <w:rPr>
                <w:sz w:val="22"/>
                <w:szCs w:val="22"/>
              </w:rPr>
              <w:t>Support for policies to increase availability of healthy foods and drinks</w:t>
            </w:r>
          </w:p>
        </w:tc>
        <w:tc>
          <w:tcPr>
            <w:tcW w:w="2255" w:type="pct"/>
            <w:vAlign w:val="center"/>
          </w:tcPr>
          <w:p w:rsidR="00823068" w:rsidRDefault="00A009B5">
            <w:pPr>
              <w:rPr>
                <w:szCs w:val="22"/>
              </w:rPr>
            </w:pPr>
            <w:r w:rsidRPr="009E608B">
              <w:rPr>
                <w:sz w:val="22"/>
                <w:szCs w:val="22"/>
              </w:rPr>
              <w:t xml:space="preserve">Reported level of likelihood of supporting “policies or other efforts in your community that make it easier for people in your community to get healthy foods and drinks” </w:t>
            </w:r>
            <w:r w:rsidRPr="009E608B">
              <w:rPr>
                <w:iCs/>
                <w:sz w:val="22"/>
                <w:szCs w:val="22"/>
              </w:rPr>
              <w:t xml:space="preserve">(ordinal </w:t>
            </w:r>
            <w:r w:rsidR="004A2E74">
              <w:rPr>
                <w:iCs/>
                <w:sz w:val="22"/>
                <w:szCs w:val="22"/>
              </w:rPr>
              <w:t>five-point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A20</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2</w:t>
            </w:r>
          </w:p>
        </w:tc>
        <w:tc>
          <w:tcPr>
            <w:tcW w:w="1102" w:type="pct"/>
            <w:noWrap/>
            <w:vAlign w:val="center"/>
          </w:tcPr>
          <w:p w:rsidR="00E4226C" w:rsidRPr="009E608B" w:rsidRDefault="00A009B5" w:rsidP="004A2E74">
            <w:pPr>
              <w:rPr>
                <w:szCs w:val="22"/>
              </w:rPr>
            </w:pPr>
            <w:r w:rsidRPr="009E608B">
              <w:rPr>
                <w:sz w:val="22"/>
                <w:szCs w:val="22"/>
              </w:rPr>
              <w:t>Support for policies to promote physical activity</w:t>
            </w:r>
          </w:p>
        </w:tc>
        <w:tc>
          <w:tcPr>
            <w:tcW w:w="2255" w:type="pct"/>
            <w:vAlign w:val="center"/>
          </w:tcPr>
          <w:p w:rsidR="00823068" w:rsidRDefault="00A009B5">
            <w:pPr>
              <w:rPr>
                <w:szCs w:val="22"/>
              </w:rPr>
            </w:pPr>
            <w:r w:rsidRPr="009E608B">
              <w:rPr>
                <w:sz w:val="22"/>
                <w:szCs w:val="22"/>
              </w:rPr>
              <w:t>Reported level of likelihood of supporting</w:t>
            </w:r>
            <w:r w:rsidR="00B3578B" w:rsidRPr="009E608B">
              <w:rPr>
                <w:sz w:val="22"/>
                <w:szCs w:val="22"/>
              </w:rPr>
              <w:t xml:space="preserve"> </w:t>
            </w:r>
            <w:r w:rsidRPr="009E608B">
              <w:rPr>
                <w:sz w:val="22"/>
                <w:szCs w:val="22"/>
              </w:rPr>
              <w:t>“policies or other efforts in your community that make it easier for people in your community to be active and do things like walk, bike, and play”</w:t>
            </w:r>
            <w:r w:rsidRPr="009E608B">
              <w:rPr>
                <w:iCs/>
                <w:sz w:val="22"/>
                <w:szCs w:val="22"/>
              </w:rPr>
              <w:t xml:space="preserve"> (ordinal </w:t>
            </w:r>
            <w:r w:rsidR="004A2E74">
              <w:rPr>
                <w:iCs/>
                <w:sz w:val="22"/>
                <w:szCs w:val="22"/>
              </w:rPr>
              <w:t xml:space="preserve">five point </w:t>
            </w:r>
            <w:r w:rsidRPr="009E608B">
              <w:rPr>
                <w:iCs/>
                <w:sz w:val="22"/>
                <w:szCs w:val="22"/>
              </w:rPr>
              <w:t>scale)</w:t>
            </w:r>
          </w:p>
        </w:tc>
        <w:tc>
          <w:tcPr>
            <w:tcW w:w="958" w:type="pct"/>
            <w:noWrap/>
            <w:vAlign w:val="center"/>
          </w:tcPr>
          <w:p w:rsidR="00E4226C" w:rsidRPr="009E608B" w:rsidRDefault="00A009B5" w:rsidP="004A2E74">
            <w:pPr>
              <w:rPr>
                <w:szCs w:val="22"/>
              </w:rPr>
            </w:pPr>
            <w:r w:rsidRPr="009E608B">
              <w:rPr>
                <w:sz w:val="22"/>
                <w:szCs w:val="22"/>
              </w:rPr>
              <w:t>A21</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3</w:t>
            </w:r>
          </w:p>
        </w:tc>
        <w:tc>
          <w:tcPr>
            <w:tcW w:w="1102" w:type="pct"/>
            <w:noWrap/>
            <w:vAlign w:val="center"/>
          </w:tcPr>
          <w:p w:rsidR="00E4226C" w:rsidRPr="009E608B" w:rsidRDefault="00A009B5" w:rsidP="004A2E74">
            <w:pPr>
              <w:rPr>
                <w:szCs w:val="22"/>
              </w:rPr>
            </w:pPr>
            <w:r w:rsidRPr="009E608B">
              <w:rPr>
                <w:sz w:val="22"/>
                <w:szCs w:val="22"/>
              </w:rPr>
              <w:t>Evaluative receptivity to ads</w:t>
            </w:r>
          </w:p>
        </w:tc>
        <w:tc>
          <w:tcPr>
            <w:tcW w:w="2255" w:type="pct"/>
            <w:vAlign w:val="center"/>
          </w:tcPr>
          <w:p w:rsidR="00823068" w:rsidRDefault="00A009B5">
            <w:pPr>
              <w:rPr>
                <w:szCs w:val="22"/>
              </w:rPr>
            </w:pPr>
            <w:r w:rsidRPr="009E608B">
              <w:rPr>
                <w:sz w:val="22"/>
                <w:szCs w:val="22"/>
              </w:rPr>
              <w:t>Reported level of agreement with following statements: “this ad is worth remembering,” “this ad grabbed my attention,” “this ad is powerful,” “this ad is informative,” “this ad is convincing,” and “this ad is ridiculous” (30-p</w:t>
            </w:r>
            <w:r w:rsidR="004A2E74">
              <w:rPr>
                <w:sz w:val="22"/>
                <w:szCs w:val="22"/>
              </w:rPr>
              <w:t>oint</w:t>
            </w:r>
            <w:r w:rsidRPr="009E608B">
              <w:rPr>
                <w:sz w:val="22"/>
                <w:szCs w:val="22"/>
              </w:rPr>
              <w:t xml:space="preserve"> index constructed from </w:t>
            </w:r>
            <w:r w:rsidR="004A2E74">
              <w:rPr>
                <w:sz w:val="22"/>
                <w:szCs w:val="22"/>
              </w:rPr>
              <w:t>six</w:t>
            </w:r>
            <w:r w:rsidRPr="009E608B">
              <w:rPr>
                <w:sz w:val="22"/>
                <w:szCs w:val="22"/>
              </w:rPr>
              <w:t xml:space="preserve"> </w:t>
            </w:r>
            <w:r w:rsidR="004A2E74">
              <w:rPr>
                <w:sz w:val="22"/>
                <w:szCs w:val="22"/>
              </w:rPr>
              <w:t>five</w:t>
            </w:r>
            <w:r w:rsidRPr="009E608B">
              <w:rPr>
                <w:sz w:val="22"/>
                <w:szCs w:val="22"/>
              </w:rPr>
              <w:t>-p</w:t>
            </w:r>
            <w:r w:rsidR="004A2E74">
              <w:rPr>
                <w:sz w:val="22"/>
                <w:szCs w:val="22"/>
              </w:rPr>
              <w:t>oint</w:t>
            </w:r>
            <w:r w:rsidRPr="009E608B">
              <w:rPr>
                <w:sz w:val="22"/>
                <w:szCs w:val="22"/>
              </w:rPr>
              <w:t xml:space="preserve"> ordinal scales)</w:t>
            </w:r>
          </w:p>
        </w:tc>
        <w:tc>
          <w:tcPr>
            <w:tcW w:w="958" w:type="pct"/>
            <w:noWrap/>
            <w:vAlign w:val="center"/>
          </w:tcPr>
          <w:p w:rsidR="00E4226C" w:rsidRPr="009E608B" w:rsidRDefault="00A009B5" w:rsidP="004A2E74">
            <w:pPr>
              <w:rPr>
                <w:szCs w:val="22"/>
              </w:rPr>
            </w:pPr>
            <w:r w:rsidRPr="009E608B">
              <w:rPr>
                <w:sz w:val="22"/>
                <w:szCs w:val="22"/>
              </w:rPr>
              <w:t>Measure constructed from C13_1 – C13_6</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3</w:t>
            </w:r>
          </w:p>
        </w:tc>
        <w:tc>
          <w:tcPr>
            <w:tcW w:w="1102" w:type="pct"/>
            <w:noWrap/>
            <w:vAlign w:val="center"/>
          </w:tcPr>
          <w:p w:rsidR="00E4226C" w:rsidRPr="009E608B" w:rsidRDefault="00A009B5" w:rsidP="004A2E74">
            <w:pPr>
              <w:rPr>
                <w:szCs w:val="22"/>
              </w:rPr>
            </w:pPr>
            <w:r w:rsidRPr="009E608B">
              <w:rPr>
                <w:sz w:val="22"/>
                <w:szCs w:val="22"/>
              </w:rPr>
              <w:t>Perceived effectiveness of ads in promoting healthy eating</w:t>
            </w:r>
          </w:p>
        </w:tc>
        <w:tc>
          <w:tcPr>
            <w:tcW w:w="2255" w:type="pct"/>
            <w:vAlign w:val="center"/>
          </w:tcPr>
          <w:p w:rsidR="00823068" w:rsidRDefault="00A009B5">
            <w:pPr>
              <w:rPr>
                <w:szCs w:val="22"/>
              </w:rPr>
            </w:pPr>
            <w:r w:rsidRPr="009E608B">
              <w:rPr>
                <w:sz w:val="22"/>
                <w:szCs w:val="22"/>
              </w:rPr>
              <w:t xml:space="preserve">Reported degree to which the ad made respondent want to “take action to eat healthy foods” </w:t>
            </w:r>
            <w:r w:rsidRPr="009E608B">
              <w:rPr>
                <w:iCs/>
                <w:sz w:val="22"/>
                <w:szCs w:val="22"/>
              </w:rPr>
              <w:t xml:space="preserve">(ordinal </w:t>
            </w:r>
            <w:r w:rsidR="004A2E74">
              <w:rPr>
                <w:iCs/>
                <w:sz w:val="22"/>
                <w:szCs w:val="22"/>
              </w:rPr>
              <w:t>five 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C16</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3</w:t>
            </w:r>
          </w:p>
        </w:tc>
        <w:tc>
          <w:tcPr>
            <w:tcW w:w="1102" w:type="pct"/>
            <w:noWrap/>
            <w:vAlign w:val="center"/>
          </w:tcPr>
          <w:p w:rsidR="00E4226C" w:rsidRPr="009E608B" w:rsidRDefault="00A009B5" w:rsidP="004A2E74">
            <w:pPr>
              <w:rPr>
                <w:szCs w:val="22"/>
              </w:rPr>
            </w:pPr>
            <w:r w:rsidRPr="009E608B">
              <w:rPr>
                <w:sz w:val="22"/>
                <w:szCs w:val="22"/>
              </w:rPr>
              <w:t>Perceived effectiveness of ads in promoting avoidance of sugar-sweetened beverages</w:t>
            </w:r>
          </w:p>
        </w:tc>
        <w:tc>
          <w:tcPr>
            <w:tcW w:w="2255" w:type="pct"/>
            <w:vAlign w:val="center"/>
          </w:tcPr>
          <w:p w:rsidR="00823068" w:rsidRDefault="00A009B5">
            <w:pPr>
              <w:rPr>
                <w:szCs w:val="22"/>
              </w:rPr>
            </w:pPr>
            <w:r w:rsidRPr="009E608B">
              <w:rPr>
                <w:sz w:val="22"/>
                <w:szCs w:val="22"/>
              </w:rPr>
              <w:t xml:space="preserve">Reported degree to which the ad made respondent want to “take action to avoid sugar-sweetened soft drinks or fruit drinks” </w:t>
            </w:r>
            <w:r w:rsidRPr="009E608B">
              <w:rPr>
                <w:iCs/>
                <w:sz w:val="22"/>
                <w:szCs w:val="22"/>
              </w:rPr>
              <w:t xml:space="preserve">(ordinal </w:t>
            </w:r>
            <w:r w:rsidR="004A2E74">
              <w:rPr>
                <w:iCs/>
                <w:sz w:val="22"/>
                <w:szCs w:val="22"/>
              </w:rPr>
              <w:t>five-point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C18</w:t>
            </w:r>
          </w:p>
        </w:tc>
      </w:tr>
      <w:tr w:rsidR="00A009B5" w:rsidRPr="009E608B" w:rsidTr="009E608B">
        <w:tc>
          <w:tcPr>
            <w:tcW w:w="685" w:type="pct"/>
            <w:vAlign w:val="center"/>
          </w:tcPr>
          <w:p w:rsidR="00E4226C" w:rsidRPr="009E608B" w:rsidRDefault="00A009B5" w:rsidP="004A2E74">
            <w:pPr>
              <w:rPr>
                <w:szCs w:val="22"/>
              </w:rPr>
            </w:pPr>
            <w:r w:rsidRPr="009E608B">
              <w:rPr>
                <w:sz w:val="22"/>
                <w:szCs w:val="22"/>
              </w:rPr>
              <w:t>3</w:t>
            </w:r>
          </w:p>
        </w:tc>
        <w:tc>
          <w:tcPr>
            <w:tcW w:w="1102" w:type="pct"/>
            <w:noWrap/>
            <w:vAlign w:val="center"/>
          </w:tcPr>
          <w:p w:rsidR="00E4226C" w:rsidRPr="009E608B" w:rsidRDefault="00A009B5" w:rsidP="004A2E74">
            <w:pPr>
              <w:rPr>
                <w:szCs w:val="22"/>
              </w:rPr>
            </w:pPr>
            <w:r w:rsidRPr="009E608B">
              <w:rPr>
                <w:sz w:val="22"/>
                <w:szCs w:val="22"/>
              </w:rPr>
              <w:t>Perceived effectiveness of ads at promoting physical activity</w:t>
            </w:r>
          </w:p>
        </w:tc>
        <w:tc>
          <w:tcPr>
            <w:tcW w:w="2255" w:type="pct"/>
            <w:vAlign w:val="center"/>
          </w:tcPr>
          <w:p w:rsidR="00823068" w:rsidRDefault="00A009B5">
            <w:pPr>
              <w:rPr>
                <w:szCs w:val="22"/>
              </w:rPr>
            </w:pPr>
            <w:r w:rsidRPr="009E608B">
              <w:rPr>
                <w:sz w:val="22"/>
                <w:szCs w:val="22"/>
              </w:rPr>
              <w:t xml:space="preserve">Reported degree to which the ad made respondent want to “take action to be active and </w:t>
            </w:r>
            <w:r w:rsidR="00351D92">
              <w:rPr>
                <w:sz w:val="22"/>
                <w:szCs w:val="22"/>
              </w:rPr>
              <w:t>d</w:t>
            </w:r>
            <w:r w:rsidRPr="009E608B">
              <w:rPr>
                <w:sz w:val="22"/>
                <w:szCs w:val="22"/>
              </w:rPr>
              <w:t xml:space="preserve">o things like walk, bike, and play” </w:t>
            </w:r>
            <w:r w:rsidRPr="009E608B">
              <w:rPr>
                <w:iCs/>
                <w:sz w:val="22"/>
                <w:szCs w:val="22"/>
              </w:rPr>
              <w:t xml:space="preserve">(ordinal </w:t>
            </w:r>
            <w:r w:rsidR="004A2E74">
              <w:rPr>
                <w:iCs/>
                <w:sz w:val="22"/>
                <w:szCs w:val="22"/>
              </w:rPr>
              <w:t>five point</w:t>
            </w:r>
            <w:r w:rsidRPr="009E608B">
              <w:rPr>
                <w:iCs/>
                <w:sz w:val="22"/>
                <w:szCs w:val="22"/>
              </w:rPr>
              <w:t xml:space="preserve"> scale)</w:t>
            </w:r>
          </w:p>
        </w:tc>
        <w:tc>
          <w:tcPr>
            <w:tcW w:w="958" w:type="pct"/>
            <w:noWrap/>
            <w:vAlign w:val="center"/>
          </w:tcPr>
          <w:p w:rsidR="00E4226C" w:rsidRPr="009E608B" w:rsidRDefault="00A009B5" w:rsidP="004A2E74">
            <w:pPr>
              <w:rPr>
                <w:szCs w:val="22"/>
              </w:rPr>
            </w:pPr>
            <w:r w:rsidRPr="009E608B">
              <w:rPr>
                <w:sz w:val="22"/>
                <w:szCs w:val="22"/>
              </w:rPr>
              <w:t>C19</w:t>
            </w:r>
          </w:p>
        </w:tc>
      </w:tr>
    </w:tbl>
    <w:p w:rsidR="005073A6" w:rsidRPr="00E87C38" w:rsidRDefault="005073A6" w:rsidP="00775B7F">
      <w:pPr>
        <w:pStyle w:val="Heading4"/>
      </w:pPr>
      <w:r w:rsidRPr="00E87C38">
        <w:t xml:space="preserve">Identification of Website(s) and Website </w:t>
      </w:r>
      <w:r w:rsidR="00775B7F" w:rsidRPr="00E87C38">
        <w:t xml:space="preserve">Content Directed </w:t>
      </w:r>
      <w:r w:rsidRPr="00E87C38">
        <w:t>at Children Under 13 Years of Age</w:t>
      </w:r>
    </w:p>
    <w:p w:rsidR="005073A6" w:rsidRDefault="005073A6" w:rsidP="00971D8D">
      <w:pPr>
        <w:pStyle w:val="BodyText"/>
      </w:pPr>
      <w:r w:rsidRPr="00E87C38">
        <w:t>Respondents will be adults aged 18 years and older.</w:t>
      </w:r>
      <w:r w:rsidR="00596558">
        <w:t xml:space="preserve"> </w:t>
      </w:r>
      <w:r w:rsidRPr="00E87C38">
        <w:t xml:space="preserve">There is no contact directed at children </w:t>
      </w:r>
      <w:proofErr w:type="gramStart"/>
      <w:r w:rsidR="004A2E74">
        <w:t>under</w:t>
      </w:r>
      <w:proofErr w:type="gramEnd"/>
      <w:r w:rsidR="004A2E74" w:rsidRPr="00E87C38">
        <w:t xml:space="preserve"> </w:t>
      </w:r>
      <w:r w:rsidRPr="00E87C38">
        <w:t>13 years of age.</w:t>
      </w:r>
    </w:p>
    <w:p w:rsidR="006839C9" w:rsidRPr="00E87C38" w:rsidRDefault="006839C9" w:rsidP="00775B7F">
      <w:pPr>
        <w:pStyle w:val="Heading2"/>
      </w:pPr>
      <w:bookmarkStart w:id="21" w:name="_Toc321734050"/>
      <w:bookmarkStart w:id="22" w:name="_Toc332782717"/>
      <w:bookmarkStart w:id="23" w:name="_Toc332782765"/>
      <w:bookmarkStart w:id="24" w:name="_Toc332783140"/>
      <w:r w:rsidRPr="00E87C38">
        <w:t>A.2</w:t>
      </w:r>
      <w:r w:rsidRPr="00E87C38">
        <w:tab/>
        <w:t>Purposes and Use of Information Collection</w:t>
      </w:r>
      <w:bookmarkEnd w:id="21"/>
      <w:bookmarkEnd w:id="22"/>
      <w:bookmarkEnd w:id="23"/>
      <w:bookmarkEnd w:id="24"/>
    </w:p>
    <w:p w:rsidR="006839C9" w:rsidRDefault="006839C9" w:rsidP="00971D8D">
      <w:pPr>
        <w:pStyle w:val="BodyText"/>
      </w:pPr>
      <w:r w:rsidRPr="00E87C38">
        <w:t xml:space="preserve">The information obtained from the proposed data collection activities will be used to inform CDC, policymakers, </w:t>
      </w:r>
      <w:r w:rsidR="00DF66AA" w:rsidRPr="00E87C38">
        <w:t xml:space="preserve">prevention practitioners, researchers, </w:t>
      </w:r>
      <w:r w:rsidR="001258DE">
        <w:t>CTG awardees</w:t>
      </w:r>
      <w:r w:rsidR="00DF66AA" w:rsidRPr="00E87C38">
        <w:t xml:space="preserve">, and the general U.S. </w:t>
      </w:r>
      <w:r w:rsidR="00DF66AA" w:rsidRPr="00E87C38">
        <w:lastRenderedPageBreak/>
        <w:t>population about the extent of</w:t>
      </w:r>
      <w:r w:rsidRPr="00E87C38">
        <w:t xml:space="preserve"> adults’ exposure to </w:t>
      </w:r>
      <w:r w:rsidR="00DF66AA" w:rsidRPr="00E87C38">
        <w:t>campaign</w:t>
      </w:r>
      <w:r w:rsidRPr="00E87C38">
        <w:t xml:space="preserve"> messages and the extent to which exposure to these messages is associated with </w:t>
      </w:r>
      <w:bookmarkStart w:id="25" w:name="_Toc66689097"/>
      <w:bookmarkStart w:id="26" w:name="_Toc140476553"/>
      <w:r w:rsidRPr="00E87C38">
        <w:t xml:space="preserve">changes in outcomes targeted by the campaign. </w:t>
      </w:r>
      <w:r w:rsidR="00C630B5">
        <w:t>Although</w:t>
      </w:r>
      <w:r w:rsidR="00C630B5" w:rsidRPr="00E87C38">
        <w:t xml:space="preserve"> </w:t>
      </w:r>
      <w:r w:rsidRPr="00E87C38">
        <w:t>not exhaustive, the list below illustrates a range of purposes and uses for the proposed information collection:</w:t>
      </w:r>
    </w:p>
    <w:p w:rsidR="006839C9" w:rsidRPr="00E87C38" w:rsidRDefault="006839C9" w:rsidP="00B3578B">
      <w:pPr>
        <w:pStyle w:val="Bullet"/>
        <w:tabs>
          <w:tab w:val="clear" w:pos="1080"/>
          <w:tab w:val="clear" w:pos="1440"/>
        </w:tabs>
        <w:ind w:left="1080"/>
      </w:pPr>
      <w:r w:rsidRPr="00E87C38">
        <w:t>Understand the</w:t>
      </w:r>
      <w:r w:rsidR="003E5E64">
        <w:t xml:space="preserve"> potential</w:t>
      </w:r>
      <w:r w:rsidRPr="00E87C38">
        <w:t xml:space="preserve"> influence of </w:t>
      </w:r>
      <w:r w:rsidR="00F463B2" w:rsidRPr="00E87C38">
        <w:t xml:space="preserve">media </w:t>
      </w:r>
      <w:r w:rsidRPr="00E87C38">
        <w:t>campaign</w:t>
      </w:r>
      <w:r w:rsidR="00F463B2" w:rsidRPr="00E87C38">
        <w:t>s</w:t>
      </w:r>
      <w:r w:rsidRPr="00E87C38">
        <w:t xml:space="preserve"> on attitudes, knowledge, beliefs, and behaviors around </w:t>
      </w:r>
      <w:r w:rsidR="00DF66AA" w:rsidRPr="00E87C38">
        <w:t>active lifestyles, healthy eating/drinking, and obesity.</w:t>
      </w:r>
    </w:p>
    <w:p w:rsidR="006839C9" w:rsidRPr="00E87C38" w:rsidRDefault="006839C9" w:rsidP="00B3578B">
      <w:pPr>
        <w:pStyle w:val="Bullet"/>
        <w:tabs>
          <w:tab w:val="clear" w:pos="1080"/>
          <w:tab w:val="clear" w:pos="1440"/>
        </w:tabs>
        <w:ind w:left="1080"/>
      </w:pPr>
      <w:r w:rsidRPr="00E87C38">
        <w:t>Inform CDC, policymakers, and other stakeholders on the</w:t>
      </w:r>
      <w:r w:rsidR="003E5E64">
        <w:t xml:space="preserve"> potential</w:t>
      </w:r>
      <w:r w:rsidRPr="00E87C38">
        <w:t xml:space="preserve"> impact of </w:t>
      </w:r>
      <w:r w:rsidR="00DF66AA" w:rsidRPr="00E87C38">
        <w:t xml:space="preserve">CTG obesity prevention media </w:t>
      </w:r>
      <w:r w:rsidRPr="00E87C38">
        <w:t>campaign</w:t>
      </w:r>
      <w:r w:rsidR="00DF66AA" w:rsidRPr="00E87C38">
        <w:t>s</w:t>
      </w:r>
      <w:r w:rsidRPr="00E87C38">
        <w:t>.</w:t>
      </w:r>
    </w:p>
    <w:p w:rsidR="006839C9" w:rsidRPr="00E87C38" w:rsidRDefault="006839C9" w:rsidP="00B3578B">
      <w:pPr>
        <w:pStyle w:val="Bullet"/>
        <w:tabs>
          <w:tab w:val="clear" w:pos="1080"/>
          <w:tab w:val="clear" w:pos="1440"/>
        </w:tabs>
        <w:ind w:left="1080"/>
      </w:pPr>
      <w:r w:rsidRPr="00E87C38">
        <w:t xml:space="preserve">Inform the </w:t>
      </w:r>
      <w:r w:rsidR="0041633B" w:rsidRPr="00E87C38">
        <w:t xml:space="preserve">development of </w:t>
      </w:r>
      <w:r w:rsidRPr="00E87C38">
        <w:t xml:space="preserve">health communication efforts undertaken by </w:t>
      </w:r>
      <w:r w:rsidR="00B823FC" w:rsidRPr="00E87C38">
        <w:t xml:space="preserve">CDC </w:t>
      </w:r>
      <w:r w:rsidRPr="00E87C38">
        <w:t xml:space="preserve">including upcoming campaigns that while intended for different audiences can benefit from knowledge of the approaches </w:t>
      </w:r>
      <w:r w:rsidR="00B923B0">
        <w:t>used</w:t>
      </w:r>
      <w:r w:rsidR="00B923B0" w:rsidRPr="00E87C38">
        <w:t xml:space="preserve"> </w:t>
      </w:r>
      <w:r w:rsidRPr="00E87C38">
        <w:t>for this study.</w:t>
      </w:r>
    </w:p>
    <w:p w:rsidR="00B823FC" w:rsidRPr="00E87C38" w:rsidRDefault="006839C9" w:rsidP="00B3578B">
      <w:pPr>
        <w:pStyle w:val="Bulletlast"/>
        <w:tabs>
          <w:tab w:val="clear" w:pos="1080"/>
          <w:tab w:val="clear" w:pos="1440"/>
        </w:tabs>
        <w:ind w:left="1080"/>
      </w:pPr>
      <w:r w:rsidRPr="00E87C38">
        <w:t>Inform future programs that may be designed for similar purposes.</w:t>
      </w:r>
      <w:bookmarkEnd w:id="25"/>
      <w:bookmarkEnd w:id="26"/>
    </w:p>
    <w:p w:rsidR="003E3A59" w:rsidRPr="003E3A59" w:rsidRDefault="006839C9" w:rsidP="00775B7F">
      <w:pPr>
        <w:pStyle w:val="Heading2"/>
      </w:pPr>
      <w:bookmarkStart w:id="27" w:name="_Toc332782718"/>
      <w:bookmarkStart w:id="28" w:name="_Toc332782766"/>
      <w:bookmarkStart w:id="29" w:name="_Toc332783141"/>
      <w:r w:rsidRPr="003E3A59">
        <w:t>A.3</w:t>
      </w:r>
      <w:r w:rsidRPr="003E3A59">
        <w:tab/>
        <w:t>Use of Improved Information Technology and Burden Reduction</w:t>
      </w:r>
      <w:bookmarkEnd w:id="27"/>
      <w:bookmarkEnd w:id="28"/>
      <w:bookmarkEnd w:id="29"/>
    </w:p>
    <w:p w:rsidR="006839C9" w:rsidRDefault="006839C9" w:rsidP="00071BCD">
      <w:pPr>
        <w:pStyle w:val="BodyText"/>
      </w:pPr>
      <w:r w:rsidRPr="00E87C38">
        <w:t xml:space="preserve">This study will rely on </w:t>
      </w:r>
      <w:r w:rsidR="00E4226C">
        <w:t xml:space="preserve">self-administered </w:t>
      </w:r>
      <w:r w:rsidRPr="00E87C38">
        <w:t>Web</w:t>
      </w:r>
      <w:r w:rsidR="00FE3052">
        <w:t>-based</w:t>
      </w:r>
      <w:r w:rsidRPr="00E87C38">
        <w:t xml:space="preserve"> surveys. The primary Web panel we are using for this study is </w:t>
      </w:r>
      <w:r w:rsidR="00071BCD">
        <w:t>RN’s General Population panel</w:t>
      </w:r>
      <w:r w:rsidR="00D67385">
        <w:t xml:space="preserve"> (</w:t>
      </w:r>
      <w:r w:rsidR="004A2E74">
        <w:t>see</w:t>
      </w:r>
      <w:r w:rsidR="004B46DA">
        <w:t xml:space="preserve"> </w:t>
      </w:r>
      <w:r w:rsidR="00D67385" w:rsidRPr="00D857C5">
        <w:t xml:space="preserve">Attachment </w:t>
      </w:r>
      <w:r w:rsidR="004C11D6" w:rsidRPr="00D857C5">
        <w:t>7</w:t>
      </w:r>
      <w:r w:rsidR="004B46DA" w:rsidRPr="00D857C5">
        <w:t xml:space="preserve"> </w:t>
      </w:r>
      <w:r w:rsidR="004B46DA">
        <w:t>for details about the panel</w:t>
      </w:r>
      <w:r w:rsidR="00D67385">
        <w:t>)</w:t>
      </w:r>
      <w:r w:rsidR="00071BCD">
        <w:t>.</w:t>
      </w:r>
      <w:r w:rsidRPr="00E87C38">
        <w:t xml:space="preserve"> </w:t>
      </w:r>
    </w:p>
    <w:p w:rsidR="006839C9" w:rsidRDefault="00B923B0" w:rsidP="00971D8D">
      <w:pPr>
        <w:pStyle w:val="BodyText"/>
      </w:pPr>
      <w:r>
        <w:t>Use</w:t>
      </w:r>
      <w:r w:rsidRPr="00E87C38">
        <w:t xml:space="preserve"> </w:t>
      </w:r>
      <w:r w:rsidR="006839C9" w:rsidRPr="00E87C38">
        <w:t xml:space="preserve">of this panel and the basic approach of online surveys provide a number </w:t>
      </w:r>
      <w:r w:rsidR="00AB4193">
        <w:t xml:space="preserve">of </w:t>
      </w:r>
      <w:r w:rsidR="006839C9" w:rsidRPr="00E87C38">
        <w:t>methodological advantages including increased accuracy in measurement of key variables of interest, attractive sample characteristics, and reduced burden on study participants. This approach also yields significant cost efficiencies compared to other modes of data collection such as telephone surveys. These advantages include but are not limited to</w:t>
      </w:r>
      <w:r w:rsidR="00C630B5">
        <w:t xml:space="preserve"> the following</w:t>
      </w:r>
      <w:r w:rsidR="006839C9" w:rsidRPr="00E87C38">
        <w:t>:</w:t>
      </w:r>
    </w:p>
    <w:p w:rsidR="006839C9" w:rsidRPr="00E87C38" w:rsidRDefault="006839C9" w:rsidP="00B3578B">
      <w:pPr>
        <w:pStyle w:val="Bullet"/>
        <w:ind w:left="1080"/>
      </w:pPr>
      <w:r w:rsidRPr="00E87C38">
        <w:t xml:space="preserve">Increased privacy (compared to telephone interviewing) reduces vulnerability to socially desirable survey responses, particularly on </w:t>
      </w:r>
      <w:r w:rsidR="00F167D3" w:rsidRPr="00E87C38">
        <w:t xml:space="preserve">potentially </w:t>
      </w:r>
      <w:r w:rsidRPr="00E87C38">
        <w:t xml:space="preserve">sensitive subjects such </w:t>
      </w:r>
      <w:r w:rsidR="00C630B5">
        <w:t xml:space="preserve">as </w:t>
      </w:r>
      <w:r w:rsidR="00B823FC" w:rsidRPr="00E87C38">
        <w:t>diet and physical activity behaviors.</w:t>
      </w:r>
      <w:r w:rsidR="00596558">
        <w:t xml:space="preserve"> </w:t>
      </w:r>
      <w:r w:rsidRPr="00E87C38">
        <w:t>Surveys are self-administered in a private setting and respondents do not speak to human interviewers as they would with telephone surveys.</w:t>
      </w:r>
    </w:p>
    <w:p w:rsidR="006839C9" w:rsidRPr="00E87C38" w:rsidRDefault="006839C9" w:rsidP="00B3578B">
      <w:pPr>
        <w:pStyle w:val="Bullet"/>
        <w:ind w:left="1080"/>
      </w:pPr>
      <w:r w:rsidRPr="00E87C38">
        <w:t>Flexible and timely data collection</w:t>
      </w:r>
      <w:r w:rsidR="004A2E74">
        <w:t xml:space="preserve">. </w:t>
      </w:r>
      <w:r w:rsidRPr="00E87C38">
        <w:t xml:space="preserve">Because </w:t>
      </w:r>
      <w:r w:rsidR="00071BCD">
        <w:t>RN</w:t>
      </w:r>
      <w:r w:rsidRPr="00E87C38">
        <w:t xml:space="preserve"> does not involve human interviewers and all ensuing requirements for interviewer training and quality control, it is easier and </w:t>
      </w:r>
      <w:r w:rsidR="00E87C38">
        <w:t>less expensive</w:t>
      </w:r>
      <w:r w:rsidRPr="00E87C38">
        <w:t xml:space="preserve"> to launch surveys very quickly.</w:t>
      </w:r>
    </w:p>
    <w:p w:rsidR="006839C9" w:rsidRPr="00E87C38" w:rsidRDefault="006839C9" w:rsidP="00B3578B">
      <w:pPr>
        <w:pStyle w:val="Bullet"/>
        <w:ind w:left="1080"/>
      </w:pPr>
      <w:r w:rsidRPr="00E87C38">
        <w:t>Significant cost savings over traditional telephone surveys (</w:t>
      </w:r>
      <w:r w:rsidR="004C11D6">
        <w:t>reduction of costs associated with</w:t>
      </w:r>
      <w:r w:rsidRPr="00E87C38">
        <w:t xml:space="preserve"> human interviewers and interviewer training).</w:t>
      </w:r>
    </w:p>
    <w:p w:rsidR="006839C9" w:rsidRPr="00E87C38" w:rsidRDefault="006839C9" w:rsidP="00B3578B">
      <w:pPr>
        <w:pStyle w:val="Bullet"/>
        <w:ind w:left="1080"/>
      </w:pPr>
      <w:r w:rsidRPr="00E87C38">
        <w:t>Allows for inclusion of any campaign media material including video streaming of campaign ads</w:t>
      </w:r>
      <w:r w:rsidR="00D953A2" w:rsidRPr="00E87C38">
        <w:t xml:space="preserve"> </w:t>
      </w:r>
      <w:r w:rsidRPr="00E87C38">
        <w:t xml:space="preserve">and presentation of print materials all within the survey. This significantly enhances the ability to accurately measure awareness of and exposure to campaign ads. By comparison, telephone surveys do not allow for direct exposure to campaign messages and stimuli, preventing more accurate measurement </w:t>
      </w:r>
      <w:r w:rsidR="00C630B5">
        <w:t xml:space="preserve">of </w:t>
      </w:r>
      <w:r w:rsidRPr="00E87C38">
        <w:t>individual awareness and recall of campaign ads. It has been demonstrated that the use of visual cues to prompt ad recognition (which is only possible with Web</w:t>
      </w:r>
      <w:r w:rsidR="00FE3052">
        <w:t>-based</w:t>
      </w:r>
      <w:r w:rsidRPr="00E87C38">
        <w:t xml:space="preserve"> </w:t>
      </w:r>
      <w:r w:rsidR="00C953A5">
        <w:t xml:space="preserve">or in person </w:t>
      </w:r>
      <w:r w:rsidRPr="00E87C38">
        <w:t xml:space="preserve">surveys) is a superior method for measuring encoded ad exposure compared to </w:t>
      </w:r>
      <w:r w:rsidR="004A2E74" w:rsidRPr="00E87C38">
        <w:t>telephon</w:t>
      </w:r>
      <w:r w:rsidR="004A2E74">
        <w:t>e</w:t>
      </w:r>
      <w:r w:rsidR="004A2E74" w:rsidRPr="00E87C38">
        <w:t xml:space="preserve"> </w:t>
      </w:r>
      <w:r w:rsidRPr="00E87C38">
        <w:t>surveys that must rely on verbal cues from human interviewers to prompt ad recognition.</w:t>
      </w:r>
      <w:r w:rsidR="0001632D">
        <w:rPr>
          <w:vertAlign w:val="superscript"/>
        </w:rPr>
        <w:t>4</w:t>
      </w:r>
    </w:p>
    <w:p w:rsidR="004B46DA" w:rsidRDefault="00903118" w:rsidP="00B3578B">
      <w:pPr>
        <w:pStyle w:val="Bulletlast"/>
        <w:spacing w:after="0"/>
        <w:ind w:left="1080"/>
      </w:pPr>
      <w:r>
        <w:lastRenderedPageBreak/>
        <w:t>RN</w:t>
      </w:r>
      <w:r w:rsidR="00D67385">
        <w:t xml:space="preserve"> </w:t>
      </w:r>
      <w:r w:rsidR="00B923B0">
        <w:t>uses</w:t>
      </w:r>
      <w:r w:rsidR="00B923B0" w:rsidRPr="00E87C38">
        <w:t xml:space="preserve"> </w:t>
      </w:r>
      <w:r w:rsidR="006839C9" w:rsidRPr="00E87C38">
        <w:t>an unbiased general topic recruitment protocol that is free of self-selection biases related to preexisting interests in specific research topics.</w:t>
      </w:r>
    </w:p>
    <w:p w:rsidR="007B1C68" w:rsidRPr="00A52651" w:rsidRDefault="007B1C68" w:rsidP="00B3578B">
      <w:pPr>
        <w:pStyle w:val="Bulletlast"/>
        <w:ind w:left="1080"/>
      </w:pPr>
      <w:r>
        <w:t>Panel members are sent survey invitations linked through a personalized e-mail message (instead of by phone or postal mail). This contact method permits surveys to be fielded quickly and economically. In addition, this approach reduces the burden placed on respondents</w:t>
      </w:r>
      <w:r w:rsidR="004A2E74">
        <w:t xml:space="preserve"> because</w:t>
      </w:r>
      <w:r>
        <w:t xml:space="preserve"> e-mail notification is less intrusive than telephone calls and allows research subjects to participate in research when it is convenient for them.</w:t>
      </w:r>
    </w:p>
    <w:p w:rsidR="006839C9" w:rsidRPr="00E87C38" w:rsidRDefault="006839C9" w:rsidP="009B3714">
      <w:pPr>
        <w:pStyle w:val="Heading2"/>
      </w:pPr>
      <w:bookmarkStart w:id="30" w:name="_Toc321734051"/>
      <w:bookmarkStart w:id="31" w:name="_Toc332782719"/>
      <w:bookmarkStart w:id="32" w:name="_Toc332782767"/>
      <w:bookmarkStart w:id="33" w:name="_Toc332783142"/>
      <w:r w:rsidRPr="00E87C38">
        <w:t>A.4</w:t>
      </w:r>
      <w:r w:rsidRPr="00E87C38">
        <w:tab/>
        <w:t>Efforts to Identify Duplication and Use of Similar Information</w:t>
      </w:r>
      <w:bookmarkEnd w:id="30"/>
      <w:bookmarkEnd w:id="31"/>
      <w:bookmarkEnd w:id="32"/>
      <w:bookmarkEnd w:id="33"/>
    </w:p>
    <w:p w:rsidR="006839C9" w:rsidRDefault="00B823FC" w:rsidP="00971D8D">
      <w:pPr>
        <w:pStyle w:val="BodyText"/>
      </w:pPr>
      <w:r w:rsidRPr="00E87C38">
        <w:t xml:space="preserve">The media campaigns implemented through </w:t>
      </w:r>
      <w:r w:rsidR="004A2E74">
        <w:t xml:space="preserve">the </w:t>
      </w:r>
      <w:r w:rsidRPr="00E87C38">
        <w:t xml:space="preserve">CTG </w:t>
      </w:r>
      <w:r w:rsidR="004A2E74">
        <w:t xml:space="preserve">Program </w:t>
      </w:r>
      <w:r w:rsidRPr="00E87C38">
        <w:t>are new.</w:t>
      </w:r>
      <w:r w:rsidR="00596558">
        <w:t xml:space="preserve"> </w:t>
      </w:r>
      <w:r w:rsidR="006839C9" w:rsidRPr="00E87C38">
        <w:t xml:space="preserve">To date, there has been no in-depth evaluation of </w:t>
      </w:r>
      <w:r w:rsidRPr="00E87C38">
        <w:t>these campaigns</w:t>
      </w:r>
      <w:r w:rsidR="006839C9" w:rsidRPr="00E87C38">
        <w:t xml:space="preserve"> </w:t>
      </w:r>
      <w:r w:rsidR="00B95BF5">
        <w:t xml:space="preserve">and </w:t>
      </w:r>
      <w:r w:rsidR="006839C9" w:rsidRPr="00E87C38">
        <w:t>no existing data sources that contain measures on awareness of and exposure to the campaign</w:t>
      </w:r>
      <w:r w:rsidRPr="00E87C38">
        <w:t>s</w:t>
      </w:r>
      <w:r w:rsidR="006839C9" w:rsidRPr="00E87C38">
        <w:t xml:space="preserve">.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CDC’s need for information on the effectiveness of </w:t>
      </w:r>
      <w:r w:rsidRPr="00E87C38">
        <w:t>the campaigns</w:t>
      </w:r>
      <w:r w:rsidR="006839C9" w:rsidRPr="00E87C38">
        <w:t xml:space="preserve"> with respect to </w:t>
      </w:r>
      <w:r w:rsidRPr="00E87C38">
        <w:t>influencing key campaign outcomes of interest</w:t>
      </w:r>
      <w:r w:rsidR="006839C9" w:rsidRPr="00E87C38">
        <w:t>. We investigated the possibility of using existing data</w:t>
      </w:r>
      <w:r w:rsidR="00774A08" w:rsidRPr="00E87C38">
        <w:t xml:space="preserve">, such as the </w:t>
      </w:r>
      <w:r w:rsidR="00AF7EEF">
        <w:t xml:space="preserve">state-based </w:t>
      </w:r>
      <w:r w:rsidR="00774A08" w:rsidRPr="00E87C38">
        <w:t xml:space="preserve">BRFSS or </w:t>
      </w:r>
      <w:proofErr w:type="spellStart"/>
      <w:r w:rsidR="00774A08" w:rsidRPr="00E87C38">
        <w:t>HealthStyles</w:t>
      </w:r>
      <w:proofErr w:type="spellEnd"/>
      <w:r w:rsidR="00774A08" w:rsidRPr="00E87C38">
        <w:t>,</w:t>
      </w:r>
      <w:r w:rsidR="006839C9" w:rsidRPr="00E87C38">
        <w:t xml:space="preserve"> to </w:t>
      </w:r>
      <w:r w:rsidRPr="00E87C38">
        <w:t>examine our research questions.</w:t>
      </w:r>
      <w:r w:rsidR="00596558">
        <w:t xml:space="preserve"> </w:t>
      </w:r>
      <w:r w:rsidRPr="00E87C38">
        <w:t xml:space="preserve">However, </w:t>
      </w:r>
      <w:r w:rsidR="006034BE" w:rsidRPr="00E87C38">
        <w:t xml:space="preserve">no other existing data source </w:t>
      </w:r>
      <w:r w:rsidR="006839C9" w:rsidRPr="00E87C38">
        <w:t xml:space="preserve">will include the necessary in-depth survey questions on awareness of individual ads and other campaign materials, and </w:t>
      </w:r>
      <w:r w:rsidR="006034BE" w:rsidRPr="00E87C38">
        <w:t xml:space="preserve">no other source </w:t>
      </w:r>
      <w:r w:rsidR="006839C9" w:rsidRPr="00E87C38">
        <w:t>contain</w:t>
      </w:r>
      <w:r w:rsidR="006034BE" w:rsidRPr="00E87C38">
        <w:t>s</w:t>
      </w:r>
      <w:r w:rsidR="006839C9" w:rsidRPr="00E87C38">
        <w:t xml:space="preserve"> all of the necessary outcome variables specific to </w:t>
      </w:r>
      <w:r w:rsidRPr="00E87C38">
        <w:t>campaign</w:t>
      </w:r>
      <w:r w:rsidR="006839C9" w:rsidRPr="00E87C38">
        <w:t xml:space="preserve"> messages. </w:t>
      </w:r>
    </w:p>
    <w:p w:rsidR="006839C9" w:rsidRPr="00E87C38" w:rsidRDefault="006839C9" w:rsidP="009B3714">
      <w:pPr>
        <w:pStyle w:val="Heading2"/>
      </w:pPr>
      <w:bookmarkStart w:id="34" w:name="_Toc321734052"/>
      <w:bookmarkStart w:id="35" w:name="_Toc332782720"/>
      <w:bookmarkStart w:id="36" w:name="_Toc332782768"/>
      <w:bookmarkStart w:id="37" w:name="_Toc332783143"/>
      <w:r w:rsidRPr="00E87C38">
        <w:t>A.5</w:t>
      </w:r>
      <w:r w:rsidRPr="00E87C38">
        <w:tab/>
        <w:t>Impact on Small Businesses or Other Small Entities</w:t>
      </w:r>
      <w:bookmarkEnd w:id="34"/>
      <w:bookmarkEnd w:id="35"/>
      <w:bookmarkEnd w:id="36"/>
      <w:bookmarkEnd w:id="37"/>
    </w:p>
    <w:p w:rsidR="006839C9" w:rsidRPr="00E87C38" w:rsidRDefault="006839C9" w:rsidP="00971D8D">
      <w:pPr>
        <w:pStyle w:val="BodyText"/>
      </w:pPr>
      <w:r w:rsidRPr="00E87C38">
        <w:t xml:space="preserve">Respondents in this study will be members of the general public, not business entities. No impact on small businesses or other small entities is anticipated. </w:t>
      </w:r>
    </w:p>
    <w:p w:rsidR="00C5129C" w:rsidRPr="00E87C38" w:rsidRDefault="006839C9" w:rsidP="009B3714">
      <w:pPr>
        <w:pStyle w:val="Heading2"/>
      </w:pPr>
      <w:bookmarkStart w:id="38" w:name="_Toc321734053"/>
      <w:bookmarkStart w:id="39" w:name="_Toc332782721"/>
      <w:bookmarkStart w:id="40" w:name="_Toc332782769"/>
      <w:bookmarkStart w:id="41" w:name="_Toc332783144"/>
      <w:r w:rsidRPr="00E87C38">
        <w:t>A.6</w:t>
      </w:r>
      <w:r w:rsidRPr="00E87C38">
        <w:tab/>
        <w:t>Consequences of Collecting the Information Less Frequently</w:t>
      </w:r>
      <w:bookmarkEnd w:id="38"/>
      <w:bookmarkEnd w:id="39"/>
      <w:bookmarkEnd w:id="40"/>
      <w:bookmarkEnd w:id="41"/>
      <w:r w:rsidRPr="00E87C38">
        <w:t xml:space="preserve"> </w:t>
      </w:r>
    </w:p>
    <w:p w:rsidR="00C5129C" w:rsidRPr="00E87C38" w:rsidRDefault="00A64915" w:rsidP="00971D8D">
      <w:pPr>
        <w:pStyle w:val="BodyText"/>
      </w:pPr>
      <w:r w:rsidRPr="00E87C38">
        <w:t xml:space="preserve">The cross-sectional, </w:t>
      </w:r>
      <w:r w:rsidR="00543F40" w:rsidRPr="00B3578B">
        <w:t>post-test only design</w:t>
      </w:r>
      <w:r w:rsidRPr="00E87C38">
        <w:t xml:space="preserve"> of this effort minimizes the burden to respondents by requiring data collection at only one point in time.</w:t>
      </w:r>
      <w:r w:rsidR="00596558">
        <w:t xml:space="preserve"> </w:t>
      </w:r>
      <w:r w:rsidRPr="00E87C38">
        <w:t xml:space="preserve">It would be impossible to conduct the data collection </w:t>
      </w:r>
      <w:r w:rsidR="00C251D4" w:rsidRPr="00E87C38">
        <w:t>less frequently</w:t>
      </w:r>
      <w:r w:rsidRPr="00E87C38">
        <w:t>.</w:t>
      </w:r>
      <w:r w:rsidR="00596558">
        <w:t xml:space="preserve"> </w:t>
      </w:r>
      <w:r w:rsidR="00C5129C" w:rsidRPr="00E87C38">
        <w:t xml:space="preserve">Without this data collection, CDC would not be able to determine the frequency of campaign exposure </w:t>
      </w:r>
      <w:r w:rsidRPr="00E87C38">
        <w:t>nor</w:t>
      </w:r>
      <w:r w:rsidR="00C5129C" w:rsidRPr="00E87C38">
        <w:t xml:space="preserve"> evaluate the influence of campaigns on attitudes, knowledge, beliefs, and behaviors around active lifestyles, healthy eating/drinking, and obesity.</w:t>
      </w:r>
      <w:r w:rsidR="00596558">
        <w:t xml:space="preserve"> </w:t>
      </w:r>
      <w:r w:rsidRPr="00E87C38">
        <w:t>We believe that the proposed cross-sectional survey will provide sufficient data to evaluate the campaigns</w:t>
      </w:r>
      <w:r w:rsidR="006034BE" w:rsidRPr="00E87C38">
        <w:t xml:space="preserve"> effectively and efficiently</w:t>
      </w:r>
      <w:r w:rsidRPr="00E87C38">
        <w:t>.</w:t>
      </w:r>
      <w:r w:rsidR="00596558">
        <w:t xml:space="preserve"> </w:t>
      </w:r>
    </w:p>
    <w:p w:rsidR="006839C9" w:rsidRPr="00E87C38" w:rsidRDefault="006839C9" w:rsidP="009B3714">
      <w:pPr>
        <w:pStyle w:val="Heading2"/>
      </w:pPr>
      <w:bookmarkStart w:id="42" w:name="_Toc321734054"/>
      <w:bookmarkStart w:id="43" w:name="_Toc332782722"/>
      <w:bookmarkStart w:id="44" w:name="_Toc332782770"/>
      <w:bookmarkStart w:id="45" w:name="_Toc332783145"/>
      <w:r w:rsidRPr="00E87C38">
        <w:t>A.7</w:t>
      </w:r>
      <w:r w:rsidR="002D4AE8">
        <w:tab/>
      </w:r>
      <w:r w:rsidRPr="00E87C38">
        <w:t>Special Circumstances Relating to the Guidelines of 5 CFR 1320.5</w:t>
      </w:r>
      <w:bookmarkEnd w:id="42"/>
      <w:bookmarkEnd w:id="43"/>
      <w:bookmarkEnd w:id="44"/>
      <w:bookmarkEnd w:id="45"/>
    </w:p>
    <w:p w:rsidR="006839C9" w:rsidRPr="00E87C38" w:rsidRDefault="006839C9" w:rsidP="00971D8D">
      <w:pPr>
        <w:pStyle w:val="BodyText"/>
      </w:pPr>
      <w:r w:rsidRPr="00E87C38">
        <w:t xml:space="preserve">There are no special circumstances that require data collection to be conducted in a manner inconsistent with 5 </w:t>
      </w:r>
      <w:r w:rsidR="00C630B5" w:rsidRPr="00E87C38">
        <w:t>C</w:t>
      </w:r>
      <w:r w:rsidR="00C630B5">
        <w:t>FR</w:t>
      </w:r>
      <w:r w:rsidR="00C630B5" w:rsidRPr="00E87C38">
        <w:t xml:space="preserve"> </w:t>
      </w:r>
      <w:r w:rsidRPr="00E87C38">
        <w:t>1320.5 (d</w:t>
      </w:r>
      <w:proofErr w:type="gramStart"/>
      <w:r w:rsidRPr="00E87C38">
        <w:t>)(</w:t>
      </w:r>
      <w:proofErr w:type="gramEnd"/>
      <w:r w:rsidRPr="00E87C38">
        <w:t>2). The message testing activities fully comply with the guidelines in 5 CFR 1320.5.</w:t>
      </w:r>
      <w:r w:rsidR="00596558">
        <w:t xml:space="preserve"> </w:t>
      </w:r>
    </w:p>
    <w:p w:rsidR="006839C9" w:rsidRPr="00E87C38" w:rsidRDefault="006839C9" w:rsidP="009B3714">
      <w:pPr>
        <w:pStyle w:val="Heading2"/>
      </w:pPr>
      <w:bookmarkStart w:id="46" w:name="_Toc321734055"/>
      <w:bookmarkStart w:id="47" w:name="_Toc332782723"/>
      <w:bookmarkStart w:id="48" w:name="_Toc332782771"/>
      <w:bookmarkStart w:id="49" w:name="_Toc332783146"/>
      <w:r w:rsidRPr="00E87C38">
        <w:lastRenderedPageBreak/>
        <w:t>A.8</w:t>
      </w:r>
      <w:r w:rsidRPr="00E87C38">
        <w:tab/>
        <w:t xml:space="preserve">Comments in Response to the Federal Register Notice </w:t>
      </w:r>
      <w:r w:rsidR="0028273E">
        <w:t xml:space="preserve">and Efforts to Consult </w:t>
      </w:r>
      <w:r w:rsidRPr="00E87C38">
        <w:t>Outside the Agency</w:t>
      </w:r>
      <w:bookmarkEnd w:id="46"/>
      <w:bookmarkEnd w:id="47"/>
      <w:bookmarkEnd w:id="48"/>
      <w:bookmarkEnd w:id="49"/>
    </w:p>
    <w:p w:rsidR="006839C9" w:rsidRPr="002D4AE8" w:rsidRDefault="006839C9" w:rsidP="009B3714">
      <w:pPr>
        <w:pStyle w:val="Heading3"/>
      </w:pPr>
      <w:r w:rsidRPr="002D4AE8">
        <w:t>A.8.a</w:t>
      </w:r>
      <w:r w:rsidRPr="002D4AE8">
        <w:tab/>
        <w:t>Federal Register Notice</w:t>
      </w:r>
    </w:p>
    <w:p w:rsidR="006839C9" w:rsidRPr="00E87C38" w:rsidRDefault="006839C9" w:rsidP="00202F3C">
      <w:pPr>
        <w:pStyle w:val="BodyText"/>
      </w:pPr>
      <w:r w:rsidRPr="00E87C38">
        <w:t xml:space="preserve">A 60-day Federal Register Notice was published in the </w:t>
      </w:r>
      <w:r w:rsidRPr="00E87C38">
        <w:rPr>
          <w:i/>
        </w:rPr>
        <w:t xml:space="preserve">Federal Register </w:t>
      </w:r>
      <w:r w:rsidRPr="00E87C38">
        <w:t xml:space="preserve">on </w:t>
      </w:r>
      <w:r w:rsidR="00E3419C">
        <w:t>June 6, 2012</w:t>
      </w:r>
      <w:r w:rsidR="00E3419C" w:rsidRPr="00E3419C" w:rsidDel="00E3419C">
        <w:t xml:space="preserve"> </w:t>
      </w:r>
      <w:r w:rsidRPr="00E87C38">
        <w:t xml:space="preserve">(see </w:t>
      </w:r>
      <w:r w:rsidRPr="00D857C5">
        <w:rPr>
          <w:iCs/>
        </w:rPr>
        <w:t xml:space="preserve">Attachment </w:t>
      </w:r>
      <w:r w:rsidR="004F1417" w:rsidRPr="00D857C5">
        <w:rPr>
          <w:iCs/>
        </w:rPr>
        <w:t>2</w:t>
      </w:r>
      <w:r w:rsidR="002519F3" w:rsidRPr="00D857C5">
        <w:rPr>
          <w:iCs/>
        </w:rPr>
        <w:t>a</w:t>
      </w:r>
      <w:r w:rsidRPr="00D857C5">
        <w:t xml:space="preserve">). </w:t>
      </w:r>
      <w:r w:rsidR="00E3419C" w:rsidRPr="00D857C5">
        <w:rPr>
          <w:bCs/>
        </w:rPr>
        <w:t xml:space="preserve">CDC received and acknowledged one nonsubstantive </w:t>
      </w:r>
      <w:r w:rsidR="005D1682" w:rsidRPr="00D857C5">
        <w:rPr>
          <w:bCs/>
        </w:rPr>
        <w:t>public comment</w:t>
      </w:r>
      <w:r w:rsidR="00AA5A19" w:rsidRPr="00D857C5">
        <w:rPr>
          <w:bCs/>
        </w:rPr>
        <w:t xml:space="preserve"> (see </w:t>
      </w:r>
      <w:r w:rsidR="00FB538C" w:rsidRPr="00D857C5">
        <w:rPr>
          <w:bCs/>
        </w:rPr>
        <w:t>Attachment 2b</w:t>
      </w:r>
      <w:r w:rsidR="00AA5A19">
        <w:rPr>
          <w:bCs/>
        </w:rPr>
        <w:t>)</w:t>
      </w:r>
      <w:r w:rsidR="00E3419C">
        <w:rPr>
          <w:bCs/>
        </w:rPr>
        <w:t>.</w:t>
      </w:r>
    </w:p>
    <w:p w:rsidR="006839C9" w:rsidRPr="00E87C38" w:rsidRDefault="006839C9" w:rsidP="001A5E75">
      <w:pPr>
        <w:pStyle w:val="Heading3"/>
      </w:pPr>
      <w:r w:rsidRPr="00E87C38">
        <w:t>A.8.b</w:t>
      </w:r>
      <w:r w:rsidR="002D4AE8">
        <w:tab/>
      </w:r>
      <w:r w:rsidRPr="00E87C38">
        <w:t>Consultation</w:t>
      </w:r>
    </w:p>
    <w:p w:rsidR="006839C9" w:rsidRDefault="00A104CF" w:rsidP="00971D8D">
      <w:pPr>
        <w:pStyle w:val="BodyText"/>
      </w:pPr>
      <w:r w:rsidRPr="00A104CF">
        <w:t xml:space="preserve">The </w:t>
      </w:r>
      <w:r>
        <w:t xml:space="preserve">CTG online media </w:t>
      </w:r>
      <w:r w:rsidRPr="00A104CF">
        <w:t xml:space="preserve">survey protocol was designed in collaboration with CDC staff and contractors from </w:t>
      </w:r>
      <w:r>
        <w:t>RTI International</w:t>
      </w:r>
      <w:r w:rsidRPr="00A104CF">
        <w:t xml:space="preserve">. </w:t>
      </w:r>
      <w:r w:rsidR="006839C9" w:rsidRPr="00E87C38">
        <w:t xml:space="preserve">The following individuals </w:t>
      </w:r>
      <w:r w:rsidR="00455E85">
        <w:t>f</w:t>
      </w:r>
      <w:r w:rsidR="0004773D">
        <w:t>rom CDC</w:t>
      </w:r>
      <w:r w:rsidR="006839C9" w:rsidRPr="00E87C38">
        <w:t xml:space="preserve"> have </w:t>
      </w:r>
      <w:r w:rsidR="00AF5B1B" w:rsidRPr="00E87C38">
        <w:t>been consulted on the design of the campaign</w:t>
      </w:r>
      <w:r w:rsidR="006839C9" w:rsidRPr="00E87C38">
        <w:t xml:space="preserve"> evaluation plan, questionnaire development, or intra-agency coordination of </w:t>
      </w:r>
      <w:r w:rsidR="0028273E">
        <w:t>information collection efforts:</w:t>
      </w:r>
    </w:p>
    <w:tbl>
      <w:tblPr>
        <w:tblStyle w:val="TableGrid"/>
        <w:tblW w:w="0" w:type="auto"/>
        <w:tblLook w:val="04A0" w:firstRow="1" w:lastRow="0" w:firstColumn="1" w:lastColumn="0" w:noHBand="0" w:noVBand="1"/>
      </w:tblPr>
      <w:tblGrid>
        <w:gridCol w:w="2448"/>
        <w:gridCol w:w="3936"/>
        <w:gridCol w:w="3192"/>
      </w:tblGrid>
      <w:tr w:rsidR="009A56F0" w:rsidRPr="007B55B5" w:rsidTr="00E4226C">
        <w:tc>
          <w:tcPr>
            <w:tcW w:w="2448" w:type="dxa"/>
          </w:tcPr>
          <w:p w:rsidR="009A56F0" w:rsidRPr="007B55B5" w:rsidRDefault="009A56F0" w:rsidP="00E4226C">
            <w:pPr>
              <w:rPr>
                <w:rFonts w:ascii="Times New Roman" w:hAnsi="Times New Roman" w:cs="Times New Roman"/>
                <w:b/>
                <w:sz w:val="22"/>
                <w:szCs w:val="22"/>
              </w:rPr>
            </w:pPr>
            <w:r w:rsidRPr="007B55B5">
              <w:rPr>
                <w:rFonts w:ascii="Times New Roman" w:hAnsi="Times New Roman" w:cs="Times New Roman"/>
                <w:b/>
                <w:sz w:val="22"/>
                <w:szCs w:val="22"/>
              </w:rPr>
              <w:t>Name</w:t>
            </w:r>
          </w:p>
        </w:tc>
        <w:tc>
          <w:tcPr>
            <w:tcW w:w="3936" w:type="dxa"/>
          </w:tcPr>
          <w:p w:rsidR="009A56F0" w:rsidRPr="007B55B5" w:rsidRDefault="009A56F0" w:rsidP="00E4226C">
            <w:pPr>
              <w:rPr>
                <w:rFonts w:ascii="Times New Roman" w:hAnsi="Times New Roman" w:cs="Times New Roman"/>
                <w:b/>
                <w:sz w:val="22"/>
                <w:szCs w:val="22"/>
              </w:rPr>
            </w:pPr>
            <w:r w:rsidRPr="007B55B5">
              <w:rPr>
                <w:rFonts w:ascii="Times New Roman" w:hAnsi="Times New Roman" w:cs="Times New Roman"/>
                <w:b/>
                <w:sz w:val="22"/>
                <w:szCs w:val="22"/>
              </w:rPr>
              <w:t>Organization</w:t>
            </w:r>
          </w:p>
        </w:tc>
        <w:tc>
          <w:tcPr>
            <w:tcW w:w="3192" w:type="dxa"/>
          </w:tcPr>
          <w:p w:rsidR="009A56F0" w:rsidRPr="007B55B5" w:rsidRDefault="009A56F0" w:rsidP="00E4226C">
            <w:pPr>
              <w:rPr>
                <w:rFonts w:ascii="Times New Roman" w:hAnsi="Times New Roman" w:cs="Times New Roman"/>
                <w:b/>
                <w:sz w:val="22"/>
                <w:szCs w:val="22"/>
              </w:rPr>
            </w:pPr>
            <w:r w:rsidRPr="007B55B5">
              <w:rPr>
                <w:rFonts w:ascii="Times New Roman" w:hAnsi="Times New Roman" w:cs="Times New Roman"/>
                <w:b/>
                <w:sz w:val="22"/>
                <w:szCs w:val="22"/>
              </w:rPr>
              <w:t>Contact Information</w:t>
            </w:r>
          </w:p>
        </w:tc>
      </w:tr>
      <w:tr w:rsidR="009A56F0" w:rsidRPr="007B55B5" w:rsidTr="00E4226C">
        <w:tc>
          <w:tcPr>
            <w:tcW w:w="2448" w:type="dxa"/>
          </w:tcPr>
          <w:p w:rsidR="009A56F0" w:rsidRPr="007B55B5" w:rsidRDefault="009A56F0" w:rsidP="00E4226C">
            <w:pPr>
              <w:rPr>
                <w:rFonts w:ascii="Times New Roman" w:hAnsi="Times New Roman" w:cs="Times New Roman"/>
                <w:sz w:val="22"/>
                <w:szCs w:val="22"/>
              </w:rPr>
            </w:pPr>
            <w:r w:rsidRPr="007B55B5">
              <w:rPr>
                <w:rFonts w:ascii="Times New Roman" w:hAnsi="Times New Roman" w:cs="Times New Roman"/>
                <w:sz w:val="22"/>
                <w:szCs w:val="22"/>
              </w:rPr>
              <w:t>Rachel Dooley</w:t>
            </w:r>
            <w:r w:rsidR="0001632D">
              <w:rPr>
                <w:rFonts w:ascii="Times New Roman" w:hAnsi="Times New Roman" w:cs="Times New Roman"/>
                <w:sz w:val="22"/>
                <w:szCs w:val="22"/>
              </w:rPr>
              <w:t>,</w:t>
            </w:r>
            <w:r w:rsidRPr="007B55B5">
              <w:rPr>
                <w:rFonts w:ascii="Times New Roman" w:hAnsi="Times New Roman" w:cs="Times New Roman"/>
                <w:sz w:val="22"/>
                <w:szCs w:val="22"/>
              </w:rPr>
              <w:t xml:space="preserve"> MPH, ORISE Fellow</w:t>
            </w:r>
          </w:p>
        </w:tc>
        <w:tc>
          <w:tcPr>
            <w:tcW w:w="3936" w:type="dxa"/>
          </w:tcPr>
          <w:p w:rsidR="009A56F0" w:rsidRPr="007B55B5" w:rsidRDefault="007B55B5" w:rsidP="007B55B5">
            <w:pPr>
              <w:rPr>
                <w:rFonts w:ascii="Times New Roman" w:hAnsi="Times New Roman" w:cs="Times New Roman"/>
                <w:sz w:val="22"/>
                <w:szCs w:val="22"/>
              </w:rPr>
            </w:pPr>
            <w:r w:rsidRPr="007B55B5">
              <w:rPr>
                <w:rFonts w:ascii="Times New Roman" w:hAnsi="Times New Roman" w:cs="Times New Roman"/>
                <w:sz w:val="22"/>
                <w:szCs w:val="22"/>
              </w:rPr>
              <w:t xml:space="preserve">Division of Nutrition, Physical Activity, and Obesity </w:t>
            </w:r>
            <w:r>
              <w:rPr>
                <w:rFonts w:ascii="Times New Roman" w:hAnsi="Times New Roman" w:cs="Times New Roman"/>
                <w:sz w:val="22"/>
                <w:szCs w:val="22"/>
              </w:rPr>
              <w:t>(</w:t>
            </w:r>
            <w:r w:rsidR="009A56F0" w:rsidRPr="007B55B5">
              <w:rPr>
                <w:rFonts w:ascii="Times New Roman" w:hAnsi="Times New Roman" w:cs="Times New Roman"/>
                <w:sz w:val="22"/>
                <w:szCs w:val="22"/>
              </w:rPr>
              <w:t>DNPAO</w:t>
            </w:r>
            <w:r>
              <w:rPr>
                <w:rFonts w:ascii="Times New Roman" w:hAnsi="Times New Roman" w:cs="Times New Roman"/>
                <w:sz w:val="22"/>
                <w:szCs w:val="22"/>
              </w:rPr>
              <w:t>)</w:t>
            </w:r>
            <w:r w:rsidR="009A56F0" w:rsidRPr="007B55B5">
              <w:rPr>
                <w:rFonts w:ascii="Times New Roman" w:hAnsi="Times New Roman" w:cs="Times New Roman"/>
                <w:sz w:val="22"/>
                <w:szCs w:val="22"/>
              </w:rPr>
              <w:t xml:space="preserve">; </w:t>
            </w:r>
            <w:r w:rsidRPr="007B55B5">
              <w:rPr>
                <w:rFonts w:ascii="Times New Roman" w:hAnsi="Times New Roman" w:cs="Times New Roman"/>
                <w:sz w:val="22"/>
                <w:szCs w:val="22"/>
              </w:rPr>
              <w:t xml:space="preserve">National Center For Chronic Disease Prevention and Health Promotion </w:t>
            </w:r>
            <w:r>
              <w:rPr>
                <w:rFonts w:ascii="Times New Roman" w:hAnsi="Times New Roman" w:cs="Times New Roman"/>
                <w:sz w:val="22"/>
                <w:szCs w:val="22"/>
              </w:rPr>
              <w:t>(</w:t>
            </w:r>
            <w:r w:rsidR="009A56F0" w:rsidRPr="007B55B5">
              <w:rPr>
                <w:rFonts w:ascii="Times New Roman" w:hAnsi="Times New Roman" w:cs="Times New Roman"/>
                <w:sz w:val="22"/>
                <w:szCs w:val="22"/>
              </w:rPr>
              <w:t>NCCDPHP</w:t>
            </w:r>
            <w:r>
              <w:rPr>
                <w:rFonts w:ascii="Times New Roman" w:hAnsi="Times New Roman" w:cs="Times New Roman"/>
                <w:sz w:val="22"/>
                <w:szCs w:val="22"/>
              </w:rPr>
              <w:t>)</w:t>
            </w:r>
          </w:p>
        </w:tc>
        <w:tc>
          <w:tcPr>
            <w:tcW w:w="3192" w:type="dxa"/>
          </w:tcPr>
          <w:p w:rsidR="009A56F0" w:rsidRPr="007B55B5" w:rsidRDefault="009A56F0" w:rsidP="00903118">
            <w:pPr>
              <w:rPr>
                <w:rFonts w:ascii="Times New Roman" w:hAnsi="Times New Roman" w:cs="Times New Roman"/>
                <w:sz w:val="22"/>
                <w:szCs w:val="22"/>
              </w:rPr>
            </w:pPr>
            <w:r w:rsidRPr="007B55B5">
              <w:rPr>
                <w:rFonts w:ascii="Times New Roman" w:hAnsi="Times New Roman" w:cs="Times New Roman"/>
                <w:sz w:val="22"/>
                <w:szCs w:val="22"/>
              </w:rPr>
              <w:t>Phone: 770</w:t>
            </w:r>
            <w:r w:rsidR="00903118">
              <w:rPr>
                <w:rFonts w:ascii="Times New Roman" w:hAnsi="Times New Roman" w:cs="Times New Roman"/>
                <w:sz w:val="22"/>
                <w:szCs w:val="22"/>
              </w:rPr>
              <w:t>-</w:t>
            </w:r>
            <w:r w:rsidRPr="007B55B5">
              <w:rPr>
                <w:rFonts w:ascii="Times New Roman" w:hAnsi="Times New Roman" w:cs="Times New Roman"/>
                <w:sz w:val="22"/>
                <w:szCs w:val="22"/>
              </w:rPr>
              <w:t>488</w:t>
            </w:r>
            <w:r w:rsidR="00903118">
              <w:rPr>
                <w:rFonts w:ascii="Times New Roman" w:hAnsi="Times New Roman" w:cs="Times New Roman"/>
                <w:sz w:val="22"/>
                <w:szCs w:val="22"/>
              </w:rPr>
              <w:t>-</w:t>
            </w:r>
            <w:r w:rsidRPr="007B55B5">
              <w:rPr>
                <w:rFonts w:ascii="Times New Roman" w:hAnsi="Times New Roman" w:cs="Times New Roman"/>
                <w:sz w:val="22"/>
                <w:szCs w:val="22"/>
              </w:rPr>
              <w:t>6023</w:t>
            </w:r>
            <w:r w:rsidRPr="007B55B5">
              <w:rPr>
                <w:rFonts w:ascii="Times New Roman" w:hAnsi="Times New Roman" w:cs="Times New Roman"/>
                <w:sz w:val="22"/>
                <w:szCs w:val="22"/>
              </w:rPr>
              <w:br/>
              <w:t xml:space="preserve">E-mail: </w:t>
            </w:r>
            <w:hyperlink r:id="rId15" w:history="1">
              <w:r w:rsidRPr="007B55B5">
                <w:rPr>
                  <w:rStyle w:val="Hyperlink"/>
                  <w:rFonts w:ascii="Times New Roman" w:hAnsi="Times New Roman"/>
                  <w:sz w:val="22"/>
                  <w:szCs w:val="22"/>
                </w:rPr>
                <w:t>Von6@cdc.gov</w:t>
              </w:r>
            </w:hyperlink>
          </w:p>
        </w:tc>
      </w:tr>
      <w:tr w:rsidR="009A56F0" w:rsidRPr="007B55B5" w:rsidTr="00E4226C">
        <w:tc>
          <w:tcPr>
            <w:tcW w:w="2448" w:type="dxa"/>
          </w:tcPr>
          <w:p w:rsidR="009A56F0" w:rsidRPr="007B55B5" w:rsidRDefault="009A56F0" w:rsidP="00B3578B">
            <w:pPr>
              <w:rPr>
                <w:rFonts w:ascii="Times New Roman" w:hAnsi="Times New Roman" w:cs="Times New Roman"/>
                <w:sz w:val="22"/>
                <w:szCs w:val="22"/>
              </w:rPr>
            </w:pPr>
            <w:r w:rsidRPr="007B55B5">
              <w:rPr>
                <w:rFonts w:ascii="Times New Roman" w:hAnsi="Times New Roman" w:cs="Times New Roman"/>
                <w:sz w:val="22"/>
                <w:szCs w:val="22"/>
              </w:rPr>
              <w:t>Jan Jernigan,</w:t>
            </w:r>
            <w:r w:rsidR="00B3578B" w:rsidRPr="007B55B5">
              <w:rPr>
                <w:rFonts w:ascii="Times New Roman" w:hAnsi="Times New Roman" w:cs="Times New Roman"/>
                <w:sz w:val="22"/>
                <w:szCs w:val="22"/>
              </w:rPr>
              <w:t xml:space="preserve"> </w:t>
            </w:r>
            <w:r w:rsidRPr="007B55B5">
              <w:rPr>
                <w:rFonts w:ascii="Times New Roman" w:hAnsi="Times New Roman" w:cs="Times New Roman"/>
                <w:sz w:val="22"/>
                <w:szCs w:val="22"/>
              </w:rPr>
              <w:t>PhD</w:t>
            </w:r>
            <w:r w:rsidR="00B3578B" w:rsidRPr="007B55B5">
              <w:rPr>
                <w:rFonts w:ascii="Times New Roman" w:hAnsi="Times New Roman" w:cs="Times New Roman"/>
                <w:sz w:val="22"/>
                <w:szCs w:val="22"/>
              </w:rPr>
              <w:t xml:space="preserve">, </w:t>
            </w:r>
            <w:r w:rsidRPr="007B55B5">
              <w:rPr>
                <w:rFonts w:ascii="Times New Roman" w:hAnsi="Times New Roman" w:cs="Times New Roman"/>
                <w:sz w:val="22"/>
                <w:szCs w:val="22"/>
              </w:rPr>
              <w:t>Health Scientist</w:t>
            </w:r>
          </w:p>
        </w:tc>
        <w:tc>
          <w:tcPr>
            <w:tcW w:w="3936" w:type="dxa"/>
          </w:tcPr>
          <w:p w:rsidR="009A56F0" w:rsidRPr="007B55B5" w:rsidRDefault="009A56F0" w:rsidP="00E4226C">
            <w:pPr>
              <w:rPr>
                <w:rFonts w:ascii="Times New Roman" w:hAnsi="Times New Roman" w:cs="Times New Roman"/>
                <w:sz w:val="22"/>
                <w:szCs w:val="22"/>
              </w:rPr>
            </w:pPr>
            <w:r w:rsidRPr="007B55B5">
              <w:rPr>
                <w:rFonts w:ascii="Times New Roman" w:hAnsi="Times New Roman" w:cs="Times New Roman"/>
                <w:sz w:val="22"/>
                <w:szCs w:val="22"/>
              </w:rPr>
              <w:t>DNPAO; NCCDPHP</w:t>
            </w:r>
          </w:p>
        </w:tc>
        <w:tc>
          <w:tcPr>
            <w:tcW w:w="3192" w:type="dxa"/>
          </w:tcPr>
          <w:p w:rsidR="009A56F0" w:rsidRPr="007B55B5" w:rsidRDefault="009A56F0" w:rsidP="00903118">
            <w:pPr>
              <w:rPr>
                <w:rFonts w:ascii="Times New Roman" w:hAnsi="Times New Roman" w:cs="Times New Roman"/>
                <w:sz w:val="22"/>
                <w:szCs w:val="22"/>
              </w:rPr>
            </w:pPr>
            <w:r w:rsidRPr="007B55B5">
              <w:rPr>
                <w:rFonts w:ascii="Times New Roman" w:hAnsi="Times New Roman" w:cs="Times New Roman"/>
                <w:sz w:val="22"/>
                <w:szCs w:val="22"/>
              </w:rPr>
              <w:t>Phone: 770</w:t>
            </w:r>
            <w:r w:rsidR="00903118">
              <w:rPr>
                <w:rFonts w:ascii="Times New Roman" w:hAnsi="Times New Roman" w:cs="Times New Roman"/>
                <w:sz w:val="22"/>
                <w:szCs w:val="22"/>
              </w:rPr>
              <w:t>-</w:t>
            </w:r>
            <w:r w:rsidRPr="007B55B5">
              <w:rPr>
                <w:rFonts w:ascii="Times New Roman" w:hAnsi="Times New Roman" w:cs="Times New Roman"/>
                <w:sz w:val="22"/>
                <w:szCs w:val="22"/>
              </w:rPr>
              <w:t>488</w:t>
            </w:r>
            <w:r w:rsidR="00903118">
              <w:rPr>
                <w:rFonts w:ascii="Times New Roman" w:hAnsi="Times New Roman" w:cs="Times New Roman"/>
                <w:sz w:val="22"/>
                <w:szCs w:val="22"/>
              </w:rPr>
              <w:t>-</w:t>
            </w:r>
            <w:r w:rsidRPr="007B55B5">
              <w:rPr>
                <w:rFonts w:ascii="Times New Roman" w:hAnsi="Times New Roman" w:cs="Times New Roman"/>
                <w:sz w:val="22"/>
                <w:szCs w:val="22"/>
              </w:rPr>
              <w:t>5224</w:t>
            </w:r>
            <w:r w:rsidRPr="007B55B5">
              <w:rPr>
                <w:rFonts w:ascii="Times New Roman" w:hAnsi="Times New Roman" w:cs="Times New Roman"/>
                <w:sz w:val="22"/>
                <w:szCs w:val="22"/>
              </w:rPr>
              <w:br/>
              <w:t xml:space="preserve">E-mail: </w:t>
            </w:r>
            <w:hyperlink r:id="rId16" w:history="1">
              <w:r w:rsidRPr="007B55B5">
                <w:rPr>
                  <w:rStyle w:val="Hyperlink"/>
                  <w:rFonts w:ascii="Times New Roman" w:hAnsi="Times New Roman"/>
                  <w:sz w:val="22"/>
                  <w:szCs w:val="22"/>
                </w:rPr>
                <w:t>Jan.jernigan@cdc.hhs.gov</w:t>
              </w:r>
            </w:hyperlink>
          </w:p>
        </w:tc>
      </w:tr>
      <w:tr w:rsidR="009A56F0" w:rsidRPr="007B55B5" w:rsidTr="00E4226C">
        <w:tc>
          <w:tcPr>
            <w:tcW w:w="2448" w:type="dxa"/>
          </w:tcPr>
          <w:p w:rsidR="0037000F" w:rsidRDefault="009A56F0" w:rsidP="00E4226C">
            <w:pPr>
              <w:rPr>
                <w:rFonts w:ascii="Times New Roman" w:hAnsi="Times New Roman" w:cs="Times New Roman"/>
                <w:sz w:val="22"/>
                <w:szCs w:val="22"/>
              </w:rPr>
            </w:pPr>
            <w:r w:rsidRPr="007B55B5">
              <w:rPr>
                <w:rFonts w:ascii="Times New Roman" w:hAnsi="Times New Roman" w:cs="Times New Roman"/>
                <w:sz w:val="22"/>
                <w:szCs w:val="22"/>
              </w:rPr>
              <w:t xml:space="preserve">Terry O’Toole, </w:t>
            </w:r>
          </w:p>
          <w:p w:rsidR="009A56F0" w:rsidRPr="007B55B5" w:rsidRDefault="009A56F0" w:rsidP="00E4226C">
            <w:pPr>
              <w:rPr>
                <w:rFonts w:ascii="Times New Roman" w:hAnsi="Times New Roman" w:cs="Times New Roman"/>
                <w:sz w:val="22"/>
                <w:szCs w:val="22"/>
              </w:rPr>
            </w:pPr>
            <w:r w:rsidRPr="007B55B5">
              <w:rPr>
                <w:rFonts w:ascii="Times New Roman" w:hAnsi="Times New Roman" w:cs="Times New Roman"/>
                <w:sz w:val="22"/>
                <w:szCs w:val="22"/>
              </w:rPr>
              <w:t>Public Health Analyst</w:t>
            </w:r>
            <w:r w:rsidRPr="007B55B5">
              <w:rPr>
                <w:rFonts w:ascii="Times New Roman" w:hAnsi="Times New Roman" w:cs="Times New Roman"/>
                <w:sz w:val="22"/>
                <w:szCs w:val="22"/>
              </w:rPr>
              <w:br/>
            </w:r>
          </w:p>
        </w:tc>
        <w:tc>
          <w:tcPr>
            <w:tcW w:w="3936" w:type="dxa"/>
          </w:tcPr>
          <w:p w:rsidR="009A56F0" w:rsidRPr="007B55B5" w:rsidRDefault="009A56F0" w:rsidP="0001632D">
            <w:pPr>
              <w:rPr>
                <w:rFonts w:ascii="Times New Roman" w:hAnsi="Times New Roman" w:cs="Times New Roman"/>
                <w:sz w:val="22"/>
                <w:szCs w:val="22"/>
              </w:rPr>
            </w:pPr>
            <w:r w:rsidRPr="007B55B5">
              <w:rPr>
                <w:rFonts w:ascii="Times New Roman" w:hAnsi="Times New Roman" w:cs="Times New Roman"/>
                <w:sz w:val="22"/>
                <w:szCs w:val="22"/>
              </w:rPr>
              <w:t>DNPAO</w:t>
            </w:r>
            <w:r w:rsidR="007B55B5">
              <w:rPr>
                <w:rFonts w:ascii="Times New Roman" w:hAnsi="Times New Roman" w:cs="Times New Roman"/>
                <w:sz w:val="22"/>
                <w:szCs w:val="22"/>
              </w:rPr>
              <w:t>;</w:t>
            </w:r>
            <w:r w:rsidR="007B55B5" w:rsidRPr="007B55B5">
              <w:rPr>
                <w:rFonts w:ascii="Times New Roman" w:hAnsi="Times New Roman" w:cs="Times New Roman"/>
                <w:sz w:val="22"/>
                <w:szCs w:val="22"/>
              </w:rPr>
              <w:t xml:space="preserve"> </w:t>
            </w:r>
            <w:r w:rsidRPr="007B55B5">
              <w:rPr>
                <w:rFonts w:ascii="Times New Roman" w:hAnsi="Times New Roman" w:cs="Times New Roman"/>
                <w:sz w:val="22"/>
                <w:szCs w:val="22"/>
              </w:rPr>
              <w:t>NCCDPHP</w:t>
            </w:r>
          </w:p>
        </w:tc>
        <w:tc>
          <w:tcPr>
            <w:tcW w:w="3192" w:type="dxa"/>
          </w:tcPr>
          <w:p w:rsidR="009A56F0" w:rsidRPr="007B55B5" w:rsidRDefault="009A56F0" w:rsidP="00903118">
            <w:pPr>
              <w:rPr>
                <w:rFonts w:ascii="Times New Roman" w:hAnsi="Times New Roman" w:cs="Times New Roman"/>
                <w:sz w:val="22"/>
                <w:szCs w:val="22"/>
              </w:rPr>
            </w:pPr>
            <w:r w:rsidRPr="007B55B5">
              <w:rPr>
                <w:rFonts w:ascii="Times New Roman" w:hAnsi="Times New Roman" w:cs="Times New Roman"/>
                <w:sz w:val="22"/>
                <w:szCs w:val="22"/>
              </w:rPr>
              <w:t>Phone: 770</w:t>
            </w:r>
            <w:r w:rsidR="00903118">
              <w:rPr>
                <w:rFonts w:ascii="Times New Roman" w:hAnsi="Times New Roman" w:cs="Times New Roman"/>
                <w:sz w:val="22"/>
                <w:szCs w:val="22"/>
              </w:rPr>
              <w:t>-</w:t>
            </w:r>
            <w:r w:rsidRPr="007B55B5">
              <w:rPr>
                <w:rFonts w:ascii="Times New Roman" w:hAnsi="Times New Roman" w:cs="Times New Roman"/>
                <w:sz w:val="22"/>
                <w:szCs w:val="22"/>
              </w:rPr>
              <w:t>488</w:t>
            </w:r>
            <w:r w:rsidR="00903118">
              <w:rPr>
                <w:rFonts w:ascii="Times New Roman" w:hAnsi="Times New Roman" w:cs="Times New Roman"/>
                <w:sz w:val="22"/>
                <w:szCs w:val="22"/>
              </w:rPr>
              <w:t>-</w:t>
            </w:r>
            <w:r w:rsidRPr="007B55B5">
              <w:rPr>
                <w:rFonts w:ascii="Times New Roman" w:hAnsi="Times New Roman" w:cs="Times New Roman"/>
                <w:sz w:val="22"/>
                <w:szCs w:val="22"/>
              </w:rPr>
              <w:t>5937</w:t>
            </w:r>
            <w:r w:rsidRPr="007B55B5">
              <w:rPr>
                <w:rFonts w:ascii="Times New Roman" w:hAnsi="Times New Roman" w:cs="Times New Roman"/>
                <w:sz w:val="22"/>
                <w:szCs w:val="22"/>
              </w:rPr>
              <w:br/>
              <w:t xml:space="preserve">E-mail: </w:t>
            </w:r>
            <w:hyperlink r:id="rId17" w:history="1">
              <w:r w:rsidRPr="007B55B5">
                <w:rPr>
                  <w:rStyle w:val="Hyperlink"/>
                  <w:rFonts w:ascii="Times New Roman" w:hAnsi="Times New Roman"/>
                  <w:sz w:val="22"/>
                  <w:szCs w:val="22"/>
                </w:rPr>
                <w:t>Terrence.otoole@cdc.hhs.gov</w:t>
              </w:r>
            </w:hyperlink>
          </w:p>
        </w:tc>
      </w:tr>
      <w:tr w:rsidR="00044AFF" w:rsidRPr="007B55B5" w:rsidTr="00E4226C">
        <w:tc>
          <w:tcPr>
            <w:tcW w:w="2448" w:type="dxa"/>
          </w:tcPr>
          <w:p w:rsidR="00044AFF" w:rsidRPr="007B55B5" w:rsidRDefault="00044AFF" w:rsidP="00E4226C">
            <w:pPr>
              <w:rPr>
                <w:sz w:val="22"/>
                <w:szCs w:val="22"/>
              </w:rPr>
            </w:pPr>
            <w:r w:rsidRPr="007B55B5">
              <w:rPr>
                <w:rFonts w:ascii="Times New Roman" w:hAnsi="Times New Roman" w:cs="Times New Roman"/>
                <w:sz w:val="22"/>
                <w:szCs w:val="22"/>
              </w:rPr>
              <w:t>Suzanne Gates</w:t>
            </w:r>
            <w:r>
              <w:rPr>
                <w:rFonts w:ascii="Times New Roman" w:hAnsi="Times New Roman" w:cs="Times New Roman"/>
                <w:sz w:val="22"/>
                <w:szCs w:val="22"/>
              </w:rPr>
              <w:t>,</w:t>
            </w:r>
            <w:r w:rsidRPr="007B55B5">
              <w:rPr>
                <w:rFonts w:ascii="Times New Roman" w:hAnsi="Times New Roman" w:cs="Times New Roman"/>
                <w:sz w:val="22"/>
                <w:szCs w:val="22"/>
              </w:rPr>
              <w:t xml:space="preserve"> PhD, Health Communication Analyst</w:t>
            </w:r>
          </w:p>
        </w:tc>
        <w:tc>
          <w:tcPr>
            <w:tcW w:w="3936" w:type="dxa"/>
          </w:tcPr>
          <w:p w:rsidR="00044AFF" w:rsidRDefault="00044AFF" w:rsidP="00E4226C">
            <w:pPr>
              <w:rPr>
                <w:sz w:val="22"/>
                <w:szCs w:val="22"/>
              </w:rPr>
            </w:pPr>
            <w:r w:rsidRPr="007B55B5">
              <w:rPr>
                <w:rFonts w:ascii="Times New Roman" w:hAnsi="Times New Roman" w:cs="Times New Roman"/>
                <w:sz w:val="22"/>
                <w:szCs w:val="22"/>
              </w:rPr>
              <w:t>Division of Community Health (DCH); NCCDPHP</w:t>
            </w:r>
          </w:p>
        </w:tc>
        <w:tc>
          <w:tcPr>
            <w:tcW w:w="3192" w:type="dxa"/>
          </w:tcPr>
          <w:p w:rsidR="00044AFF" w:rsidRDefault="00044AFF" w:rsidP="00903118">
            <w:pPr>
              <w:rPr>
                <w:sz w:val="22"/>
                <w:szCs w:val="22"/>
              </w:rPr>
            </w:pPr>
            <w:r w:rsidRPr="007B55B5">
              <w:rPr>
                <w:rFonts w:ascii="Times New Roman" w:hAnsi="Times New Roman" w:cs="Times New Roman"/>
                <w:sz w:val="22"/>
                <w:szCs w:val="22"/>
              </w:rPr>
              <w:t>Phone: 770</w:t>
            </w:r>
            <w:r>
              <w:rPr>
                <w:rFonts w:ascii="Times New Roman" w:hAnsi="Times New Roman" w:cs="Times New Roman"/>
                <w:sz w:val="22"/>
                <w:szCs w:val="22"/>
              </w:rPr>
              <w:t>-</w:t>
            </w:r>
            <w:r w:rsidRPr="007B55B5">
              <w:rPr>
                <w:rFonts w:ascii="Times New Roman" w:hAnsi="Times New Roman" w:cs="Times New Roman"/>
                <w:sz w:val="22"/>
                <w:szCs w:val="22"/>
              </w:rPr>
              <w:t>488</w:t>
            </w:r>
            <w:r>
              <w:rPr>
                <w:rFonts w:ascii="Times New Roman" w:hAnsi="Times New Roman" w:cs="Times New Roman"/>
                <w:sz w:val="22"/>
                <w:szCs w:val="22"/>
              </w:rPr>
              <w:t>-</w:t>
            </w:r>
            <w:r w:rsidRPr="007B55B5">
              <w:rPr>
                <w:rFonts w:ascii="Times New Roman" w:hAnsi="Times New Roman" w:cs="Times New Roman"/>
                <w:sz w:val="22"/>
                <w:szCs w:val="22"/>
              </w:rPr>
              <w:t>7580</w:t>
            </w:r>
            <w:r w:rsidRPr="007B55B5">
              <w:rPr>
                <w:rFonts w:ascii="Times New Roman" w:hAnsi="Times New Roman" w:cs="Times New Roman"/>
                <w:sz w:val="22"/>
                <w:szCs w:val="22"/>
              </w:rPr>
              <w:br/>
              <w:t xml:space="preserve">E-mail: </w:t>
            </w:r>
            <w:hyperlink r:id="rId18" w:history="1">
              <w:r w:rsidRPr="007B55B5">
                <w:rPr>
                  <w:rStyle w:val="Hyperlink"/>
                  <w:rFonts w:ascii="Times New Roman" w:hAnsi="Times New Roman"/>
                  <w:sz w:val="22"/>
                  <w:szCs w:val="22"/>
                </w:rPr>
                <w:t>Suzanne.gates@cdc.hhs.gov</w:t>
              </w:r>
            </w:hyperlink>
          </w:p>
        </w:tc>
      </w:tr>
      <w:tr w:rsidR="003C0E62" w:rsidRPr="007B55B5" w:rsidTr="00E4226C">
        <w:tc>
          <w:tcPr>
            <w:tcW w:w="2448" w:type="dxa"/>
          </w:tcPr>
          <w:p w:rsidR="003C0E62" w:rsidRDefault="003C0E62" w:rsidP="00E4226C">
            <w:pPr>
              <w:rPr>
                <w:rFonts w:ascii="Times New Roman" w:hAnsi="Times New Roman" w:cs="Times New Roman"/>
                <w:sz w:val="22"/>
                <w:szCs w:val="22"/>
              </w:rPr>
            </w:pPr>
            <w:r w:rsidRPr="007B55B5">
              <w:rPr>
                <w:rFonts w:ascii="Times New Roman" w:hAnsi="Times New Roman" w:cs="Times New Roman"/>
                <w:sz w:val="22"/>
                <w:szCs w:val="22"/>
              </w:rPr>
              <w:t>Robin Soler, PhD</w:t>
            </w:r>
          </w:p>
          <w:p w:rsidR="0037000F" w:rsidRPr="007B55B5" w:rsidRDefault="00B25E1B" w:rsidP="00F932AE">
            <w:pPr>
              <w:rPr>
                <w:rFonts w:ascii="Times New Roman" w:hAnsi="Times New Roman" w:cs="Times New Roman"/>
                <w:sz w:val="22"/>
                <w:szCs w:val="22"/>
              </w:rPr>
            </w:pPr>
            <w:r>
              <w:rPr>
                <w:rFonts w:ascii="Times New Roman" w:hAnsi="Times New Roman" w:cs="Times New Roman"/>
                <w:sz w:val="22"/>
                <w:szCs w:val="22"/>
              </w:rPr>
              <w:t>Ev</w:t>
            </w:r>
            <w:r w:rsidR="00F932AE">
              <w:rPr>
                <w:rFonts w:ascii="Times New Roman" w:hAnsi="Times New Roman" w:cs="Times New Roman"/>
                <w:sz w:val="22"/>
                <w:szCs w:val="22"/>
              </w:rPr>
              <w:t>a</w:t>
            </w:r>
            <w:r>
              <w:rPr>
                <w:rFonts w:ascii="Times New Roman" w:hAnsi="Times New Roman" w:cs="Times New Roman"/>
                <w:sz w:val="22"/>
                <w:szCs w:val="22"/>
              </w:rPr>
              <w:t xml:space="preserve">luation </w:t>
            </w:r>
            <w:r w:rsidR="00F932AE">
              <w:rPr>
                <w:rFonts w:ascii="Times New Roman" w:hAnsi="Times New Roman" w:cs="Times New Roman"/>
                <w:sz w:val="22"/>
                <w:szCs w:val="22"/>
              </w:rPr>
              <w:t>T</w:t>
            </w:r>
            <w:r>
              <w:rPr>
                <w:rFonts w:ascii="Times New Roman" w:hAnsi="Times New Roman" w:cs="Times New Roman"/>
                <w:sz w:val="22"/>
                <w:szCs w:val="22"/>
              </w:rPr>
              <w:t>eam Lead, RSEB</w:t>
            </w:r>
          </w:p>
        </w:tc>
        <w:tc>
          <w:tcPr>
            <w:tcW w:w="3936" w:type="dxa"/>
          </w:tcPr>
          <w:p w:rsidR="003C0E62" w:rsidRPr="007B55B5" w:rsidRDefault="00FF4185" w:rsidP="00E4226C">
            <w:pPr>
              <w:rPr>
                <w:rFonts w:ascii="Times New Roman" w:hAnsi="Times New Roman" w:cs="Times New Roman"/>
                <w:sz w:val="22"/>
                <w:szCs w:val="22"/>
              </w:rPr>
            </w:pPr>
            <w:r>
              <w:rPr>
                <w:rFonts w:ascii="Times New Roman" w:hAnsi="Times New Roman" w:cs="Times New Roman"/>
                <w:sz w:val="22"/>
                <w:szCs w:val="22"/>
              </w:rPr>
              <w:t>DCH</w:t>
            </w:r>
            <w:r w:rsidR="00F34C07">
              <w:rPr>
                <w:rFonts w:ascii="Times New Roman" w:hAnsi="Times New Roman" w:cs="Times New Roman"/>
                <w:sz w:val="22"/>
                <w:szCs w:val="22"/>
              </w:rPr>
              <w:t>; NCCDPHP</w:t>
            </w:r>
          </w:p>
        </w:tc>
        <w:tc>
          <w:tcPr>
            <w:tcW w:w="3192" w:type="dxa"/>
          </w:tcPr>
          <w:p w:rsidR="003C0E62" w:rsidRDefault="00903118" w:rsidP="00903118">
            <w:pPr>
              <w:rPr>
                <w:rFonts w:ascii="Times New Roman" w:hAnsi="Times New Roman" w:cs="Times New Roman"/>
                <w:sz w:val="22"/>
                <w:szCs w:val="22"/>
              </w:rPr>
            </w:pPr>
            <w:r>
              <w:rPr>
                <w:rFonts w:ascii="Times New Roman" w:hAnsi="Times New Roman" w:cs="Times New Roman"/>
                <w:sz w:val="22"/>
                <w:szCs w:val="22"/>
              </w:rPr>
              <w:t xml:space="preserve">Phone: </w:t>
            </w:r>
            <w:r w:rsidRPr="00903118">
              <w:rPr>
                <w:rFonts w:ascii="Times New Roman" w:hAnsi="Times New Roman" w:cs="Times New Roman"/>
                <w:sz w:val="22"/>
                <w:szCs w:val="22"/>
              </w:rPr>
              <w:t>770</w:t>
            </w:r>
            <w:r>
              <w:rPr>
                <w:rFonts w:ascii="Times New Roman" w:hAnsi="Times New Roman" w:cs="Times New Roman"/>
                <w:sz w:val="22"/>
                <w:szCs w:val="22"/>
              </w:rPr>
              <w:t>-</w:t>
            </w:r>
            <w:r w:rsidRPr="00903118">
              <w:rPr>
                <w:rFonts w:ascii="Times New Roman" w:hAnsi="Times New Roman" w:cs="Times New Roman"/>
                <w:sz w:val="22"/>
                <w:szCs w:val="22"/>
              </w:rPr>
              <w:t>488</w:t>
            </w:r>
            <w:r>
              <w:rPr>
                <w:rFonts w:ascii="Times New Roman" w:hAnsi="Times New Roman" w:cs="Times New Roman"/>
                <w:sz w:val="22"/>
                <w:szCs w:val="22"/>
              </w:rPr>
              <w:t>-</w:t>
            </w:r>
            <w:r w:rsidRPr="00903118">
              <w:rPr>
                <w:rFonts w:ascii="Times New Roman" w:hAnsi="Times New Roman" w:cs="Times New Roman"/>
                <w:sz w:val="22"/>
                <w:szCs w:val="22"/>
              </w:rPr>
              <w:t>5103</w:t>
            </w:r>
          </w:p>
          <w:p w:rsidR="00903118" w:rsidRPr="007B55B5" w:rsidRDefault="00903118" w:rsidP="00903118">
            <w:pPr>
              <w:rPr>
                <w:rFonts w:ascii="Times New Roman" w:hAnsi="Times New Roman" w:cs="Times New Roman"/>
                <w:sz w:val="22"/>
                <w:szCs w:val="22"/>
              </w:rPr>
            </w:pPr>
            <w:r>
              <w:rPr>
                <w:rFonts w:ascii="Times New Roman" w:hAnsi="Times New Roman" w:cs="Times New Roman"/>
                <w:sz w:val="22"/>
                <w:szCs w:val="22"/>
              </w:rPr>
              <w:t xml:space="preserve">E-mail: </w:t>
            </w:r>
            <w:hyperlink r:id="rId19" w:history="1">
              <w:r w:rsidR="00F932AE" w:rsidRPr="003B380C">
                <w:rPr>
                  <w:rStyle w:val="Hyperlink"/>
                  <w:sz w:val="22"/>
                  <w:szCs w:val="22"/>
                </w:rPr>
                <w:t>RSoler@cdc.gov</w:t>
              </w:r>
            </w:hyperlink>
          </w:p>
        </w:tc>
      </w:tr>
      <w:tr w:rsidR="003C0E62" w:rsidRPr="007B55B5" w:rsidTr="00E4226C">
        <w:tc>
          <w:tcPr>
            <w:tcW w:w="2448" w:type="dxa"/>
          </w:tcPr>
          <w:p w:rsidR="003C0E62" w:rsidRDefault="003C0E62" w:rsidP="00E4226C">
            <w:pPr>
              <w:rPr>
                <w:rFonts w:ascii="Times New Roman" w:hAnsi="Times New Roman" w:cs="Times New Roman"/>
                <w:sz w:val="22"/>
                <w:szCs w:val="22"/>
              </w:rPr>
            </w:pPr>
            <w:r w:rsidRPr="007B55B5">
              <w:rPr>
                <w:rFonts w:ascii="Times New Roman" w:hAnsi="Times New Roman" w:cs="Times New Roman"/>
                <w:sz w:val="22"/>
                <w:szCs w:val="22"/>
              </w:rPr>
              <w:t>Kristine Day, MPH</w:t>
            </w:r>
            <w:r w:rsidR="00F932AE">
              <w:rPr>
                <w:rFonts w:ascii="Times New Roman" w:hAnsi="Times New Roman" w:cs="Times New Roman"/>
                <w:sz w:val="22"/>
                <w:szCs w:val="22"/>
              </w:rPr>
              <w:t xml:space="preserve"> Public Health Analyst</w:t>
            </w:r>
          </w:p>
          <w:p w:rsidR="00F932AE" w:rsidRPr="007B55B5" w:rsidRDefault="00F932AE" w:rsidP="00E4226C">
            <w:pPr>
              <w:rPr>
                <w:rFonts w:ascii="Times New Roman" w:hAnsi="Times New Roman" w:cs="Times New Roman"/>
                <w:sz w:val="22"/>
                <w:szCs w:val="22"/>
              </w:rPr>
            </w:pPr>
          </w:p>
        </w:tc>
        <w:tc>
          <w:tcPr>
            <w:tcW w:w="3936" w:type="dxa"/>
          </w:tcPr>
          <w:p w:rsidR="003C0E62" w:rsidRPr="007B55B5" w:rsidRDefault="00F34C07" w:rsidP="00E4226C">
            <w:pPr>
              <w:rPr>
                <w:rFonts w:ascii="Times New Roman" w:hAnsi="Times New Roman" w:cs="Times New Roman"/>
                <w:sz w:val="22"/>
                <w:szCs w:val="22"/>
              </w:rPr>
            </w:pPr>
            <w:r w:rsidRPr="00F34C07">
              <w:rPr>
                <w:rFonts w:ascii="Times New Roman" w:hAnsi="Times New Roman" w:cs="Times New Roman"/>
                <w:sz w:val="22"/>
                <w:szCs w:val="22"/>
              </w:rPr>
              <w:t>DCH; NCCDPHP</w:t>
            </w:r>
          </w:p>
        </w:tc>
        <w:tc>
          <w:tcPr>
            <w:tcW w:w="3192" w:type="dxa"/>
          </w:tcPr>
          <w:p w:rsidR="00F34C07" w:rsidRPr="00F34C07" w:rsidRDefault="00F34C07" w:rsidP="00F34C07">
            <w:pPr>
              <w:rPr>
                <w:rFonts w:ascii="Times New Roman" w:hAnsi="Times New Roman" w:cs="Times New Roman"/>
                <w:sz w:val="22"/>
                <w:szCs w:val="22"/>
              </w:rPr>
            </w:pPr>
            <w:r w:rsidRPr="00F34C07">
              <w:rPr>
                <w:rFonts w:ascii="Times New Roman" w:hAnsi="Times New Roman" w:cs="Times New Roman"/>
                <w:sz w:val="22"/>
                <w:szCs w:val="22"/>
              </w:rPr>
              <w:t>Phone: 770</w:t>
            </w:r>
            <w:r>
              <w:rPr>
                <w:rFonts w:ascii="Times New Roman" w:hAnsi="Times New Roman" w:cs="Times New Roman"/>
                <w:sz w:val="22"/>
                <w:szCs w:val="22"/>
              </w:rPr>
              <w:t>-</w:t>
            </w:r>
            <w:r w:rsidRPr="00F34C07">
              <w:rPr>
                <w:rFonts w:ascii="Times New Roman" w:hAnsi="Times New Roman" w:cs="Times New Roman"/>
                <w:sz w:val="22"/>
                <w:szCs w:val="22"/>
              </w:rPr>
              <w:t>488-5446</w:t>
            </w:r>
          </w:p>
          <w:p w:rsidR="003C0E62" w:rsidRPr="007B55B5" w:rsidRDefault="00272016" w:rsidP="00F34C07">
            <w:pPr>
              <w:rPr>
                <w:rFonts w:ascii="Times New Roman" w:hAnsi="Times New Roman" w:cs="Times New Roman"/>
                <w:sz w:val="22"/>
                <w:szCs w:val="22"/>
              </w:rPr>
            </w:pPr>
            <w:hyperlink r:id="rId20" w:history="1">
              <w:r w:rsidR="00F932AE" w:rsidRPr="003B380C">
                <w:rPr>
                  <w:rStyle w:val="Hyperlink"/>
                  <w:sz w:val="22"/>
                  <w:szCs w:val="22"/>
                </w:rPr>
                <w:t>kday@cdc.gov</w:t>
              </w:r>
            </w:hyperlink>
          </w:p>
        </w:tc>
      </w:tr>
    </w:tbl>
    <w:p w:rsidR="0004773D" w:rsidRPr="00483422" w:rsidRDefault="006839C9" w:rsidP="00F56750">
      <w:pPr>
        <w:pStyle w:val="BodyText"/>
        <w:spacing w:before="240"/>
      </w:pPr>
      <w:r w:rsidRPr="00483422">
        <w:t xml:space="preserve">The following individuals </w:t>
      </w:r>
      <w:r w:rsidR="0004773D">
        <w:t xml:space="preserve">from </w:t>
      </w:r>
      <w:r w:rsidR="008408F2">
        <w:t>RTI International</w:t>
      </w:r>
      <w:r w:rsidR="0004773D">
        <w:t xml:space="preserve"> </w:t>
      </w:r>
      <w:r w:rsidRPr="00483422">
        <w:t xml:space="preserve">have been consulted on the </w:t>
      </w:r>
      <w:r w:rsidR="00C35252" w:rsidRPr="00483422">
        <w:t xml:space="preserve">design of the campaign evaluation plan and </w:t>
      </w:r>
      <w:r w:rsidRPr="00483422">
        <w:t>questionnaire development</w:t>
      </w:r>
      <w:r w:rsidR="00744E97" w:rsidRPr="00483422">
        <w:t>:</w:t>
      </w:r>
    </w:p>
    <w:p w:rsidR="00F34C07" w:rsidRDefault="00F34C07"/>
    <w:tbl>
      <w:tblPr>
        <w:tblStyle w:val="TableGrid"/>
        <w:tblW w:w="0" w:type="auto"/>
        <w:tblLook w:val="04A0" w:firstRow="1" w:lastRow="0" w:firstColumn="1" w:lastColumn="0" w:noHBand="0" w:noVBand="1"/>
      </w:tblPr>
      <w:tblGrid>
        <w:gridCol w:w="2448"/>
        <w:gridCol w:w="3936"/>
        <w:gridCol w:w="3192"/>
      </w:tblGrid>
      <w:tr w:rsidR="00086A90" w:rsidRPr="004A2E74" w:rsidTr="00E4226C">
        <w:tc>
          <w:tcPr>
            <w:tcW w:w="2448" w:type="dxa"/>
          </w:tcPr>
          <w:p w:rsidR="00086A90" w:rsidRPr="004A2E74" w:rsidRDefault="00086A90" w:rsidP="00E4226C">
            <w:pPr>
              <w:rPr>
                <w:rFonts w:ascii="Times New Roman" w:hAnsi="Times New Roman" w:cs="Times New Roman"/>
                <w:b/>
                <w:sz w:val="22"/>
                <w:szCs w:val="22"/>
              </w:rPr>
            </w:pPr>
            <w:r w:rsidRPr="004A2E74">
              <w:rPr>
                <w:rFonts w:ascii="Times New Roman" w:hAnsi="Times New Roman" w:cs="Times New Roman"/>
                <w:b/>
                <w:sz w:val="22"/>
                <w:szCs w:val="22"/>
              </w:rPr>
              <w:t>Name</w:t>
            </w:r>
          </w:p>
        </w:tc>
        <w:tc>
          <w:tcPr>
            <w:tcW w:w="3936" w:type="dxa"/>
          </w:tcPr>
          <w:p w:rsidR="00086A90" w:rsidRPr="004A2E74" w:rsidRDefault="00086A90" w:rsidP="00E4226C">
            <w:pPr>
              <w:rPr>
                <w:rFonts w:ascii="Times New Roman" w:hAnsi="Times New Roman" w:cs="Times New Roman"/>
                <w:b/>
                <w:sz w:val="22"/>
                <w:szCs w:val="22"/>
              </w:rPr>
            </w:pPr>
            <w:r w:rsidRPr="004A2E74">
              <w:rPr>
                <w:rFonts w:ascii="Times New Roman" w:hAnsi="Times New Roman" w:cs="Times New Roman"/>
                <w:b/>
                <w:sz w:val="22"/>
                <w:szCs w:val="22"/>
              </w:rPr>
              <w:t>Organization</w:t>
            </w:r>
          </w:p>
        </w:tc>
        <w:tc>
          <w:tcPr>
            <w:tcW w:w="3192" w:type="dxa"/>
          </w:tcPr>
          <w:p w:rsidR="00086A90" w:rsidRPr="004A2E74" w:rsidRDefault="00086A90" w:rsidP="00E4226C">
            <w:pPr>
              <w:rPr>
                <w:rFonts w:ascii="Times New Roman" w:hAnsi="Times New Roman" w:cs="Times New Roman"/>
                <w:b/>
                <w:sz w:val="22"/>
                <w:szCs w:val="22"/>
              </w:rPr>
            </w:pPr>
            <w:r w:rsidRPr="004A2E74">
              <w:rPr>
                <w:rFonts w:ascii="Times New Roman" w:hAnsi="Times New Roman" w:cs="Times New Roman"/>
                <w:b/>
                <w:sz w:val="22"/>
                <w:szCs w:val="22"/>
              </w:rPr>
              <w:t>Contact Information</w:t>
            </w:r>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Jonathan Blitstein</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PhD, Research Psychologist</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Phone: 919-541-7313</w:t>
            </w:r>
            <w:r w:rsidRPr="004A2E74">
              <w:rPr>
                <w:rFonts w:ascii="Times New Roman" w:hAnsi="Times New Roman" w:cs="Times New Roman"/>
                <w:sz w:val="22"/>
                <w:szCs w:val="22"/>
              </w:rPr>
              <w:br/>
              <w:t xml:space="preserve">E-mail: </w:t>
            </w:r>
            <w:hyperlink r:id="rId21" w:history="1">
              <w:r w:rsidRPr="004A2E74">
                <w:rPr>
                  <w:rStyle w:val="Hyperlink"/>
                  <w:rFonts w:ascii="Times New Roman" w:hAnsi="Times New Roman"/>
                  <w:sz w:val="22"/>
                  <w:szCs w:val="22"/>
                </w:rPr>
                <w:t>jblitstein@rti.org</w:t>
              </w:r>
            </w:hyperlink>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Darigg Brown</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PhD, Public Health Analyst</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color w:val="000000"/>
                <w:sz w:val="22"/>
                <w:szCs w:val="22"/>
              </w:rPr>
            </w:pPr>
            <w:r w:rsidRPr="004A2E74">
              <w:rPr>
                <w:rFonts w:ascii="Times New Roman" w:hAnsi="Times New Roman" w:cs="Times New Roman"/>
                <w:sz w:val="22"/>
                <w:szCs w:val="22"/>
              </w:rPr>
              <w:t>Phone: 770-407-4937</w:t>
            </w:r>
            <w:r w:rsidRPr="004A2E74">
              <w:rPr>
                <w:rFonts w:ascii="Times New Roman" w:hAnsi="Times New Roman" w:cs="Times New Roman"/>
                <w:color w:val="000000"/>
                <w:sz w:val="22"/>
                <w:szCs w:val="22"/>
              </w:rPr>
              <w:br/>
              <w:t xml:space="preserve">E-mail: </w:t>
            </w:r>
            <w:hyperlink r:id="rId22" w:history="1">
              <w:r w:rsidRPr="004A2E74">
                <w:rPr>
                  <w:rStyle w:val="Hyperlink"/>
                  <w:rFonts w:ascii="Times New Roman" w:hAnsi="Times New Roman"/>
                  <w:sz w:val="22"/>
                  <w:szCs w:val="22"/>
                </w:rPr>
                <w:t>dcbrown@rti.org</w:t>
              </w:r>
            </w:hyperlink>
          </w:p>
        </w:tc>
      </w:tr>
      <w:tr w:rsidR="00086A90" w:rsidRPr="004A2E74" w:rsidTr="00E4226C">
        <w:tc>
          <w:tcPr>
            <w:tcW w:w="2448" w:type="dxa"/>
          </w:tcPr>
          <w:p w:rsidR="00086A90" w:rsidRPr="004A2E74" w:rsidRDefault="00086A90" w:rsidP="00E4226C">
            <w:pPr>
              <w:rPr>
                <w:rFonts w:ascii="Times New Roman" w:hAnsi="Times New Roman" w:cs="Times New Roman"/>
                <w:b/>
                <w:sz w:val="22"/>
                <w:szCs w:val="22"/>
              </w:rPr>
            </w:pPr>
            <w:r w:rsidRPr="004A2E74">
              <w:rPr>
                <w:rFonts w:ascii="Times New Roman" w:hAnsi="Times New Roman" w:cs="Times New Roman"/>
                <w:sz w:val="22"/>
                <w:szCs w:val="22"/>
              </w:rPr>
              <w:t>Erik Crankshaw</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PhD, Research Associate</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b/>
                <w:sz w:val="22"/>
                <w:szCs w:val="22"/>
              </w:rPr>
            </w:pPr>
            <w:r w:rsidRPr="004A2E74">
              <w:rPr>
                <w:rFonts w:ascii="Times New Roman" w:hAnsi="Times New Roman" w:cs="Times New Roman"/>
                <w:sz w:val="22"/>
                <w:szCs w:val="22"/>
              </w:rPr>
              <w:t>Phone: 919-316-3809</w:t>
            </w:r>
            <w:r w:rsidRPr="004A2E74">
              <w:rPr>
                <w:rFonts w:ascii="Times New Roman" w:hAnsi="Times New Roman" w:cs="Times New Roman"/>
                <w:sz w:val="22"/>
                <w:szCs w:val="22"/>
              </w:rPr>
              <w:br/>
              <w:t xml:space="preserve">E-mail: </w:t>
            </w:r>
            <w:hyperlink r:id="rId23" w:history="1">
              <w:r w:rsidRPr="004A2E74">
                <w:rPr>
                  <w:rStyle w:val="Hyperlink"/>
                  <w:rFonts w:ascii="Times New Roman" w:hAnsi="Times New Roman"/>
                  <w:sz w:val="22"/>
                  <w:szCs w:val="22"/>
                </w:rPr>
                <w:t>ecrankshaw@rti.org</w:t>
              </w:r>
            </w:hyperlink>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Kevin Davis</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MPH, Senior Research Economist</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color w:val="000000"/>
                <w:sz w:val="22"/>
                <w:szCs w:val="22"/>
              </w:rPr>
              <w:t>Phone: 919-541-5801</w:t>
            </w:r>
            <w:r w:rsidRPr="004A2E74">
              <w:rPr>
                <w:rFonts w:ascii="Times New Roman" w:hAnsi="Times New Roman" w:cs="Times New Roman"/>
                <w:color w:val="000000"/>
                <w:sz w:val="22"/>
                <w:szCs w:val="22"/>
              </w:rPr>
              <w:br/>
              <w:t xml:space="preserve">E-mail: </w:t>
            </w:r>
            <w:hyperlink r:id="rId24" w:history="1">
              <w:r w:rsidRPr="004A2E74">
                <w:rPr>
                  <w:rStyle w:val="Hyperlink"/>
                  <w:rFonts w:ascii="Times New Roman" w:hAnsi="Times New Roman"/>
                  <w:sz w:val="22"/>
                  <w:szCs w:val="22"/>
                </w:rPr>
                <w:t>kcdavis@rti.org</w:t>
              </w:r>
            </w:hyperlink>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lastRenderedPageBreak/>
              <w:t>Matthew Eggers</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MPH, Public Health Analyst</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Phone: 919-990-8380</w:t>
            </w:r>
            <w:r w:rsidRPr="004A2E74">
              <w:rPr>
                <w:rFonts w:ascii="Times New Roman" w:hAnsi="Times New Roman" w:cs="Times New Roman"/>
                <w:sz w:val="22"/>
                <w:szCs w:val="22"/>
              </w:rPr>
              <w:br/>
              <w:t xml:space="preserve">E-mail: </w:t>
            </w:r>
            <w:hyperlink r:id="rId25" w:history="1">
              <w:r w:rsidRPr="004A2E74">
                <w:rPr>
                  <w:rStyle w:val="Hyperlink"/>
                  <w:rFonts w:ascii="Times New Roman" w:hAnsi="Times New Roman"/>
                  <w:sz w:val="22"/>
                  <w:szCs w:val="22"/>
                </w:rPr>
                <w:t>meggers@rti.org</w:t>
              </w:r>
            </w:hyperlink>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Burton Levine</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PhD, Statistician</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Phone: 919-541-1252</w:t>
            </w:r>
            <w:r w:rsidRPr="004A2E74">
              <w:rPr>
                <w:rFonts w:ascii="Times New Roman" w:hAnsi="Times New Roman" w:cs="Times New Roman"/>
                <w:sz w:val="22"/>
                <w:szCs w:val="22"/>
              </w:rPr>
              <w:br/>
            </w:r>
            <w:r w:rsidRPr="004A2E74">
              <w:rPr>
                <w:rFonts w:ascii="Times New Roman" w:hAnsi="Times New Roman" w:cs="Times New Roman"/>
                <w:bCs/>
                <w:sz w:val="22"/>
                <w:szCs w:val="22"/>
              </w:rPr>
              <w:t xml:space="preserve">E-mail: </w:t>
            </w:r>
            <w:hyperlink r:id="rId26" w:history="1">
              <w:r w:rsidRPr="004A2E74">
                <w:rPr>
                  <w:rStyle w:val="Hyperlink"/>
                  <w:rFonts w:ascii="Times New Roman" w:hAnsi="Times New Roman"/>
                  <w:bCs/>
                  <w:sz w:val="22"/>
                  <w:szCs w:val="22"/>
                </w:rPr>
                <w:t>blevine@rti.org</w:t>
              </w:r>
            </w:hyperlink>
          </w:p>
        </w:tc>
      </w:tr>
      <w:tr w:rsidR="00086A90" w:rsidRPr="004A2E74" w:rsidTr="00E4226C">
        <w:tc>
          <w:tcPr>
            <w:tcW w:w="2448"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Daniel Zaccaro</w:t>
            </w:r>
            <w:r w:rsidR="004A2E74" w:rsidRPr="004A2E74">
              <w:rPr>
                <w:rFonts w:ascii="Times New Roman" w:hAnsi="Times New Roman" w:cs="Times New Roman"/>
                <w:sz w:val="22"/>
                <w:szCs w:val="22"/>
              </w:rPr>
              <w:t>,</w:t>
            </w:r>
            <w:r w:rsidRPr="004A2E74">
              <w:rPr>
                <w:rFonts w:ascii="Times New Roman" w:hAnsi="Times New Roman" w:cs="Times New Roman"/>
                <w:sz w:val="22"/>
                <w:szCs w:val="22"/>
              </w:rPr>
              <w:t xml:space="preserve"> PhD, Research Biostatistician</w:t>
            </w:r>
          </w:p>
        </w:tc>
        <w:tc>
          <w:tcPr>
            <w:tcW w:w="3936"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RTI International</w:t>
            </w:r>
          </w:p>
        </w:tc>
        <w:tc>
          <w:tcPr>
            <w:tcW w:w="3192" w:type="dxa"/>
          </w:tcPr>
          <w:p w:rsidR="00086A90" w:rsidRPr="004A2E74" w:rsidRDefault="00086A90" w:rsidP="00E4226C">
            <w:pPr>
              <w:rPr>
                <w:rFonts w:ascii="Times New Roman" w:hAnsi="Times New Roman" w:cs="Times New Roman"/>
                <w:sz w:val="22"/>
                <w:szCs w:val="22"/>
              </w:rPr>
            </w:pPr>
            <w:r w:rsidRPr="004A2E74">
              <w:rPr>
                <w:rFonts w:ascii="Times New Roman" w:hAnsi="Times New Roman" w:cs="Times New Roman"/>
                <w:sz w:val="22"/>
                <w:szCs w:val="22"/>
              </w:rPr>
              <w:t>Phone: 919-541-6310</w:t>
            </w:r>
            <w:r w:rsidRPr="004A2E74">
              <w:rPr>
                <w:rFonts w:ascii="Times New Roman" w:hAnsi="Times New Roman" w:cs="Times New Roman"/>
                <w:sz w:val="22"/>
                <w:szCs w:val="22"/>
              </w:rPr>
              <w:br/>
              <w:t xml:space="preserve">E-mail: </w:t>
            </w:r>
            <w:hyperlink r:id="rId27" w:history="1">
              <w:r w:rsidRPr="004A2E74">
                <w:rPr>
                  <w:rStyle w:val="Hyperlink"/>
                  <w:rFonts w:ascii="Times New Roman" w:hAnsi="Times New Roman"/>
                  <w:sz w:val="22"/>
                  <w:szCs w:val="22"/>
                </w:rPr>
                <w:t>dzaccaro@rti.org</w:t>
              </w:r>
            </w:hyperlink>
          </w:p>
        </w:tc>
      </w:tr>
    </w:tbl>
    <w:p w:rsidR="009A56F0" w:rsidRDefault="009A56F0" w:rsidP="00333823">
      <w:pPr>
        <w:pStyle w:val="bullets-blanklast"/>
        <w:keepLines/>
        <w:ind w:left="0" w:firstLine="0"/>
      </w:pPr>
    </w:p>
    <w:p w:rsidR="006839C9" w:rsidRPr="00E87C38" w:rsidRDefault="002D4AE8" w:rsidP="009B3714">
      <w:pPr>
        <w:pStyle w:val="Heading2"/>
      </w:pPr>
      <w:bookmarkStart w:id="50" w:name="_Toc321734056"/>
      <w:bookmarkStart w:id="51" w:name="_Toc332782724"/>
      <w:bookmarkStart w:id="52" w:name="_Toc332782772"/>
      <w:bookmarkStart w:id="53" w:name="_Toc332783147"/>
      <w:r>
        <w:t>A.9</w:t>
      </w:r>
      <w:r w:rsidR="006839C9" w:rsidRPr="00E87C38">
        <w:tab/>
        <w:t>Explanations of Any Payment or Gift to Respondents</w:t>
      </w:r>
      <w:bookmarkEnd w:id="50"/>
      <w:bookmarkEnd w:id="51"/>
      <w:bookmarkEnd w:id="52"/>
      <w:bookmarkEnd w:id="53"/>
    </w:p>
    <w:p w:rsidR="001A0E45" w:rsidRDefault="001A0E45" w:rsidP="003F78ED">
      <w:pPr>
        <w:pStyle w:val="BodyText"/>
      </w:pPr>
      <w:bookmarkStart w:id="54" w:name="_Toc152464633"/>
      <w:r w:rsidRPr="00851001">
        <w:t xml:space="preserve">The study respondents will be drawn from a panel maintained by </w:t>
      </w:r>
      <w:r w:rsidR="00202F3C">
        <w:t>RN</w:t>
      </w:r>
      <w:r w:rsidRPr="00851001">
        <w:t>.</w:t>
      </w:r>
      <w:r w:rsidR="003F78ED">
        <w:t xml:space="preserve"> </w:t>
      </w:r>
      <w:r w:rsidR="00202F3C">
        <w:t>RN</w:t>
      </w:r>
      <w:r w:rsidRPr="00851001">
        <w:t xml:space="preserve"> provides its Internet panel members with a </w:t>
      </w:r>
      <w:r w:rsidR="00296767">
        <w:t>gift</w:t>
      </w:r>
      <w:r w:rsidRPr="00851001">
        <w:t xml:space="preserve"> as part of their continuous participation in the Inter</w:t>
      </w:r>
      <w:r w:rsidR="00202F3C">
        <w:t xml:space="preserve">net panel. Panel members earn </w:t>
      </w:r>
      <w:r w:rsidR="00195347">
        <w:t xml:space="preserve">an </w:t>
      </w:r>
      <w:r w:rsidR="00202F3C">
        <w:t>RN</w:t>
      </w:r>
      <w:r w:rsidRPr="00851001">
        <w:t xml:space="preserve"> </w:t>
      </w:r>
      <w:r w:rsidR="00195347">
        <w:t>gift</w:t>
      </w:r>
      <w:r w:rsidRPr="00851001">
        <w:t xml:space="preserve"> for the time they spend answering market research surveys. The appropriate </w:t>
      </w:r>
      <w:r w:rsidR="00195347">
        <w:t>gift</w:t>
      </w:r>
      <w:r w:rsidRPr="00851001">
        <w:t xml:space="preserve"> that panel members receive for participation is based on </w:t>
      </w:r>
      <w:r w:rsidR="004A2E74">
        <w:t>the</w:t>
      </w:r>
      <w:r w:rsidR="004A2E74" w:rsidRPr="00851001">
        <w:t xml:space="preserve"> </w:t>
      </w:r>
      <w:r w:rsidRPr="00851001">
        <w:t xml:space="preserve">approximate length of the survey. Members can redeem their earned </w:t>
      </w:r>
      <w:r w:rsidR="00195347">
        <w:t>gifts</w:t>
      </w:r>
      <w:r w:rsidRPr="00851001">
        <w:t xml:space="preserve"> for a variety of valuable rewards that are of interest to them. Some examples of </w:t>
      </w:r>
      <w:r w:rsidR="00195347">
        <w:t>gift</w:t>
      </w:r>
      <w:r w:rsidRPr="00851001">
        <w:t xml:space="preserve"> partners include Pizza Hut, Best Buy, JC</w:t>
      </w:r>
      <w:r w:rsidR="003F78ED">
        <w:t xml:space="preserve"> </w:t>
      </w:r>
      <w:r w:rsidRPr="00851001">
        <w:t xml:space="preserve">Penney’s, </w:t>
      </w:r>
      <w:proofErr w:type="gramStart"/>
      <w:r w:rsidRPr="00851001">
        <w:t>Macy’s</w:t>
      </w:r>
      <w:proofErr w:type="gramEnd"/>
      <w:r w:rsidRPr="00851001">
        <w:t>, American Airlines, Hertz, Target, iTunes, and various publication companies for magazine subscriptions, among others.</w:t>
      </w:r>
      <w:r w:rsidR="003F78ED">
        <w:t xml:space="preserve"> </w:t>
      </w:r>
      <w:r w:rsidR="00432A27">
        <w:t xml:space="preserve">The value of the </w:t>
      </w:r>
      <w:r w:rsidR="00195347">
        <w:t>gift</w:t>
      </w:r>
      <w:r w:rsidR="00CE160A">
        <w:t>s</w:t>
      </w:r>
      <w:r w:rsidR="00432A27">
        <w:t xml:space="preserve"> provided for participation in this project is $5.00.</w:t>
      </w:r>
      <w:r w:rsidR="00B3578B">
        <w:t xml:space="preserve"> </w:t>
      </w:r>
      <w:r w:rsidRPr="00851001">
        <w:t>There is no additional payment or gift associated with participation in the study proposed here.</w:t>
      </w:r>
    </w:p>
    <w:p w:rsidR="00E850F5" w:rsidRPr="00E87C38" w:rsidRDefault="006839C9" w:rsidP="001A0E45">
      <w:pPr>
        <w:pStyle w:val="BodyText"/>
      </w:pPr>
      <w:r w:rsidRPr="00E87C38">
        <w:t xml:space="preserve">Numerous empirical studies have shown that </w:t>
      </w:r>
      <w:r w:rsidR="00195347">
        <w:t>gift</w:t>
      </w:r>
      <w:r w:rsidR="00FB1875">
        <w:t>s</w:t>
      </w:r>
      <w:r w:rsidRPr="00E87C38">
        <w:t xml:space="preserve"> can significantly increase response rates.</w:t>
      </w:r>
      <w:r w:rsidR="00F34C07">
        <w:fldChar w:fldCharType="begin"/>
      </w:r>
      <w:r w:rsidR="00F34C07">
        <w:instrText xml:space="preserve"> REF _Ref321736893 \r \h  \* MERGEFORMAT </w:instrText>
      </w:r>
      <w:r w:rsidR="00F34C07">
        <w:fldChar w:fldCharType="separate"/>
      </w:r>
      <w:r w:rsidR="00832DC6" w:rsidRPr="00832DC6">
        <w:rPr>
          <w:vertAlign w:val="superscript"/>
        </w:rPr>
        <w:t>15</w:t>
      </w:r>
      <w:r w:rsidR="00F34C07">
        <w:fldChar w:fldCharType="end"/>
      </w:r>
      <w:proofErr w:type="gramStart"/>
      <w:r w:rsidR="00D63F29" w:rsidRPr="00D63F29">
        <w:rPr>
          <w:vertAlign w:val="superscript"/>
        </w:rPr>
        <w:t>,</w:t>
      </w:r>
      <w:proofErr w:type="gramEnd"/>
      <w:r w:rsidR="00A62988">
        <w:fldChar w:fldCharType="begin"/>
      </w:r>
      <w:r w:rsidR="00B3578B">
        <w:instrText xml:space="preserve"> REF _Ref321736897 \r \h  \* MERGEFORMAT </w:instrText>
      </w:r>
      <w:r w:rsidR="00A62988">
        <w:fldChar w:fldCharType="separate"/>
      </w:r>
      <w:r w:rsidR="00832DC6" w:rsidRPr="00832DC6">
        <w:rPr>
          <w:vertAlign w:val="superscript"/>
        </w:rPr>
        <w:t>16</w:t>
      </w:r>
      <w:r w:rsidR="00A62988">
        <w:fldChar w:fldCharType="end"/>
      </w:r>
      <w:r w:rsidRPr="00E87C38">
        <w:t xml:space="preserve"> </w:t>
      </w:r>
      <w:bookmarkStart w:id="55" w:name="_Toc152464657"/>
      <w:bookmarkEnd w:id="54"/>
      <w:r w:rsidRPr="00E87C38">
        <w:t xml:space="preserve">The use of modest </w:t>
      </w:r>
      <w:r w:rsidR="00FB1875">
        <w:t>gifts</w:t>
      </w:r>
      <w:r w:rsidRPr="00E87C38">
        <w:t xml:space="preserve"> is expected to enhance survey response rates without biasing responses. We also believe that the </w:t>
      </w:r>
      <w:r w:rsidR="00FB1875">
        <w:t>gifts</w:t>
      </w:r>
      <w:r w:rsidRPr="00E87C38">
        <w:t xml:space="preserve"> will result in higher data validity as participants will become more engaged in the survey process. This will also enhance overall response to </w:t>
      </w:r>
      <w:r w:rsidR="00E850F5" w:rsidRPr="00E87C38">
        <w:t>the survey</w:t>
      </w:r>
      <w:r w:rsidRPr="00E87C38">
        <w:t xml:space="preserve">. It is crucial that the survey be completed </w:t>
      </w:r>
      <w:r w:rsidR="00F167D3" w:rsidRPr="00E87C38">
        <w:t>soon after launch of the media campaign to minimize recall bias</w:t>
      </w:r>
      <w:r w:rsidRPr="00E87C38">
        <w:t xml:space="preserve">. The use of </w:t>
      </w:r>
      <w:r w:rsidR="00FB1875">
        <w:t>gifts</w:t>
      </w:r>
      <w:r w:rsidRPr="00E87C38">
        <w:t xml:space="preserve"> will </w:t>
      </w:r>
      <w:r w:rsidR="00296767">
        <w:t xml:space="preserve">also </w:t>
      </w:r>
      <w:r w:rsidRPr="00E87C38">
        <w:t xml:space="preserve">help ensure that data collection is completed in a timely manner. </w:t>
      </w:r>
      <w:bookmarkEnd w:id="55"/>
      <w:r w:rsidR="000904C5" w:rsidRPr="00E87C38">
        <w:t xml:space="preserve">The estimated total cost of </w:t>
      </w:r>
      <w:r w:rsidR="00FB1875">
        <w:t xml:space="preserve">gifts </w:t>
      </w:r>
      <w:r w:rsidR="000904C5" w:rsidRPr="00E87C38">
        <w:t>is $</w:t>
      </w:r>
      <w:r w:rsidR="00C119B4">
        <w:t>34,875</w:t>
      </w:r>
      <w:r w:rsidR="00FB1875">
        <w:t xml:space="preserve"> </w:t>
      </w:r>
      <w:r w:rsidR="000904C5" w:rsidRPr="00E87C38">
        <w:t xml:space="preserve">($5 X </w:t>
      </w:r>
      <w:r w:rsidR="00C119B4">
        <w:t>6,975</w:t>
      </w:r>
      <w:r w:rsidR="00F70FC8">
        <w:t xml:space="preserve"> </w:t>
      </w:r>
      <w:r w:rsidR="000904C5" w:rsidRPr="00E87C38">
        <w:t>respondents).</w:t>
      </w:r>
      <w:r w:rsidR="00596558">
        <w:t xml:space="preserve"> </w:t>
      </w:r>
    </w:p>
    <w:p w:rsidR="006839C9" w:rsidRPr="00E87C38" w:rsidRDefault="002D4AE8" w:rsidP="009B3714">
      <w:pPr>
        <w:pStyle w:val="Heading2"/>
      </w:pPr>
      <w:bookmarkStart w:id="56" w:name="_Toc321734057"/>
      <w:bookmarkStart w:id="57" w:name="_Toc332782725"/>
      <w:bookmarkStart w:id="58" w:name="_Toc332782773"/>
      <w:bookmarkStart w:id="59" w:name="_Toc332783148"/>
      <w:r>
        <w:t>A.10</w:t>
      </w:r>
      <w:r>
        <w:tab/>
      </w:r>
      <w:r w:rsidR="006839C9" w:rsidRPr="00E87C38">
        <w:t>Assurance of Confidentiality Provided to Respondents</w:t>
      </w:r>
      <w:bookmarkEnd w:id="56"/>
      <w:bookmarkEnd w:id="57"/>
      <w:bookmarkEnd w:id="58"/>
      <w:bookmarkEnd w:id="59"/>
    </w:p>
    <w:p w:rsidR="001A0E45" w:rsidRPr="00D857C5" w:rsidRDefault="006839C9" w:rsidP="003D0287">
      <w:pPr>
        <w:pStyle w:val="BodyText"/>
      </w:pPr>
      <w:r w:rsidRPr="00E87C38">
        <w:t xml:space="preserve">All procedures have been developed in accordance with federal, state, and local guidelines, to ensure that the rights of participants are protected and </w:t>
      </w:r>
      <w:r w:rsidR="009D41C4">
        <w:t>data are appropriately safeguarded.</w:t>
      </w:r>
      <w:r w:rsidR="00B3578B">
        <w:t xml:space="preserve"> </w:t>
      </w:r>
      <w:r w:rsidRPr="00E87C38">
        <w:t>The RTI Institutional Review Board (IRB) reviewed and approved all instruments, informed consent materials, and data collection and management procedures</w:t>
      </w:r>
      <w:r w:rsidR="00F84586">
        <w:t>.</w:t>
      </w:r>
      <w:r w:rsidR="00B3578B">
        <w:t xml:space="preserve"> </w:t>
      </w:r>
      <w:r w:rsidR="00F84586">
        <w:t>The e</w:t>
      </w:r>
      <w:r w:rsidR="004A2E74">
        <w:t>-</w:t>
      </w:r>
      <w:r w:rsidR="00F84586">
        <w:t xml:space="preserve">mail notification and reminders provided to respondents are included as </w:t>
      </w:r>
      <w:r w:rsidR="00F84586" w:rsidRPr="00D857C5">
        <w:t>Attachment 8.</w:t>
      </w:r>
      <w:r w:rsidR="00B3578B" w:rsidRPr="00D857C5">
        <w:t xml:space="preserve"> </w:t>
      </w:r>
      <w:r w:rsidRPr="00D857C5">
        <w:t>RTI</w:t>
      </w:r>
      <w:r w:rsidR="00F84586" w:rsidRPr="00D857C5">
        <w:t>’s</w:t>
      </w:r>
      <w:r w:rsidRPr="00D857C5">
        <w:t xml:space="preserve"> IRB approval notice i</w:t>
      </w:r>
      <w:r w:rsidR="00F84586" w:rsidRPr="00D857C5">
        <w:t>s included as</w:t>
      </w:r>
      <w:r w:rsidRPr="00D857C5">
        <w:t xml:space="preserve"> </w:t>
      </w:r>
      <w:r w:rsidRPr="00D857C5">
        <w:rPr>
          <w:bCs/>
          <w:iCs/>
        </w:rPr>
        <w:t xml:space="preserve">Attachment </w:t>
      </w:r>
      <w:r w:rsidR="00293FB7" w:rsidRPr="00D857C5">
        <w:rPr>
          <w:bCs/>
          <w:iCs/>
        </w:rPr>
        <w:t>9</w:t>
      </w:r>
      <w:r w:rsidRPr="00D857C5">
        <w:t xml:space="preserve">. </w:t>
      </w:r>
    </w:p>
    <w:p w:rsidR="006839C9" w:rsidRPr="00E87C38" w:rsidRDefault="006839C9" w:rsidP="001A5E75">
      <w:pPr>
        <w:pStyle w:val="Heading4"/>
      </w:pPr>
      <w:r w:rsidRPr="00E87C38">
        <w:t>Privacy Act Determination</w:t>
      </w:r>
    </w:p>
    <w:p w:rsidR="006839C9" w:rsidRPr="00E87C38" w:rsidRDefault="006839C9" w:rsidP="00071BCD">
      <w:pPr>
        <w:pStyle w:val="BodyText"/>
      </w:pPr>
      <w:r w:rsidRPr="00E87C38">
        <w:t>This submission has been reviewed by CDC’s National Center for Chronic Disease Prevention and Health Promotion and CDC’s Information Collection Review Office, which have determined that the Privacy Act does not apply.</w:t>
      </w:r>
      <w:r w:rsidR="00B3578B">
        <w:t xml:space="preserve"> </w:t>
      </w:r>
      <w:r w:rsidRPr="00E87C38">
        <w:t xml:space="preserve">Although identifiable information about respondents will be used to facilitate initial contact and follow-up, the identifying information is maintained in a secure, preexisting records system owned by </w:t>
      </w:r>
      <w:r w:rsidR="00071BCD">
        <w:t>RN</w:t>
      </w:r>
      <w:r w:rsidRPr="00E87C38">
        <w:t>.</w:t>
      </w:r>
      <w:r w:rsidR="00596558">
        <w:t xml:space="preserve"> </w:t>
      </w:r>
      <w:r w:rsidRPr="00E87C38">
        <w:t xml:space="preserve">The response data transmitted from </w:t>
      </w:r>
      <w:r w:rsidR="00202F3C">
        <w:t>RN</w:t>
      </w:r>
      <w:r w:rsidR="00202F3C" w:rsidRPr="00E87C38">
        <w:t xml:space="preserve"> </w:t>
      </w:r>
      <w:r w:rsidRPr="00E87C38">
        <w:t>to RTI International, the data analysis contractor, will be de-identified prior to transmission and analysis.</w:t>
      </w:r>
      <w:r w:rsidR="00596558">
        <w:t xml:space="preserve"> </w:t>
      </w:r>
    </w:p>
    <w:p w:rsidR="006839C9" w:rsidRPr="00E87C38" w:rsidRDefault="006839C9" w:rsidP="001A5E75">
      <w:pPr>
        <w:pStyle w:val="Heading4"/>
      </w:pPr>
      <w:r w:rsidRPr="00E87C38">
        <w:lastRenderedPageBreak/>
        <w:t>Safeguards</w:t>
      </w:r>
    </w:p>
    <w:p w:rsidR="003D0287" w:rsidRPr="003D0287" w:rsidRDefault="00CC2BEE" w:rsidP="003F78ED">
      <w:pPr>
        <w:pStyle w:val="BodyText"/>
        <w:rPr>
          <w:b/>
          <w:bCs/>
        </w:rPr>
      </w:pPr>
      <w:bookmarkStart w:id="60" w:name="_Toc332782726"/>
      <w:r>
        <w:rPr>
          <w:bCs/>
        </w:rPr>
        <w:t>Information will be safeguarded using</w:t>
      </w:r>
      <w:r w:rsidR="003D0287" w:rsidRPr="003D0287">
        <w:rPr>
          <w:bCs/>
        </w:rPr>
        <w:t xml:space="preserve"> procedures to prevent unauthorized access to respondent data, and by preventing the public disclosure of the responses of individual participants. The contractors will only share data or information with </w:t>
      </w:r>
      <w:r w:rsidR="003D0287">
        <w:rPr>
          <w:bCs/>
        </w:rPr>
        <w:t>CDC</w:t>
      </w:r>
      <w:r w:rsidR="003D0287" w:rsidRPr="003D0287">
        <w:rPr>
          <w:bCs/>
        </w:rPr>
        <w:t xml:space="preserve"> in an aggregated form or format, which does not permit </w:t>
      </w:r>
      <w:r w:rsidR="003D0287">
        <w:rPr>
          <w:bCs/>
        </w:rPr>
        <w:t>CDC</w:t>
      </w:r>
      <w:r w:rsidR="003D0287" w:rsidRPr="003D0287">
        <w:rPr>
          <w:bCs/>
        </w:rPr>
        <w:t xml:space="preserve"> to identify individual respondents.</w:t>
      </w:r>
      <w:bookmarkEnd w:id="60"/>
    </w:p>
    <w:p w:rsidR="003D0287" w:rsidRPr="00BE686C" w:rsidRDefault="003D0287" w:rsidP="003F78ED">
      <w:pPr>
        <w:pStyle w:val="BodyText"/>
      </w:pPr>
      <w:r w:rsidRPr="003F78ED">
        <w:rPr>
          <w:bCs/>
        </w:rPr>
        <w:t>Neither</w:t>
      </w:r>
      <w:r w:rsidRPr="00BE686C">
        <w:t xml:space="preserve"> </w:t>
      </w:r>
      <w:r w:rsidR="00790C90">
        <w:t>RN</w:t>
      </w:r>
      <w:r w:rsidRPr="00BE686C">
        <w:t xml:space="preserve"> nor RTI</w:t>
      </w:r>
      <w:r>
        <w:t xml:space="preserve"> </w:t>
      </w:r>
      <w:r w:rsidRPr="00BE686C">
        <w:t>will share personal information regarding panel members with any th</w:t>
      </w:r>
      <w:r>
        <w:t>ird party.</w:t>
      </w:r>
      <w:r w:rsidR="003F78ED">
        <w:t xml:space="preserve"> </w:t>
      </w:r>
      <w:r w:rsidRPr="00BE686C">
        <w:t xml:space="preserve">Identifying information will not be included in the data files delivered to the agency. </w:t>
      </w:r>
      <w:r>
        <w:t>CDC</w:t>
      </w:r>
      <w:r w:rsidRPr="00BE686C">
        <w:t xml:space="preserve"> and RTI will receive data for analysis in aggregate form. Although </w:t>
      </w:r>
      <w:r w:rsidR="00790C90">
        <w:t>RN</w:t>
      </w:r>
      <w:r w:rsidRPr="00BE686C">
        <w:t xml:space="preserve"> retains contact information on participants for honoraria purposes, individually identifiable information is not shared with anyone, including </w:t>
      </w:r>
      <w:r>
        <w:t>CDC</w:t>
      </w:r>
      <w:r w:rsidRPr="00BE686C">
        <w:t xml:space="preserve"> and RTI; it is stored separately from the survey data file and is not linked in any way to participant responses. </w:t>
      </w:r>
    </w:p>
    <w:p w:rsidR="003D0287" w:rsidRDefault="003D0287" w:rsidP="003F78ED">
      <w:pPr>
        <w:pStyle w:val="BodyText"/>
      </w:pPr>
      <w:r w:rsidRPr="00BE686C">
        <w:t>RTI maintains restricted access to all data preparation areas (i.e., receipt and coding).</w:t>
      </w:r>
      <w:r w:rsidR="003F78ED">
        <w:t xml:space="preserve"> </w:t>
      </w:r>
      <w:r w:rsidRPr="00BE686C">
        <w:t>All data files on multi-user systems will be under the control of a database manager, with access limited to project staff on a “need-to-know” basis only.</w:t>
      </w:r>
      <w:r w:rsidR="003F78ED">
        <w:t xml:space="preserve"> </w:t>
      </w:r>
      <w:r w:rsidR="00A62988" w:rsidRPr="00BE686C">
        <w:rPr>
          <w:lang w:val="en-CA"/>
        </w:rPr>
        <w:fldChar w:fldCharType="begin"/>
      </w:r>
      <w:r w:rsidRPr="00BE686C">
        <w:rPr>
          <w:lang w:val="en-CA"/>
        </w:rPr>
        <w:instrText xml:space="preserve"> SEQ CHAPTER \h \r 1</w:instrText>
      </w:r>
      <w:r w:rsidR="00A62988" w:rsidRPr="00BE686C">
        <w:rPr>
          <w:lang w:val="en-CA"/>
        </w:rPr>
        <w:fldChar w:fldCharType="end"/>
      </w:r>
      <w:r w:rsidR="00790C90">
        <w:rPr>
          <w:lang w:val="en-CA"/>
        </w:rPr>
        <w:t>RN</w:t>
      </w:r>
      <w:r w:rsidRPr="00BE686C">
        <w:t xml:space="preserve"> takes the following security measures to ensure separation between respondents’ identity and their survey data.</w:t>
      </w:r>
      <w:r w:rsidR="003F78ED">
        <w:t xml:space="preserve"> </w:t>
      </w:r>
    </w:p>
    <w:p w:rsidR="003D0287" w:rsidRDefault="003D0287" w:rsidP="00B3578B">
      <w:pPr>
        <w:pStyle w:val="Bullet"/>
        <w:ind w:left="1080"/>
      </w:pPr>
      <w:r>
        <w:t>The</w:t>
      </w:r>
      <w:r w:rsidRPr="00BE686C">
        <w:t xml:space="preserve"> survey instrument has no personally identifying information (PII) on it. No respondent name, address, e</w:t>
      </w:r>
      <w:r w:rsidR="004A2E74">
        <w:t>-</w:t>
      </w:r>
      <w:r w:rsidRPr="00BE686C">
        <w:t>mail address, phone number</w:t>
      </w:r>
      <w:r w:rsidR="0001632D">
        <w:t>,</w:t>
      </w:r>
      <w:r w:rsidRPr="00BE686C">
        <w:t xml:space="preserve"> or any other kind of PII appears on the survey. The only way a survey is identified is with a digital identification number. </w:t>
      </w:r>
    </w:p>
    <w:p w:rsidR="003D0287" w:rsidRDefault="004A2E74" w:rsidP="00B3578B">
      <w:pPr>
        <w:pStyle w:val="Bullet"/>
        <w:ind w:left="1080"/>
      </w:pPr>
      <w:r>
        <w:t>Although</w:t>
      </w:r>
      <w:r w:rsidRPr="00BE686C">
        <w:t xml:space="preserve"> </w:t>
      </w:r>
      <w:r w:rsidR="003D0287" w:rsidRPr="00BE686C">
        <w:t>the invitation method, whether e</w:t>
      </w:r>
      <w:r>
        <w:t>-</w:t>
      </w:r>
      <w:r w:rsidR="003D0287" w:rsidRPr="00BE686C">
        <w:t>mail, mail</w:t>
      </w:r>
      <w:r>
        <w:t>,</w:t>
      </w:r>
      <w:r w:rsidR="003D0287" w:rsidRPr="00BE686C">
        <w:t xml:space="preserve"> or direct mail</w:t>
      </w:r>
      <w:r>
        <w:t>,</w:t>
      </w:r>
      <w:r w:rsidR="003D0287" w:rsidRPr="00BE686C">
        <w:t xml:space="preserve"> will inherently have PII included, this will not be combined with survey responses, so the responses from the survey are not linked to the PII. </w:t>
      </w:r>
    </w:p>
    <w:p w:rsidR="003D0287" w:rsidRPr="003D0287" w:rsidRDefault="003D0287" w:rsidP="00B3578B">
      <w:pPr>
        <w:pStyle w:val="Bullet"/>
        <w:ind w:left="1080"/>
      </w:pPr>
      <w:r>
        <w:t>Screener</w:t>
      </w:r>
      <w:r w:rsidRPr="003F78ED">
        <w:t xml:space="preserve"> data shall be considered part of the survey data. </w:t>
      </w:r>
      <w:r w:rsidR="00790C90">
        <w:t>RN</w:t>
      </w:r>
      <w:r w:rsidRPr="003F78ED">
        <w:t xml:space="preserve"> will provide the results of the screener questions for all panelists, regardless of whether they qualify for the study. However, </w:t>
      </w:r>
      <w:r w:rsidR="00790C90">
        <w:t>RN</w:t>
      </w:r>
      <w:r w:rsidRPr="003F78ED">
        <w:t xml:space="preserve"> will not retain responses to screening questions for those who are deemed ineligible for any other purpose outside the scope of this project.</w:t>
      </w:r>
      <w:r w:rsidR="003F78ED" w:rsidRPr="003F78ED">
        <w:t xml:space="preserve"> </w:t>
      </w:r>
    </w:p>
    <w:p w:rsidR="003D0287" w:rsidRPr="003D0287" w:rsidRDefault="00790C90" w:rsidP="00B3578B">
      <w:pPr>
        <w:pStyle w:val="Bullet"/>
        <w:ind w:left="1080"/>
      </w:pPr>
      <w:r>
        <w:t>RN</w:t>
      </w:r>
      <w:r w:rsidR="003D0287" w:rsidRPr="003F78ED">
        <w:t xml:space="preserve"> will retain study records for the duration of the study. Upon final delivery of data files to RTI and completion of the project, </w:t>
      </w:r>
      <w:r>
        <w:t>RN</w:t>
      </w:r>
      <w:r w:rsidR="003D0287" w:rsidRPr="003F78ED">
        <w:t xml:space="preserve"> will destroy all study records including data files upon request.</w:t>
      </w:r>
      <w:r w:rsidR="003F78ED" w:rsidRPr="003F78ED">
        <w:t xml:space="preserve"> </w:t>
      </w:r>
      <w:r>
        <w:t>RN</w:t>
      </w:r>
      <w:r w:rsidR="003D0287" w:rsidRPr="003F78ED">
        <w:t xml:space="preserve"> will not be able to supply or access this information for any reason, even at the request of RTI, once destroyed.</w:t>
      </w:r>
      <w:r w:rsidR="003F78ED" w:rsidRPr="003F78ED">
        <w:t xml:space="preserve"> </w:t>
      </w:r>
    </w:p>
    <w:p w:rsidR="003D0287" w:rsidRDefault="003D0287" w:rsidP="00B3578B">
      <w:pPr>
        <w:pStyle w:val="Bullet"/>
        <w:ind w:left="1080"/>
      </w:pPr>
      <w:r w:rsidRPr="003F78ED">
        <w:t>Data</w:t>
      </w:r>
      <w:r w:rsidRPr="00BE686C">
        <w:t xml:space="preserve"> coming directly from the survey engine are stored in a proprietary database. </w:t>
      </w:r>
      <w:r w:rsidR="004A2E74">
        <w:t>Although</w:t>
      </w:r>
      <w:r w:rsidR="004A2E74" w:rsidRPr="00BE686C">
        <w:t xml:space="preserve"> </w:t>
      </w:r>
      <w:r w:rsidR="00353998">
        <w:t>these</w:t>
      </w:r>
      <w:r w:rsidRPr="00BE686C">
        <w:t xml:space="preserve"> data </w:t>
      </w:r>
      <w:r w:rsidR="00353998">
        <w:t>are</w:t>
      </w:r>
      <w:r w:rsidRPr="00BE686C">
        <w:t xml:space="preserve"> not encrypted, once inside the firewall, they are stored in a relational database protected by several layers of intrusion detection and access control. Data files delivered to RTI by </w:t>
      </w:r>
      <w:r w:rsidR="00790C90">
        <w:t>RN</w:t>
      </w:r>
      <w:r w:rsidRPr="00BE686C">
        <w:t xml:space="preserve"> will be sent via encrypted files.</w:t>
      </w:r>
    </w:p>
    <w:p w:rsidR="006839C9" w:rsidRPr="00E87C38" w:rsidRDefault="006839C9" w:rsidP="001A5E75">
      <w:pPr>
        <w:pStyle w:val="Heading4"/>
      </w:pPr>
      <w:r w:rsidRPr="00E87C38">
        <w:t>Consent</w:t>
      </w:r>
    </w:p>
    <w:p w:rsidR="006839C9" w:rsidRDefault="006839C9" w:rsidP="00971D8D">
      <w:pPr>
        <w:pStyle w:val="BodyText"/>
      </w:pPr>
      <w:r w:rsidRPr="00E87C38">
        <w:t>All respondents will be assured that the information they provide will be maintained in a secure manner and will be used only for the purpose of this research. Please refer to the assurances and study descriptions included in the Screener and Consent Process (</w:t>
      </w:r>
      <w:r w:rsidRPr="00D857C5">
        <w:rPr>
          <w:iCs/>
        </w:rPr>
        <w:t xml:space="preserve">Attachment </w:t>
      </w:r>
      <w:r w:rsidR="00202F3C" w:rsidRPr="00D857C5">
        <w:rPr>
          <w:iCs/>
        </w:rPr>
        <w:t>5</w:t>
      </w:r>
      <w:r w:rsidRPr="00E87C38">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6839C9" w:rsidRPr="00E87C38" w:rsidRDefault="006839C9" w:rsidP="001A5E75">
      <w:pPr>
        <w:pStyle w:val="Heading4"/>
      </w:pPr>
      <w:r w:rsidRPr="00E87C38">
        <w:lastRenderedPageBreak/>
        <w:t>Nature of Participation</w:t>
      </w:r>
    </w:p>
    <w:p w:rsidR="006839C9" w:rsidRPr="00D857C5" w:rsidRDefault="006839C9" w:rsidP="00971D8D">
      <w:pPr>
        <w:pStyle w:val="BodyText"/>
      </w:pPr>
      <w:r w:rsidRPr="00E87C38">
        <w:t>Respondents will participate on a voluntary basis.</w:t>
      </w:r>
      <w:r w:rsidR="00596558">
        <w:t xml:space="preserve"> </w:t>
      </w:r>
      <w:r w:rsidRPr="00E87C38">
        <w:t xml:space="preserve">The voluntary nature of the information collection is described in the introductory section of the Screener and Consent Process </w:t>
      </w:r>
      <w:r w:rsidRPr="00D857C5">
        <w:t>(</w:t>
      </w:r>
      <w:r w:rsidRPr="00D857C5">
        <w:rPr>
          <w:bCs/>
          <w:iCs/>
        </w:rPr>
        <w:t xml:space="preserve">Attachment </w:t>
      </w:r>
      <w:r w:rsidR="00202F3C" w:rsidRPr="00D857C5">
        <w:rPr>
          <w:bCs/>
          <w:iCs/>
        </w:rPr>
        <w:t>5</w:t>
      </w:r>
      <w:r w:rsidRPr="00D857C5">
        <w:t xml:space="preserve">) and the initial contact </w:t>
      </w:r>
      <w:r w:rsidR="00C630B5" w:rsidRPr="00D857C5">
        <w:t>e-mail</w:t>
      </w:r>
      <w:r w:rsidRPr="00D857C5">
        <w:t xml:space="preserve"> (</w:t>
      </w:r>
      <w:r w:rsidRPr="00D857C5">
        <w:rPr>
          <w:bCs/>
          <w:iCs/>
        </w:rPr>
        <w:t xml:space="preserve">Attachment </w:t>
      </w:r>
      <w:r w:rsidR="00F6771E" w:rsidRPr="00D857C5">
        <w:rPr>
          <w:bCs/>
          <w:iCs/>
        </w:rPr>
        <w:t>8</w:t>
      </w:r>
      <w:r w:rsidRPr="00D857C5">
        <w:t>).</w:t>
      </w:r>
    </w:p>
    <w:p w:rsidR="006839C9" w:rsidRPr="00E87C38" w:rsidRDefault="002D4AE8" w:rsidP="009B3714">
      <w:pPr>
        <w:pStyle w:val="Heading2"/>
      </w:pPr>
      <w:bookmarkStart w:id="61" w:name="_Toc321734058"/>
      <w:bookmarkStart w:id="62" w:name="_Toc332782727"/>
      <w:bookmarkStart w:id="63" w:name="_Toc332782774"/>
      <w:bookmarkStart w:id="64" w:name="_Toc332783149"/>
      <w:r>
        <w:t>A.11</w:t>
      </w:r>
      <w:r>
        <w:tab/>
      </w:r>
      <w:r w:rsidR="006839C9" w:rsidRPr="00E87C38">
        <w:t>Justification for Sensitive Questions</w:t>
      </w:r>
      <w:bookmarkEnd w:id="61"/>
      <w:bookmarkEnd w:id="62"/>
      <w:bookmarkEnd w:id="63"/>
      <w:bookmarkEnd w:id="64"/>
      <w:r w:rsidR="006839C9" w:rsidRPr="00E87C38">
        <w:t xml:space="preserve"> </w:t>
      </w:r>
    </w:p>
    <w:p w:rsidR="006839C9" w:rsidRDefault="006839C9" w:rsidP="00971D8D">
      <w:pPr>
        <w:pStyle w:val="BodyText"/>
      </w:pPr>
      <w:r w:rsidRPr="00E87C38">
        <w:t>The majority of questions asked will not be of a sensitive nature.</w:t>
      </w:r>
      <w:r w:rsidR="00596558">
        <w:t xml:space="preserve"> </w:t>
      </w:r>
      <w:r w:rsidRPr="00E87C38">
        <w:t xml:space="preserve">There will be no requests for a respondent’s Social Security </w:t>
      </w:r>
      <w:r w:rsidR="004A2E74" w:rsidRPr="00E87C38">
        <w:t>number</w:t>
      </w:r>
      <w:r w:rsidRPr="00E87C38">
        <w:t xml:space="preserve">. Questions about messages concerning </w:t>
      </w:r>
      <w:r w:rsidR="00D30229" w:rsidRPr="00E87C38">
        <w:t>lifestyle (e.g., messages about NPAO</w:t>
      </w:r>
      <w:r w:rsidRPr="00E87C38">
        <w:t xml:space="preserve">, current </w:t>
      </w:r>
      <w:r w:rsidR="00D30229" w:rsidRPr="00E87C38">
        <w:t>NPAO-related behaviors)</w:t>
      </w:r>
      <w:r w:rsidRPr="00E87C38">
        <w:t xml:space="preserve"> and some de</w:t>
      </w:r>
      <w:r w:rsidR="00D30229" w:rsidRPr="00E87C38">
        <w:t>mographic information, such as race, e</w:t>
      </w:r>
      <w:r w:rsidRPr="00E87C38">
        <w:t>thnicity</w:t>
      </w:r>
      <w:r w:rsidR="00FF4185">
        <w:t>,</w:t>
      </w:r>
      <w:r w:rsidRPr="00E87C38">
        <w:t xml:space="preserve"> and</w:t>
      </w:r>
      <w:r w:rsidR="00D30229" w:rsidRPr="00E87C38">
        <w:t xml:space="preserve"> i</w:t>
      </w:r>
      <w:r w:rsidRPr="00E87C38">
        <w:t>ncome</w:t>
      </w:r>
      <w:r w:rsidR="00D30229" w:rsidRPr="00E87C38">
        <w:t>,</w:t>
      </w:r>
      <w:r w:rsidRPr="00E87C38">
        <w:t xml:space="preserve"> could be considered sensitive, but not highly sensitive. To address any concerns about inadvertent disclosure of sensitive information, respondents will be fully informed of the applicable privacy safeguards. The informed consent protocol (see </w:t>
      </w:r>
      <w:r w:rsidRPr="00D857C5">
        <w:rPr>
          <w:bCs/>
          <w:iCs/>
        </w:rPr>
        <w:t xml:space="preserve">Attachment </w:t>
      </w:r>
      <w:r w:rsidR="00202F3C" w:rsidRPr="00D857C5">
        <w:rPr>
          <w:bCs/>
          <w:iCs/>
        </w:rPr>
        <w:t>5</w:t>
      </w:r>
      <w:r w:rsidRPr="00E87C38">
        <w:t>) will apprise respondents that these topics will be covered during the survey. This study includes a number of procedures and methodological characteristics that will minimize potential negative reactions to these types of questions, including</w:t>
      </w:r>
      <w:r w:rsidR="00E65A21">
        <w:t xml:space="preserve"> the following</w:t>
      </w:r>
      <w:r w:rsidRPr="00E87C38">
        <w:t>:</w:t>
      </w:r>
    </w:p>
    <w:p w:rsidR="006839C9" w:rsidRPr="00E87C38" w:rsidRDefault="006839C9" w:rsidP="00B3578B">
      <w:pPr>
        <w:pStyle w:val="Bullet"/>
        <w:ind w:left="1080"/>
      </w:pPr>
      <w:r w:rsidRPr="00E87C38">
        <w:t>Respondents will be informed that they need not answer any question that makes them feel uncomfortable or that they simply do not wish to answer.</w:t>
      </w:r>
      <w:r w:rsidR="00596558">
        <w:t xml:space="preserve"> </w:t>
      </w:r>
    </w:p>
    <w:p w:rsidR="006839C9" w:rsidRPr="00E87C38" w:rsidRDefault="006839C9" w:rsidP="00B3578B">
      <w:pPr>
        <w:pStyle w:val="Bullet"/>
        <w:ind w:left="1080"/>
      </w:pPr>
      <w:r w:rsidRPr="00E87C38">
        <w:t>Web</w:t>
      </w:r>
      <w:r w:rsidR="00FE3052">
        <w:t>-based</w:t>
      </w:r>
      <w:r w:rsidRPr="00E87C38">
        <w:t xml:space="preserve"> surveys are entirely self-administered and maximize respondent privacy without the need to verbalize responses.</w:t>
      </w:r>
    </w:p>
    <w:p w:rsidR="006839C9" w:rsidRPr="00E87C38" w:rsidRDefault="006839C9" w:rsidP="00B3578B">
      <w:pPr>
        <w:pStyle w:val="Bulletlast"/>
        <w:ind w:left="1080"/>
      </w:pPr>
      <w:r w:rsidRPr="00E87C38">
        <w:t xml:space="preserve">Participants will be provided with a specific toll-free phone number (linking directly to the RTI IRB Office) to call in case there is a question or concern about the sensitive issue. </w:t>
      </w:r>
    </w:p>
    <w:p w:rsidR="006839C9" w:rsidRDefault="006839C9" w:rsidP="00971D8D">
      <w:pPr>
        <w:pStyle w:val="BodyText"/>
      </w:pPr>
      <w:r w:rsidRPr="00E87C38">
        <w:t>Finally, as with all information collected, these data will be presented with all identifiers removed.</w:t>
      </w:r>
    </w:p>
    <w:p w:rsidR="006839C9" w:rsidRPr="00E87C38" w:rsidRDefault="002D4AE8" w:rsidP="009B3714">
      <w:pPr>
        <w:pStyle w:val="Heading2"/>
      </w:pPr>
      <w:bookmarkStart w:id="65" w:name="_Toc321734059"/>
      <w:bookmarkStart w:id="66" w:name="_Toc332782728"/>
      <w:bookmarkStart w:id="67" w:name="_Toc332782775"/>
      <w:bookmarkStart w:id="68" w:name="_Toc332783150"/>
      <w:r>
        <w:t>A.12</w:t>
      </w:r>
      <w:r w:rsidR="00401EC4">
        <w:tab/>
      </w:r>
      <w:r w:rsidR="006839C9" w:rsidRPr="00E87C38">
        <w:t>Estimated Annualized Burden Hours and Cost</w:t>
      </w:r>
      <w:r w:rsidR="00BC1057" w:rsidRPr="00E87C38">
        <w:t xml:space="preserve"> to Respondents</w:t>
      </w:r>
      <w:bookmarkEnd w:id="65"/>
      <w:bookmarkEnd w:id="66"/>
      <w:bookmarkEnd w:id="67"/>
      <w:bookmarkEnd w:id="68"/>
    </w:p>
    <w:p w:rsidR="00BC1057" w:rsidRPr="00E87C38" w:rsidRDefault="00BC1057" w:rsidP="001A5E75">
      <w:pPr>
        <w:pStyle w:val="Heading3"/>
      </w:pPr>
      <w:r w:rsidRPr="00E87C38">
        <w:t>A.12.</w:t>
      </w:r>
      <w:proofErr w:type="spellStart"/>
      <w:r w:rsidR="002D4AE8">
        <w:t>a</w:t>
      </w:r>
      <w:proofErr w:type="spellEnd"/>
      <w:r w:rsidR="002D4AE8">
        <w:tab/>
      </w:r>
      <w:r w:rsidRPr="002D4AE8">
        <w:t>Estimated</w:t>
      </w:r>
      <w:r w:rsidRPr="00E87C38">
        <w:t xml:space="preserve"> Annualized Burden Hours </w:t>
      </w:r>
    </w:p>
    <w:p w:rsidR="00290638" w:rsidRDefault="006839C9" w:rsidP="00071BCD">
      <w:pPr>
        <w:pStyle w:val="BodyText"/>
      </w:pPr>
      <w:r w:rsidRPr="00E87C38">
        <w:t xml:space="preserve">Information will be collected through </w:t>
      </w:r>
      <w:r w:rsidR="00FE3052">
        <w:t>W</w:t>
      </w:r>
      <w:r w:rsidR="00CE160A">
        <w:t>eb-based surveys</w:t>
      </w:r>
      <w:r w:rsidRPr="00E87C38">
        <w:t xml:space="preserve"> involving adult</w:t>
      </w:r>
      <w:r w:rsidR="00D30229" w:rsidRPr="00E87C38">
        <w:t>s aged</w:t>
      </w:r>
      <w:r w:rsidRPr="00E87C38">
        <w:t xml:space="preserve"> </w:t>
      </w:r>
      <w:r w:rsidR="000904C5" w:rsidRPr="00E87C38">
        <w:t>18 and older</w:t>
      </w:r>
      <w:r w:rsidRPr="00E87C38">
        <w:t>.</w:t>
      </w:r>
      <w:r w:rsidR="00596558">
        <w:t xml:space="preserve"> </w:t>
      </w:r>
      <w:r w:rsidRPr="00E87C38">
        <w:t xml:space="preserve">Information will be collected </w:t>
      </w:r>
      <w:r w:rsidR="00D30229" w:rsidRPr="00E87C38">
        <w:t xml:space="preserve">once </w:t>
      </w:r>
      <w:r w:rsidR="00290638">
        <w:t xml:space="preserve">beginning in </w:t>
      </w:r>
      <w:r w:rsidR="006517C8">
        <w:t xml:space="preserve">June </w:t>
      </w:r>
      <w:r w:rsidR="007E5AED" w:rsidRPr="006517C8">
        <w:t>2013</w:t>
      </w:r>
      <w:r w:rsidR="00E65A21" w:rsidRPr="00CE160A">
        <w:t>,</w:t>
      </w:r>
      <w:r w:rsidR="00D30229" w:rsidRPr="00E87C38">
        <w:t xml:space="preserve"> following campaign implementation in the intervention sites.</w:t>
      </w:r>
      <w:r w:rsidR="00596558">
        <w:t xml:space="preserve"> </w:t>
      </w:r>
      <w:r w:rsidR="00290638" w:rsidRPr="00E87C38">
        <w:t>The Web</w:t>
      </w:r>
      <w:r w:rsidR="00FE3052">
        <w:t>-based</w:t>
      </w:r>
      <w:r w:rsidR="00290638" w:rsidRPr="00E87C38">
        <w:t xml:space="preserve"> self-administered surveys </w:t>
      </w:r>
      <w:r w:rsidR="00290638">
        <w:t>ar</w:t>
      </w:r>
      <w:r w:rsidR="00290638" w:rsidRPr="00E87C38">
        <w:t>e designed to maximize ease of response (at home on personal computers) and thus decrease respondent burden.</w:t>
      </w:r>
    </w:p>
    <w:p w:rsidR="006839C9" w:rsidRPr="00D857C5" w:rsidRDefault="006839C9" w:rsidP="00071BCD">
      <w:pPr>
        <w:pStyle w:val="BodyText"/>
      </w:pPr>
      <w:r w:rsidRPr="00E87C38">
        <w:t xml:space="preserve">The target number of complete </w:t>
      </w:r>
      <w:r w:rsidR="00D30229" w:rsidRPr="00E87C38">
        <w:t>surveys</w:t>
      </w:r>
      <w:r w:rsidRPr="00E87C38">
        <w:t xml:space="preserve"> is </w:t>
      </w:r>
      <w:r w:rsidR="00C119B4">
        <w:t>6,975</w:t>
      </w:r>
      <w:r w:rsidR="00987EED">
        <w:t>, compris</w:t>
      </w:r>
      <w:r w:rsidR="00FF4185">
        <w:t>ing</w:t>
      </w:r>
      <w:r w:rsidR="00987EED">
        <w:t xml:space="preserve"> </w:t>
      </w:r>
      <w:r w:rsidR="00C119B4">
        <w:t>2,325</w:t>
      </w:r>
      <w:r w:rsidR="00D30229" w:rsidRPr="00E87C38">
        <w:t xml:space="preserve"> </w:t>
      </w:r>
      <w:r w:rsidR="00987EED">
        <w:t xml:space="preserve">complete surveys </w:t>
      </w:r>
      <w:r w:rsidR="00D30229" w:rsidRPr="00E87C38">
        <w:t xml:space="preserve">in intervention </w:t>
      </w:r>
      <w:r w:rsidR="009D2073">
        <w:t>awardee areas</w:t>
      </w:r>
      <w:r w:rsidR="006517C8">
        <w:t xml:space="preserve"> (Intervention Population)</w:t>
      </w:r>
      <w:r w:rsidR="00D30229" w:rsidRPr="00E87C38">
        <w:t xml:space="preserve">, </w:t>
      </w:r>
      <w:r w:rsidR="00C50208">
        <w:t>2,325</w:t>
      </w:r>
      <w:r w:rsidR="00987EED">
        <w:t xml:space="preserve"> complete surveys</w:t>
      </w:r>
      <w:r w:rsidR="00D30229" w:rsidRPr="00E87C38">
        <w:t xml:space="preserve"> in </w:t>
      </w:r>
      <w:r w:rsidR="006517C8">
        <w:t>Comparison 1 Population (</w:t>
      </w:r>
      <w:r w:rsidR="00D30229" w:rsidRPr="00E87C38">
        <w:t xml:space="preserve">CTG </w:t>
      </w:r>
      <w:r w:rsidR="009D2073">
        <w:t>awardee areas</w:t>
      </w:r>
      <w:r w:rsidR="00D30229" w:rsidRPr="00E87C38">
        <w:t xml:space="preserve"> that do not include a media campaign</w:t>
      </w:r>
      <w:r w:rsidR="006517C8">
        <w:t>)</w:t>
      </w:r>
      <w:r w:rsidR="00D30229" w:rsidRPr="00E87C38">
        <w:t xml:space="preserve">, and </w:t>
      </w:r>
      <w:r w:rsidR="00E130A1">
        <w:t>2,325</w:t>
      </w:r>
      <w:r w:rsidR="00D30229" w:rsidRPr="00E87C38">
        <w:t xml:space="preserve"> </w:t>
      </w:r>
      <w:r w:rsidR="00987EED">
        <w:t xml:space="preserve">complete surveys </w:t>
      </w:r>
      <w:r w:rsidR="006517C8">
        <w:t xml:space="preserve">in Comparison 2 Population </w:t>
      </w:r>
      <w:r w:rsidR="00D30229" w:rsidRPr="00E87C38">
        <w:t>(excluding CTG</w:t>
      </w:r>
      <w:r w:rsidR="007B1C68">
        <w:t>/CPPW</w:t>
      </w:r>
      <w:r w:rsidR="00D30229" w:rsidRPr="00E87C38">
        <w:t xml:space="preserve"> </w:t>
      </w:r>
      <w:r w:rsidR="009D2073">
        <w:t>awardee areas</w:t>
      </w:r>
      <w:r w:rsidR="00D30229" w:rsidRPr="00E87C38">
        <w:t>).</w:t>
      </w:r>
      <w:r w:rsidR="00B3578B">
        <w:t xml:space="preserve"> </w:t>
      </w:r>
      <w:r w:rsidR="00987EED">
        <w:t xml:space="preserve">CDC estimates </w:t>
      </w:r>
      <w:r w:rsidR="00987EED" w:rsidRPr="00CE7CB2">
        <w:t xml:space="preserve">that </w:t>
      </w:r>
      <w:r w:rsidR="00C50208">
        <w:t>19,500</w:t>
      </w:r>
      <w:r w:rsidR="00987EED">
        <w:t xml:space="preserve"> respondents must be contacted for screening and consent to yield the target number of completed surveys.</w:t>
      </w:r>
      <w:r w:rsidR="00B3578B">
        <w:t xml:space="preserve"> </w:t>
      </w:r>
      <w:r w:rsidRPr="00E87C38">
        <w:t>The same data collection instrument</w:t>
      </w:r>
      <w:r w:rsidR="002E3FB9">
        <w:t>s</w:t>
      </w:r>
      <w:r w:rsidRPr="00E87C38">
        <w:t xml:space="preserve"> </w:t>
      </w:r>
      <w:r w:rsidR="00603F51" w:rsidRPr="00E87C38">
        <w:t>will be used for all respondents.</w:t>
      </w:r>
      <w:r w:rsidR="00596558">
        <w:t xml:space="preserve"> </w:t>
      </w:r>
      <w:r w:rsidR="002E3FB9" w:rsidRPr="00D857C5">
        <w:t xml:space="preserve">Attachment 5a provides the complete list of questions and advisements for the screening and consent process, and </w:t>
      </w:r>
      <w:r w:rsidR="008F1CE1" w:rsidRPr="00D857C5">
        <w:t xml:space="preserve">Attachment 5b provides </w:t>
      </w:r>
      <w:r w:rsidR="002E3FB9" w:rsidRPr="00D857C5">
        <w:t>representative screen shots</w:t>
      </w:r>
      <w:r w:rsidR="008B32B4" w:rsidRPr="00D857C5">
        <w:t xml:space="preserve"> of the </w:t>
      </w:r>
      <w:r w:rsidR="00FE3052" w:rsidRPr="00D857C5">
        <w:t>W</w:t>
      </w:r>
      <w:r w:rsidR="008B32B4" w:rsidRPr="00D857C5">
        <w:t>eb-based instrument</w:t>
      </w:r>
      <w:r w:rsidR="002E3FB9" w:rsidRPr="00D857C5">
        <w:t xml:space="preserve">. </w:t>
      </w:r>
      <w:r w:rsidR="00B1447F" w:rsidRPr="00D857C5">
        <w:t xml:space="preserve">The estimated burden per response </w:t>
      </w:r>
      <w:r w:rsidR="004B5696">
        <w:t xml:space="preserve">for screening and consent </w:t>
      </w:r>
      <w:r w:rsidR="00B1447F" w:rsidRPr="00D857C5">
        <w:t>is three minutes.</w:t>
      </w:r>
      <w:r w:rsidR="002E3FB9" w:rsidRPr="00D857C5">
        <w:t xml:space="preserve"> </w:t>
      </w:r>
      <w:r w:rsidR="008F1CE1" w:rsidRPr="00D857C5">
        <w:t>Attachment 6a provides t</w:t>
      </w:r>
      <w:r w:rsidR="008B32B4" w:rsidRPr="00D857C5">
        <w:t>he complete list of questions for</w:t>
      </w:r>
      <w:r w:rsidR="008F1CE1" w:rsidRPr="00D857C5">
        <w:t xml:space="preserve"> the main information collection, annotated with notes about each question’s rationale and source.</w:t>
      </w:r>
      <w:r w:rsidR="00B3578B" w:rsidRPr="00D857C5">
        <w:t xml:space="preserve"> </w:t>
      </w:r>
      <w:r w:rsidR="008F1CE1" w:rsidRPr="00D857C5">
        <w:t xml:space="preserve">Attachment 6b provides </w:t>
      </w:r>
      <w:r w:rsidR="008F1CE1" w:rsidRPr="00D857C5">
        <w:lastRenderedPageBreak/>
        <w:t>representative screen sho</w:t>
      </w:r>
      <w:r w:rsidR="008B32B4" w:rsidRPr="00D857C5">
        <w:t xml:space="preserve">ts of the </w:t>
      </w:r>
      <w:r w:rsidR="00FE3052" w:rsidRPr="00D857C5">
        <w:t>W</w:t>
      </w:r>
      <w:r w:rsidR="008B32B4" w:rsidRPr="00D857C5">
        <w:t>eb-based</w:t>
      </w:r>
      <w:r w:rsidR="008F1CE1" w:rsidRPr="00D857C5">
        <w:t xml:space="preserve"> instrument.</w:t>
      </w:r>
      <w:r w:rsidR="00B3578B" w:rsidRPr="00D857C5">
        <w:t xml:space="preserve"> </w:t>
      </w:r>
      <w:r w:rsidR="00B1447F" w:rsidRPr="00D857C5">
        <w:t xml:space="preserve">The estimated burden per response </w:t>
      </w:r>
      <w:r w:rsidR="004B5696">
        <w:t xml:space="preserve">for the survey </w:t>
      </w:r>
      <w:r w:rsidR="00B1447F" w:rsidRPr="00D857C5">
        <w:t>is 30 minutes.</w:t>
      </w:r>
    </w:p>
    <w:p w:rsidR="006C6F41" w:rsidRPr="00C50157" w:rsidRDefault="00383C19" w:rsidP="00971D8D">
      <w:pPr>
        <w:pStyle w:val="BodyText"/>
        <w:rPr>
          <w:color w:val="C00000"/>
        </w:rPr>
      </w:pPr>
      <w:r w:rsidRPr="00D857C5">
        <w:t xml:space="preserve">The total estimated burden hours are </w:t>
      </w:r>
      <w:r w:rsidR="00C119B4" w:rsidRPr="00D857C5">
        <w:t>4,463</w:t>
      </w:r>
      <w:r w:rsidRPr="00D857C5">
        <w:t>.</w:t>
      </w:r>
      <w:r w:rsidR="00B3578B" w:rsidRPr="00D857C5">
        <w:t xml:space="preserve"> </w:t>
      </w:r>
      <w:r w:rsidR="006839C9" w:rsidRPr="00D857C5">
        <w:t>Exhibit</w:t>
      </w:r>
      <w:r w:rsidR="006839C9" w:rsidRPr="00D857C5">
        <w:rPr>
          <w:bCs/>
        </w:rPr>
        <w:t xml:space="preserve"> </w:t>
      </w:r>
      <w:r w:rsidR="00644518" w:rsidRPr="00D857C5">
        <w:rPr>
          <w:bCs/>
        </w:rPr>
        <w:t>A.12.1</w:t>
      </w:r>
      <w:r w:rsidR="00644518" w:rsidRPr="00D857C5">
        <w:t xml:space="preserve"> </w:t>
      </w:r>
      <w:r w:rsidR="006839C9" w:rsidRPr="00D857C5">
        <w:t>p</w:t>
      </w:r>
      <w:r w:rsidR="006839C9" w:rsidRPr="00E87C38">
        <w:t>rovides details about how this estimate was calculated.</w:t>
      </w:r>
      <w:r w:rsidR="00596558">
        <w:t xml:space="preserve"> </w:t>
      </w:r>
    </w:p>
    <w:p w:rsidR="006839C9" w:rsidRPr="00E87C38" w:rsidRDefault="00685A39" w:rsidP="009B3714">
      <w:pPr>
        <w:pStyle w:val="ExhibitTitle"/>
      </w:pPr>
      <w:bookmarkStart w:id="69" w:name="_Toc317244934"/>
      <w:bookmarkStart w:id="70" w:name="_Toc321745133"/>
      <w:r w:rsidRPr="00E87C38">
        <w:t xml:space="preserve">Exhibit </w:t>
      </w:r>
      <w:r w:rsidR="00ED37D6">
        <w:t>A.12.1</w:t>
      </w:r>
      <w:r w:rsidR="002D4AE8">
        <w:tab/>
      </w:r>
      <w:r w:rsidR="006839C9" w:rsidRPr="00E87C38">
        <w:t>Estimated Annualized Burden Hours</w:t>
      </w:r>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1604"/>
        <w:gridCol w:w="1528"/>
        <w:gridCol w:w="1620"/>
        <w:gridCol w:w="1530"/>
        <w:gridCol w:w="1874"/>
        <w:gridCol w:w="1348"/>
      </w:tblGrid>
      <w:tr w:rsidR="006839C9" w:rsidRPr="001D7FD1" w:rsidTr="009B3714">
        <w:trPr>
          <w:cantSplit/>
          <w:tblHeader/>
        </w:trPr>
        <w:tc>
          <w:tcPr>
            <w:tcW w:w="1604" w:type="dxa"/>
            <w:vAlign w:val="bottom"/>
          </w:tcPr>
          <w:p w:rsidR="006839C9" w:rsidRPr="001F6743" w:rsidRDefault="006839C9" w:rsidP="009B3714">
            <w:pPr>
              <w:pStyle w:val="TableHeaders"/>
            </w:pPr>
            <w:r w:rsidRPr="001F6743">
              <w:t>Type of Respondent</w:t>
            </w:r>
          </w:p>
        </w:tc>
        <w:tc>
          <w:tcPr>
            <w:tcW w:w="1528" w:type="dxa"/>
            <w:vAlign w:val="bottom"/>
          </w:tcPr>
          <w:p w:rsidR="006839C9" w:rsidRPr="001F6743" w:rsidRDefault="006839C9" w:rsidP="009B3714">
            <w:pPr>
              <w:pStyle w:val="TableHeaders"/>
            </w:pPr>
            <w:r w:rsidRPr="001F6743">
              <w:t>Form Name</w:t>
            </w:r>
          </w:p>
        </w:tc>
        <w:tc>
          <w:tcPr>
            <w:tcW w:w="1620" w:type="dxa"/>
            <w:vAlign w:val="bottom"/>
          </w:tcPr>
          <w:p w:rsidR="006839C9" w:rsidRPr="001F6743" w:rsidRDefault="006839C9" w:rsidP="009B3714">
            <w:pPr>
              <w:pStyle w:val="TableHeaders"/>
            </w:pPr>
            <w:r w:rsidRPr="001F6743">
              <w:t>Number of</w:t>
            </w:r>
            <w:r w:rsidR="00596558" w:rsidRPr="001F6743">
              <w:t xml:space="preserve"> </w:t>
            </w:r>
            <w:r w:rsidRPr="001F6743">
              <w:t>Respondents</w:t>
            </w:r>
          </w:p>
        </w:tc>
        <w:tc>
          <w:tcPr>
            <w:tcW w:w="1530" w:type="dxa"/>
            <w:vAlign w:val="bottom"/>
          </w:tcPr>
          <w:p w:rsidR="006839C9" w:rsidRPr="001F6743" w:rsidRDefault="006839C9" w:rsidP="009B3714">
            <w:pPr>
              <w:pStyle w:val="TableHeaders"/>
            </w:pPr>
            <w:r w:rsidRPr="001F6743">
              <w:t>Number of Responses per</w:t>
            </w:r>
            <w:r w:rsidR="00596558" w:rsidRPr="001F6743">
              <w:t xml:space="preserve"> </w:t>
            </w:r>
            <w:r w:rsidRPr="001F6743">
              <w:t>Respondent</w:t>
            </w:r>
          </w:p>
        </w:tc>
        <w:tc>
          <w:tcPr>
            <w:tcW w:w="1874" w:type="dxa"/>
            <w:vAlign w:val="bottom"/>
          </w:tcPr>
          <w:p w:rsidR="006839C9" w:rsidRPr="001F6743" w:rsidRDefault="006839C9" w:rsidP="009B3714">
            <w:pPr>
              <w:pStyle w:val="TableHeaders"/>
            </w:pPr>
            <w:r w:rsidRPr="001F6743">
              <w:t>Average Burden per Response (in Hours)</w:t>
            </w:r>
          </w:p>
        </w:tc>
        <w:tc>
          <w:tcPr>
            <w:tcW w:w="1348" w:type="dxa"/>
            <w:vAlign w:val="bottom"/>
          </w:tcPr>
          <w:p w:rsidR="006839C9" w:rsidRPr="001F6743" w:rsidRDefault="006839C9" w:rsidP="009B3714">
            <w:pPr>
              <w:pStyle w:val="TableHeaders"/>
            </w:pPr>
            <w:r w:rsidRPr="001F6743">
              <w:t>Total Burden (in Hours)</w:t>
            </w:r>
          </w:p>
        </w:tc>
      </w:tr>
      <w:tr w:rsidR="00313809" w:rsidRPr="00E87C38" w:rsidTr="00546640">
        <w:trPr>
          <w:cantSplit/>
        </w:trPr>
        <w:tc>
          <w:tcPr>
            <w:tcW w:w="1604" w:type="dxa"/>
            <w:vMerge w:val="restart"/>
            <w:vAlign w:val="center"/>
          </w:tcPr>
          <w:p w:rsidR="00313809" w:rsidRPr="001F6743" w:rsidRDefault="00313809" w:rsidP="00E65E04">
            <w:pPr>
              <w:pStyle w:val="TableText"/>
              <w:jc w:val="center"/>
            </w:pPr>
            <w:r w:rsidRPr="001F6743">
              <w:t>Adults, ages 18+ in the U.S.</w:t>
            </w:r>
          </w:p>
        </w:tc>
        <w:tc>
          <w:tcPr>
            <w:tcW w:w="1528" w:type="dxa"/>
            <w:vAlign w:val="center"/>
          </w:tcPr>
          <w:p w:rsidR="00313809" w:rsidRPr="004571DB" w:rsidRDefault="00546640" w:rsidP="00546640">
            <w:pPr>
              <w:pStyle w:val="TableText"/>
              <w:jc w:val="center"/>
            </w:pPr>
            <w:r>
              <w:t>Welcome to the Health and Media Survey</w:t>
            </w:r>
          </w:p>
        </w:tc>
        <w:tc>
          <w:tcPr>
            <w:tcW w:w="1620" w:type="dxa"/>
            <w:vAlign w:val="center"/>
          </w:tcPr>
          <w:p w:rsidR="00313809" w:rsidRDefault="005033F5" w:rsidP="00BD3741">
            <w:pPr>
              <w:pStyle w:val="TableText"/>
              <w:jc w:val="center"/>
            </w:pPr>
            <w:r>
              <w:t>19,500</w:t>
            </w:r>
          </w:p>
        </w:tc>
        <w:tc>
          <w:tcPr>
            <w:tcW w:w="1530" w:type="dxa"/>
            <w:vAlign w:val="center"/>
          </w:tcPr>
          <w:p w:rsidR="00313809" w:rsidRPr="001F6743" w:rsidRDefault="00313809" w:rsidP="00546640">
            <w:pPr>
              <w:pStyle w:val="TableText"/>
              <w:jc w:val="center"/>
            </w:pPr>
            <w:r>
              <w:t>1</w:t>
            </w:r>
          </w:p>
        </w:tc>
        <w:tc>
          <w:tcPr>
            <w:tcW w:w="1874" w:type="dxa"/>
            <w:vAlign w:val="center"/>
          </w:tcPr>
          <w:p w:rsidR="00313809" w:rsidRPr="004571DB" w:rsidRDefault="00CE7CB2" w:rsidP="00546640">
            <w:pPr>
              <w:pStyle w:val="TableText"/>
              <w:jc w:val="center"/>
            </w:pPr>
            <w:r>
              <w:t>3</w:t>
            </w:r>
            <w:r w:rsidR="00313809">
              <w:t>/60</w:t>
            </w:r>
          </w:p>
        </w:tc>
        <w:tc>
          <w:tcPr>
            <w:tcW w:w="1348" w:type="dxa"/>
            <w:vAlign w:val="center"/>
          </w:tcPr>
          <w:p w:rsidR="00313809" w:rsidRDefault="005033F5" w:rsidP="00546640">
            <w:pPr>
              <w:pStyle w:val="TableText"/>
              <w:jc w:val="center"/>
            </w:pPr>
            <w:r>
              <w:t>975</w:t>
            </w:r>
          </w:p>
        </w:tc>
      </w:tr>
      <w:tr w:rsidR="00313809" w:rsidRPr="00E87C38" w:rsidTr="00E65E04">
        <w:trPr>
          <w:cantSplit/>
        </w:trPr>
        <w:tc>
          <w:tcPr>
            <w:tcW w:w="1604" w:type="dxa"/>
            <w:vMerge/>
            <w:vAlign w:val="center"/>
          </w:tcPr>
          <w:p w:rsidR="00313809" w:rsidRPr="001F6743" w:rsidRDefault="00313809" w:rsidP="00546640">
            <w:pPr>
              <w:pStyle w:val="TableText"/>
              <w:jc w:val="center"/>
            </w:pPr>
          </w:p>
        </w:tc>
        <w:tc>
          <w:tcPr>
            <w:tcW w:w="1528" w:type="dxa"/>
            <w:vAlign w:val="center"/>
          </w:tcPr>
          <w:p w:rsidR="00313809" w:rsidRPr="004571DB" w:rsidRDefault="00E65E04" w:rsidP="00546640">
            <w:pPr>
              <w:pStyle w:val="TableText"/>
              <w:jc w:val="center"/>
            </w:pPr>
            <w:r>
              <w:t>Health and Media Survey</w:t>
            </w:r>
          </w:p>
        </w:tc>
        <w:tc>
          <w:tcPr>
            <w:tcW w:w="1620" w:type="dxa"/>
            <w:vAlign w:val="center"/>
          </w:tcPr>
          <w:p w:rsidR="00313809" w:rsidRPr="004571DB" w:rsidRDefault="00E4226C" w:rsidP="00BD3741">
            <w:pPr>
              <w:pStyle w:val="TableText"/>
              <w:jc w:val="center"/>
            </w:pPr>
            <w:r>
              <w:t>6,975</w:t>
            </w:r>
          </w:p>
        </w:tc>
        <w:tc>
          <w:tcPr>
            <w:tcW w:w="1530" w:type="dxa"/>
            <w:vAlign w:val="center"/>
          </w:tcPr>
          <w:p w:rsidR="00313809" w:rsidRPr="001F6743" w:rsidRDefault="00313809" w:rsidP="00546640">
            <w:pPr>
              <w:pStyle w:val="TableText"/>
              <w:jc w:val="center"/>
            </w:pPr>
            <w:r w:rsidRPr="001F6743">
              <w:t>1</w:t>
            </w:r>
          </w:p>
        </w:tc>
        <w:tc>
          <w:tcPr>
            <w:tcW w:w="1874" w:type="dxa"/>
            <w:vAlign w:val="center"/>
          </w:tcPr>
          <w:p w:rsidR="00313809" w:rsidRPr="004571DB" w:rsidRDefault="00313809" w:rsidP="00546640">
            <w:pPr>
              <w:pStyle w:val="TableText"/>
              <w:jc w:val="center"/>
            </w:pPr>
            <w:r w:rsidRPr="004571DB">
              <w:t>30/60</w:t>
            </w:r>
          </w:p>
        </w:tc>
        <w:tc>
          <w:tcPr>
            <w:tcW w:w="1348" w:type="dxa"/>
            <w:vAlign w:val="center"/>
          </w:tcPr>
          <w:p w:rsidR="00313809" w:rsidRPr="004571DB" w:rsidRDefault="00C119B4" w:rsidP="00E65E04">
            <w:pPr>
              <w:pStyle w:val="TableText"/>
              <w:jc w:val="center"/>
            </w:pPr>
            <w:r>
              <w:t>3</w:t>
            </w:r>
            <w:r w:rsidR="0051599C">
              <w:t>,</w:t>
            </w:r>
            <w:r>
              <w:t>488</w:t>
            </w:r>
          </w:p>
        </w:tc>
      </w:tr>
      <w:tr w:rsidR="004F57FA" w:rsidRPr="00E87C38" w:rsidTr="00546640">
        <w:trPr>
          <w:cantSplit/>
        </w:trPr>
        <w:tc>
          <w:tcPr>
            <w:tcW w:w="1604" w:type="dxa"/>
            <w:vAlign w:val="center"/>
          </w:tcPr>
          <w:p w:rsidR="004F57FA" w:rsidRPr="001F6743" w:rsidRDefault="004F57FA" w:rsidP="00E65E04">
            <w:pPr>
              <w:pStyle w:val="TableText"/>
              <w:jc w:val="center"/>
            </w:pPr>
            <w:r w:rsidRPr="001F6743">
              <w:t>Total</w:t>
            </w:r>
          </w:p>
        </w:tc>
        <w:tc>
          <w:tcPr>
            <w:tcW w:w="1528" w:type="dxa"/>
            <w:vAlign w:val="center"/>
          </w:tcPr>
          <w:p w:rsidR="004F57FA" w:rsidRPr="00E87C38" w:rsidRDefault="004F57FA" w:rsidP="00E65E04">
            <w:pPr>
              <w:pStyle w:val="TableText"/>
              <w:jc w:val="center"/>
              <w:rPr>
                <w:rFonts w:asciiTheme="majorBidi" w:hAnsiTheme="majorBidi" w:cstheme="majorBidi"/>
              </w:rPr>
            </w:pPr>
          </w:p>
        </w:tc>
        <w:tc>
          <w:tcPr>
            <w:tcW w:w="1620" w:type="dxa"/>
            <w:vAlign w:val="center"/>
          </w:tcPr>
          <w:p w:rsidR="004F57FA" w:rsidRPr="00E87C38" w:rsidRDefault="004F57FA" w:rsidP="00BD3741">
            <w:pPr>
              <w:pStyle w:val="TableText"/>
              <w:jc w:val="center"/>
              <w:rPr>
                <w:rFonts w:asciiTheme="majorBidi" w:hAnsiTheme="majorBidi" w:cstheme="majorBidi"/>
                <w:highlight w:val="yellow"/>
              </w:rPr>
            </w:pPr>
          </w:p>
        </w:tc>
        <w:tc>
          <w:tcPr>
            <w:tcW w:w="1530" w:type="dxa"/>
            <w:vAlign w:val="center"/>
          </w:tcPr>
          <w:p w:rsidR="004F57FA" w:rsidRPr="00E87C38" w:rsidRDefault="004F57FA">
            <w:pPr>
              <w:pStyle w:val="TableText"/>
              <w:jc w:val="center"/>
              <w:rPr>
                <w:rFonts w:asciiTheme="majorBidi" w:hAnsiTheme="majorBidi" w:cstheme="majorBidi"/>
              </w:rPr>
            </w:pPr>
          </w:p>
        </w:tc>
        <w:tc>
          <w:tcPr>
            <w:tcW w:w="1874" w:type="dxa"/>
            <w:vAlign w:val="center"/>
          </w:tcPr>
          <w:p w:rsidR="004F57FA" w:rsidRPr="00E87C38" w:rsidRDefault="004F57FA">
            <w:pPr>
              <w:pStyle w:val="TableText"/>
              <w:jc w:val="center"/>
              <w:rPr>
                <w:rFonts w:asciiTheme="majorBidi" w:hAnsiTheme="majorBidi" w:cstheme="majorBidi"/>
              </w:rPr>
            </w:pPr>
          </w:p>
        </w:tc>
        <w:tc>
          <w:tcPr>
            <w:tcW w:w="1348" w:type="dxa"/>
            <w:vAlign w:val="center"/>
          </w:tcPr>
          <w:p w:rsidR="004F57FA" w:rsidRPr="004571DB" w:rsidRDefault="00C119B4" w:rsidP="00E65E04">
            <w:pPr>
              <w:pStyle w:val="TableText"/>
              <w:jc w:val="center"/>
              <w:rPr>
                <w:highlight w:val="yellow"/>
              </w:rPr>
            </w:pPr>
            <w:r>
              <w:t>4,463</w:t>
            </w:r>
          </w:p>
        </w:tc>
      </w:tr>
    </w:tbl>
    <w:p w:rsidR="006839C9" w:rsidRPr="001F6743" w:rsidRDefault="006839C9" w:rsidP="009B3714">
      <w:pPr>
        <w:pStyle w:val="exhibitsource"/>
      </w:pPr>
    </w:p>
    <w:p w:rsidR="006839C9" w:rsidRPr="00E87C38" w:rsidRDefault="002D4AE8" w:rsidP="001A5E75">
      <w:pPr>
        <w:pStyle w:val="Heading3"/>
      </w:pPr>
      <w:r>
        <w:t>A.12.b</w:t>
      </w:r>
      <w:r>
        <w:tab/>
      </w:r>
      <w:r w:rsidR="006839C9" w:rsidRPr="00E87C38">
        <w:t>Estimated Annualized Burden Costs</w:t>
      </w:r>
    </w:p>
    <w:p w:rsidR="00BC1057" w:rsidRPr="00D857C5" w:rsidRDefault="006839C9" w:rsidP="00071BCD">
      <w:pPr>
        <w:pStyle w:val="BodyText"/>
      </w:pPr>
      <w:r w:rsidRPr="00E87C38">
        <w:t xml:space="preserve">Respondents participate on a voluntary basis and, therefore, are subject to no direct costs other than time to participate. There are also no startup or maintenance costs. RTI has conducted many surveys of similar length with </w:t>
      </w:r>
      <w:r w:rsidR="00071BCD">
        <w:t>RN and other online panel providers</w:t>
      </w:r>
      <w:r w:rsidRPr="00E87C38">
        <w:t>. We have examined diagnostic data from each of these prior surveys and estimate that data collection for thi</w:t>
      </w:r>
      <w:r w:rsidR="006C6F41" w:rsidRPr="00E87C38">
        <w:t>s study will take approximately 30</w:t>
      </w:r>
      <w:r w:rsidRPr="00E87C38">
        <w:t xml:space="preserve"> minutes per respondent. According to the U.S. Department of Labor Bureau of Labor Statistics</w:t>
      </w:r>
      <w:r w:rsidR="006E481D" w:rsidRPr="00E87C38">
        <w:t>,</w:t>
      </w:r>
      <w:r w:rsidRPr="00E87C38" w:rsidDel="00507454">
        <w:t xml:space="preserve"> </w:t>
      </w:r>
      <w:r w:rsidRPr="00E87C38">
        <w:t xml:space="preserve">as of </w:t>
      </w:r>
      <w:r w:rsidR="00903C51" w:rsidRPr="00E87C38">
        <w:t>April 2011</w:t>
      </w:r>
      <w:r w:rsidR="00E65A21">
        <w:t xml:space="preserve"> </w:t>
      </w:r>
      <w:r w:rsidRPr="00E87C38">
        <w:t xml:space="preserve">the national </w:t>
      </w:r>
      <w:r w:rsidR="0068358D" w:rsidRPr="00E87C38">
        <w:t xml:space="preserve">median </w:t>
      </w:r>
      <w:r w:rsidRPr="00E87C38">
        <w:t>hourly wage is $</w:t>
      </w:r>
      <w:r w:rsidR="0068358D" w:rsidRPr="00E87C38">
        <w:t>16.27</w:t>
      </w:r>
      <w:r w:rsidR="00836500" w:rsidRPr="00E87C38">
        <w:t>.</w:t>
      </w:r>
      <w:r w:rsidR="00F34C07">
        <w:fldChar w:fldCharType="begin"/>
      </w:r>
      <w:r w:rsidR="00F34C07">
        <w:instrText xml:space="preserve"> REF _Ref321736915 \r \h  \* MERGEFORMAT </w:instrText>
      </w:r>
      <w:r w:rsidR="00F34C07">
        <w:fldChar w:fldCharType="separate"/>
      </w:r>
      <w:r w:rsidR="00832DC6" w:rsidRPr="00832DC6">
        <w:rPr>
          <w:vertAlign w:val="superscript"/>
        </w:rPr>
        <w:t>17</w:t>
      </w:r>
      <w:r w:rsidR="00F34C07">
        <w:fldChar w:fldCharType="end"/>
      </w:r>
      <w:r w:rsidRPr="00E87C38">
        <w:t xml:space="preserve"> Thus</w:t>
      </w:r>
      <w:r w:rsidR="00E65A21">
        <w:t>,</w:t>
      </w:r>
      <w:r w:rsidRPr="00E87C38">
        <w:t xml:space="preserve"> assuming a</w:t>
      </w:r>
      <w:r w:rsidR="0068358D" w:rsidRPr="00E87C38">
        <w:t xml:space="preserve"> median </w:t>
      </w:r>
      <w:r w:rsidRPr="00E87C38">
        <w:t>hourly wage of $</w:t>
      </w:r>
      <w:r w:rsidR="0068358D" w:rsidRPr="00E87C38">
        <w:t>16.27</w:t>
      </w:r>
      <w:r w:rsidRPr="00E87C38">
        <w:t xml:space="preserve">, the estimated </w:t>
      </w:r>
      <w:r w:rsidR="002F363F">
        <w:t>one-</w:t>
      </w:r>
      <w:r w:rsidRPr="00E87C38">
        <w:t xml:space="preserve">year annualized cost to participants will be </w:t>
      </w:r>
      <w:r w:rsidR="006C6F41" w:rsidRPr="00E87C38">
        <w:t>$</w:t>
      </w:r>
      <w:r w:rsidR="00C119B4">
        <w:t>72,613</w:t>
      </w:r>
      <w:r w:rsidRPr="00E87C38">
        <w:t xml:space="preserve">. The estimated value of respondents’ time for participating in the information collection is summarized in </w:t>
      </w:r>
      <w:r w:rsidRPr="00D857C5">
        <w:rPr>
          <w:bCs/>
          <w:iCs/>
        </w:rPr>
        <w:t xml:space="preserve">Exhibit </w:t>
      </w:r>
      <w:bookmarkStart w:id="71" w:name="_Toc140476557"/>
      <w:bookmarkStart w:id="72" w:name="_Toc216595335"/>
      <w:r w:rsidR="00644518" w:rsidRPr="00D857C5">
        <w:rPr>
          <w:bCs/>
          <w:iCs/>
        </w:rPr>
        <w:t>A.12.2</w:t>
      </w:r>
      <w:r w:rsidR="00BC1057" w:rsidRPr="00D857C5">
        <w:t>.</w:t>
      </w:r>
    </w:p>
    <w:p w:rsidR="006839C9" w:rsidRPr="00E87C38" w:rsidRDefault="006839C9" w:rsidP="009B3714">
      <w:pPr>
        <w:pStyle w:val="ExhibitTitle"/>
      </w:pPr>
      <w:bookmarkStart w:id="73" w:name="_Toc317244935"/>
      <w:bookmarkStart w:id="74" w:name="_Toc321745134"/>
      <w:r w:rsidRPr="00E87C38">
        <w:t>Ex</w:t>
      </w:r>
      <w:r w:rsidR="00685A39" w:rsidRPr="00E87C38">
        <w:t xml:space="preserve">hibit </w:t>
      </w:r>
      <w:r w:rsidR="00ED37D6">
        <w:t>A.12.2</w:t>
      </w:r>
      <w:r w:rsidR="002D4AE8">
        <w:tab/>
      </w:r>
      <w:r w:rsidRPr="00E87C38">
        <w:t>Estimated One-Year Annualized Cost</w:t>
      </w:r>
      <w:bookmarkEnd w:id="71"/>
      <w:bookmarkEnd w:id="72"/>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6"/>
        <w:gridCol w:w="1577"/>
        <w:gridCol w:w="1577"/>
        <w:gridCol w:w="1577"/>
        <w:gridCol w:w="1577"/>
        <w:gridCol w:w="1577"/>
        <w:gridCol w:w="1577"/>
        <w:gridCol w:w="36"/>
      </w:tblGrid>
      <w:tr w:rsidR="006839C9" w:rsidRPr="001D7FD1" w:rsidTr="00BD3741">
        <w:trPr>
          <w:gridBefore w:val="1"/>
          <w:cantSplit/>
          <w:tblHeader/>
        </w:trPr>
        <w:tc>
          <w:tcPr>
            <w:tcW w:w="1584" w:type="dxa"/>
            <w:vAlign w:val="bottom"/>
          </w:tcPr>
          <w:p w:rsidR="006839C9" w:rsidRPr="004571DB" w:rsidRDefault="006839C9" w:rsidP="009B3714">
            <w:pPr>
              <w:pStyle w:val="TableHeaders"/>
            </w:pPr>
            <w:r w:rsidRPr="004571DB">
              <w:t>Type of Respondent</w:t>
            </w:r>
          </w:p>
        </w:tc>
        <w:tc>
          <w:tcPr>
            <w:tcW w:w="1584" w:type="dxa"/>
            <w:vAlign w:val="bottom"/>
          </w:tcPr>
          <w:p w:rsidR="006839C9" w:rsidRPr="004571DB" w:rsidRDefault="006839C9" w:rsidP="009B3714">
            <w:pPr>
              <w:pStyle w:val="TableHeaders"/>
            </w:pPr>
            <w:r w:rsidRPr="004571DB">
              <w:t>Form Name</w:t>
            </w:r>
          </w:p>
        </w:tc>
        <w:tc>
          <w:tcPr>
            <w:tcW w:w="1584" w:type="dxa"/>
            <w:vAlign w:val="bottom"/>
          </w:tcPr>
          <w:p w:rsidR="006839C9" w:rsidRPr="004571DB" w:rsidRDefault="006839C9" w:rsidP="009B3714">
            <w:pPr>
              <w:pStyle w:val="TableHeaders"/>
            </w:pPr>
            <w:r w:rsidRPr="004571DB">
              <w:t>Number of</w:t>
            </w:r>
            <w:r w:rsidR="00596558" w:rsidRPr="004571DB">
              <w:t xml:space="preserve"> </w:t>
            </w:r>
            <w:r w:rsidRPr="004571DB">
              <w:t>Respondents</w:t>
            </w:r>
          </w:p>
        </w:tc>
        <w:tc>
          <w:tcPr>
            <w:tcW w:w="1584" w:type="dxa"/>
            <w:vAlign w:val="bottom"/>
          </w:tcPr>
          <w:p w:rsidR="006839C9" w:rsidRPr="004571DB" w:rsidRDefault="006839C9" w:rsidP="009B3714">
            <w:pPr>
              <w:pStyle w:val="TableHeaders"/>
            </w:pPr>
            <w:r w:rsidRPr="004571DB">
              <w:t>Total Burden Hours</w:t>
            </w:r>
          </w:p>
        </w:tc>
        <w:tc>
          <w:tcPr>
            <w:tcW w:w="1584" w:type="dxa"/>
            <w:vAlign w:val="bottom"/>
          </w:tcPr>
          <w:p w:rsidR="006839C9" w:rsidRPr="004571DB" w:rsidRDefault="006839C9" w:rsidP="009B3714">
            <w:pPr>
              <w:pStyle w:val="TableHeaders"/>
            </w:pPr>
            <w:r w:rsidRPr="004571DB">
              <w:t>Hourly Wage Rate</w:t>
            </w:r>
          </w:p>
        </w:tc>
        <w:tc>
          <w:tcPr>
            <w:tcW w:w="1584" w:type="dxa"/>
            <w:gridSpan w:val="2"/>
            <w:vAlign w:val="bottom"/>
          </w:tcPr>
          <w:p w:rsidR="006839C9" w:rsidRPr="004571DB" w:rsidRDefault="006839C9" w:rsidP="009B3714">
            <w:pPr>
              <w:pStyle w:val="TableHeaders"/>
            </w:pPr>
            <w:r w:rsidRPr="004571DB">
              <w:t>Total Cost</w:t>
            </w:r>
          </w:p>
        </w:tc>
      </w:tr>
      <w:tr w:rsidR="00BD3741" w:rsidRPr="00E87C38" w:rsidTr="00546640">
        <w:trPr>
          <w:gridBefore w:val="1"/>
          <w:cantSplit/>
        </w:trPr>
        <w:tc>
          <w:tcPr>
            <w:tcW w:w="1584" w:type="dxa"/>
            <w:vMerge w:val="restart"/>
            <w:vAlign w:val="center"/>
          </w:tcPr>
          <w:p w:rsidR="00BD3741" w:rsidRPr="004571DB" w:rsidRDefault="00BD3741" w:rsidP="00E65E04">
            <w:pPr>
              <w:pStyle w:val="TableText"/>
              <w:jc w:val="center"/>
            </w:pPr>
            <w:r w:rsidRPr="004571DB">
              <w:t>Adults, ages 18+ in the U.S.</w:t>
            </w:r>
          </w:p>
        </w:tc>
        <w:tc>
          <w:tcPr>
            <w:tcW w:w="1584" w:type="dxa"/>
            <w:vAlign w:val="center"/>
          </w:tcPr>
          <w:p w:rsidR="00BD3741" w:rsidRPr="004571DB" w:rsidRDefault="00546640" w:rsidP="00E65E04">
            <w:pPr>
              <w:pStyle w:val="TableText"/>
              <w:jc w:val="center"/>
            </w:pPr>
            <w:r>
              <w:t>Welcome to the Health and Media Survey</w:t>
            </w:r>
          </w:p>
        </w:tc>
        <w:tc>
          <w:tcPr>
            <w:tcW w:w="1584" w:type="dxa"/>
            <w:vAlign w:val="center"/>
          </w:tcPr>
          <w:p w:rsidR="00BD3741" w:rsidRDefault="005033F5" w:rsidP="00BD3741">
            <w:pPr>
              <w:pStyle w:val="TableText"/>
              <w:jc w:val="center"/>
            </w:pPr>
            <w:r>
              <w:t>19,500</w:t>
            </w:r>
          </w:p>
        </w:tc>
        <w:tc>
          <w:tcPr>
            <w:tcW w:w="1584" w:type="dxa"/>
            <w:vAlign w:val="center"/>
          </w:tcPr>
          <w:p w:rsidR="00BD3741" w:rsidRDefault="005033F5" w:rsidP="00BD3741">
            <w:pPr>
              <w:pStyle w:val="TableText"/>
              <w:jc w:val="center"/>
            </w:pPr>
            <w:r>
              <w:t>975</w:t>
            </w:r>
          </w:p>
        </w:tc>
        <w:tc>
          <w:tcPr>
            <w:tcW w:w="1584" w:type="dxa"/>
            <w:vAlign w:val="center"/>
          </w:tcPr>
          <w:p w:rsidR="00BD3741" w:rsidRPr="004571DB" w:rsidRDefault="00BD3741" w:rsidP="00BD3741">
            <w:pPr>
              <w:pStyle w:val="TableText"/>
              <w:jc w:val="center"/>
            </w:pPr>
            <w:r>
              <w:t>$16.27</w:t>
            </w:r>
          </w:p>
        </w:tc>
        <w:tc>
          <w:tcPr>
            <w:tcW w:w="1584" w:type="dxa"/>
            <w:gridSpan w:val="2"/>
            <w:vAlign w:val="center"/>
          </w:tcPr>
          <w:p w:rsidR="00BD3741" w:rsidRPr="004571DB" w:rsidRDefault="00AE0E60" w:rsidP="005033F5">
            <w:pPr>
              <w:pStyle w:val="TableText"/>
              <w:jc w:val="center"/>
            </w:pPr>
            <w:r>
              <w:t>$</w:t>
            </w:r>
            <w:r w:rsidR="005033F5">
              <w:t>15,863</w:t>
            </w:r>
          </w:p>
        </w:tc>
      </w:tr>
      <w:tr w:rsidR="00BD3741" w:rsidRPr="00E87C38" w:rsidTr="00546640">
        <w:trPr>
          <w:gridBefore w:val="1"/>
          <w:cantSplit/>
        </w:trPr>
        <w:tc>
          <w:tcPr>
            <w:tcW w:w="1584" w:type="dxa"/>
            <w:vMerge/>
            <w:vAlign w:val="center"/>
          </w:tcPr>
          <w:p w:rsidR="00BD3741" w:rsidRPr="004571DB" w:rsidRDefault="00BD3741" w:rsidP="00546640">
            <w:pPr>
              <w:pStyle w:val="TableText"/>
              <w:jc w:val="center"/>
            </w:pPr>
          </w:p>
        </w:tc>
        <w:tc>
          <w:tcPr>
            <w:tcW w:w="1584" w:type="dxa"/>
            <w:vAlign w:val="center"/>
          </w:tcPr>
          <w:p w:rsidR="00BD3741" w:rsidRPr="004571DB" w:rsidRDefault="00E65E04" w:rsidP="00E65E04">
            <w:pPr>
              <w:pStyle w:val="TableText"/>
              <w:jc w:val="center"/>
            </w:pPr>
            <w:r>
              <w:t>Health and Media Survey</w:t>
            </w:r>
          </w:p>
        </w:tc>
        <w:tc>
          <w:tcPr>
            <w:tcW w:w="1584" w:type="dxa"/>
            <w:vAlign w:val="center"/>
          </w:tcPr>
          <w:p w:rsidR="00BD3741" w:rsidRPr="004571DB" w:rsidRDefault="00C119B4" w:rsidP="00BD3741">
            <w:pPr>
              <w:pStyle w:val="TableText"/>
              <w:jc w:val="center"/>
            </w:pPr>
            <w:r>
              <w:t>6,975</w:t>
            </w:r>
          </w:p>
        </w:tc>
        <w:tc>
          <w:tcPr>
            <w:tcW w:w="1584" w:type="dxa"/>
            <w:vAlign w:val="center"/>
          </w:tcPr>
          <w:p w:rsidR="00BD3741" w:rsidRPr="004571DB" w:rsidRDefault="00C119B4" w:rsidP="00E65E04">
            <w:pPr>
              <w:pStyle w:val="TableText"/>
              <w:jc w:val="center"/>
            </w:pPr>
            <w:r>
              <w:t>3,488</w:t>
            </w:r>
          </w:p>
        </w:tc>
        <w:tc>
          <w:tcPr>
            <w:tcW w:w="1584" w:type="dxa"/>
            <w:vAlign w:val="center"/>
          </w:tcPr>
          <w:p w:rsidR="00BD3741" w:rsidRPr="004571DB" w:rsidRDefault="00BD3741" w:rsidP="00E65E04">
            <w:pPr>
              <w:pStyle w:val="TableText"/>
              <w:jc w:val="center"/>
            </w:pPr>
            <w:r w:rsidRPr="004571DB">
              <w:t>$16.27</w:t>
            </w:r>
          </w:p>
        </w:tc>
        <w:tc>
          <w:tcPr>
            <w:tcW w:w="1584" w:type="dxa"/>
            <w:gridSpan w:val="2"/>
            <w:vAlign w:val="center"/>
          </w:tcPr>
          <w:p w:rsidR="00BD3741" w:rsidRPr="004571DB" w:rsidRDefault="00BD3741" w:rsidP="00C119B4">
            <w:pPr>
              <w:pStyle w:val="TableText"/>
              <w:jc w:val="center"/>
            </w:pPr>
            <w:r w:rsidRPr="004571DB">
              <w:t>$</w:t>
            </w:r>
            <w:r w:rsidR="00C119B4">
              <w:t>56</w:t>
            </w:r>
            <w:r w:rsidR="005033F5">
              <w:t>,</w:t>
            </w:r>
            <w:r w:rsidR="00C119B4">
              <w:t>750</w:t>
            </w:r>
          </w:p>
        </w:tc>
      </w:tr>
      <w:tr w:rsidR="00BD3741" w:rsidRPr="00E87C38" w:rsidTr="00AC78C7">
        <w:trPr>
          <w:gridAfter w:val="1"/>
          <w:wAfter w:w="36" w:type="dxa"/>
          <w:cantSplit/>
        </w:trPr>
        <w:tc>
          <w:tcPr>
            <w:tcW w:w="1584" w:type="dxa"/>
            <w:gridSpan w:val="2"/>
          </w:tcPr>
          <w:p w:rsidR="00BD3741" w:rsidRPr="004571DB" w:rsidRDefault="00BD3741" w:rsidP="00E65E04">
            <w:pPr>
              <w:pStyle w:val="TableText"/>
              <w:jc w:val="center"/>
            </w:pPr>
            <w:r>
              <w:t>Total</w:t>
            </w:r>
          </w:p>
        </w:tc>
        <w:tc>
          <w:tcPr>
            <w:tcW w:w="1584" w:type="dxa"/>
          </w:tcPr>
          <w:p w:rsidR="00BD3741" w:rsidRPr="004571DB" w:rsidRDefault="00BD3741" w:rsidP="00E65E04">
            <w:pPr>
              <w:pStyle w:val="TableText"/>
              <w:jc w:val="center"/>
            </w:pPr>
          </w:p>
        </w:tc>
        <w:tc>
          <w:tcPr>
            <w:tcW w:w="1584" w:type="dxa"/>
          </w:tcPr>
          <w:p w:rsidR="00BD3741" w:rsidRDefault="00BD3741" w:rsidP="00BD3741">
            <w:pPr>
              <w:pStyle w:val="TableText"/>
              <w:jc w:val="center"/>
            </w:pPr>
          </w:p>
        </w:tc>
        <w:tc>
          <w:tcPr>
            <w:tcW w:w="1584" w:type="dxa"/>
          </w:tcPr>
          <w:p w:rsidR="00BD3741" w:rsidRDefault="00BD3741">
            <w:pPr>
              <w:pStyle w:val="TableText"/>
              <w:jc w:val="center"/>
            </w:pPr>
          </w:p>
        </w:tc>
        <w:tc>
          <w:tcPr>
            <w:tcW w:w="1584" w:type="dxa"/>
          </w:tcPr>
          <w:p w:rsidR="00BD3741" w:rsidRPr="004571DB" w:rsidRDefault="00BD3741">
            <w:pPr>
              <w:pStyle w:val="TableText"/>
              <w:jc w:val="center"/>
            </w:pPr>
          </w:p>
        </w:tc>
        <w:tc>
          <w:tcPr>
            <w:tcW w:w="1584" w:type="dxa"/>
          </w:tcPr>
          <w:p w:rsidR="00BD3741" w:rsidRPr="004571DB" w:rsidRDefault="00AE0E60" w:rsidP="00C119B4">
            <w:pPr>
              <w:pStyle w:val="TableText"/>
              <w:jc w:val="center"/>
            </w:pPr>
            <w:r>
              <w:t>$</w:t>
            </w:r>
            <w:r w:rsidR="00C119B4">
              <w:t>72,613</w:t>
            </w:r>
          </w:p>
        </w:tc>
      </w:tr>
    </w:tbl>
    <w:p w:rsidR="006839C9" w:rsidRPr="004571DB" w:rsidRDefault="006839C9" w:rsidP="009B3714">
      <w:pPr>
        <w:pStyle w:val="exhibitsource"/>
      </w:pPr>
    </w:p>
    <w:p w:rsidR="006839C9" w:rsidRPr="00E87C38" w:rsidRDefault="006839C9" w:rsidP="009B3714">
      <w:pPr>
        <w:pStyle w:val="Heading2"/>
      </w:pPr>
      <w:bookmarkStart w:id="75" w:name="_Toc321734060"/>
      <w:bookmarkStart w:id="76" w:name="_Toc332782729"/>
      <w:bookmarkStart w:id="77" w:name="_Toc332782776"/>
      <w:bookmarkStart w:id="78" w:name="_Toc332783151"/>
      <w:r w:rsidRPr="00E87C38">
        <w:t>A.13</w:t>
      </w:r>
      <w:r w:rsidR="0028273E">
        <w:tab/>
      </w:r>
      <w:r w:rsidRPr="00E87C38">
        <w:t>Estimate of Other Total Annual Cost Burden to Respondents or Record Keepers</w:t>
      </w:r>
      <w:bookmarkEnd w:id="75"/>
      <w:bookmarkEnd w:id="76"/>
      <w:bookmarkEnd w:id="77"/>
      <w:bookmarkEnd w:id="78"/>
      <w:r w:rsidRPr="00E87C38">
        <w:t xml:space="preserve"> </w:t>
      </w:r>
    </w:p>
    <w:p w:rsidR="006839C9" w:rsidRPr="00E87C38" w:rsidRDefault="006839C9" w:rsidP="00971D8D">
      <w:pPr>
        <w:pStyle w:val="BodyText"/>
      </w:pPr>
      <w:proofErr w:type="gramStart"/>
      <w:r w:rsidRPr="00E87C38">
        <w:t>None.</w:t>
      </w:r>
      <w:proofErr w:type="gramEnd"/>
    </w:p>
    <w:p w:rsidR="006839C9" w:rsidRPr="00401EC4" w:rsidRDefault="006839C9" w:rsidP="009B3714">
      <w:pPr>
        <w:pStyle w:val="Heading2"/>
      </w:pPr>
      <w:bookmarkStart w:id="79" w:name="_Toc321734061"/>
      <w:bookmarkStart w:id="80" w:name="_Toc332782730"/>
      <w:bookmarkStart w:id="81" w:name="_Toc332782777"/>
      <w:bookmarkStart w:id="82" w:name="_Toc332783152"/>
      <w:r w:rsidRPr="00401EC4">
        <w:lastRenderedPageBreak/>
        <w:t>A.14</w:t>
      </w:r>
      <w:r w:rsidR="00401EC4">
        <w:tab/>
      </w:r>
      <w:r w:rsidRPr="00401EC4">
        <w:t>Estimates of Annualized Cost to the Federal Government</w:t>
      </w:r>
      <w:bookmarkEnd w:id="79"/>
      <w:bookmarkEnd w:id="80"/>
      <w:bookmarkEnd w:id="81"/>
      <w:bookmarkEnd w:id="82"/>
    </w:p>
    <w:p w:rsidR="00FF4185" w:rsidRDefault="006839C9" w:rsidP="00F56750">
      <w:pPr>
        <w:pStyle w:val="BodyText"/>
        <w:rPr>
          <w:b/>
          <w:iCs/>
        </w:rPr>
      </w:pPr>
      <w:r w:rsidRPr="00E87C38">
        <w:t>This information collection is funded through a contract with RTI International.</w:t>
      </w:r>
      <w:r w:rsidR="00596558">
        <w:t xml:space="preserve"> </w:t>
      </w:r>
      <w:r w:rsidRPr="00E87C38">
        <w:t xml:space="preserve">The total estimated costs </w:t>
      </w:r>
      <w:r w:rsidR="00CE160A">
        <w:t xml:space="preserve">to the federal government </w:t>
      </w:r>
      <w:r w:rsidRPr="00E87C38">
        <w:t xml:space="preserve">attributable to this data collection </w:t>
      </w:r>
      <w:r w:rsidRPr="003F78ED">
        <w:t xml:space="preserve">are </w:t>
      </w:r>
      <w:r w:rsidR="00744E97" w:rsidRPr="003F78ED">
        <w:t>$</w:t>
      </w:r>
      <w:r w:rsidR="00AB3D3C">
        <w:t>542,100</w:t>
      </w:r>
      <w:r w:rsidR="0001632D">
        <w:t xml:space="preserve"> (see Exhibit A.14.1)</w:t>
      </w:r>
      <w:r w:rsidRPr="003F78ED">
        <w:t>. There are additional contract-funded activities occurring before and after this data collection that include project planning and data analysis. Other activities outside this data collection include coordination with CDC</w:t>
      </w:r>
      <w:r w:rsidR="00C910AF" w:rsidRPr="003F78ED">
        <w:t xml:space="preserve">, </w:t>
      </w:r>
      <w:r w:rsidR="00382BB0" w:rsidRPr="003F78ED">
        <w:t>CTG and CP</w:t>
      </w:r>
      <w:r w:rsidR="0077102B">
        <w:t>P</w:t>
      </w:r>
      <w:r w:rsidR="00382BB0" w:rsidRPr="003F78ED">
        <w:t>W awardees</w:t>
      </w:r>
      <w:r w:rsidR="00C910AF" w:rsidRPr="003F78ED">
        <w:t>,</w:t>
      </w:r>
      <w:r w:rsidR="006C6F41" w:rsidRPr="003F78ED">
        <w:t xml:space="preserve"> </w:t>
      </w:r>
      <w:r w:rsidR="00C910AF" w:rsidRPr="003F78ED">
        <w:t>and media contractors;</w:t>
      </w:r>
      <w:r w:rsidRPr="003F78ED">
        <w:t xml:space="preserve"> evaluation plan development; instrument development; reporting; RTI IRB and progress reporting</w:t>
      </w:r>
      <w:r w:rsidR="00E65A21" w:rsidRPr="003F78ED">
        <w:t>;</w:t>
      </w:r>
      <w:r w:rsidRPr="003F78ED">
        <w:t xml:space="preserve"> and project management. </w:t>
      </w:r>
      <w:r w:rsidR="00E130A1" w:rsidRPr="003F78ED">
        <w:t>T</w:t>
      </w:r>
      <w:r w:rsidRPr="003F78ED">
        <w:t xml:space="preserve">he annual cost to the </w:t>
      </w:r>
      <w:r w:rsidR="00E65A21" w:rsidRPr="003F78ED">
        <w:t xml:space="preserve">federal </w:t>
      </w:r>
      <w:r w:rsidRPr="003F78ED">
        <w:t xml:space="preserve">government is estimated to be </w:t>
      </w:r>
      <w:r w:rsidR="00C910AF" w:rsidRPr="003F78ED">
        <w:t>$</w:t>
      </w:r>
      <w:r w:rsidR="00AB3D3C">
        <w:t>542,100</w:t>
      </w:r>
      <w:r w:rsidR="00C910AF" w:rsidRPr="00E87C38">
        <w:t xml:space="preserve">. </w:t>
      </w:r>
      <w:r w:rsidR="002134A2">
        <w:t>Four</w:t>
      </w:r>
      <w:r w:rsidR="002134A2" w:rsidRPr="00E87C38">
        <w:t xml:space="preserve"> </w:t>
      </w:r>
      <w:r w:rsidRPr="00E87C38">
        <w:t>CDC health communications specialists are responsible for overseeing the content of this information collection, overall project management, and coordination with other CDC activities.</w:t>
      </w:r>
      <w:bookmarkStart w:id="83" w:name="_Toc317244936"/>
      <w:bookmarkStart w:id="84" w:name="_Toc321745135"/>
    </w:p>
    <w:bookmarkEnd w:id="83"/>
    <w:bookmarkEnd w:id="84"/>
    <w:p w:rsidR="00AB3D3C" w:rsidRDefault="00AB3D3C" w:rsidP="00AB3D3C">
      <w:pPr>
        <w:pStyle w:val="ExhibitTitle"/>
      </w:pPr>
      <w:r>
        <w:t>Exhibit A.14.1</w:t>
      </w:r>
      <w:r>
        <w:tab/>
        <w:t>Itemized 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3246"/>
        <w:gridCol w:w="2151"/>
        <w:gridCol w:w="2347"/>
        <w:gridCol w:w="1760"/>
      </w:tblGrid>
      <w:tr w:rsidR="00AB3D3C" w:rsidTr="00AB3D3C">
        <w:trPr>
          <w:cantSplit/>
          <w:tblHeader/>
        </w:trPr>
        <w:tc>
          <w:tcPr>
            <w:tcW w:w="2988" w:type="dxa"/>
            <w:tcBorders>
              <w:top w:val="single" w:sz="4" w:space="0" w:color="auto"/>
              <w:left w:val="single" w:sz="4" w:space="0" w:color="auto"/>
              <w:bottom w:val="single" w:sz="4" w:space="0" w:color="auto"/>
              <w:right w:val="single" w:sz="4" w:space="0" w:color="auto"/>
            </w:tcBorders>
            <w:vAlign w:val="bottom"/>
            <w:hideMark/>
          </w:tcPr>
          <w:p w:rsidR="00AB3D3C" w:rsidRDefault="00AB3D3C">
            <w:pPr>
              <w:pStyle w:val="TableHeaders"/>
            </w:pPr>
            <w:r>
              <w:t>CDC Staff Member</w:t>
            </w:r>
          </w:p>
        </w:tc>
        <w:tc>
          <w:tcPr>
            <w:tcW w:w="1980" w:type="dxa"/>
            <w:tcBorders>
              <w:top w:val="single" w:sz="4" w:space="0" w:color="auto"/>
              <w:left w:val="single" w:sz="4" w:space="0" w:color="auto"/>
              <w:bottom w:val="single" w:sz="4" w:space="0" w:color="auto"/>
              <w:right w:val="single" w:sz="4" w:space="0" w:color="auto"/>
            </w:tcBorders>
            <w:vAlign w:val="bottom"/>
            <w:hideMark/>
          </w:tcPr>
          <w:p w:rsidR="00AB3D3C" w:rsidRPr="00AB3D3C" w:rsidRDefault="00AB3D3C">
            <w:pPr>
              <w:pStyle w:val="TableHeaders"/>
            </w:pPr>
            <w:r w:rsidRPr="00AB3D3C">
              <w:t>Annual Salary</w:t>
            </w:r>
          </w:p>
        </w:tc>
        <w:tc>
          <w:tcPr>
            <w:tcW w:w="2160" w:type="dxa"/>
            <w:tcBorders>
              <w:top w:val="single" w:sz="4" w:space="0" w:color="auto"/>
              <w:left w:val="single" w:sz="4" w:space="0" w:color="auto"/>
              <w:bottom w:val="single" w:sz="4" w:space="0" w:color="auto"/>
              <w:right w:val="single" w:sz="4" w:space="0" w:color="auto"/>
            </w:tcBorders>
            <w:vAlign w:val="bottom"/>
            <w:hideMark/>
          </w:tcPr>
          <w:p w:rsidR="00AB3D3C" w:rsidRDefault="00AB3D3C">
            <w:pPr>
              <w:pStyle w:val="TableHeaders"/>
            </w:pPr>
            <w:r>
              <w:t>% Allocation (Annualized</w:t>
            </w:r>
          </w:p>
        </w:tc>
        <w:tc>
          <w:tcPr>
            <w:tcW w:w="1620" w:type="dxa"/>
            <w:tcBorders>
              <w:top w:val="single" w:sz="4" w:space="0" w:color="auto"/>
              <w:left w:val="single" w:sz="4" w:space="0" w:color="auto"/>
              <w:bottom w:val="single" w:sz="4" w:space="0" w:color="auto"/>
              <w:right w:val="single" w:sz="4" w:space="0" w:color="auto"/>
            </w:tcBorders>
            <w:vAlign w:val="bottom"/>
            <w:hideMark/>
          </w:tcPr>
          <w:p w:rsidR="00AB3D3C" w:rsidRDefault="00AB3D3C">
            <w:pPr>
              <w:pStyle w:val="TableHeaders"/>
            </w:pPr>
            <w:r>
              <w:t>Cost</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Default="00AB3D3C" w:rsidP="005D3ADB">
            <w:pPr>
              <w:pStyle w:val="TableText"/>
            </w:pPr>
            <w:r>
              <w:t xml:space="preserve">GS-14 </w:t>
            </w:r>
          </w:p>
        </w:tc>
        <w:tc>
          <w:tcPr>
            <w:tcW w:w="1980" w:type="dxa"/>
            <w:tcBorders>
              <w:top w:val="single" w:sz="4" w:space="0" w:color="auto"/>
              <w:left w:val="single" w:sz="4" w:space="0" w:color="auto"/>
              <w:bottom w:val="single" w:sz="4" w:space="0" w:color="auto"/>
              <w:right w:val="single" w:sz="4" w:space="0" w:color="auto"/>
            </w:tcBorders>
          </w:tcPr>
          <w:p w:rsidR="00AB3D3C" w:rsidRPr="00AB3D3C" w:rsidRDefault="00AB3D3C">
            <w:pPr>
              <w:ind w:left="720"/>
              <w:jc w:val="right"/>
              <w:rPr>
                <w:rFonts w:cs="Arial"/>
              </w:rPr>
            </w:pPr>
            <w:r w:rsidRPr="00AB3D3C">
              <w:t>$115,000</w:t>
            </w:r>
          </w:p>
          <w:p w:rsidR="00AB3D3C" w:rsidRPr="00AB3D3C" w:rsidRDefault="00AB3D3C">
            <w:pPr>
              <w:pStyle w:val="TableText"/>
              <w:jc w:val="right"/>
            </w:pPr>
          </w:p>
        </w:tc>
        <w:tc>
          <w:tcPr>
            <w:tcW w:w="216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$5,750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rsidP="00AB3D3C">
            <w:pPr>
              <w:pStyle w:val="TableText"/>
            </w:pPr>
            <w:r>
              <w:t>GS-14</w:t>
            </w:r>
            <w:r w:rsidRPr="00AB3D3C">
              <w:t xml:space="preserve"> </w:t>
            </w:r>
          </w:p>
        </w:tc>
        <w:tc>
          <w:tcPr>
            <w:tcW w:w="1980" w:type="dxa"/>
            <w:tcBorders>
              <w:top w:val="single" w:sz="4" w:space="0" w:color="auto"/>
              <w:left w:val="single" w:sz="4" w:space="0" w:color="auto"/>
              <w:bottom w:val="single" w:sz="4" w:space="0" w:color="auto"/>
              <w:right w:val="single" w:sz="4" w:space="0" w:color="auto"/>
            </w:tcBorders>
          </w:tcPr>
          <w:p w:rsidR="00AB3D3C" w:rsidRPr="00AB3D3C" w:rsidRDefault="00AB3D3C">
            <w:pPr>
              <w:ind w:left="720"/>
              <w:jc w:val="right"/>
              <w:rPr>
                <w:rFonts w:cs="Arial"/>
              </w:rPr>
            </w:pPr>
            <w:r w:rsidRPr="00AB3D3C">
              <w:t>$115,000</w:t>
            </w:r>
          </w:p>
          <w:p w:rsidR="00AB3D3C" w:rsidRPr="00AB3D3C" w:rsidRDefault="00AB3D3C">
            <w:pPr>
              <w:pStyle w:val="TableText"/>
              <w:jc w:val="right"/>
            </w:pP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 xml:space="preserve">$5,750 </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rsidP="00AB3D3C">
            <w:pPr>
              <w:pStyle w:val="TableText"/>
            </w:pPr>
            <w:r w:rsidRPr="00AB3D3C">
              <w:t xml:space="preserve">GS-14 </w:t>
            </w:r>
          </w:p>
        </w:tc>
        <w:tc>
          <w:tcPr>
            <w:tcW w:w="1980" w:type="dxa"/>
            <w:tcBorders>
              <w:top w:val="single" w:sz="4" w:space="0" w:color="auto"/>
              <w:left w:val="single" w:sz="4" w:space="0" w:color="auto"/>
              <w:bottom w:val="single" w:sz="4" w:space="0" w:color="auto"/>
              <w:right w:val="single" w:sz="4" w:space="0" w:color="auto"/>
            </w:tcBorders>
            <w:hideMark/>
          </w:tcPr>
          <w:p w:rsidR="00AB3D3C" w:rsidRPr="00AB3D3C" w:rsidRDefault="00AB3D3C">
            <w:pPr>
              <w:ind w:left="720"/>
              <w:jc w:val="right"/>
            </w:pPr>
            <w:r w:rsidRPr="00AB3D3C">
              <w:t>$115,000</w:t>
            </w: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tabs>
                <w:tab w:val="left" w:pos="1080"/>
              </w:tabs>
              <w:ind w:left="1080" w:hanging="360"/>
              <w:jc w:val="right"/>
              <w:rPr>
                <w:highlight w:val="green"/>
              </w:rPr>
            </w:pPr>
            <w:r w:rsidRPr="00AB3D3C">
              <w:t>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$5,750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rsidP="00AB3D3C">
            <w:pPr>
              <w:pStyle w:val="TableText"/>
            </w:pPr>
            <w:r w:rsidRPr="00AB3D3C">
              <w:t xml:space="preserve">GS-13 </w:t>
            </w:r>
          </w:p>
        </w:tc>
        <w:tc>
          <w:tcPr>
            <w:tcW w:w="198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$97,000</w:t>
            </w: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tabs>
                <w:tab w:val="left" w:pos="1080"/>
              </w:tabs>
              <w:ind w:left="1080" w:hanging="360"/>
              <w:jc w:val="right"/>
              <w:rPr>
                <w:highlight w:val="green"/>
              </w:rPr>
            </w:pPr>
            <w:r w:rsidRPr="00AB3D3C">
              <w:t>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$4,850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rsidP="00AB3D3C">
            <w:pPr>
              <w:pStyle w:val="TableText"/>
            </w:pPr>
            <w:r w:rsidRPr="00AB3D3C">
              <w:t xml:space="preserve">GS-9 </w:t>
            </w:r>
          </w:p>
        </w:tc>
        <w:tc>
          <w:tcPr>
            <w:tcW w:w="198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$57,000</w:t>
            </w: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25%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$14,250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rsidP="00AB3D3C">
            <w:pPr>
              <w:pStyle w:val="TableText"/>
            </w:pPr>
            <w:r w:rsidRPr="00AB3D3C">
              <w:t xml:space="preserve">GS-14 </w:t>
            </w:r>
          </w:p>
        </w:tc>
        <w:tc>
          <w:tcPr>
            <w:tcW w:w="198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$115,000</w:t>
            </w: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jc w:val="right"/>
            </w:pPr>
            <w:r w:rsidRPr="00AB3D3C">
              <w:t>5%</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$5750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tcPr>
          <w:p w:rsidR="00AB3D3C" w:rsidRPr="00AB3D3C" w:rsidRDefault="00AB3D3C">
            <w:pPr>
              <w:pStyle w:val="TableText"/>
              <w:rPr>
                <w:rFonts w:asciiTheme="majorBidi" w:hAnsiTheme="majorBidi" w:cstheme="majorBidi"/>
                <w:b/>
              </w:rPr>
            </w:pPr>
          </w:p>
        </w:tc>
        <w:tc>
          <w:tcPr>
            <w:tcW w:w="1980" w:type="dxa"/>
            <w:tcBorders>
              <w:top w:val="single" w:sz="4" w:space="0" w:color="auto"/>
              <w:left w:val="single" w:sz="4" w:space="0" w:color="auto"/>
              <w:bottom w:val="single" w:sz="4" w:space="0" w:color="auto"/>
              <w:right w:val="single" w:sz="4" w:space="0" w:color="auto"/>
            </w:tcBorders>
          </w:tcPr>
          <w:p w:rsidR="00AB3D3C" w:rsidRPr="00AB3D3C" w:rsidRDefault="00AB3D3C">
            <w:pPr>
              <w:pStyle w:val="TableText"/>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rPr>
                <w:b/>
              </w:rPr>
            </w:pPr>
            <w:r w:rsidRPr="00AB3D3C">
              <w:rPr>
                <w:b/>
              </w:rPr>
              <w:t>Subtotal, CDC Personnel</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$42,100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rPr>
                <w:b/>
              </w:rPr>
            </w:pPr>
            <w:r w:rsidRPr="00AB3D3C">
              <w:rPr>
                <w:b/>
              </w:rPr>
              <w:t>Contractual Costs for Data Collection and Management (RTI)</w:t>
            </w:r>
          </w:p>
        </w:tc>
        <w:tc>
          <w:tcPr>
            <w:tcW w:w="1980" w:type="dxa"/>
            <w:tcBorders>
              <w:top w:val="single" w:sz="4" w:space="0" w:color="auto"/>
              <w:left w:val="single" w:sz="4" w:space="0" w:color="auto"/>
              <w:bottom w:val="single" w:sz="4" w:space="0" w:color="auto"/>
              <w:right w:val="single" w:sz="4" w:space="0" w:color="auto"/>
            </w:tcBorders>
          </w:tcPr>
          <w:p w:rsidR="00AB3D3C" w:rsidRPr="00AB3D3C" w:rsidRDefault="00AB3D3C">
            <w:pPr>
              <w:pStyle w:val="TableText"/>
              <w:jc w:val="center"/>
              <w:rPr>
                <w:b/>
              </w:rPr>
            </w:pP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rPr>
                <w:b/>
              </w:rPr>
            </w:pPr>
            <w:r w:rsidRPr="00AB3D3C">
              <w:rPr>
                <w:b/>
              </w:rPr>
              <w:t>Subtotal, Contractual Costs</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$500,000</w:t>
            </w:r>
          </w:p>
        </w:tc>
      </w:tr>
      <w:tr w:rsidR="00AB3D3C" w:rsidTr="00AB3D3C">
        <w:trPr>
          <w:cantSplit/>
        </w:trPr>
        <w:tc>
          <w:tcPr>
            <w:tcW w:w="2988" w:type="dxa"/>
            <w:tcBorders>
              <w:top w:val="single" w:sz="4" w:space="0" w:color="auto"/>
              <w:left w:val="single" w:sz="4" w:space="0" w:color="auto"/>
              <w:bottom w:val="single" w:sz="4" w:space="0" w:color="auto"/>
              <w:right w:val="single" w:sz="4" w:space="0" w:color="auto"/>
            </w:tcBorders>
          </w:tcPr>
          <w:p w:rsidR="00AB3D3C" w:rsidRPr="00AB3D3C" w:rsidRDefault="00AB3D3C">
            <w:pPr>
              <w:pStyle w:val="TableText"/>
              <w:rPr>
                <w:rFonts w:asciiTheme="majorBidi" w:hAnsiTheme="majorBidi" w:cstheme="majorBidi"/>
                <w:b/>
              </w:rPr>
            </w:pPr>
          </w:p>
        </w:tc>
        <w:tc>
          <w:tcPr>
            <w:tcW w:w="1980" w:type="dxa"/>
            <w:tcBorders>
              <w:top w:val="single" w:sz="4" w:space="0" w:color="auto"/>
              <w:left w:val="single" w:sz="4" w:space="0" w:color="auto"/>
              <w:bottom w:val="single" w:sz="4" w:space="0" w:color="auto"/>
              <w:right w:val="single" w:sz="4" w:space="0" w:color="auto"/>
            </w:tcBorders>
          </w:tcPr>
          <w:p w:rsidR="00AB3D3C" w:rsidRPr="00AB3D3C" w:rsidRDefault="00AB3D3C">
            <w:pPr>
              <w:pStyle w:val="TableText"/>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hideMark/>
          </w:tcPr>
          <w:p w:rsidR="00AB3D3C" w:rsidRPr="00AB3D3C" w:rsidRDefault="00AB3D3C">
            <w:pPr>
              <w:pStyle w:val="TableText"/>
            </w:pPr>
            <w:r w:rsidRPr="00AB3D3C">
              <w:t>Total</w:t>
            </w:r>
          </w:p>
        </w:tc>
        <w:tc>
          <w:tcPr>
            <w:tcW w:w="1620" w:type="dxa"/>
            <w:tcBorders>
              <w:top w:val="single" w:sz="4" w:space="0" w:color="auto"/>
              <w:left w:val="single" w:sz="4" w:space="0" w:color="auto"/>
              <w:bottom w:val="single" w:sz="4" w:space="0" w:color="auto"/>
              <w:right w:val="single" w:sz="4" w:space="0" w:color="auto"/>
            </w:tcBorders>
            <w:hideMark/>
          </w:tcPr>
          <w:p w:rsidR="00AB3D3C" w:rsidRDefault="00AB3D3C">
            <w:pPr>
              <w:pStyle w:val="TableText"/>
              <w:jc w:val="right"/>
            </w:pPr>
            <w:r>
              <w:t>$542,100</w:t>
            </w:r>
          </w:p>
        </w:tc>
      </w:tr>
    </w:tbl>
    <w:p w:rsidR="006839C9" w:rsidRPr="004571DB" w:rsidRDefault="006839C9" w:rsidP="009B3714">
      <w:pPr>
        <w:pStyle w:val="exhibitsource"/>
      </w:pPr>
    </w:p>
    <w:p w:rsidR="006839C9" w:rsidRPr="00E87C38" w:rsidRDefault="006839C9" w:rsidP="009B3714">
      <w:pPr>
        <w:pStyle w:val="Heading2"/>
      </w:pPr>
      <w:bookmarkStart w:id="85" w:name="_Toc321734062"/>
      <w:bookmarkStart w:id="86" w:name="_Toc332782731"/>
      <w:bookmarkStart w:id="87" w:name="_Toc332782778"/>
      <w:bookmarkStart w:id="88" w:name="_Toc332783153"/>
      <w:r w:rsidRPr="00E87C38">
        <w:t>A.15</w:t>
      </w:r>
      <w:r w:rsidR="00401EC4">
        <w:tab/>
      </w:r>
      <w:r w:rsidRPr="00E87C38">
        <w:t>Explanation for Program Changes or Adjustments</w:t>
      </w:r>
      <w:bookmarkEnd w:id="85"/>
      <w:bookmarkEnd w:id="86"/>
      <w:bookmarkEnd w:id="87"/>
      <w:bookmarkEnd w:id="88"/>
    </w:p>
    <w:p w:rsidR="006839C9" w:rsidRPr="00E87C38" w:rsidRDefault="00BA0CD5" w:rsidP="00971D8D">
      <w:pPr>
        <w:pStyle w:val="BodyText"/>
      </w:pPr>
      <w:r>
        <w:t>T</w:t>
      </w:r>
      <w:r w:rsidR="006839C9" w:rsidRPr="00E87C38">
        <w:t xml:space="preserve">his is a new </w:t>
      </w:r>
      <w:r w:rsidR="00FF4185">
        <w:t>ICR</w:t>
      </w:r>
      <w:r w:rsidR="006839C9" w:rsidRPr="00E87C38">
        <w:t>.</w:t>
      </w:r>
      <w:r w:rsidR="00B3578B">
        <w:t xml:space="preserve"> </w:t>
      </w:r>
      <w:r>
        <w:t>There are no changes relative to a previous approval period.</w:t>
      </w:r>
    </w:p>
    <w:p w:rsidR="006839C9" w:rsidRPr="00E87C38" w:rsidRDefault="006839C9" w:rsidP="009B3714">
      <w:pPr>
        <w:pStyle w:val="Heading2"/>
      </w:pPr>
      <w:bookmarkStart w:id="89" w:name="_Toc321734063"/>
      <w:bookmarkStart w:id="90" w:name="_Toc332782732"/>
      <w:bookmarkStart w:id="91" w:name="_Toc332782779"/>
      <w:bookmarkStart w:id="92" w:name="_Toc332783154"/>
      <w:r w:rsidRPr="00E87C38">
        <w:t>A.16</w:t>
      </w:r>
      <w:r w:rsidR="00401EC4">
        <w:tab/>
      </w:r>
      <w:r w:rsidRPr="00E87C38">
        <w:t>Plans for Tabulation and Publication and Project Time Schedule</w:t>
      </w:r>
      <w:bookmarkEnd w:id="89"/>
      <w:bookmarkEnd w:id="90"/>
      <w:bookmarkEnd w:id="91"/>
      <w:bookmarkEnd w:id="92"/>
    </w:p>
    <w:p w:rsidR="009D4315" w:rsidRDefault="006839C9" w:rsidP="00971D8D">
      <w:pPr>
        <w:pStyle w:val="BodyText"/>
      </w:pPr>
      <w:r w:rsidRPr="00E87C38">
        <w:t xml:space="preserve">Data from this information collection will be used to examine statistical associations between exposure to </w:t>
      </w:r>
      <w:r w:rsidR="00603F51" w:rsidRPr="00E87C38">
        <w:t>the campaign and</w:t>
      </w:r>
      <w:r w:rsidRPr="00E87C38">
        <w:t xml:space="preserve"> specific outcomes of interest. This will be accomplished with the use of multivariate models that estimate measures of each relevant outcome as a function of exposure to </w:t>
      </w:r>
      <w:r w:rsidR="009D4315" w:rsidRPr="00E87C38">
        <w:t>the campaign</w:t>
      </w:r>
      <w:r w:rsidRPr="00E87C38">
        <w:t>, controlling for individual characteristics</w:t>
      </w:r>
      <w:r w:rsidR="009D4315" w:rsidRPr="00E87C38">
        <w:t xml:space="preserve"> and other CTG efforts</w:t>
      </w:r>
      <w:r w:rsidRPr="00E87C38">
        <w:t xml:space="preserve"> that may confound the relationship between </w:t>
      </w:r>
      <w:r w:rsidR="009D4315" w:rsidRPr="00E87C38">
        <w:t>campaign</w:t>
      </w:r>
      <w:r w:rsidRPr="00E87C38">
        <w:t xml:space="preserve"> exposure and </w:t>
      </w:r>
      <w:r w:rsidR="009D4315" w:rsidRPr="00E87C38">
        <w:t>differences</w:t>
      </w:r>
      <w:r w:rsidRPr="00E87C38">
        <w:t xml:space="preserve"> in outcomes. The primary</w:t>
      </w:r>
      <w:r w:rsidR="009D4315" w:rsidRPr="00E87C38">
        <w:t xml:space="preserve"> outcomes of interest </w:t>
      </w:r>
      <w:r w:rsidR="002C1D8D">
        <w:t>are</w:t>
      </w:r>
      <w:r w:rsidRPr="00E87C38">
        <w:t xml:space="preserve"> </w:t>
      </w:r>
      <w:r w:rsidR="009D4315" w:rsidRPr="00E87C38">
        <w:t>reactions to and perceptions of campaign messages; NPAO-</w:t>
      </w:r>
      <w:r w:rsidR="009D4315" w:rsidRPr="00E87C38">
        <w:lastRenderedPageBreak/>
        <w:t>related knowledge, attitudes, and beliefs; support for NPAO-related policy/environmental change; intentions to change NPAO-related behavior</w:t>
      </w:r>
      <w:r w:rsidR="005C776F" w:rsidRPr="00E87C38">
        <w:t xml:space="preserve">s; and NPAO-related behaviors. </w:t>
      </w:r>
    </w:p>
    <w:p w:rsidR="00FF4185" w:rsidRDefault="00B37412" w:rsidP="00F56750">
      <w:pPr>
        <w:pStyle w:val="BodyText"/>
        <w:rPr>
          <w:b/>
          <w:bCs/>
        </w:rPr>
      </w:pPr>
      <w:r w:rsidRPr="00072A10">
        <w:t xml:space="preserve">First, we will present descriptive statistics </w:t>
      </w:r>
      <w:r w:rsidR="002C1D8D">
        <w:t>summarizing</w:t>
      </w:r>
      <w:r w:rsidR="002C1D8D" w:rsidRPr="00072A10">
        <w:t xml:space="preserve"> </w:t>
      </w:r>
      <w:r w:rsidRPr="00072A10">
        <w:t>means</w:t>
      </w:r>
      <w:r w:rsidR="002C1D8D">
        <w:t>, variability,</w:t>
      </w:r>
      <w:r w:rsidRPr="00072A10">
        <w:t xml:space="preserve"> and </w:t>
      </w:r>
      <w:r w:rsidR="00C50208">
        <w:t>prevalence estimates</w:t>
      </w:r>
      <w:r w:rsidRPr="00072A10">
        <w:t xml:space="preserve"> for key</w:t>
      </w:r>
      <w:r w:rsidR="00055541">
        <w:t xml:space="preserve"> outcome</w:t>
      </w:r>
      <w:r w:rsidRPr="00072A10">
        <w:t xml:space="preserve"> measures, by </w:t>
      </w:r>
      <w:r w:rsidR="00055541">
        <w:t>intervention</w:t>
      </w:r>
      <w:r w:rsidRPr="00072A10">
        <w:t xml:space="preserve"> status.</w:t>
      </w:r>
      <w:r w:rsidR="00B3578B">
        <w:t xml:space="preserve"> </w:t>
      </w:r>
      <w:r w:rsidRPr="00072A10">
        <w:t xml:space="preserve">These </w:t>
      </w:r>
      <w:r w:rsidR="00055541">
        <w:t>may</w:t>
      </w:r>
      <w:r w:rsidRPr="00072A10">
        <w:t xml:space="preserve"> be presented in a serie</w:t>
      </w:r>
      <w:r w:rsidR="00055541">
        <w:t xml:space="preserve">s of bar charts, as per </w:t>
      </w:r>
      <w:r w:rsidR="0001632D">
        <w:t xml:space="preserve">Exhibit </w:t>
      </w:r>
      <w:r w:rsidR="00C50208">
        <w:t>A.16.1</w:t>
      </w:r>
      <w:r w:rsidR="00055541">
        <w:t xml:space="preserve"> below. </w:t>
      </w:r>
      <w:r w:rsidRPr="00072A10">
        <w:t xml:space="preserve">Similar figures will present each of the outcomes listed in </w:t>
      </w:r>
      <w:r w:rsidR="0001632D">
        <w:t>Exhibit</w:t>
      </w:r>
      <w:r w:rsidR="0001632D" w:rsidRPr="00072A10">
        <w:t xml:space="preserve"> </w:t>
      </w:r>
      <w:r w:rsidR="00C50208">
        <w:t>A.16.1</w:t>
      </w:r>
      <w:r w:rsidRPr="00072A10">
        <w:t xml:space="preserve"> that are associated with </w:t>
      </w:r>
      <w:r w:rsidR="00AD6CB1">
        <w:t>Evaluation Question</w:t>
      </w:r>
      <w:r w:rsidR="00055541">
        <w:t>s 1 and 2</w:t>
      </w:r>
      <w:r w:rsidRPr="00072A10">
        <w:t xml:space="preserve">, by </w:t>
      </w:r>
      <w:r w:rsidR="00055541">
        <w:t>intervention</w:t>
      </w:r>
      <w:r w:rsidR="00702119">
        <w:t xml:space="preserve"> status. </w:t>
      </w:r>
      <w:r w:rsidRPr="00072A10">
        <w:t xml:space="preserve">All analyses in this section will include chi-square tests of independence to detect significant associations between </w:t>
      </w:r>
      <w:r w:rsidR="00055541">
        <w:t>intervention status and key outcome measures.</w:t>
      </w:r>
      <w:r w:rsidR="00B3578B">
        <w:t xml:space="preserve"> </w:t>
      </w:r>
    </w:p>
    <w:p w:rsidR="00B37412" w:rsidRPr="00072A10" w:rsidRDefault="007B55B5" w:rsidP="00B37412">
      <w:pPr>
        <w:pStyle w:val="BodyText"/>
        <w:rPr>
          <w:b/>
          <w:bCs/>
        </w:rPr>
      </w:pPr>
      <w:r>
        <w:rPr>
          <w:b/>
          <w:bCs/>
        </w:rPr>
        <w:t xml:space="preserve">Exhibit </w:t>
      </w:r>
      <w:r w:rsidR="00E0252A">
        <w:rPr>
          <w:b/>
          <w:bCs/>
        </w:rPr>
        <w:t>A.16.1</w:t>
      </w:r>
      <w:r w:rsidR="00B3578B">
        <w:rPr>
          <w:b/>
          <w:bCs/>
        </w:rPr>
        <w:t xml:space="preserve"> </w:t>
      </w:r>
      <w:r w:rsidR="00B37412" w:rsidRPr="00072A10">
        <w:rPr>
          <w:b/>
          <w:bCs/>
        </w:rPr>
        <w:t xml:space="preserve">Percentage of Respondents Who Engage </w:t>
      </w:r>
      <w:r w:rsidR="00FF4185" w:rsidRPr="00072A10">
        <w:rPr>
          <w:b/>
          <w:bCs/>
        </w:rPr>
        <w:t xml:space="preserve">in </w:t>
      </w:r>
      <w:r w:rsidR="00B37412" w:rsidRPr="00072A10">
        <w:rPr>
          <w:b/>
          <w:bCs/>
        </w:rPr>
        <w:t xml:space="preserve">150 Minutes </w:t>
      </w:r>
      <w:r w:rsidR="00FF4185" w:rsidRPr="00072A10">
        <w:rPr>
          <w:b/>
          <w:bCs/>
        </w:rPr>
        <w:t xml:space="preserve">of </w:t>
      </w:r>
      <w:r w:rsidR="00B37412" w:rsidRPr="00072A10">
        <w:rPr>
          <w:b/>
          <w:bCs/>
        </w:rPr>
        <w:t>Moderate-Intensity Aerobic Activity, 75 Minutes of Vigorous-Intensity Aerobic Activity, or an Equivalent Mix of Both</w:t>
      </w:r>
      <w:r w:rsidR="00DD07D5">
        <w:rPr>
          <w:b/>
          <w:bCs/>
        </w:rPr>
        <w:t xml:space="preserve"> per Week</w:t>
      </w:r>
      <w:r w:rsidR="00B37412" w:rsidRPr="00072A10">
        <w:rPr>
          <w:b/>
          <w:bCs/>
        </w:rPr>
        <w:t xml:space="preserve">, by </w:t>
      </w:r>
      <w:r w:rsidR="00306CBD">
        <w:rPr>
          <w:b/>
          <w:bCs/>
        </w:rPr>
        <w:t>Intervention</w:t>
      </w:r>
      <w:r w:rsidR="00B37412" w:rsidRPr="00072A10">
        <w:rPr>
          <w:b/>
          <w:bCs/>
        </w:rPr>
        <w:t xml:space="preserve"> Status</w:t>
      </w:r>
    </w:p>
    <w:p w:rsidR="00306CBD" w:rsidRDefault="00B37412" w:rsidP="002C1D8D">
      <w:pPr>
        <w:pStyle w:val="BodyText"/>
        <w:spacing w:after="0"/>
      </w:pPr>
      <w:r w:rsidRPr="00ED7B6A">
        <w:rPr>
          <w:noProof/>
        </w:rPr>
        <w:drawing>
          <wp:inline distT="0" distB="0" distL="0" distR="0" wp14:anchorId="1BCF73B2" wp14:editId="00963B99">
            <wp:extent cx="4980940" cy="3030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80940" cy="3030220"/>
                    </a:xfrm>
                    <a:prstGeom prst="rect">
                      <a:avLst/>
                    </a:prstGeom>
                    <a:noFill/>
                  </pic:spPr>
                </pic:pic>
              </a:graphicData>
            </a:graphic>
          </wp:inline>
        </w:drawing>
      </w:r>
    </w:p>
    <w:p w:rsidR="00306CBD" w:rsidRDefault="00306CBD" w:rsidP="002C1D8D">
      <w:pPr>
        <w:pStyle w:val="BodyText"/>
        <w:spacing w:after="0"/>
      </w:pPr>
    </w:p>
    <w:p w:rsidR="00B37412" w:rsidRDefault="00B37412" w:rsidP="00F34C07">
      <w:pPr>
        <w:spacing w:beforeLines="23" w:before="55" w:afterLines="23" w:after="55"/>
      </w:pPr>
      <w:r w:rsidRPr="00FA33E6">
        <w:t>Next, we will estimate a series of multivariable logistic regression models assessing potential associations between campaign exposure and key cognitive and behavior</w:t>
      </w:r>
      <w:r w:rsidR="00306CBD">
        <w:t xml:space="preserve">al outcomes. </w:t>
      </w:r>
      <w:r w:rsidRPr="00FA33E6">
        <w:t>Analyses will examine selected outcomes as a function of campaign exposure</w:t>
      </w:r>
      <w:r>
        <w:t xml:space="preserve">, </w:t>
      </w:r>
      <w:r w:rsidRPr="00E87C38">
        <w:t>controlling for individual characteristics and other CTG efforts that may confound the relationship between campaign exposure and differences in outcomes.</w:t>
      </w:r>
      <w:r w:rsidRPr="00FA33E6">
        <w:t xml:space="preserve"> In </w:t>
      </w:r>
      <w:r w:rsidR="0001632D">
        <w:t xml:space="preserve">Exhibit </w:t>
      </w:r>
      <w:r w:rsidR="00C50208">
        <w:t>A.16.2</w:t>
      </w:r>
      <w:r w:rsidRPr="00FA33E6">
        <w:t xml:space="preserve">, we provide an example of how results from analyses of </w:t>
      </w:r>
      <w:r w:rsidR="00AD6CB1">
        <w:t>Evaluation Question</w:t>
      </w:r>
      <w:r>
        <w:t xml:space="preserve"> 1</w:t>
      </w:r>
      <w:r w:rsidR="00306CBD">
        <w:t xml:space="preserve"> would be presented. </w:t>
      </w:r>
      <w:r>
        <w:t xml:space="preserve">In addition to examining </w:t>
      </w:r>
      <w:r w:rsidR="00055541">
        <w:t xml:space="preserve">the impact of aggregate </w:t>
      </w:r>
      <w:r>
        <w:t xml:space="preserve">exposure </w:t>
      </w:r>
      <w:r w:rsidR="00055541">
        <w:t>to any NPAO media campaign on key outcomes</w:t>
      </w:r>
      <w:r>
        <w:t xml:space="preserve">, we will repeat these analyses </w:t>
      </w:r>
      <w:r w:rsidR="00055541">
        <w:t>to assess</w:t>
      </w:r>
      <w:r w:rsidR="007169A2">
        <w:t xml:space="preserve"> </w:t>
      </w:r>
      <w:r>
        <w:t xml:space="preserve">differences </w:t>
      </w:r>
      <w:r w:rsidR="007169A2">
        <w:t xml:space="preserve">in outcomes </w:t>
      </w:r>
      <w:r w:rsidR="00055541">
        <w:t xml:space="preserve">between </w:t>
      </w:r>
      <w:r>
        <w:t>each individual media campaign</w:t>
      </w:r>
      <w:r w:rsidR="007169A2">
        <w:t xml:space="preserve"> and </w:t>
      </w:r>
      <w:r w:rsidR="00055541">
        <w:t>the two comparison groups.</w:t>
      </w:r>
      <w:r w:rsidR="00B3578B">
        <w:t xml:space="preserve"> </w:t>
      </w:r>
    </w:p>
    <w:p w:rsidR="00B37412" w:rsidRDefault="00B37412" w:rsidP="00E54EC9">
      <w:pPr>
        <w:spacing w:beforeLines="23" w:before="55" w:afterLines="23" w:after="55"/>
      </w:pPr>
    </w:p>
    <w:p w:rsidR="001505B0" w:rsidRDefault="001505B0" w:rsidP="00E04C70">
      <w:pPr>
        <w:rPr>
          <w:b/>
          <w:bCs/>
        </w:rPr>
      </w:pPr>
    </w:p>
    <w:p w:rsidR="001505B0" w:rsidRDefault="001505B0" w:rsidP="00E04C70">
      <w:pPr>
        <w:rPr>
          <w:b/>
          <w:bCs/>
        </w:rPr>
      </w:pPr>
    </w:p>
    <w:p w:rsidR="001505B0" w:rsidRDefault="001505B0" w:rsidP="00E04C70">
      <w:pPr>
        <w:rPr>
          <w:b/>
          <w:bCs/>
        </w:rPr>
      </w:pPr>
    </w:p>
    <w:p w:rsidR="00B37412" w:rsidRPr="00072A10" w:rsidRDefault="007B55B5" w:rsidP="00E04C70">
      <w:pPr>
        <w:rPr>
          <w:b/>
          <w:bCs/>
        </w:rPr>
      </w:pPr>
      <w:r>
        <w:rPr>
          <w:b/>
          <w:bCs/>
        </w:rPr>
        <w:lastRenderedPageBreak/>
        <w:t xml:space="preserve">Exhibit </w:t>
      </w:r>
      <w:r w:rsidR="00E0252A">
        <w:rPr>
          <w:b/>
          <w:bCs/>
        </w:rPr>
        <w:t>A.16.2</w:t>
      </w:r>
      <w:r w:rsidR="00B37412" w:rsidRPr="00072A10">
        <w:rPr>
          <w:b/>
          <w:bCs/>
        </w:rPr>
        <w:t xml:space="preserve"> Odds Ratios and Confid</w:t>
      </w:r>
      <w:r w:rsidR="00B37412">
        <w:rPr>
          <w:b/>
          <w:bCs/>
        </w:rPr>
        <w:t xml:space="preserve">ence Intervals for Association </w:t>
      </w:r>
      <w:proofErr w:type="gramStart"/>
      <w:r w:rsidR="00FF4185">
        <w:rPr>
          <w:b/>
          <w:bCs/>
        </w:rPr>
        <w:t>B</w:t>
      </w:r>
      <w:r w:rsidR="00FF4185" w:rsidRPr="00072A10">
        <w:rPr>
          <w:b/>
          <w:bCs/>
        </w:rPr>
        <w:t>etween</w:t>
      </w:r>
      <w:proofErr w:type="gramEnd"/>
      <w:r w:rsidR="00FF4185" w:rsidRPr="00072A10">
        <w:rPr>
          <w:b/>
          <w:bCs/>
        </w:rPr>
        <w:t xml:space="preserve"> </w:t>
      </w:r>
      <w:r w:rsidR="00B37412" w:rsidRPr="00072A10">
        <w:rPr>
          <w:b/>
          <w:bCs/>
        </w:rPr>
        <w:t xml:space="preserve">Campaign </w:t>
      </w:r>
      <w:proofErr w:type="spellStart"/>
      <w:r w:rsidR="00B37412" w:rsidRPr="00072A10">
        <w:rPr>
          <w:b/>
          <w:bCs/>
        </w:rPr>
        <w:t>Exposure</w:t>
      </w:r>
      <w:r w:rsidR="00B37412" w:rsidRPr="00072A10">
        <w:rPr>
          <w:b/>
          <w:bCs/>
          <w:vertAlign w:val="superscript"/>
        </w:rPr>
        <w:t>a</w:t>
      </w:r>
      <w:proofErr w:type="spellEnd"/>
      <w:r w:rsidR="00B37412" w:rsidRPr="00072A10">
        <w:rPr>
          <w:b/>
          <w:bCs/>
        </w:rPr>
        <w:t xml:space="preserve"> and Key Attitudinal and Behavioral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1440"/>
        <w:gridCol w:w="1548"/>
      </w:tblGrid>
      <w:tr w:rsidR="00B37412" w:rsidRPr="00FF4185" w:rsidTr="00C553DA">
        <w:tc>
          <w:tcPr>
            <w:tcW w:w="6588" w:type="dxa"/>
            <w:vMerge w:val="restart"/>
            <w:tcBorders>
              <w:top w:val="single" w:sz="2" w:space="0" w:color="auto"/>
            </w:tcBorders>
            <w:vAlign w:val="center"/>
          </w:tcPr>
          <w:p w:rsidR="00B37412" w:rsidRPr="00FF4185" w:rsidRDefault="00B37412" w:rsidP="00FF4185">
            <w:pPr>
              <w:pStyle w:val="BodyText"/>
              <w:spacing w:after="120"/>
              <w:rPr>
                <w:rFonts w:ascii="Times New Roman" w:hAnsi="Times New Roman" w:cs="Times New Roman"/>
                <w:b/>
                <w:bCs/>
                <w:sz w:val="22"/>
                <w:szCs w:val="22"/>
              </w:rPr>
            </w:pPr>
            <w:r w:rsidRPr="00FF4185">
              <w:rPr>
                <w:rFonts w:ascii="Times New Roman" w:hAnsi="Times New Roman" w:cs="Times New Roman"/>
                <w:b/>
                <w:bCs/>
                <w:sz w:val="22"/>
                <w:szCs w:val="22"/>
              </w:rPr>
              <w:t>Dependent Variable</w:t>
            </w:r>
          </w:p>
        </w:tc>
        <w:tc>
          <w:tcPr>
            <w:tcW w:w="1440" w:type="dxa"/>
            <w:tcBorders>
              <w:top w:val="single" w:sz="2" w:space="0" w:color="auto"/>
            </w:tcBorders>
            <w:vAlign w:val="center"/>
          </w:tcPr>
          <w:p w:rsidR="00B37412" w:rsidRPr="00FF4185" w:rsidRDefault="00B37412" w:rsidP="00FF4185">
            <w:pPr>
              <w:pStyle w:val="BodyText"/>
              <w:spacing w:after="120"/>
              <w:jc w:val="center"/>
              <w:rPr>
                <w:rFonts w:ascii="Times New Roman" w:hAnsi="Times New Roman" w:cs="Times New Roman"/>
                <w:b/>
                <w:bCs/>
                <w:sz w:val="22"/>
                <w:szCs w:val="22"/>
              </w:rPr>
            </w:pPr>
            <w:r w:rsidRPr="00FF4185">
              <w:rPr>
                <w:rFonts w:ascii="Times New Roman" w:hAnsi="Times New Roman" w:cs="Times New Roman"/>
                <w:b/>
                <w:bCs/>
                <w:sz w:val="22"/>
                <w:szCs w:val="22"/>
              </w:rPr>
              <w:t>Media Control</w:t>
            </w:r>
          </w:p>
        </w:tc>
        <w:tc>
          <w:tcPr>
            <w:tcW w:w="1548" w:type="dxa"/>
            <w:tcBorders>
              <w:top w:val="single" w:sz="2" w:space="0" w:color="auto"/>
            </w:tcBorders>
            <w:vAlign w:val="center"/>
          </w:tcPr>
          <w:p w:rsidR="00B37412" w:rsidRPr="00FF4185" w:rsidRDefault="00B37412" w:rsidP="00FF4185">
            <w:pPr>
              <w:pStyle w:val="BodyText"/>
              <w:spacing w:after="120"/>
              <w:jc w:val="center"/>
              <w:rPr>
                <w:rFonts w:ascii="Times New Roman" w:hAnsi="Times New Roman" w:cs="Times New Roman"/>
                <w:b/>
                <w:bCs/>
                <w:sz w:val="22"/>
                <w:szCs w:val="22"/>
              </w:rPr>
            </w:pPr>
            <w:r w:rsidRPr="00FF4185">
              <w:rPr>
                <w:rFonts w:ascii="Times New Roman" w:hAnsi="Times New Roman" w:cs="Times New Roman"/>
                <w:b/>
                <w:bCs/>
                <w:sz w:val="22"/>
                <w:szCs w:val="22"/>
              </w:rPr>
              <w:t>Intervention</w:t>
            </w:r>
          </w:p>
        </w:tc>
      </w:tr>
      <w:tr w:rsidR="00B37412" w:rsidRPr="00FF4185" w:rsidTr="00C553DA">
        <w:tc>
          <w:tcPr>
            <w:tcW w:w="6588" w:type="dxa"/>
            <w:vMerge/>
            <w:tcBorders>
              <w:bottom w:val="single" w:sz="12" w:space="0" w:color="auto"/>
            </w:tcBorders>
            <w:vAlign w:val="center"/>
          </w:tcPr>
          <w:p w:rsidR="00B37412" w:rsidRPr="00FF4185" w:rsidRDefault="00B37412" w:rsidP="00FF4185">
            <w:pPr>
              <w:pStyle w:val="BodyText"/>
              <w:spacing w:after="120"/>
              <w:rPr>
                <w:rFonts w:ascii="Times New Roman" w:hAnsi="Times New Roman" w:cs="Times New Roman"/>
                <w:b/>
                <w:bCs/>
                <w:sz w:val="22"/>
                <w:szCs w:val="22"/>
              </w:rPr>
            </w:pPr>
          </w:p>
        </w:tc>
        <w:tc>
          <w:tcPr>
            <w:tcW w:w="1440" w:type="dxa"/>
            <w:tcBorders>
              <w:bottom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b/>
                <w:bCs/>
                <w:sz w:val="22"/>
                <w:szCs w:val="22"/>
              </w:rPr>
            </w:pPr>
            <w:r w:rsidRPr="00FF4185">
              <w:rPr>
                <w:rFonts w:ascii="Times New Roman" w:hAnsi="Times New Roman" w:cs="Times New Roman"/>
                <w:b/>
                <w:bCs/>
                <w:sz w:val="22"/>
                <w:szCs w:val="22"/>
              </w:rPr>
              <w:t>OR (CI)</w:t>
            </w:r>
          </w:p>
        </w:tc>
        <w:tc>
          <w:tcPr>
            <w:tcW w:w="1548" w:type="dxa"/>
            <w:tcBorders>
              <w:bottom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b/>
                <w:bCs/>
                <w:sz w:val="22"/>
                <w:szCs w:val="22"/>
              </w:rPr>
            </w:pPr>
            <w:r w:rsidRPr="00FF4185">
              <w:rPr>
                <w:rFonts w:ascii="Times New Roman" w:hAnsi="Times New Roman" w:cs="Times New Roman"/>
                <w:b/>
                <w:bCs/>
                <w:sz w:val="22"/>
                <w:szCs w:val="22"/>
              </w:rPr>
              <w:t>OR (CI)</w:t>
            </w:r>
          </w:p>
        </w:tc>
      </w:tr>
      <w:tr w:rsidR="00B37412" w:rsidRPr="00FF4185" w:rsidTr="00C553DA">
        <w:tc>
          <w:tcPr>
            <w:tcW w:w="6588" w:type="dxa"/>
            <w:tcBorders>
              <w:top w:val="single" w:sz="12" w:space="0" w:color="auto"/>
            </w:tcBorders>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Engages in 150 minutes of moderate-intensity aerobic activity, 75 minutes of vigorous-intensity aerobic activity, or an equivalent mix of both</w:t>
            </w:r>
            <w:r w:rsidR="000A050F">
              <w:rPr>
                <w:rFonts w:ascii="Times New Roman" w:hAnsi="Times New Roman" w:cs="Times New Roman"/>
                <w:sz w:val="22"/>
                <w:szCs w:val="22"/>
              </w:rPr>
              <w:t xml:space="preserve"> per week</w:t>
            </w:r>
            <w:r w:rsidRPr="00FF4185">
              <w:rPr>
                <w:rFonts w:ascii="Times New Roman" w:hAnsi="Times New Roman" w:cs="Times New Roman"/>
                <w:sz w:val="22"/>
                <w:szCs w:val="22"/>
              </w:rPr>
              <w:t xml:space="preserve"> </w:t>
            </w:r>
          </w:p>
        </w:tc>
        <w:tc>
          <w:tcPr>
            <w:tcW w:w="1440" w:type="dxa"/>
            <w:tcBorders>
              <w:top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tcBorders>
              <w:top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0A050F">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 xml:space="preserve">Consumes </w:t>
            </w:r>
            <w:r w:rsidR="00FF4185">
              <w:rPr>
                <w:rFonts w:ascii="Times New Roman" w:hAnsi="Times New Roman" w:cs="Times New Roman"/>
                <w:sz w:val="22"/>
                <w:szCs w:val="22"/>
              </w:rPr>
              <w:t>five</w:t>
            </w:r>
            <w:r w:rsidR="00FF4185" w:rsidRPr="00FF4185">
              <w:rPr>
                <w:rFonts w:ascii="Times New Roman" w:hAnsi="Times New Roman" w:cs="Times New Roman"/>
                <w:sz w:val="22"/>
                <w:szCs w:val="22"/>
              </w:rPr>
              <w:t xml:space="preserve"> </w:t>
            </w:r>
            <w:r w:rsidRPr="00FF4185">
              <w:rPr>
                <w:rFonts w:ascii="Times New Roman" w:hAnsi="Times New Roman" w:cs="Times New Roman"/>
                <w:sz w:val="22"/>
                <w:szCs w:val="22"/>
              </w:rPr>
              <w:t>or more servings of fruit and vegetables</w:t>
            </w:r>
            <w:r w:rsidR="000A050F">
              <w:rPr>
                <w:rFonts w:ascii="Times New Roman" w:hAnsi="Times New Roman" w:cs="Times New Roman"/>
                <w:sz w:val="22"/>
                <w:szCs w:val="22"/>
              </w:rPr>
              <w:t xml:space="preserve"> daily</w:t>
            </w:r>
            <w:r w:rsidRPr="00FF4185">
              <w:rPr>
                <w:rFonts w:ascii="Times New Roman" w:hAnsi="Times New Roman" w:cs="Times New Roman"/>
                <w:sz w:val="22"/>
                <w:szCs w:val="22"/>
              </w:rPr>
              <w:t xml:space="preserve"> </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 xml:space="preserve">Intends to increase physical activity within next </w:t>
            </w:r>
            <w:r w:rsidR="00FF4185">
              <w:rPr>
                <w:rFonts w:ascii="Times New Roman" w:hAnsi="Times New Roman" w:cs="Times New Roman"/>
                <w:sz w:val="22"/>
                <w:szCs w:val="22"/>
              </w:rPr>
              <w:t>six</w:t>
            </w:r>
            <w:r w:rsidR="00FF4185" w:rsidRPr="00FF4185">
              <w:rPr>
                <w:rFonts w:ascii="Times New Roman" w:hAnsi="Times New Roman" w:cs="Times New Roman"/>
                <w:sz w:val="22"/>
                <w:szCs w:val="22"/>
              </w:rPr>
              <w:t xml:space="preserve"> </w:t>
            </w:r>
            <w:r w:rsidRPr="00FF4185">
              <w:rPr>
                <w:rFonts w:ascii="Times New Roman" w:hAnsi="Times New Roman" w:cs="Times New Roman"/>
                <w:sz w:val="22"/>
                <w:szCs w:val="22"/>
              </w:rPr>
              <w:t>months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Intends to increase physical activity in next 30 days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 xml:space="preserve">Intends to increase consumption of fruits and vegetables within next </w:t>
            </w:r>
            <w:r w:rsidR="00FF4185">
              <w:rPr>
                <w:rFonts w:ascii="Times New Roman" w:hAnsi="Times New Roman" w:cs="Times New Roman"/>
                <w:sz w:val="22"/>
                <w:szCs w:val="22"/>
              </w:rPr>
              <w:t>six</w:t>
            </w:r>
            <w:r w:rsidR="00FF4185" w:rsidRPr="00FF4185">
              <w:rPr>
                <w:rFonts w:ascii="Times New Roman" w:hAnsi="Times New Roman" w:cs="Times New Roman"/>
                <w:sz w:val="22"/>
                <w:szCs w:val="22"/>
              </w:rPr>
              <w:t xml:space="preserve"> </w:t>
            </w:r>
            <w:r w:rsidRPr="00FF4185">
              <w:rPr>
                <w:rFonts w:ascii="Times New Roman" w:hAnsi="Times New Roman" w:cs="Times New Roman"/>
                <w:sz w:val="22"/>
                <w:szCs w:val="22"/>
              </w:rPr>
              <w:t>months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Intends to increase consumption of fruits and vegetables in next 30 days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 xml:space="preserve">Intends to reduce consumption of sugar-sweetened beverages within next </w:t>
            </w:r>
            <w:r w:rsidR="00FF4185">
              <w:rPr>
                <w:rFonts w:ascii="Times New Roman" w:hAnsi="Times New Roman" w:cs="Times New Roman"/>
                <w:sz w:val="22"/>
                <w:szCs w:val="22"/>
              </w:rPr>
              <w:t>six</w:t>
            </w:r>
            <w:r w:rsidR="00FF4185" w:rsidRPr="00FF4185">
              <w:rPr>
                <w:rFonts w:ascii="Times New Roman" w:hAnsi="Times New Roman" w:cs="Times New Roman"/>
                <w:sz w:val="22"/>
                <w:szCs w:val="22"/>
              </w:rPr>
              <w:t xml:space="preserve"> </w:t>
            </w:r>
            <w:r w:rsidRPr="00FF4185">
              <w:rPr>
                <w:rFonts w:ascii="Times New Roman" w:hAnsi="Times New Roman" w:cs="Times New Roman"/>
                <w:sz w:val="22"/>
                <w:szCs w:val="22"/>
              </w:rPr>
              <w:t>months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Intends to reduce consumption of sugar-sweetened beverages in next 30 days</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iCs/>
                <w:sz w:val="22"/>
                <w:szCs w:val="22"/>
              </w:rPr>
            </w:pPr>
            <w:r w:rsidRPr="00FF4185">
              <w:rPr>
                <w:rFonts w:ascii="Times New Roman" w:hAnsi="Times New Roman" w:cs="Times New Roman"/>
                <w:iCs/>
                <w:sz w:val="22"/>
                <w:szCs w:val="22"/>
              </w:rPr>
              <w:t xml:space="preserve">Agrees or strongly agrees with statement “It is important for me to eat healthy foods” </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iCs/>
                <w:sz w:val="22"/>
                <w:szCs w:val="22"/>
              </w:rPr>
            </w:pPr>
            <w:r w:rsidRPr="00FF4185">
              <w:rPr>
                <w:rFonts w:ascii="Times New Roman" w:hAnsi="Times New Roman" w:cs="Times New Roman"/>
                <w:iCs/>
                <w:sz w:val="22"/>
                <w:szCs w:val="22"/>
              </w:rPr>
              <w:t>Agrees or strongly agrees with statement “It is important for me to avoid non-diet sugar-sweetened drinks (For example, Coke, Kool-Aid, Snapple, Gatorade).”</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vAlign w:val="center"/>
          </w:tcPr>
          <w:p w:rsidR="00B37412" w:rsidRPr="00FF4185" w:rsidRDefault="00B37412" w:rsidP="00FF4185">
            <w:pPr>
              <w:pStyle w:val="BodyText"/>
              <w:spacing w:after="120"/>
              <w:rPr>
                <w:rFonts w:ascii="Times New Roman" w:hAnsi="Times New Roman" w:cs="Times New Roman"/>
                <w:iCs/>
                <w:sz w:val="22"/>
                <w:szCs w:val="22"/>
              </w:rPr>
            </w:pPr>
            <w:r w:rsidRPr="00FF4185">
              <w:rPr>
                <w:rFonts w:ascii="Times New Roman" w:hAnsi="Times New Roman" w:cs="Times New Roman"/>
                <w:iCs/>
                <w:sz w:val="22"/>
                <w:szCs w:val="22"/>
              </w:rPr>
              <w:t xml:space="preserve">Agrees or strongly agrees with statement “It is important for me to be active and do things like walk, bike and play.” </w:t>
            </w:r>
          </w:p>
        </w:tc>
        <w:tc>
          <w:tcPr>
            <w:tcW w:w="1440"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r w:rsidR="00B37412" w:rsidRPr="00FF4185" w:rsidTr="00C553DA">
        <w:tc>
          <w:tcPr>
            <w:tcW w:w="6588" w:type="dxa"/>
            <w:tcBorders>
              <w:bottom w:val="single" w:sz="12" w:space="0" w:color="auto"/>
            </w:tcBorders>
            <w:vAlign w:val="center"/>
          </w:tcPr>
          <w:p w:rsidR="00B37412" w:rsidRPr="00FF4185" w:rsidRDefault="00B37412" w:rsidP="00FF4185">
            <w:pPr>
              <w:pStyle w:val="BodyText"/>
              <w:spacing w:after="120"/>
              <w:rPr>
                <w:rFonts w:ascii="Times New Roman" w:hAnsi="Times New Roman" w:cs="Times New Roman"/>
                <w:sz w:val="22"/>
                <w:szCs w:val="22"/>
              </w:rPr>
            </w:pPr>
            <w:r w:rsidRPr="00FF4185">
              <w:rPr>
                <w:rFonts w:ascii="Times New Roman" w:hAnsi="Times New Roman" w:cs="Times New Roman"/>
                <w:sz w:val="22"/>
                <w:szCs w:val="22"/>
              </w:rPr>
              <w:t>Consumed soda or sugar-sweetened fruit drinks in past week</w:t>
            </w:r>
          </w:p>
        </w:tc>
        <w:tc>
          <w:tcPr>
            <w:tcW w:w="1440" w:type="dxa"/>
            <w:tcBorders>
              <w:bottom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c>
          <w:tcPr>
            <w:tcW w:w="1548" w:type="dxa"/>
            <w:tcBorders>
              <w:bottom w:val="single" w:sz="12" w:space="0" w:color="auto"/>
            </w:tcBorders>
            <w:vAlign w:val="center"/>
          </w:tcPr>
          <w:p w:rsidR="00B37412" w:rsidRPr="00FF4185" w:rsidRDefault="00B37412" w:rsidP="00FF4185">
            <w:pPr>
              <w:pStyle w:val="BodyText"/>
              <w:spacing w:after="120"/>
              <w:jc w:val="center"/>
              <w:rPr>
                <w:rFonts w:ascii="Times New Roman" w:hAnsi="Times New Roman" w:cs="Times New Roman"/>
                <w:sz w:val="22"/>
                <w:szCs w:val="22"/>
              </w:rPr>
            </w:pPr>
            <w:r w:rsidRPr="00FF4185">
              <w:rPr>
                <w:rFonts w:ascii="Times New Roman" w:hAnsi="Times New Roman" w:cs="Times New Roman"/>
                <w:sz w:val="22"/>
                <w:szCs w:val="22"/>
              </w:rPr>
              <w:t>--</w:t>
            </w:r>
          </w:p>
        </w:tc>
      </w:tr>
    </w:tbl>
    <w:p w:rsidR="00B37412" w:rsidRPr="00FF4185" w:rsidRDefault="00B37412" w:rsidP="00B37412">
      <w:pPr>
        <w:pStyle w:val="BodyText"/>
        <w:spacing w:after="0"/>
        <w:rPr>
          <w:sz w:val="20"/>
          <w:szCs w:val="20"/>
        </w:rPr>
      </w:pPr>
      <w:proofErr w:type="spellStart"/>
      <w:proofErr w:type="gramStart"/>
      <w:r w:rsidRPr="00FF4185">
        <w:rPr>
          <w:sz w:val="20"/>
          <w:szCs w:val="20"/>
          <w:vertAlign w:val="superscript"/>
        </w:rPr>
        <w:t>a</w:t>
      </w:r>
      <w:r w:rsidRPr="00FF4185">
        <w:rPr>
          <w:sz w:val="20"/>
          <w:szCs w:val="20"/>
        </w:rPr>
        <w:t>Referent</w:t>
      </w:r>
      <w:proofErr w:type="spellEnd"/>
      <w:proofErr w:type="gramEnd"/>
      <w:r w:rsidRPr="00FF4185">
        <w:rPr>
          <w:sz w:val="20"/>
          <w:szCs w:val="20"/>
        </w:rPr>
        <w:t xml:space="preserve"> = Program Control</w:t>
      </w:r>
    </w:p>
    <w:p w:rsidR="00B37412" w:rsidRPr="00FF4185" w:rsidRDefault="00B37412" w:rsidP="00B37412">
      <w:pPr>
        <w:pStyle w:val="BodyText"/>
        <w:spacing w:after="0"/>
        <w:rPr>
          <w:sz w:val="20"/>
          <w:szCs w:val="20"/>
        </w:rPr>
      </w:pPr>
      <w:r w:rsidRPr="00FF4185">
        <w:rPr>
          <w:sz w:val="20"/>
          <w:szCs w:val="20"/>
        </w:rPr>
        <w:t>OR = odds ratio; 95% CI = 95% confidence interval</w:t>
      </w:r>
    </w:p>
    <w:p w:rsidR="00A009B5" w:rsidRPr="00FF4185" w:rsidRDefault="00B37412" w:rsidP="002C1D8D">
      <w:pPr>
        <w:pStyle w:val="BodyText"/>
        <w:spacing w:after="0"/>
        <w:rPr>
          <w:sz w:val="20"/>
          <w:szCs w:val="20"/>
        </w:rPr>
      </w:pPr>
      <w:r w:rsidRPr="00FF4185">
        <w:rPr>
          <w:sz w:val="20"/>
          <w:szCs w:val="20"/>
        </w:rPr>
        <w:t>**</w:t>
      </w:r>
      <w:r w:rsidRPr="00FF4185">
        <w:rPr>
          <w:i/>
          <w:iCs/>
          <w:sz w:val="20"/>
          <w:szCs w:val="20"/>
        </w:rPr>
        <w:t>p</w:t>
      </w:r>
      <w:r w:rsidRPr="00FF4185">
        <w:rPr>
          <w:sz w:val="20"/>
          <w:szCs w:val="20"/>
        </w:rPr>
        <w:t xml:space="preserve"> &lt; 0.05; *</w:t>
      </w:r>
      <w:r w:rsidRPr="00FF4185">
        <w:rPr>
          <w:i/>
          <w:iCs/>
          <w:sz w:val="20"/>
          <w:szCs w:val="20"/>
        </w:rPr>
        <w:t>p</w:t>
      </w:r>
      <w:r w:rsidRPr="00FF4185">
        <w:rPr>
          <w:sz w:val="20"/>
          <w:szCs w:val="20"/>
        </w:rPr>
        <w:t xml:space="preserve"> &lt; 0.10</w:t>
      </w:r>
    </w:p>
    <w:p w:rsidR="00E16FD2" w:rsidRDefault="00E16FD2" w:rsidP="002C1D8D">
      <w:pPr>
        <w:pStyle w:val="BodyText"/>
        <w:spacing w:after="0"/>
      </w:pPr>
    </w:p>
    <w:p w:rsidR="007F4046" w:rsidRPr="007F4046" w:rsidRDefault="007F4046" w:rsidP="007F4046">
      <w:pPr>
        <w:pStyle w:val="BodyText"/>
      </w:pPr>
      <w:r>
        <w:t>For</w:t>
      </w:r>
      <w:r w:rsidRPr="007F4046">
        <w:t xml:space="preserve"> </w:t>
      </w:r>
      <w:r w:rsidR="002134A2">
        <w:t xml:space="preserve">Evaluation Question </w:t>
      </w:r>
      <w:r w:rsidRPr="007F4046">
        <w:t>3, we will provide descriptive statistics about respondents’ self-reported receptivity to and perceived effectiveness o</w:t>
      </w:r>
      <w:r>
        <w:t xml:space="preserve">f NPAO-related advertisements. </w:t>
      </w:r>
      <w:r w:rsidRPr="007F4046">
        <w:t xml:space="preserve">We will assess evaluative receptivity to campaign ads with a series of items asking respondents to </w:t>
      </w:r>
      <w:r w:rsidR="00E16FD2">
        <w:t>report</w:t>
      </w:r>
      <w:r w:rsidRPr="007F4046">
        <w:t xml:space="preserve"> their level of agreement with </w:t>
      </w:r>
      <w:r>
        <w:t xml:space="preserve">a series of statements indicative of respondents’ receptivity to an ad. </w:t>
      </w:r>
      <w:r w:rsidRPr="007F4046">
        <w:t>Respondent scores on these six items will be combined into a 30-point index variable,</w:t>
      </w:r>
      <w:r w:rsidRPr="007F4046">
        <w:rPr>
          <w:i/>
          <w:iCs/>
        </w:rPr>
        <w:t xml:space="preserve"> </w:t>
      </w:r>
      <w:r w:rsidRPr="007F4046">
        <w:t>with a higher score indicating greater evaluative receptivity to a particular ad.</w:t>
      </w:r>
      <w:r w:rsidR="00B3578B">
        <w:t xml:space="preserve"> </w:t>
      </w:r>
      <w:r w:rsidR="00D857C5">
        <w:t>Exhibit</w:t>
      </w:r>
      <w:r w:rsidRPr="007F4046">
        <w:t xml:space="preserve"> </w:t>
      </w:r>
      <w:r w:rsidR="00C50208">
        <w:t>A.16.3</w:t>
      </w:r>
      <w:r w:rsidRPr="007F4046">
        <w:t xml:space="preserve"> provides an example of how analyses for this section would be presented. </w:t>
      </w:r>
    </w:p>
    <w:p w:rsidR="00FF4185" w:rsidRDefault="00FF4185">
      <w:pPr>
        <w:rPr>
          <w:rFonts w:asciiTheme="majorBidi" w:hAnsiTheme="majorBidi" w:cstheme="majorBidi"/>
          <w:b/>
          <w:bCs/>
          <w:szCs w:val="24"/>
        </w:rPr>
      </w:pPr>
      <w:r>
        <w:rPr>
          <w:b/>
          <w:bCs/>
        </w:rPr>
        <w:br w:type="page"/>
      </w:r>
    </w:p>
    <w:p w:rsidR="007F4046" w:rsidRPr="007F4046" w:rsidRDefault="007B55B5" w:rsidP="007F4046">
      <w:pPr>
        <w:pStyle w:val="BodyText"/>
        <w:rPr>
          <w:b/>
          <w:bCs/>
        </w:rPr>
      </w:pPr>
      <w:r>
        <w:rPr>
          <w:b/>
          <w:bCs/>
        </w:rPr>
        <w:lastRenderedPageBreak/>
        <w:t>Exhibit</w:t>
      </w:r>
      <w:r w:rsidRPr="007F4046">
        <w:rPr>
          <w:b/>
          <w:bCs/>
        </w:rPr>
        <w:t xml:space="preserve"> </w:t>
      </w:r>
      <w:r w:rsidR="00E0252A">
        <w:rPr>
          <w:b/>
          <w:bCs/>
        </w:rPr>
        <w:t>A.16.3</w:t>
      </w:r>
      <w:r w:rsidR="00B3578B">
        <w:rPr>
          <w:b/>
          <w:bCs/>
        </w:rPr>
        <w:t xml:space="preserve"> </w:t>
      </w:r>
      <w:r w:rsidR="007F4046" w:rsidRPr="007F4046">
        <w:rPr>
          <w:b/>
          <w:bCs/>
        </w:rPr>
        <w:t>Mean Evaluative Receptivity Scores, by Ad</w:t>
      </w:r>
    </w:p>
    <w:p w:rsidR="007F4046" w:rsidRPr="007F4046" w:rsidRDefault="007F4046" w:rsidP="007F4046">
      <w:pPr>
        <w:pStyle w:val="BodyText"/>
      </w:pPr>
      <w:r w:rsidRPr="007F4046">
        <w:rPr>
          <w:noProof/>
        </w:rPr>
        <w:drawing>
          <wp:inline distT="0" distB="0" distL="0" distR="0" wp14:anchorId="669E61DE" wp14:editId="651D642D">
            <wp:extent cx="4596765" cy="27679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4596765" cy="2767965"/>
                    </a:xfrm>
                    <a:prstGeom prst="rect">
                      <a:avLst/>
                    </a:prstGeom>
                    <a:noFill/>
                  </pic:spPr>
                </pic:pic>
              </a:graphicData>
            </a:graphic>
          </wp:inline>
        </w:drawing>
      </w:r>
    </w:p>
    <w:p w:rsidR="007F4046" w:rsidRDefault="007F4046" w:rsidP="002C1D8D">
      <w:pPr>
        <w:pStyle w:val="BodyText"/>
        <w:spacing w:after="0"/>
      </w:pPr>
      <w:r w:rsidRPr="007F4046">
        <w:t xml:space="preserve">To assess perceived effectiveness of ads, we will use a series of survey items that ask respondents to rate how much each ad makes them want to perform various NPAO-related healthy behaviors on a </w:t>
      </w:r>
      <w:r w:rsidR="00FF4185">
        <w:t>five</w:t>
      </w:r>
      <w:r w:rsidRPr="007F4046">
        <w:t>-point scale.</w:t>
      </w:r>
      <w:r w:rsidR="00B3578B">
        <w:t xml:space="preserve"> </w:t>
      </w:r>
      <w:r w:rsidR="00D857C5">
        <w:t>Exhibit</w:t>
      </w:r>
      <w:r w:rsidR="00306CBD" w:rsidRPr="007F4046">
        <w:t xml:space="preserve"> </w:t>
      </w:r>
      <w:r w:rsidR="00C50208">
        <w:t>A.16.4</w:t>
      </w:r>
      <w:r w:rsidR="00306CBD" w:rsidRPr="007F4046">
        <w:t xml:space="preserve"> provides an example of how analyses for this section would be presented.</w:t>
      </w:r>
    </w:p>
    <w:p w:rsidR="005F728A" w:rsidRPr="007F4046" w:rsidRDefault="005F728A" w:rsidP="002C1D8D">
      <w:pPr>
        <w:pStyle w:val="BodyText"/>
        <w:spacing w:after="0"/>
      </w:pPr>
    </w:p>
    <w:p w:rsidR="00E16FD2" w:rsidRPr="00E16FD2" w:rsidRDefault="007B55B5" w:rsidP="00E16FD2">
      <w:pPr>
        <w:pStyle w:val="BodyText"/>
        <w:rPr>
          <w:b/>
          <w:bCs/>
        </w:rPr>
      </w:pPr>
      <w:r>
        <w:rPr>
          <w:b/>
          <w:bCs/>
        </w:rPr>
        <w:t>Exhibit</w:t>
      </w:r>
      <w:r w:rsidRPr="00E16FD2">
        <w:rPr>
          <w:b/>
          <w:bCs/>
        </w:rPr>
        <w:t xml:space="preserve"> </w:t>
      </w:r>
      <w:r w:rsidR="00E0252A">
        <w:rPr>
          <w:b/>
          <w:bCs/>
        </w:rPr>
        <w:t>A.16.4</w:t>
      </w:r>
      <w:r w:rsidR="00B3578B">
        <w:rPr>
          <w:b/>
          <w:bCs/>
        </w:rPr>
        <w:t xml:space="preserve"> </w:t>
      </w:r>
      <w:r w:rsidR="00E16FD2" w:rsidRPr="00E16FD2">
        <w:rPr>
          <w:b/>
          <w:bCs/>
        </w:rPr>
        <w:t xml:space="preserve">Percentage of Respondents Reporting </w:t>
      </w:r>
      <w:r w:rsidR="00FF4185" w:rsidRPr="00E16FD2">
        <w:rPr>
          <w:b/>
          <w:bCs/>
        </w:rPr>
        <w:t xml:space="preserve">That </w:t>
      </w:r>
      <w:r w:rsidR="00E16FD2" w:rsidRPr="00E16FD2">
        <w:rPr>
          <w:b/>
          <w:bCs/>
        </w:rPr>
        <w:t>an Ad Made Them Want to “Take Action to Eat Healthy Foods,” by Ad</w:t>
      </w:r>
    </w:p>
    <w:p w:rsidR="00E16FD2" w:rsidRPr="00E16FD2" w:rsidRDefault="00E16FD2" w:rsidP="00E16FD2">
      <w:pPr>
        <w:pStyle w:val="BodyText"/>
      </w:pPr>
      <w:r>
        <w:rPr>
          <w:noProof/>
        </w:rPr>
        <w:drawing>
          <wp:inline distT="0" distB="0" distL="0" distR="0" wp14:anchorId="33990D15" wp14:editId="1197A657">
            <wp:extent cx="4596765" cy="276796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4596765" cy="2767965"/>
                    </a:xfrm>
                    <a:prstGeom prst="rect">
                      <a:avLst/>
                    </a:prstGeom>
                    <a:noFill/>
                  </pic:spPr>
                </pic:pic>
              </a:graphicData>
            </a:graphic>
          </wp:inline>
        </w:drawing>
      </w:r>
    </w:p>
    <w:p w:rsidR="00844398" w:rsidRDefault="00844398" w:rsidP="00971D8D">
      <w:pPr>
        <w:pStyle w:val="BodyText"/>
      </w:pPr>
      <w:r w:rsidRPr="00E87C38">
        <w:t>The reporting and dissemination mechanism will consist of a comprehensive evaluation report summarizing findings from this information collection.</w:t>
      </w:r>
      <w:r w:rsidR="00596558">
        <w:t xml:space="preserve"> </w:t>
      </w:r>
      <w:r w:rsidRPr="00E87C38">
        <w:t xml:space="preserve">The report will be </w:t>
      </w:r>
      <w:r w:rsidR="002C1D8D">
        <w:t>completed</w:t>
      </w:r>
      <w:r w:rsidR="00FE73F5" w:rsidRPr="00E87C38">
        <w:t xml:space="preserve"> within </w:t>
      </w:r>
      <w:r w:rsidR="00FF4185">
        <w:t>eight</w:t>
      </w:r>
      <w:r w:rsidR="00FF4185" w:rsidRPr="00E87C38">
        <w:t xml:space="preserve"> </w:t>
      </w:r>
      <w:r w:rsidRPr="00E87C38">
        <w:t xml:space="preserve">weeks of the </w:t>
      </w:r>
      <w:r w:rsidR="002C1D8D">
        <w:t>conclusion</w:t>
      </w:r>
      <w:r w:rsidR="002C1D8D" w:rsidRPr="00E87C38">
        <w:t xml:space="preserve"> </w:t>
      </w:r>
      <w:r w:rsidRPr="00E87C38">
        <w:t>of information collection.</w:t>
      </w:r>
      <w:r w:rsidR="00596558">
        <w:t xml:space="preserve"> </w:t>
      </w:r>
      <w:r w:rsidR="00FE73F5" w:rsidRPr="00E87C38">
        <w:t>CDC</w:t>
      </w:r>
      <w:r w:rsidR="00B3578B">
        <w:t xml:space="preserve"> </w:t>
      </w:r>
      <w:r w:rsidR="00FE73F5" w:rsidRPr="00E87C38">
        <w:t xml:space="preserve">will explore additional opportunities to </w:t>
      </w:r>
      <w:r w:rsidR="00FE73F5" w:rsidRPr="00E87C38">
        <w:lastRenderedPageBreak/>
        <w:t>present findings from the information collection through publications in peer-reviewed journals, conference presentations, and other dissemination strategies.</w:t>
      </w:r>
      <w:r w:rsidR="00596558">
        <w:t xml:space="preserve"> </w:t>
      </w:r>
    </w:p>
    <w:p w:rsidR="006839C9" w:rsidRPr="00E87C38" w:rsidRDefault="00551E56" w:rsidP="00971D8D">
      <w:pPr>
        <w:pStyle w:val="BodyText"/>
      </w:pPr>
      <w:r>
        <w:t xml:space="preserve">Data collection is anticipated </w:t>
      </w:r>
      <w:r w:rsidR="00331400">
        <w:t xml:space="preserve">to be conducted </w:t>
      </w:r>
      <w:r w:rsidR="005F728A">
        <w:t>April through June 2013</w:t>
      </w:r>
      <w:r w:rsidR="007B55B5">
        <w:t xml:space="preserve"> (see Exhibit A.16.5)</w:t>
      </w:r>
      <w:r w:rsidR="00331400">
        <w:t>.</w:t>
      </w:r>
      <w:r w:rsidR="003F78ED">
        <w:t xml:space="preserve"> </w:t>
      </w:r>
    </w:p>
    <w:p w:rsidR="006839C9" w:rsidRPr="00E87C38" w:rsidRDefault="006839C9" w:rsidP="009B3714">
      <w:pPr>
        <w:pStyle w:val="ExhibitTitle"/>
      </w:pPr>
      <w:bookmarkStart w:id="93" w:name="_Ref216592722"/>
      <w:bookmarkStart w:id="94" w:name="_Toc66689102"/>
      <w:bookmarkStart w:id="95" w:name="_Toc140476560"/>
      <w:bookmarkStart w:id="96" w:name="_Toc216595340"/>
      <w:bookmarkStart w:id="97" w:name="_Toc317244937"/>
      <w:bookmarkStart w:id="98" w:name="_Toc321745136"/>
      <w:r w:rsidRPr="00E87C38">
        <w:t xml:space="preserve">Exhibit </w:t>
      </w:r>
      <w:bookmarkEnd w:id="93"/>
      <w:r w:rsidR="00ED37D6">
        <w:t>A.16.</w:t>
      </w:r>
      <w:bookmarkEnd w:id="94"/>
      <w:bookmarkEnd w:id="95"/>
      <w:bookmarkEnd w:id="96"/>
      <w:r w:rsidR="007B55B5">
        <w:t>5</w:t>
      </w:r>
      <w:r w:rsidR="002D4AE8">
        <w:tab/>
      </w:r>
      <w:r w:rsidRPr="00E87C38">
        <w:t>Project Schedule</w:t>
      </w:r>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right w:w="72" w:type="dxa"/>
        </w:tblCellMar>
        <w:tblLook w:val="01E0" w:firstRow="1" w:lastRow="1" w:firstColumn="1" w:lastColumn="1" w:noHBand="0" w:noVBand="0"/>
      </w:tblPr>
      <w:tblGrid>
        <w:gridCol w:w="5376"/>
        <w:gridCol w:w="4128"/>
      </w:tblGrid>
      <w:tr w:rsidR="006839C9" w:rsidRPr="00D63F29" w:rsidTr="00D63F29">
        <w:trPr>
          <w:cantSplit/>
          <w:tblHeader/>
        </w:trPr>
        <w:tc>
          <w:tcPr>
            <w:tcW w:w="5490" w:type="dxa"/>
          </w:tcPr>
          <w:p w:rsidR="006839C9" w:rsidRPr="00D63F29" w:rsidRDefault="006839C9" w:rsidP="00D63F29">
            <w:pPr>
              <w:pStyle w:val="TableHeaders"/>
            </w:pPr>
            <w:r w:rsidRPr="00D63F29">
              <w:t>Project Activity</w:t>
            </w:r>
          </w:p>
        </w:tc>
        <w:tc>
          <w:tcPr>
            <w:tcW w:w="4214" w:type="dxa"/>
          </w:tcPr>
          <w:p w:rsidR="006839C9" w:rsidRPr="00D63F29" w:rsidRDefault="006839C9" w:rsidP="00D63F29">
            <w:pPr>
              <w:pStyle w:val="TableHeaders"/>
            </w:pPr>
            <w:r w:rsidRPr="00D63F29">
              <w:t>Date</w:t>
            </w:r>
          </w:p>
        </w:tc>
      </w:tr>
      <w:tr w:rsidR="006839C9" w:rsidRPr="00E87C38" w:rsidTr="00D63F29">
        <w:tblPrEx>
          <w:tblCellMar>
            <w:top w:w="0" w:type="dxa"/>
          </w:tblCellMar>
        </w:tblPrEx>
        <w:trPr>
          <w:cantSplit/>
        </w:trPr>
        <w:tc>
          <w:tcPr>
            <w:tcW w:w="5490" w:type="dxa"/>
          </w:tcPr>
          <w:p w:rsidR="006839C9" w:rsidRPr="004571DB" w:rsidRDefault="00EE146A" w:rsidP="00D63F29">
            <w:pPr>
              <w:pStyle w:val="TableText"/>
            </w:pPr>
            <w:r w:rsidRPr="004571DB">
              <w:t>Data collection</w:t>
            </w:r>
          </w:p>
        </w:tc>
        <w:tc>
          <w:tcPr>
            <w:tcW w:w="4214" w:type="dxa"/>
          </w:tcPr>
          <w:p w:rsidR="006839C9" w:rsidRPr="004571DB" w:rsidRDefault="00A867F7" w:rsidP="00FF4185">
            <w:pPr>
              <w:pStyle w:val="TableText"/>
              <w:rPr>
                <w:highlight w:val="yellow"/>
              </w:rPr>
            </w:pPr>
            <w:r>
              <w:t>June 7 – August 30</w:t>
            </w:r>
            <w:r w:rsidR="00581DC9">
              <w:t>, 2013</w:t>
            </w:r>
          </w:p>
        </w:tc>
      </w:tr>
      <w:tr w:rsidR="006839C9" w:rsidRPr="00E87C38" w:rsidTr="00D63F29">
        <w:tblPrEx>
          <w:tblCellMar>
            <w:top w:w="0" w:type="dxa"/>
          </w:tblCellMar>
        </w:tblPrEx>
        <w:trPr>
          <w:cantSplit/>
        </w:trPr>
        <w:tc>
          <w:tcPr>
            <w:tcW w:w="5490" w:type="dxa"/>
          </w:tcPr>
          <w:p w:rsidR="006839C9" w:rsidRPr="004571DB" w:rsidRDefault="006839C9" w:rsidP="00D63F29">
            <w:pPr>
              <w:pStyle w:val="TableText"/>
            </w:pPr>
            <w:r w:rsidRPr="004571DB">
              <w:t>Preparation of analytic data file</w:t>
            </w:r>
          </w:p>
        </w:tc>
        <w:tc>
          <w:tcPr>
            <w:tcW w:w="4214" w:type="dxa"/>
          </w:tcPr>
          <w:p w:rsidR="006839C9" w:rsidRPr="004571DB" w:rsidRDefault="00FF4185" w:rsidP="00A867F7">
            <w:pPr>
              <w:pStyle w:val="TableText"/>
            </w:pPr>
            <w:r>
              <w:t>Two to four</w:t>
            </w:r>
            <w:r w:rsidR="006839C9" w:rsidRPr="004571DB">
              <w:t xml:space="preserve"> weeks after completion of data collection (ap</w:t>
            </w:r>
            <w:r w:rsidR="001042D4" w:rsidRPr="004571DB">
              <w:t>pro</w:t>
            </w:r>
            <w:r w:rsidR="006839C9" w:rsidRPr="004571DB">
              <w:t>x</w:t>
            </w:r>
            <w:r>
              <w:t>imately</w:t>
            </w:r>
            <w:r w:rsidRPr="004571DB">
              <w:t xml:space="preserve"> </w:t>
            </w:r>
            <w:r w:rsidR="00A867F7">
              <w:t>September 15</w:t>
            </w:r>
            <w:r w:rsidR="003623EA" w:rsidRPr="004571DB">
              <w:t>, 201</w:t>
            </w:r>
            <w:r w:rsidR="00E130A1">
              <w:t>3</w:t>
            </w:r>
            <w:r w:rsidR="006839C9" w:rsidRPr="004571DB">
              <w:t>)</w:t>
            </w:r>
          </w:p>
        </w:tc>
      </w:tr>
      <w:tr w:rsidR="006839C9" w:rsidRPr="00E87C38" w:rsidTr="00D63F29">
        <w:tblPrEx>
          <w:tblCellMar>
            <w:top w:w="0" w:type="dxa"/>
          </w:tblCellMar>
        </w:tblPrEx>
        <w:trPr>
          <w:cantSplit/>
        </w:trPr>
        <w:tc>
          <w:tcPr>
            <w:tcW w:w="5490" w:type="dxa"/>
          </w:tcPr>
          <w:p w:rsidR="006839C9" w:rsidRPr="004571DB" w:rsidRDefault="006839C9" w:rsidP="00D63F29">
            <w:pPr>
              <w:pStyle w:val="TableText"/>
            </w:pPr>
            <w:r w:rsidRPr="004571DB">
              <w:t>Data analysis</w:t>
            </w:r>
          </w:p>
        </w:tc>
        <w:tc>
          <w:tcPr>
            <w:tcW w:w="4214" w:type="dxa"/>
          </w:tcPr>
          <w:p w:rsidR="006839C9" w:rsidRPr="004571DB" w:rsidRDefault="00A867F7" w:rsidP="00A867F7">
            <w:pPr>
              <w:pStyle w:val="TableText"/>
            </w:pPr>
            <w:r>
              <w:t>September 15 – November 30</w:t>
            </w:r>
            <w:r w:rsidR="003623EA" w:rsidRPr="004571DB">
              <w:t xml:space="preserve">, </w:t>
            </w:r>
            <w:r w:rsidR="004B46DA" w:rsidRPr="004571DB">
              <w:t>201</w:t>
            </w:r>
            <w:r w:rsidR="004B46DA">
              <w:t>3</w:t>
            </w:r>
          </w:p>
        </w:tc>
      </w:tr>
      <w:tr w:rsidR="006839C9" w:rsidRPr="00E87C38" w:rsidTr="00D63F29">
        <w:tblPrEx>
          <w:tblCellMar>
            <w:top w:w="0" w:type="dxa"/>
          </w:tblCellMar>
        </w:tblPrEx>
        <w:trPr>
          <w:cantSplit/>
        </w:trPr>
        <w:tc>
          <w:tcPr>
            <w:tcW w:w="5490" w:type="dxa"/>
          </w:tcPr>
          <w:p w:rsidR="006839C9" w:rsidRPr="004571DB" w:rsidRDefault="006839C9" w:rsidP="00D63F29">
            <w:pPr>
              <w:pStyle w:val="TableText"/>
            </w:pPr>
            <w:r w:rsidRPr="004571DB">
              <w:t>Report writing and dissemination</w:t>
            </w:r>
          </w:p>
        </w:tc>
        <w:tc>
          <w:tcPr>
            <w:tcW w:w="4214" w:type="dxa"/>
          </w:tcPr>
          <w:p w:rsidR="006839C9" w:rsidRPr="004571DB" w:rsidRDefault="00A867F7" w:rsidP="00E130A1">
            <w:pPr>
              <w:pStyle w:val="TableText"/>
            </w:pPr>
            <w:r>
              <w:t>December</w:t>
            </w:r>
            <w:r w:rsidR="00296767">
              <w:t>, 2013</w:t>
            </w:r>
          </w:p>
        </w:tc>
      </w:tr>
    </w:tbl>
    <w:p w:rsidR="006839C9" w:rsidRPr="00D63F29" w:rsidRDefault="006839C9" w:rsidP="00D63F29">
      <w:pPr>
        <w:pStyle w:val="exhibitsource"/>
      </w:pPr>
    </w:p>
    <w:p w:rsidR="006839C9" w:rsidRPr="00E87C38" w:rsidRDefault="006839C9" w:rsidP="00D63F29">
      <w:pPr>
        <w:pStyle w:val="Heading2"/>
      </w:pPr>
      <w:bookmarkStart w:id="99" w:name="_Toc321734064"/>
      <w:bookmarkStart w:id="100" w:name="_Toc332782733"/>
      <w:bookmarkStart w:id="101" w:name="_Toc332782780"/>
      <w:bookmarkStart w:id="102" w:name="_Toc332783155"/>
      <w:r w:rsidRPr="00E87C38">
        <w:t>A.17</w:t>
      </w:r>
      <w:r w:rsidR="002D4AE8">
        <w:tab/>
      </w:r>
      <w:r w:rsidRPr="00E87C38">
        <w:t>Reason(s) Display of OMB Expiration Date is Inappropriate</w:t>
      </w:r>
      <w:bookmarkEnd w:id="99"/>
      <w:bookmarkEnd w:id="100"/>
      <w:bookmarkEnd w:id="101"/>
      <w:bookmarkEnd w:id="102"/>
    </w:p>
    <w:p w:rsidR="006839C9" w:rsidRPr="00E87C38" w:rsidRDefault="006839C9" w:rsidP="00971D8D">
      <w:pPr>
        <w:pStyle w:val="BodyText"/>
      </w:pPr>
      <w:r w:rsidRPr="00E87C38">
        <w:t>Not applicable.</w:t>
      </w:r>
      <w:r w:rsidR="00596558">
        <w:t xml:space="preserve"> </w:t>
      </w:r>
      <w:r w:rsidRPr="00E87C38">
        <w:t xml:space="preserve">All data collection instruments will display the expiration date for OMB approval of the information collection. </w:t>
      </w:r>
    </w:p>
    <w:p w:rsidR="006839C9" w:rsidRPr="00E87C38" w:rsidRDefault="006839C9" w:rsidP="00D63F29">
      <w:pPr>
        <w:pStyle w:val="Heading2"/>
      </w:pPr>
      <w:bookmarkStart w:id="103" w:name="_Toc321734065"/>
      <w:bookmarkStart w:id="104" w:name="_Toc332782734"/>
      <w:bookmarkStart w:id="105" w:name="_Toc332782781"/>
      <w:bookmarkStart w:id="106" w:name="_Toc332783156"/>
      <w:r w:rsidRPr="00E87C38">
        <w:t>A.18</w:t>
      </w:r>
      <w:r w:rsidR="002D4AE8">
        <w:tab/>
      </w:r>
      <w:r w:rsidRPr="00E87C38">
        <w:t>Exceptions to the Certification Statement</w:t>
      </w:r>
      <w:bookmarkEnd w:id="103"/>
      <w:bookmarkEnd w:id="104"/>
      <w:bookmarkEnd w:id="105"/>
      <w:bookmarkEnd w:id="106"/>
    </w:p>
    <w:p w:rsidR="006839C9" w:rsidRPr="00E87C38" w:rsidRDefault="006839C9" w:rsidP="00971D8D">
      <w:pPr>
        <w:pStyle w:val="BodyText"/>
      </w:pPr>
      <w:r w:rsidRPr="00E87C38">
        <w:t>Not applicable.</w:t>
      </w:r>
      <w:r w:rsidR="00596558">
        <w:t xml:space="preserve"> </w:t>
      </w:r>
      <w:r w:rsidRPr="00E87C38">
        <w:t>No exceptions to the certification statement are being sought.</w:t>
      </w:r>
    </w:p>
    <w:p w:rsidR="006839C9" w:rsidRPr="002D4AE8" w:rsidRDefault="00DD07D5" w:rsidP="00D63F29">
      <w:pPr>
        <w:pStyle w:val="Heading2"/>
      </w:pPr>
      <w:bookmarkStart w:id="107" w:name="_Toc321734066"/>
      <w:bookmarkStart w:id="108" w:name="_Toc332782735"/>
      <w:bookmarkStart w:id="109" w:name="_Toc332782782"/>
      <w:bookmarkStart w:id="110" w:name="_Toc332783157"/>
      <w:r>
        <w:t xml:space="preserve">A.19. </w:t>
      </w:r>
      <w:r w:rsidR="006839C9" w:rsidRPr="00E87C38">
        <w:t>References</w:t>
      </w:r>
      <w:bookmarkEnd w:id="107"/>
      <w:bookmarkEnd w:id="108"/>
      <w:bookmarkEnd w:id="109"/>
      <w:bookmarkEnd w:id="110"/>
    </w:p>
    <w:p w:rsidR="00D63F29" w:rsidRDefault="00D63F29" w:rsidP="00B3578B">
      <w:pPr>
        <w:pStyle w:val="biblio"/>
        <w:numPr>
          <w:ilvl w:val="0"/>
          <w:numId w:val="32"/>
        </w:numPr>
        <w:spacing w:after="120"/>
      </w:pPr>
      <w:bookmarkStart w:id="111" w:name="_Ref321736722"/>
      <w:proofErr w:type="spellStart"/>
      <w:r w:rsidRPr="00E87C38">
        <w:rPr>
          <w:bCs/>
        </w:rPr>
        <w:t>Farrelly</w:t>
      </w:r>
      <w:proofErr w:type="spellEnd"/>
      <w:r w:rsidRPr="00E87C38">
        <w:rPr>
          <w:bCs/>
        </w:rPr>
        <w:t>, M. C., Crankshaw, E. C.</w:t>
      </w:r>
      <w:r w:rsidRPr="00E87C38">
        <w:t xml:space="preserve">, </w:t>
      </w:r>
      <w:r w:rsidRPr="00E87C38">
        <w:rPr>
          <w:bCs/>
        </w:rPr>
        <w:t>&amp; Davis, K. C.</w:t>
      </w:r>
      <w:r w:rsidRPr="00E87C38">
        <w:t xml:space="preserve"> (2008). Assessing the effectiveness of the mass media in discouraging smoking behavior. In National Cancer Institute (Ed.), </w:t>
      </w:r>
      <w:proofErr w:type="gramStart"/>
      <w:r w:rsidRPr="00E87C38">
        <w:rPr>
          <w:i/>
        </w:rPr>
        <w:t>The</w:t>
      </w:r>
      <w:proofErr w:type="gramEnd"/>
      <w:r w:rsidRPr="00E87C38">
        <w:rPr>
          <w:i/>
        </w:rPr>
        <w:t xml:space="preserve"> role of the media in promoting and reducing tobacco use</w:t>
      </w:r>
      <w:r w:rsidRPr="00E87C38">
        <w:t xml:space="preserve"> (pp. 479–546). Tobacco Control Monograph No. 19.</w:t>
      </w:r>
      <w:r w:rsidRPr="00E87C38">
        <w:rPr>
          <w:i/>
        </w:rPr>
        <w:t xml:space="preserve"> </w:t>
      </w:r>
      <w:r w:rsidRPr="00E87C38">
        <w:t>Bethesda, MD: U.S. Department of Health and Human Services, National Institutes of Health, National Cancer Institute, NIH Pub. No. 07-6242.</w:t>
      </w:r>
      <w:bookmarkEnd w:id="111"/>
    </w:p>
    <w:p w:rsidR="00832DC6" w:rsidRDefault="00832DC6" w:rsidP="00832DC6">
      <w:pPr>
        <w:pStyle w:val="biblio"/>
        <w:numPr>
          <w:ilvl w:val="0"/>
          <w:numId w:val="32"/>
        </w:numPr>
        <w:spacing w:after="120"/>
      </w:pPr>
      <w:bookmarkStart w:id="112" w:name="_Ref321736745"/>
      <w:proofErr w:type="spellStart"/>
      <w:r>
        <w:t>Hornik</w:t>
      </w:r>
      <w:proofErr w:type="spellEnd"/>
      <w:r>
        <w:t xml:space="preserve">, R., MacLean, D., </w:t>
      </w:r>
      <w:proofErr w:type="spellStart"/>
      <w:r>
        <w:t>Cadell</w:t>
      </w:r>
      <w:proofErr w:type="spellEnd"/>
      <w:r>
        <w:t xml:space="preserve">, D., et al. (2003). Evaluation of the National Youth Anti-Drug Media Campaign: 2003 report of findings: Executive summary. Washington, DC: </w:t>
      </w:r>
      <w:proofErr w:type="spellStart"/>
      <w:r>
        <w:t>Westat</w:t>
      </w:r>
      <w:proofErr w:type="spellEnd"/>
      <w:r>
        <w:t>. Report prepared for the National Institute on Drug Abuse (contract N01DA-8-5063).</w:t>
      </w:r>
    </w:p>
    <w:p w:rsidR="00832DC6" w:rsidRDefault="00832DC6" w:rsidP="00832DC6">
      <w:pPr>
        <w:pStyle w:val="biblio"/>
        <w:numPr>
          <w:ilvl w:val="0"/>
          <w:numId w:val="32"/>
        </w:numPr>
        <w:spacing w:after="120"/>
      </w:pPr>
      <w:proofErr w:type="spellStart"/>
      <w:r>
        <w:t>Huhman</w:t>
      </w:r>
      <w:proofErr w:type="spellEnd"/>
      <w:r>
        <w:t xml:space="preserve">, M., Potter, L. D., Wong, F. L., Banspach, S. W., Duke, J. C., &amp; </w:t>
      </w:r>
      <w:proofErr w:type="spellStart"/>
      <w:r>
        <w:t>Heitzler</w:t>
      </w:r>
      <w:proofErr w:type="spellEnd"/>
      <w:r>
        <w:t xml:space="preserve">, C. D. (2005). Effects of a mass media campaign to increase physical activity among children: Year-1 results of the VERB campaign. </w:t>
      </w:r>
      <w:r w:rsidRPr="00832DC6">
        <w:rPr>
          <w:i/>
        </w:rPr>
        <w:t>Pediatrics, 116</w:t>
      </w:r>
      <w:r>
        <w:t>, 277–284.</w:t>
      </w:r>
    </w:p>
    <w:p w:rsidR="00D63F29" w:rsidRDefault="00D63F29" w:rsidP="00B3578B">
      <w:pPr>
        <w:pStyle w:val="biblio"/>
        <w:numPr>
          <w:ilvl w:val="0"/>
          <w:numId w:val="32"/>
        </w:numPr>
        <w:spacing w:after="120"/>
      </w:pPr>
      <w:proofErr w:type="spellStart"/>
      <w:r w:rsidRPr="00E87C38">
        <w:t>Southwell</w:t>
      </w:r>
      <w:proofErr w:type="spellEnd"/>
      <w:r w:rsidRPr="00E87C38">
        <w:t xml:space="preserve">, B. G., </w:t>
      </w:r>
      <w:proofErr w:type="spellStart"/>
      <w:r w:rsidRPr="00E87C38">
        <w:t>Barmada</w:t>
      </w:r>
      <w:proofErr w:type="spellEnd"/>
      <w:r w:rsidRPr="00E87C38">
        <w:t xml:space="preserve">, C. H., </w:t>
      </w:r>
      <w:proofErr w:type="spellStart"/>
      <w:r w:rsidRPr="00E87C38">
        <w:t>Hornik</w:t>
      </w:r>
      <w:proofErr w:type="spellEnd"/>
      <w:r w:rsidRPr="00E87C38">
        <w:t xml:space="preserve">, R. C., &amp; </w:t>
      </w:r>
      <w:proofErr w:type="spellStart"/>
      <w:r w:rsidRPr="00E87C38">
        <w:t>Maklin</w:t>
      </w:r>
      <w:proofErr w:type="spellEnd"/>
      <w:r w:rsidRPr="00E87C38">
        <w:t xml:space="preserve">, D. M. (2002). Can we measure encoded exposure? Evidence from a national campaign. </w:t>
      </w:r>
      <w:r w:rsidRPr="00E87C38">
        <w:rPr>
          <w:i/>
        </w:rPr>
        <w:t>Journal of Health Communication</w:t>
      </w:r>
      <w:r w:rsidRPr="00E87C38">
        <w:t xml:space="preserve"> </w:t>
      </w:r>
      <w:r w:rsidRPr="00E87C38">
        <w:rPr>
          <w:i/>
        </w:rPr>
        <w:t>7</w:t>
      </w:r>
      <w:r w:rsidRPr="00E87C38">
        <w:t>, 445–453.</w:t>
      </w:r>
      <w:bookmarkEnd w:id="112"/>
    </w:p>
    <w:p w:rsidR="00D63F29" w:rsidRDefault="00D63F29" w:rsidP="00B3578B">
      <w:pPr>
        <w:pStyle w:val="biblio"/>
        <w:numPr>
          <w:ilvl w:val="0"/>
          <w:numId w:val="32"/>
        </w:numPr>
        <w:spacing w:after="120"/>
      </w:pPr>
      <w:bookmarkStart w:id="113" w:name="_Ref321736754"/>
      <w:r w:rsidRPr="00E87C38">
        <w:t xml:space="preserve">McGuire, W. J. (1981). Behavioral medicine, public health and communication theories. </w:t>
      </w:r>
      <w:r w:rsidRPr="00E87C38">
        <w:rPr>
          <w:i/>
          <w:iCs/>
        </w:rPr>
        <w:t>Health Education</w:t>
      </w:r>
      <w:r w:rsidRPr="00E87C38">
        <w:t xml:space="preserve">, </w:t>
      </w:r>
      <w:r w:rsidRPr="00E87C38">
        <w:rPr>
          <w:i/>
          <w:iCs/>
        </w:rPr>
        <w:t>12</w:t>
      </w:r>
      <w:r w:rsidRPr="00E87C38">
        <w:t>(3), 8–13.</w:t>
      </w:r>
      <w:bookmarkEnd w:id="113"/>
    </w:p>
    <w:p w:rsidR="00D63F29" w:rsidRDefault="00D63F29" w:rsidP="00B3578B">
      <w:pPr>
        <w:pStyle w:val="biblio"/>
        <w:numPr>
          <w:ilvl w:val="0"/>
          <w:numId w:val="32"/>
        </w:numPr>
        <w:spacing w:after="120"/>
      </w:pPr>
      <w:bookmarkStart w:id="114" w:name="_Ref321736759"/>
      <w:r w:rsidRPr="00E87C38">
        <w:t xml:space="preserve">Petty, R. E., &amp; </w:t>
      </w:r>
      <w:proofErr w:type="spellStart"/>
      <w:r w:rsidRPr="00E87C38">
        <w:t>Cacioppo</w:t>
      </w:r>
      <w:proofErr w:type="spellEnd"/>
      <w:r w:rsidRPr="00E87C38">
        <w:t xml:space="preserve">, J. T. (1986). </w:t>
      </w:r>
      <w:r w:rsidRPr="00E87C38">
        <w:rPr>
          <w:i/>
          <w:iCs/>
        </w:rPr>
        <w:t>The elaboration likelihood model of persuasion</w:t>
      </w:r>
      <w:r w:rsidRPr="00E87C38">
        <w:t>. New York: Academic Press.</w:t>
      </w:r>
      <w:bookmarkEnd w:id="114"/>
    </w:p>
    <w:p w:rsidR="00D63F29" w:rsidRDefault="00D63F29" w:rsidP="00B3578B">
      <w:pPr>
        <w:pStyle w:val="biblio"/>
        <w:numPr>
          <w:ilvl w:val="0"/>
          <w:numId w:val="32"/>
        </w:numPr>
        <w:spacing w:after="120"/>
      </w:pPr>
      <w:bookmarkStart w:id="115" w:name="_Ref321736765"/>
      <w:r w:rsidRPr="00E87C38">
        <w:lastRenderedPageBreak/>
        <w:t xml:space="preserve">Dillard, J. P., </w:t>
      </w:r>
      <w:proofErr w:type="spellStart"/>
      <w:r w:rsidRPr="00E87C38">
        <w:t>Shen</w:t>
      </w:r>
      <w:proofErr w:type="spellEnd"/>
      <w:r w:rsidRPr="00E87C38">
        <w:t xml:space="preserve">, L., &amp; Vail, R. G. (2007). Does perceived message effectiveness cause persuasion or vice versa? 17 consistent answers. </w:t>
      </w:r>
      <w:r w:rsidRPr="00E87C38">
        <w:rPr>
          <w:i/>
        </w:rPr>
        <w:t>Human Communication Research,</w:t>
      </w:r>
      <w:r w:rsidRPr="00E87C38">
        <w:t xml:space="preserve"> </w:t>
      </w:r>
      <w:r w:rsidRPr="00E87C38">
        <w:rPr>
          <w:i/>
        </w:rPr>
        <w:t>33</w:t>
      </w:r>
      <w:r w:rsidRPr="00E87C38">
        <w:t>(4), 467–488.</w:t>
      </w:r>
      <w:bookmarkEnd w:id="115"/>
    </w:p>
    <w:p w:rsidR="00D63F29" w:rsidRPr="00971D8D" w:rsidRDefault="00D63F29" w:rsidP="00B3578B">
      <w:pPr>
        <w:pStyle w:val="biblio"/>
        <w:numPr>
          <w:ilvl w:val="0"/>
          <w:numId w:val="32"/>
        </w:numPr>
        <w:spacing w:after="120"/>
        <w:rPr>
          <w:rStyle w:val="biblioChar"/>
        </w:rPr>
      </w:pPr>
      <w:bookmarkStart w:id="116" w:name="_Ref248053963"/>
      <w:r w:rsidRPr="00E87C38">
        <w:t xml:space="preserve">Dillard, J. P., Weber, K. M., &amp; Vail, R. G. (2007). The relationship between the perceived and actual effectiveness of persuasive messages: A meta-analysis with implications for formative </w:t>
      </w:r>
      <w:r w:rsidRPr="00971D8D">
        <w:rPr>
          <w:rStyle w:val="biblioChar"/>
        </w:rPr>
        <w:t xml:space="preserve">campaign research. </w:t>
      </w:r>
      <w:r w:rsidRPr="00FF4185">
        <w:rPr>
          <w:rStyle w:val="biblioChar"/>
          <w:i/>
        </w:rPr>
        <w:t>Journal of Communication, 57</w:t>
      </w:r>
      <w:r w:rsidRPr="00971D8D">
        <w:rPr>
          <w:rStyle w:val="biblioChar"/>
        </w:rPr>
        <w:t>(4), 613–631.</w:t>
      </w:r>
      <w:bookmarkEnd w:id="116"/>
    </w:p>
    <w:p w:rsidR="00D63F29" w:rsidRDefault="00D63F29" w:rsidP="00B3578B">
      <w:pPr>
        <w:pStyle w:val="biblio"/>
        <w:numPr>
          <w:ilvl w:val="0"/>
          <w:numId w:val="32"/>
        </w:numPr>
        <w:spacing w:after="120"/>
      </w:pPr>
      <w:bookmarkStart w:id="117" w:name="_Ref321736774"/>
      <w:r w:rsidRPr="00E87C38">
        <w:t>Bauman, A., Smith, B.</w:t>
      </w:r>
      <w:r w:rsidR="00A2643D">
        <w:t xml:space="preserve"> </w:t>
      </w:r>
      <w:r w:rsidRPr="00E87C38">
        <w:t xml:space="preserve">J., </w:t>
      </w:r>
      <w:proofErr w:type="spellStart"/>
      <w:r w:rsidRPr="00E87C38">
        <w:t>Maibach</w:t>
      </w:r>
      <w:proofErr w:type="spellEnd"/>
      <w:r w:rsidRPr="00E87C38">
        <w:t>, E.</w:t>
      </w:r>
      <w:r w:rsidR="00A2643D">
        <w:t xml:space="preserve"> </w:t>
      </w:r>
      <w:r w:rsidRPr="00E87C38">
        <w:t xml:space="preserve">W., </w:t>
      </w:r>
      <w:r w:rsidR="00A2643D">
        <w:t xml:space="preserve">&amp; </w:t>
      </w:r>
      <w:proofErr w:type="spellStart"/>
      <w:r w:rsidRPr="00E87C38">
        <w:t>Reger</w:t>
      </w:r>
      <w:proofErr w:type="spellEnd"/>
      <w:r w:rsidRPr="00E87C38">
        <w:t xml:space="preserve">-Nash, B. (2006). Evaluation of mass media campaigns for physical activity. </w:t>
      </w:r>
      <w:r w:rsidRPr="00E87C38">
        <w:rPr>
          <w:i/>
          <w:iCs/>
        </w:rPr>
        <w:t>Evaluation and Program Planning</w:t>
      </w:r>
      <w:r w:rsidRPr="00A2643D">
        <w:rPr>
          <w:i/>
          <w:iCs/>
        </w:rPr>
        <w:t>,</w:t>
      </w:r>
      <w:r w:rsidRPr="00A2643D">
        <w:rPr>
          <w:i/>
        </w:rPr>
        <w:t xml:space="preserve"> 29,</w:t>
      </w:r>
      <w:r w:rsidRPr="00E87C38">
        <w:t xml:space="preserve"> 312–322.</w:t>
      </w:r>
      <w:bookmarkEnd w:id="117"/>
    </w:p>
    <w:p w:rsidR="00D63F29" w:rsidRDefault="00D63F29" w:rsidP="00B3578B">
      <w:pPr>
        <w:pStyle w:val="biblio"/>
        <w:numPr>
          <w:ilvl w:val="0"/>
          <w:numId w:val="32"/>
        </w:numPr>
        <w:spacing w:after="120"/>
      </w:pPr>
      <w:bookmarkStart w:id="118" w:name="_Ref321736779"/>
      <w:r w:rsidRPr="00E87C38">
        <w:t xml:space="preserve">Bandura, A. (1986). </w:t>
      </w:r>
      <w:r w:rsidRPr="00A2643D">
        <w:rPr>
          <w:i/>
        </w:rPr>
        <w:t>Social foundations of thought and action: A social cognitive theory.</w:t>
      </w:r>
      <w:r w:rsidRPr="00E87C38">
        <w:t xml:space="preserve"> Englewood Cliffs, NJ: Prentice Hall.</w:t>
      </w:r>
      <w:bookmarkEnd w:id="118"/>
    </w:p>
    <w:p w:rsidR="00D63F29" w:rsidRDefault="00D63F29" w:rsidP="00B3578B">
      <w:pPr>
        <w:pStyle w:val="biblio"/>
        <w:numPr>
          <w:ilvl w:val="0"/>
          <w:numId w:val="32"/>
        </w:numPr>
        <w:spacing w:after="120"/>
      </w:pPr>
      <w:bookmarkStart w:id="119" w:name="_Ref321736788"/>
      <w:proofErr w:type="spellStart"/>
      <w:r w:rsidRPr="00E87C38">
        <w:t>Fishbein</w:t>
      </w:r>
      <w:proofErr w:type="spellEnd"/>
      <w:r w:rsidRPr="00E87C38">
        <w:t xml:space="preserve">, M., &amp; </w:t>
      </w:r>
      <w:proofErr w:type="spellStart"/>
      <w:r w:rsidRPr="00E87C38">
        <w:t>Ajzen</w:t>
      </w:r>
      <w:proofErr w:type="spellEnd"/>
      <w:r w:rsidRPr="00E87C38">
        <w:t xml:space="preserve">, I. (1975). </w:t>
      </w:r>
      <w:r w:rsidRPr="00A2643D">
        <w:rPr>
          <w:i/>
        </w:rPr>
        <w:t>Belief, attitude, intention, and behavior: An introduction to theory and research.</w:t>
      </w:r>
      <w:r w:rsidRPr="00E87C38">
        <w:t xml:space="preserve"> Reading, MA: Addison Wesley.</w:t>
      </w:r>
      <w:bookmarkEnd w:id="119"/>
    </w:p>
    <w:p w:rsidR="00D63F29" w:rsidRDefault="00D63F29" w:rsidP="00B3578B">
      <w:pPr>
        <w:pStyle w:val="biblio"/>
        <w:numPr>
          <w:ilvl w:val="0"/>
          <w:numId w:val="32"/>
        </w:numPr>
        <w:spacing w:after="120"/>
      </w:pPr>
      <w:bookmarkStart w:id="120" w:name="_Ref321736793"/>
      <w:r w:rsidRPr="00E87C38">
        <w:t xml:space="preserve">Becker, M. H., </w:t>
      </w:r>
      <w:proofErr w:type="spellStart"/>
      <w:r w:rsidRPr="00E87C38">
        <w:t>Drachman</w:t>
      </w:r>
      <w:proofErr w:type="spellEnd"/>
      <w:r w:rsidRPr="00E87C38">
        <w:t xml:space="preserve">, R. H., &amp; </w:t>
      </w:r>
      <w:proofErr w:type="spellStart"/>
      <w:r w:rsidRPr="00E87C38">
        <w:t>Kirscht</w:t>
      </w:r>
      <w:proofErr w:type="spellEnd"/>
      <w:r w:rsidRPr="00E87C38">
        <w:t xml:space="preserve">, J. P. (1974). A new approach to explaining sick-role behavior in low-income populations. </w:t>
      </w:r>
      <w:r w:rsidRPr="00E87C38">
        <w:rPr>
          <w:i/>
          <w:iCs/>
        </w:rPr>
        <w:t>American Journal of Public Health, 64</w:t>
      </w:r>
      <w:r w:rsidRPr="00E87C38">
        <w:t>(3), 205–216.</w:t>
      </w:r>
      <w:bookmarkEnd w:id="120"/>
    </w:p>
    <w:p w:rsidR="00D63F29" w:rsidRDefault="00D63F29" w:rsidP="00B3578B">
      <w:pPr>
        <w:pStyle w:val="biblio"/>
        <w:numPr>
          <w:ilvl w:val="0"/>
          <w:numId w:val="32"/>
        </w:numPr>
        <w:spacing w:after="120"/>
      </w:pPr>
      <w:bookmarkStart w:id="121" w:name="_Ref321736799"/>
      <w:proofErr w:type="spellStart"/>
      <w:r w:rsidRPr="00E87C38">
        <w:t>Glanz</w:t>
      </w:r>
      <w:proofErr w:type="spellEnd"/>
      <w:r w:rsidRPr="00E87C38">
        <w:t xml:space="preserve">, K., Lewis, M., &amp; </w:t>
      </w:r>
      <w:proofErr w:type="spellStart"/>
      <w:r w:rsidRPr="00E87C38">
        <w:t>Rimer</w:t>
      </w:r>
      <w:proofErr w:type="spellEnd"/>
      <w:r w:rsidRPr="00E87C38">
        <w:t xml:space="preserve">, B. K. (Eds.). (1997). </w:t>
      </w:r>
      <w:r w:rsidRPr="00E87C38">
        <w:rPr>
          <w:i/>
          <w:iCs/>
        </w:rPr>
        <w:t>Health behavior and health education: Theory, research, and practice</w:t>
      </w:r>
      <w:r w:rsidRPr="00E87C38">
        <w:t xml:space="preserve">. San Francisco: </w:t>
      </w:r>
      <w:proofErr w:type="spellStart"/>
      <w:r w:rsidRPr="00E87C38">
        <w:t>Jossey</w:t>
      </w:r>
      <w:proofErr w:type="spellEnd"/>
      <w:r w:rsidRPr="00E87C38">
        <w:t>-Bass.</w:t>
      </w:r>
      <w:bookmarkEnd w:id="121"/>
    </w:p>
    <w:p w:rsidR="00D63F29" w:rsidRDefault="00D63F29" w:rsidP="00B3578B">
      <w:pPr>
        <w:pStyle w:val="biblio"/>
        <w:numPr>
          <w:ilvl w:val="0"/>
          <w:numId w:val="32"/>
        </w:numPr>
        <w:spacing w:after="120"/>
      </w:pPr>
      <w:bookmarkStart w:id="122" w:name="_Ref321736864"/>
      <w:r w:rsidRPr="00E87C38">
        <w:t>Dorsey, R. &amp; Graham, G. (2011).</w:t>
      </w:r>
      <w:r>
        <w:t xml:space="preserve"> </w:t>
      </w:r>
      <w:r w:rsidRPr="00E87C38">
        <w:t>New HHS data standards for race, ethnicity, sex, primary language, and disability status.</w:t>
      </w:r>
      <w:r>
        <w:t xml:space="preserve"> </w:t>
      </w:r>
      <w:r w:rsidRPr="00A2643D">
        <w:rPr>
          <w:i/>
        </w:rPr>
        <w:t>Journal of the American Medical Association, 306</w:t>
      </w:r>
      <w:r w:rsidRPr="00E87C38">
        <w:t>(21), 2378</w:t>
      </w:r>
      <w:r w:rsidR="00A2643D">
        <w:t>–237</w:t>
      </w:r>
      <w:r w:rsidRPr="00E87C38">
        <w:t>9.</w:t>
      </w:r>
      <w:bookmarkEnd w:id="122"/>
    </w:p>
    <w:p w:rsidR="006839C9" w:rsidRDefault="006839C9" w:rsidP="00B3578B">
      <w:pPr>
        <w:pStyle w:val="biblio"/>
        <w:numPr>
          <w:ilvl w:val="0"/>
          <w:numId w:val="32"/>
        </w:numPr>
        <w:spacing w:after="120"/>
      </w:pPr>
      <w:bookmarkStart w:id="123" w:name="_Ref321736893"/>
      <w:r w:rsidRPr="00971D8D">
        <w:t>Abreu, D.</w:t>
      </w:r>
      <w:r w:rsidR="00D63F29">
        <w:t xml:space="preserve"> </w:t>
      </w:r>
      <w:r w:rsidRPr="00971D8D">
        <w:t xml:space="preserve">A., &amp; </w:t>
      </w:r>
      <w:proofErr w:type="gramStart"/>
      <w:r w:rsidRPr="00971D8D">
        <w:t>Winters</w:t>
      </w:r>
      <w:proofErr w:type="gramEnd"/>
      <w:r w:rsidRPr="00971D8D">
        <w:t xml:space="preserve">, F. (1999). </w:t>
      </w:r>
      <w:r w:rsidRPr="00971D8D">
        <w:rPr>
          <w:i/>
        </w:rPr>
        <w:t>Using monetary incentives to reduce attrition in the survey of income and program participation.</w:t>
      </w:r>
      <w:r w:rsidRPr="00E87C38">
        <w:t xml:space="preserve"> Proceedings of the Survey Research Methods Section of the American Statistical Association.</w:t>
      </w:r>
      <w:bookmarkEnd w:id="123"/>
    </w:p>
    <w:p w:rsidR="00D63F29" w:rsidRDefault="00D63F29" w:rsidP="00B3578B">
      <w:pPr>
        <w:pStyle w:val="biblio"/>
        <w:numPr>
          <w:ilvl w:val="0"/>
          <w:numId w:val="32"/>
        </w:numPr>
        <w:spacing w:after="120"/>
      </w:pPr>
      <w:bookmarkStart w:id="124" w:name="_Ref321736897"/>
      <w:proofErr w:type="spellStart"/>
      <w:r w:rsidRPr="00E87C38">
        <w:t>Shettle</w:t>
      </w:r>
      <w:proofErr w:type="spellEnd"/>
      <w:r w:rsidRPr="00E87C38">
        <w:t xml:space="preserve">, C., &amp; Mooney, G. (1999). Monetary incentives in U.S. government surveys. </w:t>
      </w:r>
      <w:r w:rsidRPr="00E87C38">
        <w:rPr>
          <w:i/>
        </w:rPr>
        <w:t>Journal of Official Statistics, 15</w:t>
      </w:r>
      <w:r w:rsidRPr="00E87C38">
        <w:t>, 231</w:t>
      </w:r>
      <w:r w:rsidR="00A2643D">
        <w:t>–</w:t>
      </w:r>
      <w:r w:rsidRPr="00E87C38">
        <w:t>250.</w:t>
      </w:r>
      <w:bookmarkEnd w:id="124"/>
    </w:p>
    <w:p w:rsidR="00D63F29" w:rsidRPr="00E87C38" w:rsidRDefault="00D63F29" w:rsidP="00B3578B">
      <w:pPr>
        <w:pStyle w:val="biblio"/>
        <w:numPr>
          <w:ilvl w:val="0"/>
          <w:numId w:val="32"/>
        </w:numPr>
        <w:spacing w:after="120"/>
      </w:pPr>
      <w:bookmarkStart w:id="125" w:name="_Ref321736915"/>
      <w:r w:rsidRPr="00E87C38">
        <w:t>United States Department of Labor, Bureau of Labor Statistics (US DOL-BLS) (April 6, 2011).</w:t>
      </w:r>
      <w:r>
        <w:t xml:space="preserve"> </w:t>
      </w:r>
      <w:r w:rsidRPr="00FF4185">
        <w:rPr>
          <w:i/>
        </w:rPr>
        <w:t>May 2010 National Occupational Employment and Wage Estimates, United States</w:t>
      </w:r>
      <w:r w:rsidRPr="00E87C38">
        <w:t>.</w:t>
      </w:r>
      <w:r>
        <w:t xml:space="preserve"> </w:t>
      </w:r>
      <w:r w:rsidRPr="00E87C38">
        <w:t xml:space="preserve">Retrieved 2/16/2012 at </w:t>
      </w:r>
      <w:hyperlink r:id="rId31" w:history="1">
        <w:r w:rsidRPr="00E87C38">
          <w:rPr>
            <w:rStyle w:val="Hyperlink"/>
            <w:rFonts w:cstheme="majorBidi"/>
          </w:rPr>
          <w:t>http://www.bls.gov/oes/current/oes_nat.htm</w:t>
        </w:r>
      </w:hyperlink>
      <w:r w:rsidRPr="00E87C38">
        <w:t>.</w:t>
      </w:r>
      <w:bookmarkEnd w:id="125"/>
      <w:r w:rsidRPr="00E87C38">
        <w:t xml:space="preserve"> </w:t>
      </w:r>
    </w:p>
    <w:p w:rsidR="00DE2584" w:rsidRPr="004571DB" w:rsidRDefault="00DE2584" w:rsidP="001A5E75"/>
    <w:sectPr w:rsidR="00DE2584" w:rsidRPr="004571DB" w:rsidSect="00260411">
      <w:footerReference w:type="first" r:id="rId32"/>
      <w:pgSz w:w="12240" w:h="15840"/>
      <w:pgMar w:top="1440" w:right="1440" w:bottom="1440" w:left="1440" w:header="720" w:footer="720" w:gutter="0"/>
      <w:pgNumType w:start="1"/>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06" w:rsidRDefault="00212806">
      <w:r>
        <w:separator/>
      </w:r>
    </w:p>
  </w:endnote>
  <w:endnote w:type="continuationSeparator" w:id="0">
    <w:p w:rsidR="00212806" w:rsidRDefault="0021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FF" w:rsidRDefault="00044AFF"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4AFF" w:rsidRDefault="00044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89766"/>
      <w:docPartObj>
        <w:docPartGallery w:val="Page Numbers (Bottom of Page)"/>
        <w:docPartUnique/>
      </w:docPartObj>
    </w:sdtPr>
    <w:sdtEndPr>
      <w:rPr>
        <w:noProof/>
        <w:sz w:val="22"/>
        <w:szCs w:val="22"/>
      </w:rPr>
    </w:sdtEndPr>
    <w:sdtContent>
      <w:p w:rsidR="00044AFF" w:rsidRPr="000C623A" w:rsidRDefault="00044AFF">
        <w:pPr>
          <w:pStyle w:val="Footer"/>
          <w:jc w:val="center"/>
          <w:rPr>
            <w:sz w:val="22"/>
            <w:szCs w:val="22"/>
          </w:rPr>
        </w:pPr>
        <w:r w:rsidRPr="000C623A">
          <w:rPr>
            <w:sz w:val="22"/>
            <w:szCs w:val="22"/>
          </w:rPr>
          <w:fldChar w:fldCharType="begin"/>
        </w:r>
        <w:r w:rsidRPr="000C623A">
          <w:rPr>
            <w:sz w:val="22"/>
            <w:szCs w:val="22"/>
          </w:rPr>
          <w:instrText xml:space="preserve"> PAGE   \* MERGEFORMAT </w:instrText>
        </w:r>
        <w:r w:rsidRPr="000C623A">
          <w:rPr>
            <w:sz w:val="22"/>
            <w:szCs w:val="22"/>
          </w:rPr>
          <w:fldChar w:fldCharType="separate"/>
        </w:r>
        <w:r w:rsidR="00272016">
          <w:rPr>
            <w:noProof/>
            <w:sz w:val="22"/>
            <w:szCs w:val="22"/>
          </w:rPr>
          <w:t>ii</w:t>
        </w:r>
        <w:r w:rsidRPr="000C623A">
          <w:rPr>
            <w:noProof/>
            <w:sz w:val="22"/>
            <w:szCs w:val="22"/>
          </w:rPr>
          <w:fldChar w:fldCharType="end"/>
        </w:r>
      </w:p>
    </w:sdtContent>
  </w:sdt>
  <w:p w:rsidR="00044AFF" w:rsidRPr="0028273E" w:rsidRDefault="00044AFF" w:rsidP="00583920">
    <w:pPr>
      <w:pStyle w:val="Footer"/>
      <w:tabs>
        <w:tab w:val="clear" w:pos="8640"/>
        <w:tab w:val="left" w:pos="8040"/>
      </w:tabs>
      <w:rPr>
        <w:sz w:val="22"/>
        <w:szCs w:val="22"/>
      </w:rPr>
    </w:pPr>
    <w:r>
      <w:rPr>
        <w:sz w:val="22"/>
        <w:szCs w:val="22"/>
      </w:rPr>
      <w:tab/>
    </w:r>
    <w:r>
      <w:rPr>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FF" w:rsidRDefault="00044AFF" w:rsidP="00260411">
    <w:pPr>
      <w:pStyle w:val="Footer"/>
      <w:jc w:val="center"/>
    </w:pPr>
    <w:r>
      <w:fldChar w:fldCharType="begin"/>
    </w:r>
    <w:r>
      <w:instrText xml:space="preserve"> PAGE   \* MERGEFORMAT </w:instrText>
    </w:r>
    <w:r>
      <w:fldChar w:fldCharType="separate"/>
    </w:r>
    <w:r w:rsidR="0027201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06" w:rsidRDefault="00212806">
      <w:r>
        <w:separator/>
      </w:r>
    </w:p>
  </w:footnote>
  <w:footnote w:type="continuationSeparator" w:id="0">
    <w:p w:rsidR="00212806" w:rsidRDefault="00212806">
      <w:r>
        <w:continuationSeparator/>
      </w:r>
    </w:p>
  </w:footnote>
  <w:footnote w:id="1">
    <w:p w:rsidR="00044AFF" w:rsidRDefault="00044AFF" w:rsidP="007B27FF">
      <w:pPr>
        <w:pStyle w:val="FootnoteText"/>
      </w:pPr>
      <w:r w:rsidRPr="009C3828">
        <w:rPr>
          <w:rStyle w:val="FootnoteReference"/>
          <w:vertAlign w:val="superscript"/>
        </w:rPr>
        <w:footnoteRef/>
      </w:r>
      <w:r>
        <w:t xml:space="preserve"> </w:t>
      </w:r>
      <w:r w:rsidRPr="007B27FF">
        <w:t xml:space="preserve">Media buy data for traditional television advertising are usually expressed in terms of </w:t>
      </w:r>
      <w:r>
        <w:t>gross rating points (</w:t>
      </w:r>
      <w:r w:rsidRPr="007B27FF">
        <w:t>GRPs</w:t>
      </w:r>
      <w:r>
        <w:t>)</w:t>
      </w:r>
      <w:r w:rsidRPr="007B27FF">
        <w:t>. GRPs measure the intensity of advertisements over a designated time period and provide a metric of relative dose by media channel for each media market or community in which relevant media activities are implemented.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FF" w:rsidRPr="0013220A" w:rsidRDefault="00044AFF"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FF" w:rsidRPr="00F04D44" w:rsidRDefault="00044AFF" w:rsidP="00F04D44">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A7DB4"/>
    <w:multiLevelType w:val="hybridMultilevel"/>
    <w:tmpl w:val="8B9C8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384183D"/>
    <w:multiLevelType w:val="hybridMultilevel"/>
    <w:tmpl w:val="0018D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938BB"/>
    <w:multiLevelType w:val="hybridMultilevel"/>
    <w:tmpl w:val="BD7E3290"/>
    <w:lvl w:ilvl="0" w:tplc="8480CB60">
      <w:start w:val="1"/>
      <w:numFmt w:val="decimal"/>
      <w:pStyle w:val="bibli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46AD0"/>
    <w:multiLevelType w:val="hybridMultilevel"/>
    <w:tmpl w:val="21644506"/>
    <w:lvl w:ilvl="0" w:tplc="49DE51BC">
      <w:start w:val="1"/>
      <w:numFmt w:val="decimal"/>
      <w:pStyle w:val="Bullet-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741A76"/>
    <w:multiLevelType w:val="hybridMultilevel"/>
    <w:tmpl w:val="771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E6547"/>
    <w:multiLevelType w:val="hybridMultilevel"/>
    <w:tmpl w:val="3026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E44DE"/>
    <w:multiLevelType w:val="hybridMultilevel"/>
    <w:tmpl w:val="5E00B97E"/>
    <w:lvl w:ilvl="0" w:tplc="ACDC06C6">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30094"/>
    <w:multiLevelType w:val="hybridMultilevel"/>
    <w:tmpl w:val="9828A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3">
    <w:nsid w:val="2C7248BD"/>
    <w:multiLevelType w:val="hybridMultilevel"/>
    <w:tmpl w:val="772EB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56791A"/>
    <w:multiLevelType w:val="hybridMultilevel"/>
    <w:tmpl w:val="B3007CE6"/>
    <w:lvl w:ilvl="0" w:tplc="B19C1A9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2F627F"/>
    <w:multiLevelType w:val="hybridMultilevel"/>
    <w:tmpl w:val="A4BC60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A4235D0"/>
    <w:multiLevelType w:val="hybridMultilevel"/>
    <w:tmpl w:val="5D444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786DB1"/>
    <w:multiLevelType w:val="hybridMultilevel"/>
    <w:tmpl w:val="E0022E96"/>
    <w:lvl w:ilvl="0" w:tplc="D220C472">
      <w:start w:val="1"/>
      <w:numFmt w:val="upp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9">
    <w:nsid w:val="4C535118"/>
    <w:multiLevelType w:val="hybridMultilevel"/>
    <w:tmpl w:val="8CE83D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C72B3"/>
    <w:multiLevelType w:val="hybridMultilevel"/>
    <w:tmpl w:val="AA04FA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D93AD8"/>
    <w:multiLevelType w:val="hybridMultilevel"/>
    <w:tmpl w:val="C3C28DDE"/>
    <w:lvl w:ilvl="0" w:tplc="E2266706">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61D280C"/>
    <w:multiLevelType w:val="hybridMultilevel"/>
    <w:tmpl w:val="FB86E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657956"/>
    <w:multiLevelType w:val="hybridMultilevel"/>
    <w:tmpl w:val="DD5A69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D550DD"/>
    <w:multiLevelType w:val="hybridMultilevel"/>
    <w:tmpl w:val="DB7816C6"/>
    <w:lvl w:ilvl="0" w:tplc="D9C8496A">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77C4203"/>
    <w:multiLevelType w:val="hybridMultilevel"/>
    <w:tmpl w:val="52141DB4"/>
    <w:lvl w:ilvl="0" w:tplc="3CF26C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79E6C38"/>
    <w:multiLevelType w:val="hybridMultilevel"/>
    <w:tmpl w:val="BE7050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56462A"/>
    <w:multiLevelType w:val="hybridMultilevel"/>
    <w:tmpl w:val="F5205A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20E43"/>
    <w:multiLevelType w:val="hybridMultilevel"/>
    <w:tmpl w:val="A72CD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10C09"/>
    <w:multiLevelType w:val="hybridMultilevel"/>
    <w:tmpl w:val="E23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0138FF"/>
    <w:multiLevelType w:val="hybridMultilevel"/>
    <w:tmpl w:val="7020D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2"/>
  </w:num>
  <w:num w:numId="3">
    <w:abstractNumId w:val="9"/>
  </w:num>
  <w:num w:numId="4">
    <w:abstractNumId w:val="21"/>
  </w:num>
  <w:num w:numId="5">
    <w:abstractNumId w:val="16"/>
  </w:num>
  <w:num w:numId="6">
    <w:abstractNumId w:val="1"/>
  </w:num>
  <w:num w:numId="7">
    <w:abstractNumId w:val="10"/>
  </w:num>
  <w:num w:numId="8">
    <w:abstractNumId w:val="18"/>
  </w:num>
  <w:num w:numId="9">
    <w:abstractNumId w:val="13"/>
  </w:num>
  <w:num w:numId="10">
    <w:abstractNumId w:val="5"/>
  </w:num>
  <w:num w:numId="11">
    <w:abstractNumId w:val="8"/>
  </w:num>
  <w:num w:numId="12">
    <w:abstractNumId w:val="25"/>
  </w:num>
  <w:num w:numId="13">
    <w:abstractNumId w:val="2"/>
  </w:num>
  <w:num w:numId="14">
    <w:abstractNumId w:val="24"/>
  </w:num>
  <w:num w:numId="15">
    <w:abstractNumId w:val="14"/>
  </w:num>
  <w:num w:numId="16">
    <w:abstractNumId w:val="5"/>
    <w:lvlOverride w:ilvl="0">
      <w:startOverride w:val="1"/>
    </w:lvlOverride>
  </w:num>
  <w:num w:numId="17">
    <w:abstractNumId w:val="15"/>
  </w:num>
  <w:num w:numId="18">
    <w:abstractNumId w:val="29"/>
  </w:num>
  <w:num w:numId="19">
    <w:abstractNumId w:val="4"/>
  </w:num>
  <w:num w:numId="20">
    <w:abstractNumId w:val="17"/>
  </w:num>
  <w:num w:numId="21">
    <w:abstractNumId w:val="21"/>
  </w:num>
  <w:num w:numId="22">
    <w:abstractNumId w:val="21"/>
  </w:num>
  <w:num w:numId="23">
    <w:abstractNumId w:val="6"/>
  </w:num>
  <w:num w:numId="24">
    <w:abstractNumId w:val="30"/>
  </w:num>
  <w:num w:numId="25">
    <w:abstractNumId w:val="22"/>
  </w:num>
  <w:num w:numId="26">
    <w:abstractNumId w:val="23"/>
  </w:num>
  <w:num w:numId="27">
    <w:abstractNumId w:val="7"/>
  </w:num>
  <w:num w:numId="28">
    <w:abstractNumId w:val="20"/>
  </w:num>
  <w:num w:numId="29">
    <w:abstractNumId w:val="26"/>
  </w:num>
  <w:num w:numId="30">
    <w:abstractNumId w:val="28"/>
  </w:num>
  <w:num w:numId="31">
    <w:abstractNumId w:val="11"/>
  </w:num>
  <w:num w:numId="32">
    <w:abstractNumId w:val="3"/>
  </w:num>
  <w:num w:numId="33">
    <w:abstractNumId w:val="19"/>
  </w:num>
  <w:num w:numId="3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1053"/>
    <w:rsid w:val="000029DD"/>
    <w:rsid w:val="000063D0"/>
    <w:rsid w:val="00006A81"/>
    <w:rsid w:val="00010D2D"/>
    <w:rsid w:val="00012EAC"/>
    <w:rsid w:val="00014D0A"/>
    <w:rsid w:val="000155E4"/>
    <w:rsid w:val="000157BE"/>
    <w:rsid w:val="0001620C"/>
    <w:rsid w:val="0001632D"/>
    <w:rsid w:val="00017648"/>
    <w:rsid w:val="000209ED"/>
    <w:rsid w:val="0002616D"/>
    <w:rsid w:val="00027784"/>
    <w:rsid w:val="00030B69"/>
    <w:rsid w:val="00031072"/>
    <w:rsid w:val="000335F1"/>
    <w:rsid w:val="000343DB"/>
    <w:rsid w:val="00036C16"/>
    <w:rsid w:val="00037C92"/>
    <w:rsid w:val="000420B8"/>
    <w:rsid w:val="0004256E"/>
    <w:rsid w:val="00044AFF"/>
    <w:rsid w:val="00046704"/>
    <w:rsid w:val="0004773D"/>
    <w:rsid w:val="00047BA1"/>
    <w:rsid w:val="000543DD"/>
    <w:rsid w:val="00055249"/>
    <w:rsid w:val="00055541"/>
    <w:rsid w:val="0005785F"/>
    <w:rsid w:val="00057B43"/>
    <w:rsid w:val="00057C3E"/>
    <w:rsid w:val="000615EA"/>
    <w:rsid w:val="00061A90"/>
    <w:rsid w:val="00065F0A"/>
    <w:rsid w:val="00071515"/>
    <w:rsid w:val="00071BCD"/>
    <w:rsid w:val="00072A10"/>
    <w:rsid w:val="00072B56"/>
    <w:rsid w:val="0007461A"/>
    <w:rsid w:val="000756DD"/>
    <w:rsid w:val="00077028"/>
    <w:rsid w:val="00084F9F"/>
    <w:rsid w:val="00086A90"/>
    <w:rsid w:val="000904C5"/>
    <w:rsid w:val="00091257"/>
    <w:rsid w:val="00091F2A"/>
    <w:rsid w:val="00093B84"/>
    <w:rsid w:val="00093F1B"/>
    <w:rsid w:val="000941DB"/>
    <w:rsid w:val="000A050F"/>
    <w:rsid w:val="000A0A70"/>
    <w:rsid w:val="000A15A7"/>
    <w:rsid w:val="000A1CE1"/>
    <w:rsid w:val="000A2B87"/>
    <w:rsid w:val="000A2DC2"/>
    <w:rsid w:val="000A303F"/>
    <w:rsid w:val="000A3474"/>
    <w:rsid w:val="000A3F23"/>
    <w:rsid w:val="000A76F1"/>
    <w:rsid w:val="000B116F"/>
    <w:rsid w:val="000B29DF"/>
    <w:rsid w:val="000B2BDE"/>
    <w:rsid w:val="000B366D"/>
    <w:rsid w:val="000B37BC"/>
    <w:rsid w:val="000B446A"/>
    <w:rsid w:val="000B6DA2"/>
    <w:rsid w:val="000C282A"/>
    <w:rsid w:val="000C33CD"/>
    <w:rsid w:val="000C48BA"/>
    <w:rsid w:val="000C4B9F"/>
    <w:rsid w:val="000C623A"/>
    <w:rsid w:val="000C6240"/>
    <w:rsid w:val="000C706F"/>
    <w:rsid w:val="000C7958"/>
    <w:rsid w:val="000C7EAC"/>
    <w:rsid w:val="000D0E81"/>
    <w:rsid w:val="000D1103"/>
    <w:rsid w:val="000D36FE"/>
    <w:rsid w:val="000D3BA8"/>
    <w:rsid w:val="000D4B04"/>
    <w:rsid w:val="000D5C3C"/>
    <w:rsid w:val="000D750F"/>
    <w:rsid w:val="000D76DF"/>
    <w:rsid w:val="000E38CC"/>
    <w:rsid w:val="000E3C1F"/>
    <w:rsid w:val="000E7C7D"/>
    <w:rsid w:val="000F01B9"/>
    <w:rsid w:val="000F146A"/>
    <w:rsid w:val="000F150F"/>
    <w:rsid w:val="000F42CD"/>
    <w:rsid w:val="000F48FA"/>
    <w:rsid w:val="000F5ADE"/>
    <w:rsid w:val="000F5C25"/>
    <w:rsid w:val="000F748C"/>
    <w:rsid w:val="0010293F"/>
    <w:rsid w:val="001029B1"/>
    <w:rsid w:val="00104191"/>
    <w:rsid w:val="001042D4"/>
    <w:rsid w:val="00104C30"/>
    <w:rsid w:val="0010704B"/>
    <w:rsid w:val="0010713F"/>
    <w:rsid w:val="00107192"/>
    <w:rsid w:val="001077DB"/>
    <w:rsid w:val="001101C8"/>
    <w:rsid w:val="00110E8C"/>
    <w:rsid w:val="00111143"/>
    <w:rsid w:val="00111393"/>
    <w:rsid w:val="00112AE7"/>
    <w:rsid w:val="00113BE7"/>
    <w:rsid w:val="0011487C"/>
    <w:rsid w:val="00114DB5"/>
    <w:rsid w:val="00116CA0"/>
    <w:rsid w:val="001205F3"/>
    <w:rsid w:val="00121B5A"/>
    <w:rsid w:val="0012470F"/>
    <w:rsid w:val="001258DE"/>
    <w:rsid w:val="00126282"/>
    <w:rsid w:val="00126401"/>
    <w:rsid w:val="0012683F"/>
    <w:rsid w:val="0013082B"/>
    <w:rsid w:val="0013220A"/>
    <w:rsid w:val="0013262A"/>
    <w:rsid w:val="001334C0"/>
    <w:rsid w:val="00133C3F"/>
    <w:rsid w:val="00133E26"/>
    <w:rsid w:val="001342A4"/>
    <w:rsid w:val="00134491"/>
    <w:rsid w:val="00134BA8"/>
    <w:rsid w:val="0013620B"/>
    <w:rsid w:val="00136300"/>
    <w:rsid w:val="00140125"/>
    <w:rsid w:val="00140190"/>
    <w:rsid w:val="00140E61"/>
    <w:rsid w:val="00141559"/>
    <w:rsid w:val="00142BAD"/>
    <w:rsid w:val="00142C1F"/>
    <w:rsid w:val="001449A6"/>
    <w:rsid w:val="00147E4C"/>
    <w:rsid w:val="001505B0"/>
    <w:rsid w:val="00150BA7"/>
    <w:rsid w:val="0015382B"/>
    <w:rsid w:val="00153FD5"/>
    <w:rsid w:val="00153FFB"/>
    <w:rsid w:val="00156876"/>
    <w:rsid w:val="00157FC3"/>
    <w:rsid w:val="00161FB9"/>
    <w:rsid w:val="00162178"/>
    <w:rsid w:val="0016388A"/>
    <w:rsid w:val="0016424A"/>
    <w:rsid w:val="00164DBD"/>
    <w:rsid w:val="00165207"/>
    <w:rsid w:val="00165DFD"/>
    <w:rsid w:val="00166C51"/>
    <w:rsid w:val="0017188E"/>
    <w:rsid w:val="00172FBA"/>
    <w:rsid w:val="00173C83"/>
    <w:rsid w:val="00174D50"/>
    <w:rsid w:val="00175214"/>
    <w:rsid w:val="00175B59"/>
    <w:rsid w:val="00177435"/>
    <w:rsid w:val="00180890"/>
    <w:rsid w:val="00180B22"/>
    <w:rsid w:val="00180D10"/>
    <w:rsid w:val="00182D8E"/>
    <w:rsid w:val="00184812"/>
    <w:rsid w:val="00185EE9"/>
    <w:rsid w:val="001870CD"/>
    <w:rsid w:val="0019316A"/>
    <w:rsid w:val="0019445D"/>
    <w:rsid w:val="00195347"/>
    <w:rsid w:val="00196F38"/>
    <w:rsid w:val="001A0037"/>
    <w:rsid w:val="001A018D"/>
    <w:rsid w:val="001A062B"/>
    <w:rsid w:val="001A0E45"/>
    <w:rsid w:val="001A2791"/>
    <w:rsid w:val="001A3188"/>
    <w:rsid w:val="001A4205"/>
    <w:rsid w:val="001A48C5"/>
    <w:rsid w:val="001A4EC3"/>
    <w:rsid w:val="001A5CE3"/>
    <w:rsid w:val="001A5E75"/>
    <w:rsid w:val="001A691B"/>
    <w:rsid w:val="001A7E28"/>
    <w:rsid w:val="001B1620"/>
    <w:rsid w:val="001B1B1D"/>
    <w:rsid w:val="001B6179"/>
    <w:rsid w:val="001C0A3E"/>
    <w:rsid w:val="001C1ABC"/>
    <w:rsid w:val="001C2912"/>
    <w:rsid w:val="001C34E8"/>
    <w:rsid w:val="001C4505"/>
    <w:rsid w:val="001C7BF3"/>
    <w:rsid w:val="001D15DF"/>
    <w:rsid w:val="001D1A33"/>
    <w:rsid w:val="001D2A43"/>
    <w:rsid w:val="001D2C11"/>
    <w:rsid w:val="001D4545"/>
    <w:rsid w:val="001D4656"/>
    <w:rsid w:val="001D54D1"/>
    <w:rsid w:val="001D7FD1"/>
    <w:rsid w:val="001E24E5"/>
    <w:rsid w:val="001E32BD"/>
    <w:rsid w:val="001E4E31"/>
    <w:rsid w:val="001F27E4"/>
    <w:rsid w:val="001F4AA2"/>
    <w:rsid w:val="001F4F0E"/>
    <w:rsid w:val="001F5ABC"/>
    <w:rsid w:val="001F64CB"/>
    <w:rsid w:val="001F6700"/>
    <w:rsid w:val="001F6743"/>
    <w:rsid w:val="001F6B3A"/>
    <w:rsid w:val="001F6FAF"/>
    <w:rsid w:val="001F7120"/>
    <w:rsid w:val="00200440"/>
    <w:rsid w:val="00200A58"/>
    <w:rsid w:val="00200A69"/>
    <w:rsid w:val="00202526"/>
    <w:rsid w:val="00202F3C"/>
    <w:rsid w:val="00204B64"/>
    <w:rsid w:val="00204F44"/>
    <w:rsid w:val="002061A9"/>
    <w:rsid w:val="002078FC"/>
    <w:rsid w:val="00210D32"/>
    <w:rsid w:val="00211CDC"/>
    <w:rsid w:val="00211FE3"/>
    <w:rsid w:val="00212289"/>
    <w:rsid w:val="0021239A"/>
    <w:rsid w:val="00212806"/>
    <w:rsid w:val="00212BFE"/>
    <w:rsid w:val="002134A2"/>
    <w:rsid w:val="00213F58"/>
    <w:rsid w:val="00215D62"/>
    <w:rsid w:val="00217526"/>
    <w:rsid w:val="002206A0"/>
    <w:rsid w:val="00220821"/>
    <w:rsid w:val="00220B3C"/>
    <w:rsid w:val="00223E38"/>
    <w:rsid w:val="00224338"/>
    <w:rsid w:val="00224690"/>
    <w:rsid w:val="00224ED0"/>
    <w:rsid w:val="002253F3"/>
    <w:rsid w:val="00227070"/>
    <w:rsid w:val="00230094"/>
    <w:rsid w:val="00230138"/>
    <w:rsid w:val="00231323"/>
    <w:rsid w:val="00231BED"/>
    <w:rsid w:val="00232840"/>
    <w:rsid w:val="00232D9C"/>
    <w:rsid w:val="00233C55"/>
    <w:rsid w:val="002340DB"/>
    <w:rsid w:val="0023466F"/>
    <w:rsid w:val="00235257"/>
    <w:rsid w:val="00237970"/>
    <w:rsid w:val="00240662"/>
    <w:rsid w:val="00240896"/>
    <w:rsid w:val="00242D8D"/>
    <w:rsid w:val="0024345B"/>
    <w:rsid w:val="00244EB6"/>
    <w:rsid w:val="00245EEB"/>
    <w:rsid w:val="002478D9"/>
    <w:rsid w:val="0025024D"/>
    <w:rsid w:val="00250B2A"/>
    <w:rsid w:val="002519F3"/>
    <w:rsid w:val="0025483A"/>
    <w:rsid w:val="00254C6E"/>
    <w:rsid w:val="00256D46"/>
    <w:rsid w:val="00260411"/>
    <w:rsid w:val="00260F59"/>
    <w:rsid w:val="00261574"/>
    <w:rsid w:val="00262243"/>
    <w:rsid w:val="002632D4"/>
    <w:rsid w:val="00270132"/>
    <w:rsid w:val="00270EC4"/>
    <w:rsid w:val="00272016"/>
    <w:rsid w:val="00274236"/>
    <w:rsid w:val="00276DF9"/>
    <w:rsid w:val="00277E9A"/>
    <w:rsid w:val="00281693"/>
    <w:rsid w:val="0028196A"/>
    <w:rsid w:val="00281AA1"/>
    <w:rsid w:val="0028273E"/>
    <w:rsid w:val="00283677"/>
    <w:rsid w:val="00286E9A"/>
    <w:rsid w:val="002873F6"/>
    <w:rsid w:val="00287400"/>
    <w:rsid w:val="00290150"/>
    <w:rsid w:val="002905D3"/>
    <w:rsid w:val="00290638"/>
    <w:rsid w:val="002929CE"/>
    <w:rsid w:val="00293FB7"/>
    <w:rsid w:val="0029440B"/>
    <w:rsid w:val="00294A38"/>
    <w:rsid w:val="00294AD7"/>
    <w:rsid w:val="00296767"/>
    <w:rsid w:val="002971C4"/>
    <w:rsid w:val="00297856"/>
    <w:rsid w:val="002A1B33"/>
    <w:rsid w:val="002A32F3"/>
    <w:rsid w:val="002A3B99"/>
    <w:rsid w:val="002A546D"/>
    <w:rsid w:val="002A6A61"/>
    <w:rsid w:val="002B05AB"/>
    <w:rsid w:val="002B1AE7"/>
    <w:rsid w:val="002B25D5"/>
    <w:rsid w:val="002B61C6"/>
    <w:rsid w:val="002B7B6E"/>
    <w:rsid w:val="002C0C68"/>
    <w:rsid w:val="002C101D"/>
    <w:rsid w:val="002C1D8D"/>
    <w:rsid w:val="002C28B2"/>
    <w:rsid w:val="002C486F"/>
    <w:rsid w:val="002D360D"/>
    <w:rsid w:val="002D4AE8"/>
    <w:rsid w:val="002D74EC"/>
    <w:rsid w:val="002D7574"/>
    <w:rsid w:val="002D79DF"/>
    <w:rsid w:val="002D7D0E"/>
    <w:rsid w:val="002E16BE"/>
    <w:rsid w:val="002E25BE"/>
    <w:rsid w:val="002E2EF5"/>
    <w:rsid w:val="002E34FB"/>
    <w:rsid w:val="002E3FB9"/>
    <w:rsid w:val="002E496F"/>
    <w:rsid w:val="002E4DB9"/>
    <w:rsid w:val="002E54CB"/>
    <w:rsid w:val="002E5D8F"/>
    <w:rsid w:val="002E72B3"/>
    <w:rsid w:val="002F2F57"/>
    <w:rsid w:val="002F33AD"/>
    <w:rsid w:val="002F363F"/>
    <w:rsid w:val="002F5C5E"/>
    <w:rsid w:val="002F6196"/>
    <w:rsid w:val="002F755D"/>
    <w:rsid w:val="00300D05"/>
    <w:rsid w:val="003013F8"/>
    <w:rsid w:val="00301B1F"/>
    <w:rsid w:val="00306CBD"/>
    <w:rsid w:val="00311A7F"/>
    <w:rsid w:val="0031252B"/>
    <w:rsid w:val="00312902"/>
    <w:rsid w:val="00313809"/>
    <w:rsid w:val="003143A0"/>
    <w:rsid w:val="00315167"/>
    <w:rsid w:val="00315F22"/>
    <w:rsid w:val="00316D80"/>
    <w:rsid w:val="00317345"/>
    <w:rsid w:val="00325873"/>
    <w:rsid w:val="00326C53"/>
    <w:rsid w:val="003271AD"/>
    <w:rsid w:val="0032744C"/>
    <w:rsid w:val="003305CE"/>
    <w:rsid w:val="00331400"/>
    <w:rsid w:val="0033194E"/>
    <w:rsid w:val="00333823"/>
    <w:rsid w:val="003345A4"/>
    <w:rsid w:val="0033470C"/>
    <w:rsid w:val="003347BB"/>
    <w:rsid w:val="00334C6B"/>
    <w:rsid w:val="003354DA"/>
    <w:rsid w:val="00337EEE"/>
    <w:rsid w:val="00337F8F"/>
    <w:rsid w:val="00340502"/>
    <w:rsid w:val="0034199A"/>
    <w:rsid w:val="0034299F"/>
    <w:rsid w:val="00343607"/>
    <w:rsid w:val="003442EB"/>
    <w:rsid w:val="00345DBD"/>
    <w:rsid w:val="00346435"/>
    <w:rsid w:val="0034718A"/>
    <w:rsid w:val="00347BAC"/>
    <w:rsid w:val="00347D69"/>
    <w:rsid w:val="00347F3E"/>
    <w:rsid w:val="0035088C"/>
    <w:rsid w:val="00350ED5"/>
    <w:rsid w:val="00351619"/>
    <w:rsid w:val="00351D92"/>
    <w:rsid w:val="0035322A"/>
    <w:rsid w:val="003538BD"/>
    <w:rsid w:val="00353971"/>
    <w:rsid w:val="00353998"/>
    <w:rsid w:val="003561DD"/>
    <w:rsid w:val="00356416"/>
    <w:rsid w:val="00356485"/>
    <w:rsid w:val="003571CF"/>
    <w:rsid w:val="00357C62"/>
    <w:rsid w:val="00357D37"/>
    <w:rsid w:val="003623EA"/>
    <w:rsid w:val="003631EE"/>
    <w:rsid w:val="00364195"/>
    <w:rsid w:val="00365CCD"/>
    <w:rsid w:val="0036630E"/>
    <w:rsid w:val="003675FF"/>
    <w:rsid w:val="0037000F"/>
    <w:rsid w:val="00370B87"/>
    <w:rsid w:val="00370DC1"/>
    <w:rsid w:val="00374DE5"/>
    <w:rsid w:val="00375BA1"/>
    <w:rsid w:val="00377845"/>
    <w:rsid w:val="003809B4"/>
    <w:rsid w:val="00381E5D"/>
    <w:rsid w:val="00382BB0"/>
    <w:rsid w:val="0038319E"/>
    <w:rsid w:val="00383A88"/>
    <w:rsid w:val="00383C19"/>
    <w:rsid w:val="00383F12"/>
    <w:rsid w:val="003841A9"/>
    <w:rsid w:val="0039474B"/>
    <w:rsid w:val="0039691F"/>
    <w:rsid w:val="0039710C"/>
    <w:rsid w:val="003976BB"/>
    <w:rsid w:val="0039788D"/>
    <w:rsid w:val="003A0653"/>
    <w:rsid w:val="003A0A7C"/>
    <w:rsid w:val="003A29B9"/>
    <w:rsid w:val="003A29F0"/>
    <w:rsid w:val="003A38FA"/>
    <w:rsid w:val="003A4B47"/>
    <w:rsid w:val="003A6737"/>
    <w:rsid w:val="003A75E9"/>
    <w:rsid w:val="003B13E9"/>
    <w:rsid w:val="003B1D53"/>
    <w:rsid w:val="003B2CA3"/>
    <w:rsid w:val="003B489E"/>
    <w:rsid w:val="003B4CC4"/>
    <w:rsid w:val="003B5AD9"/>
    <w:rsid w:val="003B5B57"/>
    <w:rsid w:val="003B6395"/>
    <w:rsid w:val="003B6C58"/>
    <w:rsid w:val="003B71D0"/>
    <w:rsid w:val="003C0E62"/>
    <w:rsid w:val="003C1F43"/>
    <w:rsid w:val="003C273E"/>
    <w:rsid w:val="003C29DE"/>
    <w:rsid w:val="003C2A21"/>
    <w:rsid w:val="003D000C"/>
    <w:rsid w:val="003D0287"/>
    <w:rsid w:val="003D1B53"/>
    <w:rsid w:val="003D2894"/>
    <w:rsid w:val="003D4B15"/>
    <w:rsid w:val="003D5252"/>
    <w:rsid w:val="003D6156"/>
    <w:rsid w:val="003D6306"/>
    <w:rsid w:val="003D7743"/>
    <w:rsid w:val="003D7A08"/>
    <w:rsid w:val="003E0AF3"/>
    <w:rsid w:val="003E2931"/>
    <w:rsid w:val="003E2DF8"/>
    <w:rsid w:val="003E3A59"/>
    <w:rsid w:val="003E4AC6"/>
    <w:rsid w:val="003E5090"/>
    <w:rsid w:val="003E586A"/>
    <w:rsid w:val="003E5877"/>
    <w:rsid w:val="003E5E64"/>
    <w:rsid w:val="003E674B"/>
    <w:rsid w:val="003F00C9"/>
    <w:rsid w:val="003F2028"/>
    <w:rsid w:val="003F3259"/>
    <w:rsid w:val="003F396B"/>
    <w:rsid w:val="003F3D80"/>
    <w:rsid w:val="003F4049"/>
    <w:rsid w:val="003F45EE"/>
    <w:rsid w:val="003F471F"/>
    <w:rsid w:val="003F50DD"/>
    <w:rsid w:val="003F5557"/>
    <w:rsid w:val="003F6202"/>
    <w:rsid w:val="003F72B1"/>
    <w:rsid w:val="003F7820"/>
    <w:rsid w:val="003F78ED"/>
    <w:rsid w:val="003F7E65"/>
    <w:rsid w:val="004003D3"/>
    <w:rsid w:val="00400F6B"/>
    <w:rsid w:val="00401EC4"/>
    <w:rsid w:val="004038F2"/>
    <w:rsid w:val="004041AB"/>
    <w:rsid w:val="00404994"/>
    <w:rsid w:val="004105B4"/>
    <w:rsid w:val="004116C0"/>
    <w:rsid w:val="0041192F"/>
    <w:rsid w:val="0041207F"/>
    <w:rsid w:val="004144F4"/>
    <w:rsid w:val="0041633B"/>
    <w:rsid w:val="004163EB"/>
    <w:rsid w:val="00417243"/>
    <w:rsid w:val="00421CD3"/>
    <w:rsid w:val="00426173"/>
    <w:rsid w:val="004272FA"/>
    <w:rsid w:val="00432A27"/>
    <w:rsid w:val="0043383D"/>
    <w:rsid w:val="00433952"/>
    <w:rsid w:val="00433A69"/>
    <w:rsid w:val="004340E8"/>
    <w:rsid w:val="004343EB"/>
    <w:rsid w:val="00434445"/>
    <w:rsid w:val="00435F6D"/>
    <w:rsid w:val="00436FC0"/>
    <w:rsid w:val="00437528"/>
    <w:rsid w:val="00440302"/>
    <w:rsid w:val="00442EE4"/>
    <w:rsid w:val="004467CC"/>
    <w:rsid w:val="00446ECB"/>
    <w:rsid w:val="00451D62"/>
    <w:rsid w:val="0045241F"/>
    <w:rsid w:val="00454001"/>
    <w:rsid w:val="0045538C"/>
    <w:rsid w:val="004559B0"/>
    <w:rsid w:val="00455E85"/>
    <w:rsid w:val="00456D33"/>
    <w:rsid w:val="004571DB"/>
    <w:rsid w:val="00457258"/>
    <w:rsid w:val="00457C2E"/>
    <w:rsid w:val="00460B7F"/>
    <w:rsid w:val="00464D46"/>
    <w:rsid w:val="00467B9C"/>
    <w:rsid w:val="00470667"/>
    <w:rsid w:val="00471AC5"/>
    <w:rsid w:val="004721CC"/>
    <w:rsid w:val="00472CED"/>
    <w:rsid w:val="00472E65"/>
    <w:rsid w:val="00473A53"/>
    <w:rsid w:val="00474222"/>
    <w:rsid w:val="00474A3B"/>
    <w:rsid w:val="00474B72"/>
    <w:rsid w:val="00476C57"/>
    <w:rsid w:val="00482040"/>
    <w:rsid w:val="004831C5"/>
    <w:rsid w:val="00483278"/>
    <w:rsid w:val="00483422"/>
    <w:rsid w:val="0048361F"/>
    <w:rsid w:val="004836D2"/>
    <w:rsid w:val="00483EE7"/>
    <w:rsid w:val="004843E0"/>
    <w:rsid w:val="00484A87"/>
    <w:rsid w:val="00484E14"/>
    <w:rsid w:val="0048572C"/>
    <w:rsid w:val="00485AD6"/>
    <w:rsid w:val="004864E1"/>
    <w:rsid w:val="00487BDD"/>
    <w:rsid w:val="00487BFA"/>
    <w:rsid w:val="00490F28"/>
    <w:rsid w:val="00492375"/>
    <w:rsid w:val="004923AD"/>
    <w:rsid w:val="00494A1B"/>
    <w:rsid w:val="00495FE1"/>
    <w:rsid w:val="00496F70"/>
    <w:rsid w:val="004A162B"/>
    <w:rsid w:val="004A2567"/>
    <w:rsid w:val="004A29DF"/>
    <w:rsid w:val="004A2E74"/>
    <w:rsid w:val="004A3426"/>
    <w:rsid w:val="004A54CA"/>
    <w:rsid w:val="004A6042"/>
    <w:rsid w:val="004A6C51"/>
    <w:rsid w:val="004A6FC7"/>
    <w:rsid w:val="004A7A38"/>
    <w:rsid w:val="004B05C6"/>
    <w:rsid w:val="004B0C83"/>
    <w:rsid w:val="004B3EF0"/>
    <w:rsid w:val="004B3F4E"/>
    <w:rsid w:val="004B4393"/>
    <w:rsid w:val="004B46DA"/>
    <w:rsid w:val="004B5091"/>
    <w:rsid w:val="004B5696"/>
    <w:rsid w:val="004B5F2C"/>
    <w:rsid w:val="004B7CBE"/>
    <w:rsid w:val="004C11D6"/>
    <w:rsid w:val="004C3A3C"/>
    <w:rsid w:val="004C3D5C"/>
    <w:rsid w:val="004D0576"/>
    <w:rsid w:val="004D1DFB"/>
    <w:rsid w:val="004D1F71"/>
    <w:rsid w:val="004D2CBF"/>
    <w:rsid w:val="004D2D71"/>
    <w:rsid w:val="004D43B3"/>
    <w:rsid w:val="004D47C7"/>
    <w:rsid w:val="004D4CA1"/>
    <w:rsid w:val="004E0B46"/>
    <w:rsid w:val="004E0F37"/>
    <w:rsid w:val="004E2DB4"/>
    <w:rsid w:val="004E2EE7"/>
    <w:rsid w:val="004E7ED2"/>
    <w:rsid w:val="004F0E03"/>
    <w:rsid w:val="004F1417"/>
    <w:rsid w:val="004F17D9"/>
    <w:rsid w:val="004F1D70"/>
    <w:rsid w:val="004F1E59"/>
    <w:rsid w:val="004F24BC"/>
    <w:rsid w:val="004F5429"/>
    <w:rsid w:val="004F542C"/>
    <w:rsid w:val="004F57FA"/>
    <w:rsid w:val="004F7418"/>
    <w:rsid w:val="005000C9"/>
    <w:rsid w:val="00500518"/>
    <w:rsid w:val="00501012"/>
    <w:rsid w:val="005016B0"/>
    <w:rsid w:val="00501F67"/>
    <w:rsid w:val="005021F5"/>
    <w:rsid w:val="00503096"/>
    <w:rsid w:val="005033F5"/>
    <w:rsid w:val="00503A61"/>
    <w:rsid w:val="00504012"/>
    <w:rsid w:val="00505B46"/>
    <w:rsid w:val="0050634B"/>
    <w:rsid w:val="005073A6"/>
    <w:rsid w:val="00507454"/>
    <w:rsid w:val="00510952"/>
    <w:rsid w:val="00512780"/>
    <w:rsid w:val="00514EFE"/>
    <w:rsid w:val="005152FD"/>
    <w:rsid w:val="0051599C"/>
    <w:rsid w:val="00516054"/>
    <w:rsid w:val="0051697D"/>
    <w:rsid w:val="00520D4E"/>
    <w:rsid w:val="00523BF1"/>
    <w:rsid w:val="005257F6"/>
    <w:rsid w:val="00527415"/>
    <w:rsid w:val="00530660"/>
    <w:rsid w:val="00533227"/>
    <w:rsid w:val="005332D5"/>
    <w:rsid w:val="005364F2"/>
    <w:rsid w:val="00537133"/>
    <w:rsid w:val="005377E4"/>
    <w:rsid w:val="0053789F"/>
    <w:rsid w:val="005379D5"/>
    <w:rsid w:val="00542475"/>
    <w:rsid w:val="00543F40"/>
    <w:rsid w:val="00545E91"/>
    <w:rsid w:val="00546640"/>
    <w:rsid w:val="00546BD6"/>
    <w:rsid w:val="00547752"/>
    <w:rsid w:val="0055026E"/>
    <w:rsid w:val="00551E56"/>
    <w:rsid w:val="00551F93"/>
    <w:rsid w:val="00552B47"/>
    <w:rsid w:val="00552CAE"/>
    <w:rsid w:val="00554209"/>
    <w:rsid w:val="00554F2B"/>
    <w:rsid w:val="00557B6A"/>
    <w:rsid w:val="0056151B"/>
    <w:rsid w:val="005618E9"/>
    <w:rsid w:val="00561E12"/>
    <w:rsid w:val="00562769"/>
    <w:rsid w:val="00563487"/>
    <w:rsid w:val="005648A1"/>
    <w:rsid w:val="00564DBB"/>
    <w:rsid w:val="00564E6F"/>
    <w:rsid w:val="00566ACE"/>
    <w:rsid w:val="00573E43"/>
    <w:rsid w:val="00574E8D"/>
    <w:rsid w:val="005759AB"/>
    <w:rsid w:val="00575AC6"/>
    <w:rsid w:val="00575C74"/>
    <w:rsid w:val="005761DC"/>
    <w:rsid w:val="00576E6A"/>
    <w:rsid w:val="005779FA"/>
    <w:rsid w:val="00581D59"/>
    <w:rsid w:val="00581DC9"/>
    <w:rsid w:val="00583191"/>
    <w:rsid w:val="0058323B"/>
    <w:rsid w:val="00583920"/>
    <w:rsid w:val="00584ED0"/>
    <w:rsid w:val="00585903"/>
    <w:rsid w:val="00595825"/>
    <w:rsid w:val="00596284"/>
    <w:rsid w:val="00596558"/>
    <w:rsid w:val="005967D4"/>
    <w:rsid w:val="005A077A"/>
    <w:rsid w:val="005A1162"/>
    <w:rsid w:val="005A1881"/>
    <w:rsid w:val="005A37CB"/>
    <w:rsid w:val="005A50C3"/>
    <w:rsid w:val="005A52F5"/>
    <w:rsid w:val="005A5D37"/>
    <w:rsid w:val="005A6DDB"/>
    <w:rsid w:val="005A7026"/>
    <w:rsid w:val="005A7754"/>
    <w:rsid w:val="005B04F9"/>
    <w:rsid w:val="005B3967"/>
    <w:rsid w:val="005B4D06"/>
    <w:rsid w:val="005B771A"/>
    <w:rsid w:val="005C098A"/>
    <w:rsid w:val="005C13CD"/>
    <w:rsid w:val="005C17D0"/>
    <w:rsid w:val="005C4089"/>
    <w:rsid w:val="005C5699"/>
    <w:rsid w:val="005C776F"/>
    <w:rsid w:val="005D0255"/>
    <w:rsid w:val="005D0666"/>
    <w:rsid w:val="005D1682"/>
    <w:rsid w:val="005D29F4"/>
    <w:rsid w:val="005D333A"/>
    <w:rsid w:val="005D3ADB"/>
    <w:rsid w:val="005D4B6A"/>
    <w:rsid w:val="005D4D4F"/>
    <w:rsid w:val="005D4DF3"/>
    <w:rsid w:val="005D500D"/>
    <w:rsid w:val="005D6AE2"/>
    <w:rsid w:val="005E0482"/>
    <w:rsid w:val="005E10AF"/>
    <w:rsid w:val="005E1FB8"/>
    <w:rsid w:val="005E20B4"/>
    <w:rsid w:val="005E20F8"/>
    <w:rsid w:val="005E3EBF"/>
    <w:rsid w:val="005E4E59"/>
    <w:rsid w:val="005E548C"/>
    <w:rsid w:val="005E54CB"/>
    <w:rsid w:val="005E5623"/>
    <w:rsid w:val="005E5897"/>
    <w:rsid w:val="005E5B10"/>
    <w:rsid w:val="005E6EFA"/>
    <w:rsid w:val="005F1898"/>
    <w:rsid w:val="005F2DE2"/>
    <w:rsid w:val="005F3964"/>
    <w:rsid w:val="005F5AA9"/>
    <w:rsid w:val="005F65DB"/>
    <w:rsid w:val="005F6B8E"/>
    <w:rsid w:val="005F728A"/>
    <w:rsid w:val="005F72E8"/>
    <w:rsid w:val="005F7A28"/>
    <w:rsid w:val="005F7B31"/>
    <w:rsid w:val="00601A29"/>
    <w:rsid w:val="006034BE"/>
    <w:rsid w:val="00603F51"/>
    <w:rsid w:val="00604C98"/>
    <w:rsid w:val="0060522E"/>
    <w:rsid w:val="006062C2"/>
    <w:rsid w:val="00606A7F"/>
    <w:rsid w:val="00607FD7"/>
    <w:rsid w:val="00610394"/>
    <w:rsid w:val="0061062C"/>
    <w:rsid w:val="00610DB3"/>
    <w:rsid w:val="00611168"/>
    <w:rsid w:val="0061481C"/>
    <w:rsid w:val="00616F8A"/>
    <w:rsid w:val="00617A13"/>
    <w:rsid w:val="00617D31"/>
    <w:rsid w:val="0062072B"/>
    <w:rsid w:val="00621749"/>
    <w:rsid w:val="006220FB"/>
    <w:rsid w:val="0062245C"/>
    <w:rsid w:val="00623089"/>
    <w:rsid w:val="00626040"/>
    <w:rsid w:val="00631BCE"/>
    <w:rsid w:val="0063287C"/>
    <w:rsid w:val="00633CB4"/>
    <w:rsid w:val="006351EC"/>
    <w:rsid w:val="00636455"/>
    <w:rsid w:val="00642F92"/>
    <w:rsid w:val="00644518"/>
    <w:rsid w:val="00645413"/>
    <w:rsid w:val="00646126"/>
    <w:rsid w:val="00646163"/>
    <w:rsid w:val="00647A66"/>
    <w:rsid w:val="00647C24"/>
    <w:rsid w:val="006500F7"/>
    <w:rsid w:val="006517C8"/>
    <w:rsid w:val="006528A4"/>
    <w:rsid w:val="006544A9"/>
    <w:rsid w:val="006562CA"/>
    <w:rsid w:val="00656729"/>
    <w:rsid w:val="00661DFC"/>
    <w:rsid w:val="00664566"/>
    <w:rsid w:val="00670ED8"/>
    <w:rsid w:val="00673835"/>
    <w:rsid w:val="00674444"/>
    <w:rsid w:val="00675325"/>
    <w:rsid w:val="006753B3"/>
    <w:rsid w:val="006762A2"/>
    <w:rsid w:val="00677C6B"/>
    <w:rsid w:val="0068149C"/>
    <w:rsid w:val="00682A71"/>
    <w:rsid w:val="0068358D"/>
    <w:rsid w:val="006839C9"/>
    <w:rsid w:val="00683EDA"/>
    <w:rsid w:val="006845EA"/>
    <w:rsid w:val="00685A39"/>
    <w:rsid w:val="00686287"/>
    <w:rsid w:val="00686FBD"/>
    <w:rsid w:val="006908EE"/>
    <w:rsid w:val="0069191B"/>
    <w:rsid w:val="0069212C"/>
    <w:rsid w:val="006938F1"/>
    <w:rsid w:val="006A2749"/>
    <w:rsid w:val="006A6ACB"/>
    <w:rsid w:val="006B04FD"/>
    <w:rsid w:val="006B26BB"/>
    <w:rsid w:val="006B2CA8"/>
    <w:rsid w:val="006B4D39"/>
    <w:rsid w:val="006B53CA"/>
    <w:rsid w:val="006B70BA"/>
    <w:rsid w:val="006B7AC8"/>
    <w:rsid w:val="006C0F03"/>
    <w:rsid w:val="006C1079"/>
    <w:rsid w:val="006C1CF3"/>
    <w:rsid w:val="006C42E1"/>
    <w:rsid w:val="006C6B5E"/>
    <w:rsid w:val="006C6F41"/>
    <w:rsid w:val="006C7D16"/>
    <w:rsid w:val="006D00D0"/>
    <w:rsid w:val="006D107E"/>
    <w:rsid w:val="006D26B1"/>
    <w:rsid w:val="006D496D"/>
    <w:rsid w:val="006D6565"/>
    <w:rsid w:val="006D6B61"/>
    <w:rsid w:val="006D6F52"/>
    <w:rsid w:val="006E0EE0"/>
    <w:rsid w:val="006E172D"/>
    <w:rsid w:val="006E19A8"/>
    <w:rsid w:val="006E226C"/>
    <w:rsid w:val="006E25F5"/>
    <w:rsid w:val="006E386A"/>
    <w:rsid w:val="006E481D"/>
    <w:rsid w:val="006E4B42"/>
    <w:rsid w:val="006E550A"/>
    <w:rsid w:val="006E72C9"/>
    <w:rsid w:val="006F2454"/>
    <w:rsid w:val="006F2607"/>
    <w:rsid w:val="006F4AF3"/>
    <w:rsid w:val="006F78B1"/>
    <w:rsid w:val="00700FD4"/>
    <w:rsid w:val="00702119"/>
    <w:rsid w:val="0070378A"/>
    <w:rsid w:val="007069AB"/>
    <w:rsid w:val="00711B73"/>
    <w:rsid w:val="00712863"/>
    <w:rsid w:val="00712974"/>
    <w:rsid w:val="007165DD"/>
    <w:rsid w:val="007169A2"/>
    <w:rsid w:val="00717D89"/>
    <w:rsid w:val="00720577"/>
    <w:rsid w:val="0072097D"/>
    <w:rsid w:val="0072123C"/>
    <w:rsid w:val="00721C88"/>
    <w:rsid w:val="00722852"/>
    <w:rsid w:val="007233C9"/>
    <w:rsid w:val="0072356C"/>
    <w:rsid w:val="00725186"/>
    <w:rsid w:val="007254EE"/>
    <w:rsid w:val="00725BF3"/>
    <w:rsid w:val="00725C6F"/>
    <w:rsid w:val="00725CDB"/>
    <w:rsid w:val="007309E9"/>
    <w:rsid w:val="0073136C"/>
    <w:rsid w:val="00735262"/>
    <w:rsid w:val="00735B64"/>
    <w:rsid w:val="00737CBD"/>
    <w:rsid w:val="00741C52"/>
    <w:rsid w:val="007421D5"/>
    <w:rsid w:val="00744E97"/>
    <w:rsid w:val="00745058"/>
    <w:rsid w:val="00745069"/>
    <w:rsid w:val="00745A91"/>
    <w:rsid w:val="00747B69"/>
    <w:rsid w:val="00750431"/>
    <w:rsid w:val="0075108A"/>
    <w:rsid w:val="007515C9"/>
    <w:rsid w:val="00753297"/>
    <w:rsid w:val="00754583"/>
    <w:rsid w:val="00754887"/>
    <w:rsid w:val="007550F9"/>
    <w:rsid w:val="007559A9"/>
    <w:rsid w:val="00760166"/>
    <w:rsid w:val="00760B6F"/>
    <w:rsid w:val="00761BDF"/>
    <w:rsid w:val="0076414B"/>
    <w:rsid w:val="00764C83"/>
    <w:rsid w:val="00766616"/>
    <w:rsid w:val="00766A2A"/>
    <w:rsid w:val="00766D1A"/>
    <w:rsid w:val="0076775B"/>
    <w:rsid w:val="00767E91"/>
    <w:rsid w:val="00770624"/>
    <w:rsid w:val="0077102B"/>
    <w:rsid w:val="00773D6F"/>
    <w:rsid w:val="00774A08"/>
    <w:rsid w:val="00775186"/>
    <w:rsid w:val="00775B7F"/>
    <w:rsid w:val="0077640D"/>
    <w:rsid w:val="00776C5A"/>
    <w:rsid w:val="007804BD"/>
    <w:rsid w:val="0078114A"/>
    <w:rsid w:val="00785554"/>
    <w:rsid w:val="0078669C"/>
    <w:rsid w:val="007868CC"/>
    <w:rsid w:val="007876FA"/>
    <w:rsid w:val="00790C90"/>
    <w:rsid w:val="007935E2"/>
    <w:rsid w:val="0079490D"/>
    <w:rsid w:val="00794C6C"/>
    <w:rsid w:val="00795644"/>
    <w:rsid w:val="00795BDA"/>
    <w:rsid w:val="00796A6D"/>
    <w:rsid w:val="007A18EE"/>
    <w:rsid w:val="007A4E85"/>
    <w:rsid w:val="007A6F9C"/>
    <w:rsid w:val="007A7421"/>
    <w:rsid w:val="007B1762"/>
    <w:rsid w:val="007B1C68"/>
    <w:rsid w:val="007B27FF"/>
    <w:rsid w:val="007B2DAF"/>
    <w:rsid w:val="007B31A5"/>
    <w:rsid w:val="007B3239"/>
    <w:rsid w:val="007B3D0A"/>
    <w:rsid w:val="007B4B61"/>
    <w:rsid w:val="007B4DC5"/>
    <w:rsid w:val="007B55B5"/>
    <w:rsid w:val="007C2FB8"/>
    <w:rsid w:val="007C3F14"/>
    <w:rsid w:val="007C5E71"/>
    <w:rsid w:val="007D1D04"/>
    <w:rsid w:val="007D23A9"/>
    <w:rsid w:val="007D3728"/>
    <w:rsid w:val="007D5703"/>
    <w:rsid w:val="007D61E7"/>
    <w:rsid w:val="007D7F3A"/>
    <w:rsid w:val="007E1352"/>
    <w:rsid w:val="007E146B"/>
    <w:rsid w:val="007E1897"/>
    <w:rsid w:val="007E2D65"/>
    <w:rsid w:val="007E3203"/>
    <w:rsid w:val="007E3B25"/>
    <w:rsid w:val="007E3FDE"/>
    <w:rsid w:val="007E4E15"/>
    <w:rsid w:val="007E5AED"/>
    <w:rsid w:val="007E6441"/>
    <w:rsid w:val="007E6607"/>
    <w:rsid w:val="007E7AAE"/>
    <w:rsid w:val="007F0B46"/>
    <w:rsid w:val="007F1ACE"/>
    <w:rsid w:val="007F4046"/>
    <w:rsid w:val="007F4AB3"/>
    <w:rsid w:val="0080136C"/>
    <w:rsid w:val="00801B25"/>
    <w:rsid w:val="00802FCB"/>
    <w:rsid w:val="0080337A"/>
    <w:rsid w:val="008043BB"/>
    <w:rsid w:val="008045AA"/>
    <w:rsid w:val="00804A73"/>
    <w:rsid w:val="00805830"/>
    <w:rsid w:val="00810283"/>
    <w:rsid w:val="00810ACA"/>
    <w:rsid w:val="0081292D"/>
    <w:rsid w:val="00813EFE"/>
    <w:rsid w:val="00816D1F"/>
    <w:rsid w:val="00820F5C"/>
    <w:rsid w:val="00821FDF"/>
    <w:rsid w:val="00823068"/>
    <w:rsid w:val="008233F5"/>
    <w:rsid w:val="00826EFA"/>
    <w:rsid w:val="00827593"/>
    <w:rsid w:val="008278CB"/>
    <w:rsid w:val="0083259A"/>
    <w:rsid w:val="00832DC6"/>
    <w:rsid w:val="008346C7"/>
    <w:rsid w:val="00834E55"/>
    <w:rsid w:val="0083513E"/>
    <w:rsid w:val="00835B6C"/>
    <w:rsid w:val="00836500"/>
    <w:rsid w:val="008408F2"/>
    <w:rsid w:val="00841491"/>
    <w:rsid w:val="00844398"/>
    <w:rsid w:val="00844991"/>
    <w:rsid w:val="0084693A"/>
    <w:rsid w:val="00850A82"/>
    <w:rsid w:val="00851330"/>
    <w:rsid w:val="008514F2"/>
    <w:rsid w:val="0085234C"/>
    <w:rsid w:val="008524D0"/>
    <w:rsid w:val="00852A38"/>
    <w:rsid w:val="00852C5E"/>
    <w:rsid w:val="0086043B"/>
    <w:rsid w:val="008617BC"/>
    <w:rsid w:val="00862405"/>
    <w:rsid w:val="00862B02"/>
    <w:rsid w:val="0086468E"/>
    <w:rsid w:val="0086551F"/>
    <w:rsid w:val="008663F3"/>
    <w:rsid w:val="00866FEE"/>
    <w:rsid w:val="00870F58"/>
    <w:rsid w:val="00871ADA"/>
    <w:rsid w:val="008723C2"/>
    <w:rsid w:val="00872B67"/>
    <w:rsid w:val="008732E8"/>
    <w:rsid w:val="00876653"/>
    <w:rsid w:val="008776FC"/>
    <w:rsid w:val="00877F6F"/>
    <w:rsid w:val="00880A22"/>
    <w:rsid w:val="00883CCF"/>
    <w:rsid w:val="00884CCF"/>
    <w:rsid w:val="00884D91"/>
    <w:rsid w:val="00885D8D"/>
    <w:rsid w:val="0088647B"/>
    <w:rsid w:val="00886904"/>
    <w:rsid w:val="0088727E"/>
    <w:rsid w:val="008915FB"/>
    <w:rsid w:val="00893373"/>
    <w:rsid w:val="00893D67"/>
    <w:rsid w:val="00893DA3"/>
    <w:rsid w:val="008975A9"/>
    <w:rsid w:val="008A0B91"/>
    <w:rsid w:val="008A1FAA"/>
    <w:rsid w:val="008A27AB"/>
    <w:rsid w:val="008A3620"/>
    <w:rsid w:val="008A41FB"/>
    <w:rsid w:val="008B02CE"/>
    <w:rsid w:val="008B0AD8"/>
    <w:rsid w:val="008B1743"/>
    <w:rsid w:val="008B24F1"/>
    <w:rsid w:val="008B32B4"/>
    <w:rsid w:val="008B48D8"/>
    <w:rsid w:val="008B5827"/>
    <w:rsid w:val="008B6151"/>
    <w:rsid w:val="008B6D07"/>
    <w:rsid w:val="008C05A0"/>
    <w:rsid w:val="008C0BF6"/>
    <w:rsid w:val="008C0E9D"/>
    <w:rsid w:val="008C17B5"/>
    <w:rsid w:val="008C42D2"/>
    <w:rsid w:val="008C4654"/>
    <w:rsid w:val="008C506D"/>
    <w:rsid w:val="008C547A"/>
    <w:rsid w:val="008C65BE"/>
    <w:rsid w:val="008D4153"/>
    <w:rsid w:val="008D5817"/>
    <w:rsid w:val="008D6A9B"/>
    <w:rsid w:val="008D6F17"/>
    <w:rsid w:val="008D7D43"/>
    <w:rsid w:val="008E0663"/>
    <w:rsid w:val="008E1FB9"/>
    <w:rsid w:val="008E4CDB"/>
    <w:rsid w:val="008E4CFF"/>
    <w:rsid w:val="008E5A07"/>
    <w:rsid w:val="008E7965"/>
    <w:rsid w:val="008F10DF"/>
    <w:rsid w:val="008F1CE1"/>
    <w:rsid w:val="008F2082"/>
    <w:rsid w:val="008F292D"/>
    <w:rsid w:val="008F2A2C"/>
    <w:rsid w:val="008F3851"/>
    <w:rsid w:val="008F3957"/>
    <w:rsid w:val="008F415F"/>
    <w:rsid w:val="008F669A"/>
    <w:rsid w:val="008F75DE"/>
    <w:rsid w:val="008F7848"/>
    <w:rsid w:val="008F79B1"/>
    <w:rsid w:val="00901CFA"/>
    <w:rsid w:val="00903118"/>
    <w:rsid w:val="0090330A"/>
    <w:rsid w:val="00903C51"/>
    <w:rsid w:val="009052E1"/>
    <w:rsid w:val="00906ABC"/>
    <w:rsid w:val="0090765D"/>
    <w:rsid w:val="00907F80"/>
    <w:rsid w:val="009150FE"/>
    <w:rsid w:val="009162B2"/>
    <w:rsid w:val="00921ACB"/>
    <w:rsid w:val="00922646"/>
    <w:rsid w:val="009229D9"/>
    <w:rsid w:val="00922DED"/>
    <w:rsid w:val="009239E3"/>
    <w:rsid w:val="00924607"/>
    <w:rsid w:val="00924D6F"/>
    <w:rsid w:val="009267BE"/>
    <w:rsid w:val="00930410"/>
    <w:rsid w:val="009308F0"/>
    <w:rsid w:val="009310A3"/>
    <w:rsid w:val="00934696"/>
    <w:rsid w:val="00934B99"/>
    <w:rsid w:val="00937787"/>
    <w:rsid w:val="009379C8"/>
    <w:rsid w:val="00937BA3"/>
    <w:rsid w:val="009420E8"/>
    <w:rsid w:val="009439AF"/>
    <w:rsid w:val="009439C9"/>
    <w:rsid w:val="00943EB7"/>
    <w:rsid w:val="00945061"/>
    <w:rsid w:val="0094537E"/>
    <w:rsid w:val="009456AC"/>
    <w:rsid w:val="00947201"/>
    <w:rsid w:val="00951A3E"/>
    <w:rsid w:val="00951E7F"/>
    <w:rsid w:val="0095238C"/>
    <w:rsid w:val="0095344F"/>
    <w:rsid w:val="0095416E"/>
    <w:rsid w:val="00955C3B"/>
    <w:rsid w:val="009565F8"/>
    <w:rsid w:val="00956C21"/>
    <w:rsid w:val="0096443E"/>
    <w:rsid w:val="00964E2C"/>
    <w:rsid w:val="009655C1"/>
    <w:rsid w:val="00970804"/>
    <w:rsid w:val="00971D8D"/>
    <w:rsid w:val="00972ACE"/>
    <w:rsid w:val="00973101"/>
    <w:rsid w:val="00974D80"/>
    <w:rsid w:val="00975510"/>
    <w:rsid w:val="00975957"/>
    <w:rsid w:val="009833C0"/>
    <w:rsid w:val="00983B25"/>
    <w:rsid w:val="00983B56"/>
    <w:rsid w:val="009844F0"/>
    <w:rsid w:val="00985CE3"/>
    <w:rsid w:val="00987EED"/>
    <w:rsid w:val="00990569"/>
    <w:rsid w:val="00992FED"/>
    <w:rsid w:val="00993C82"/>
    <w:rsid w:val="0099677D"/>
    <w:rsid w:val="009967F4"/>
    <w:rsid w:val="009A00E7"/>
    <w:rsid w:val="009A173B"/>
    <w:rsid w:val="009A28F4"/>
    <w:rsid w:val="009A4852"/>
    <w:rsid w:val="009A5235"/>
    <w:rsid w:val="009A56F0"/>
    <w:rsid w:val="009A6D99"/>
    <w:rsid w:val="009A70C5"/>
    <w:rsid w:val="009A777D"/>
    <w:rsid w:val="009B12AE"/>
    <w:rsid w:val="009B1C04"/>
    <w:rsid w:val="009B1F76"/>
    <w:rsid w:val="009B2869"/>
    <w:rsid w:val="009B3714"/>
    <w:rsid w:val="009B44E4"/>
    <w:rsid w:val="009B55A6"/>
    <w:rsid w:val="009B729F"/>
    <w:rsid w:val="009C3828"/>
    <w:rsid w:val="009C4E4D"/>
    <w:rsid w:val="009C54B1"/>
    <w:rsid w:val="009C7A11"/>
    <w:rsid w:val="009D066D"/>
    <w:rsid w:val="009D1250"/>
    <w:rsid w:val="009D2073"/>
    <w:rsid w:val="009D2A6E"/>
    <w:rsid w:val="009D41C4"/>
    <w:rsid w:val="009D4315"/>
    <w:rsid w:val="009D4760"/>
    <w:rsid w:val="009D59B1"/>
    <w:rsid w:val="009D5FB4"/>
    <w:rsid w:val="009E00C6"/>
    <w:rsid w:val="009E1346"/>
    <w:rsid w:val="009E3602"/>
    <w:rsid w:val="009E608B"/>
    <w:rsid w:val="009E65C9"/>
    <w:rsid w:val="009E6E2E"/>
    <w:rsid w:val="009F05AF"/>
    <w:rsid w:val="009F2743"/>
    <w:rsid w:val="009F2C21"/>
    <w:rsid w:val="009F3120"/>
    <w:rsid w:val="009F4CCC"/>
    <w:rsid w:val="009F6781"/>
    <w:rsid w:val="009F6F30"/>
    <w:rsid w:val="00A009B5"/>
    <w:rsid w:val="00A038D9"/>
    <w:rsid w:val="00A04D32"/>
    <w:rsid w:val="00A05675"/>
    <w:rsid w:val="00A059EB"/>
    <w:rsid w:val="00A06C6B"/>
    <w:rsid w:val="00A072D6"/>
    <w:rsid w:val="00A10222"/>
    <w:rsid w:val="00A104CF"/>
    <w:rsid w:val="00A109BE"/>
    <w:rsid w:val="00A12DD6"/>
    <w:rsid w:val="00A146F8"/>
    <w:rsid w:val="00A169EF"/>
    <w:rsid w:val="00A16D62"/>
    <w:rsid w:val="00A221DC"/>
    <w:rsid w:val="00A25FAC"/>
    <w:rsid w:val="00A2643D"/>
    <w:rsid w:val="00A27827"/>
    <w:rsid w:val="00A30048"/>
    <w:rsid w:val="00A30A87"/>
    <w:rsid w:val="00A31318"/>
    <w:rsid w:val="00A320A1"/>
    <w:rsid w:val="00A3491E"/>
    <w:rsid w:val="00A34C60"/>
    <w:rsid w:val="00A4060A"/>
    <w:rsid w:val="00A40D28"/>
    <w:rsid w:val="00A41536"/>
    <w:rsid w:val="00A41970"/>
    <w:rsid w:val="00A427B8"/>
    <w:rsid w:val="00A431B0"/>
    <w:rsid w:val="00A45C95"/>
    <w:rsid w:val="00A469E7"/>
    <w:rsid w:val="00A518AC"/>
    <w:rsid w:val="00A5240A"/>
    <w:rsid w:val="00A52651"/>
    <w:rsid w:val="00A528D9"/>
    <w:rsid w:val="00A534A6"/>
    <w:rsid w:val="00A5378C"/>
    <w:rsid w:val="00A548FD"/>
    <w:rsid w:val="00A5499D"/>
    <w:rsid w:val="00A563F4"/>
    <w:rsid w:val="00A564A8"/>
    <w:rsid w:val="00A57EBF"/>
    <w:rsid w:val="00A6005B"/>
    <w:rsid w:val="00A6080F"/>
    <w:rsid w:val="00A61405"/>
    <w:rsid w:val="00A61CEA"/>
    <w:rsid w:val="00A622E8"/>
    <w:rsid w:val="00A62988"/>
    <w:rsid w:val="00A63645"/>
    <w:rsid w:val="00A64170"/>
    <w:rsid w:val="00A646B1"/>
    <w:rsid w:val="00A64915"/>
    <w:rsid w:val="00A65184"/>
    <w:rsid w:val="00A654FF"/>
    <w:rsid w:val="00A712AF"/>
    <w:rsid w:val="00A715B1"/>
    <w:rsid w:val="00A74529"/>
    <w:rsid w:val="00A75CD4"/>
    <w:rsid w:val="00A75D02"/>
    <w:rsid w:val="00A80E5D"/>
    <w:rsid w:val="00A81D6C"/>
    <w:rsid w:val="00A81F25"/>
    <w:rsid w:val="00A82310"/>
    <w:rsid w:val="00A8362A"/>
    <w:rsid w:val="00A83B0D"/>
    <w:rsid w:val="00A83CCF"/>
    <w:rsid w:val="00A84BBB"/>
    <w:rsid w:val="00A86548"/>
    <w:rsid w:val="00A867F7"/>
    <w:rsid w:val="00A87B13"/>
    <w:rsid w:val="00A9152E"/>
    <w:rsid w:val="00A92DD7"/>
    <w:rsid w:val="00A9559E"/>
    <w:rsid w:val="00A96351"/>
    <w:rsid w:val="00A97344"/>
    <w:rsid w:val="00AA02FA"/>
    <w:rsid w:val="00AA3485"/>
    <w:rsid w:val="00AA47F5"/>
    <w:rsid w:val="00AA5A19"/>
    <w:rsid w:val="00AA6034"/>
    <w:rsid w:val="00AB0ECD"/>
    <w:rsid w:val="00AB303C"/>
    <w:rsid w:val="00AB3D3C"/>
    <w:rsid w:val="00AB4193"/>
    <w:rsid w:val="00AB60DD"/>
    <w:rsid w:val="00AB6651"/>
    <w:rsid w:val="00AB78FB"/>
    <w:rsid w:val="00AC100A"/>
    <w:rsid w:val="00AC200C"/>
    <w:rsid w:val="00AC312D"/>
    <w:rsid w:val="00AC3239"/>
    <w:rsid w:val="00AC4838"/>
    <w:rsid w:val="00AC513B"/>
    <w:rsid w:val="00AC5DA2"/>
    <w:rsid w:val="00AC78C7"/>
    <w:rsid w:val="00AD0388"/>
    <w:rsid w:val="00AD3826"/>
    <w:rsid w:val="00AD4B3E"/>
    <w:rsid w:val="00AD6CB1"/>
    <w:rsid w:val="00AD7605"/>
    <w:rsid w:val="00AD7801"/>
    <w:rsid w:val="00AE0D51"/>
    <w:rsid w:val="00AE0E60"/>
    <w:rsid w:val="00AE5175"/>
    <w:rsid w:val="00AE5C32"/>
    <w:rsid w:val="00AE609F"/>
    <w:rsid w:val="00AF0DC4"/>
    <w:rsid w:val="00AF1940"/>
    <w:rsid w:val="00AF35F3"/>
    <w:rsid w:val="00AF3662"/>
    <w:rsid w:val="00AF424F"/>
    <w:rsid w:val="00AF4E4D"/>
    <w:rsid w:val="00AF4F99"/>
    <w:rsid w:val="00AF5B1B"/>
    <w:rsid w:val="00AF616B"/>
    <w:rsid w:val="00AF7EEF"/>
    <w:rsid w:val="00B00502"/>
    <w:rsid w:val="00B026AA"/>
    <w:rsid w:val="00B102A8"/>
    <w:rsid w:val="00B10490"/>
    <w:rsid w:val="00B10DF1"/>
    <w:rsid w:val="00B110B9"/>
    <w:rsid w:val="00B12D44"/>
    <w:rsid w:val="00B13A7E"/>
    <w:rsid w:val="00B1447F"/>
    <w:rsid w:val="00B151BF"/>
    <w:rsid w:val="00B155C3"/>
    <w:rsid w:val="00B15641"/>
    <w:rsid w:val="00B15FB7"/>
    <w:rsid w:val="00B1661E"/>
    <w:rsid w:val="00B207F8"/>
    <w:rsid w:val="00B25E1B"/>
    <w:rsid w:val="00B25F39"/>
    <w:rsid w:val="00B26E81"/>
    <w:rsid w:val="00B30091"/>
    <w:rsid w:val="00B30504"/>
    <w:rsid w:val="00B3511B"/>
    <w:rsid w:val="00B3578B"/>
    <w:rsid w:val="00B35CDD"/>
    <w:rsid w:val="00B37412"/>
    <w:rsid w:val="00B40B04"/>
    <w:rsid w:val="00B414F7"/>
    <w:rsid w:val="00B41840"/>
    <w:rsid w:val="00B41A56"/>
    <w:rsid w:val="00B4247B"/>
    <w:rsid w:val="00B43B01"/>
    <w:rsid w:val="00B45347"/>
    <w:rsid w:val="00B459D6"/>
    <w:rsid w:val="00B46290"/>
    <w:rsid w:val="00B46C85"/>
    <w:rsid w:val="00B50562"/>
    <w:rsid w:val="00B50776"/>
    <w:rsid w:val="00B508A3"/>
    <w:rsid w:val="00B51E4B"/>
    <w:rsid w:val="00B52412"/>
    <w:rsid w:val="00B53C06"/>
    <w:rsid w:val="00B54072"/>
    <w:rsid w:val="00B565F4"/>
    <w:rsid w:val="00B611ED"/>
    <w:rsid w:val="00B613B7"/>
    <w:rsid w:val="00B64151"/>
    <w:rsid w:val="00B653A0"/>
    <w:rsid w:val="00B713FD"/>
    <w:rsid w:val="00B72F91"/>
    <w:rsid w:val="00B764F5"/>
    <w:rsid w:val="00B80A30"/>
    <w:rsid w:val="00B811C5"/>
    <w:rsid w:val="00B81D81"/>
    <w:rsid w:val="00B82299"/>
    <w:rsid w:val="00B823FC"/>
    <w:rsid w:val="00B82A6A"/>
    <w:rsid w:val="00B83CE6"/>
    <w:rsid w:val="00B84BA4"/>
    <w:rsid w:val="00B873C7"/>
    <w:rsid w:val="00B9049F"/>
    <w:rsid w:val="00B904E6"/>
    <w:rsid w:val="00B91798"/>
    <w:rsid w:val="00B923B0"/>
    <w:rsid w:val="00B923E0"/>
    <w:rsid w:val="00B92A12"/>
    <w:rsid w:val="00B94248"/>
    <w:rsid w:val="00B94A67"/>
    <w:rsid w:val="00B95BF5"/>
    <w:rsid w:val="00B964D6"/>
    <w:rsid w:val="00B96F2B"/>
    <w:rsid w:val="00B9747C"/>
    <w:rsid w:val="00BA0CD5"/>
    <w:rsid w:val="00BA0E2F"/>
    <w:rsid w:val="00BA1DBF"/>
    <w:rsid w:val="00BA25EE"/>
    <w:rsid w:val="00BA2680"/>
    <w:rsid w:val="00BA399C"/>
    <w:rsid w:val="00BA3CB2"/>
    <w:rsid w:val="00BA5009"/>
    <w:rsid w:val="00BA5D12"/>
    <w:rsid w:val="00BB1738"/>
    <w:rsid w:val="00BB65DC"/>
    <w:rsid w:val="00BB6FF1"/>
    <w:rsid w:val="00BB7E5C"/>
    <w:rsid w:val="00BC1057"/>
    <w:rsid w:val="00BC3164"/>
    <w:rsid w:val="00BC349A"/>
    <w:rsid w:val="00BC3931"/>
    <w:rsid w:val="00BC39D6"/>
    <w:rsid w:val="00BC439D"/>
    <w:rsid w:val="00BC6A51"/>
    <w:rsid w:val="00BD0576"/>
    <w:rsid w:val="00BD0990"/>
    <w:rsid w:val="00BD2091"/>
    <w:rsid w:val="00BD299D"/>
    <w:rsid w:val="00BD3741"/>
    <w:rsid w:val="00BD6383"/>
    <w:rsid w:val="00BD6D30"/>
    <w:rsid w:val="00BD7DF8"/>
    <w:rsid w:val="00BD7DF9"/>
    <w:rsid w:val="00BE3FE0"/>
    <w:rsid w:val="00BE6E78"/>
    <w:rsid w:val="00BF0DA3"/>
    <w:rsid w:val="00BF153E"/>
    <w:rsid w:val="00BF2931"/>
    <w:rsid w:val="00BF313D"/>
    <w:rsid w:val="00BF516D"/>
    <w:rsid w:val="00BF52DC"/>
    <w:rsid w:val="00BF5A86"/>
    <w:rsid w:val="00C00536"/>
    <w:rsid w:val="00C00C9F"/>
    <w:rsid w:val="00C01102"/>
    <w:rsid w:val="00C01993"/>
    <w:rsid w:val="00C0746D"/>
    <w:rsid w:val="00C1070E"/>
    <w:rsid w:val="00C10F9B"/>
    <w:rsid w:val="00C115C1"/>
    <w:rsid w:val="00C117FC"/>
    <w:rsid w:val="00C119B4"/>
    <w:rsid w:val="00C1278C"/>
    <w:rsid w:val="00C12C35"/>
    <w:rsid w:val="00C13695"/>
    <w:rsid w:val="00C1387A"/>
    <w:rsid w:val="00C13A18"/>
    <w:rsid w:val="00C13C8F"/>
    <w:rsid w:val="00C14116"/>
    <w:rsid w:val="00C14580"/>
    <w:rsid w:val="00C1465B"/>
    <w:rsid w:val="00C173CD"/>
    <w:rsid w:val="00C17BFB"/>
    <w:rsid w:val="00C22D47"/>
    <w:rsid w:val="00C22E6E"/>
    <w:rsid w:val="00C23559"/>
    <w:rsid w:val="00C24F69"/>
    <w:rsid w:val="00C251D4"/>
    <w:rsid w:val="00C30ED7"/>
    <w:rsid w:val="00C30F0B"/>
    <w:rsid w:val="00C3224E"/>
    <w:rsid w:val="00C32647"/>
    <w:rsid w:val="00C329BC"/>
    <w:rsid w:val="00C33ED5"/>
    <w:rsid w:val="00C35252"/>
    <w:rsid w:val="00C353EE"/>
    <w:rsid w:val="00C36B52"/>
    <w:rsid w:val="00C376F6"/>
    <w:rsid w:val="00C40B85"/>
    <w:rsid w:val="00C41927"/>
    <w:rsid w:val="00C42177"/>
    <w:rsid w:val="00C436DD"/>
    <w:rsid w:val="00C43C56"/>
    <w:rsid w:val="00C4714B"/>
    <w:rsid w:val="00C479AE"/>
    <w:rsid w:val="00C50157"/>
    <w:rsid w:val="00C50208"/>
    <w:rsid w:val="00C5129C"/>
    <w:rsid w:val="00C51CB7"/>
    <w:rsid w:val="00C522B0"/>
    <w:rsid w:val="00C53D4F"/>
    <w:rsid w:val="00C553DA"/>
    <w:rsid w:val="00C6115E"/>
    <w:rsid w:val="00C61958"/>
    <w:rsid w:val="00C62028"/>
    <w:rsid w:val="00C630B5"/>
    <w:rsid w:val="00C63186"/>
    <w:rsid w:val="00C63862"/>
    <w:rsid w:val="00C643D2"/>
    <w:rsid w:val="00C66F16"/>
    <w:rsid w:val="00C677D6"/>
    <w:rsid w:val="00C7028B"/>
    <w:rsid w:val="00C71296"/>
    <w:rsid w:val="00C71C5F"/>
    <w:rsid w:val="00C72572"/>
    <w:rsid w:val="00C7326C"/>
    <w:rsid w:val="00C74816"/>
    <w:rsid w:val="00C7644A"/>
    <w:rsid w:val="00C76488"/>
    <w:rsid w:val="00C76BF3"/>
    <w:rsid w:val="00C77DE8"/>
    <w:rsid w:val="00C805E9"/>
    <w:rsid w:val="00C80B78"/>
    <w:rsid w:val="00C813CA"/>
    <w:rsid w:val="00C847EA"/>
    <w:rsid w:val="00C84910"/>
    <w:rsid w:val="00C84F52"/>
    <w:rsid w:val="00C863F2"/>
    <w:rsid w:val="00C910AF"/>
    <w:rsid w:val="00C92DE7"/>
    <w:rsid w:val="00C92F1A"/>
    <w:rsid w:val="00C938C6"/>
    <w:rsid w:val="00C94041"/>
    <w:rsid w:val="00C94187"/>
    <w:rsid w:val="00C94456"/>
    <w:rsid w:val="00C94F0A"/>
    <w:rsid w:val="00C953A5"/>
    <w:rsid w:val="00C95627"/>
    <w:rsid w:val="00C95866"/>
    <w:rsid w:val="00C95D69"/>
    <w:rsid w:val="00C97377"/>
    <w:rsid w:val="00CA2048"/>
    <w:rsid w:val="00CA2094"/>
    <w:rsid w:val="00CA28C9"/>
    <w:rsid w:val="00CA47E3"/>
    <w:rsid w:val="00CA547E"/>
    <w:rsid w:val="00CA70F5"/>
    <w:rsid w:val="00CA75CB"/>
    <w:rsid w:val="00CB0B97"/>
    <w:rsid w:val="00CB15EB"/>
    <w:rsid w:val="00CB1A2A"/>
    <w:rsid w:val="00CB2910"/>
    <w:rsid w:val="00CB2AF4"/>
    <w:rsid w:val="00CB44CE"/>
    <w:rsid w:val="00CB4C5A"/>
    <w:rsid w:val="00CB65D3"/>
    <w:rsid w:val="00CB753D"/>
    <w:rsid w:val="00CB7B3B"/>
    <w:rsid w:val="00CC17FA"/>
    <w:rsid w:val="00CC2BEE"/>
    <w:rsid w:val="00CC2DA0"/>
    <w:rsid w:val="00CC37DD"/>
    <w:rsid w:val="00CC595D"/>
    <w:rsid w:val="00CC638F"/>
    <w:rsid w:val="00CC6FBC"/>
    <w:rsid w:val="00CC7312"/>
    <w:rsid w:val="00CC75F9"/>
    <w:rsid w:val="00CC7AD8"/>
    <w:rsid w:val="00CD0C4F"/>
    <w:rsid w:val="00CD2CD0"/>
    <w:rsid w:val="00CD2EA6"/>
    <w:rsid w:val="00CD43CD"/>
    <w:rsid w:val="00CD6BB7"/>
    <w:rsid w:val="00CD6CCE"/>
    <w:rsid w:val="00CD7746"/>
    <w:rsid w:val="00CE01EA"/>
    <w:rsid w:val="00CE0651"/>
    <w:rsid w:val="00CE1256"/>
    <w:rsid w:val="00CE1319"/>
    <w:rsid w:val="00CE160A"/>
    <w:rsid w:val="00CE4287"/>
    <w:rsid w:val="00CE52FE"/>
    <w:rsid w:val="00CE709D"/>
    <w:rsid w:val="00CE7CB2"/>
    <w:rsid w:val="00CF059F"/>
    <w:rsid w:val="00CF1100"/>
    <w:rsid w:val="00CF1CA0"/>
    <w:rsid w:val="00CF2466"/>
    <w:rsid w:val="00CF485B"/>
    <w:rsid w:val="00CF783E"/>
    <w:rsid w:val="00D00B48"/>
    <w:rsid w:val="00D00DB4"/>
    <w:rsid w:val="00D0279E"/>
    <w:rsid w:val="00D02DF7"/>
    <w:rsid w:val="00D03B7F"/>
    <w:rsid w:val="00D03E20"/>
    <w:rsid w:val="00D041C8"/>
    <w:rsid w:val="00D05CBE"/>
    <w:rsid w:val="00D06DB1"/>
    <w:rsid w:val="00D0729B"/>
    <w:rsid w:val="00D121B6"/>
    <w:rsid w:val="00D1278B"/>
    <w:rsid w:val="00D1455D"/>
    <w:rsid w:val="00D17806"/>
    <w:rsid w:val="00D205AD"/>
    <w:rsid w:val="00D20D85"/>
    <w:rsid w:val="00D22E9B"/>
    <w:rsid w:val="00D23862"/>
    <w:rsid w:val="00D269A8"/>
    <w:rsid w:val="00D26E83"/>
    <w:rsid w:val="00D30229"/>
    <w:rsid w:val="00D3026B"/>
    <w:rsid w:val="00D3145F"/>
    <w:rsid w:val="00D32395"/>
    <w:rsid w:val="00D324B5"/>
    <w:rsid w:val="00D40B94"/>
    <w:rsid w:val="00D42F3C"/>
    <w:rsid w:val="00D42FFB"/>
    <w:rsid w:val="00D43BC7"/>
    <w:rsid w:val="00D44000"/>
    <w:rsid w:val="00D44D8E"/>
    <w:rsid w:val="00D4523B"/>
    <w:rsid w:val="00D45591"/>
    <w:rsid w:val="00D45EBB"/>
    <w:rsid w:val="00D46A49"/>
    <w:rsid w:val="00D46DD8"/>
    <w:rsid w:val="00D53637"/>
    <w:rsid w:val="00D53C0A"/>
    <w:rsid w:val="00D53E3A"/>
    <w:rsid w:val="00D53EE6"/>
    <w:rsid w:val="00D53F74"/>
    <w:rsid w:val="00D5493D"/>
    <w:rsid w:val="00D55D2E"/>
    <w:rsid w:val="00D56575"/>
    <w:rsid w:val="00D56BAD"/>
    <w:rsid w:val="00D57386"/>
    <w:rsid w:val="00D6002F"/>
    <w:rsid w:val="00D63F29"/>
    <w:rsid w:val="00D65CBD"/>
    <w:rsid w:val="00D6679C"/>
    <w:rsid w:val="00D67385"/>
    <w:rsid w:val="00D67E94"/>
    <w:rsid w:val="00D7062D"/>
    <w:rsid w:val="00D719B1"/>
    <w:rsid w:val="00D7303A"/>
    <w:rsid w:val="00D7315A"/>
    <w:rsid w:val="00D74079"/>
    <w:rsid w:val="00D76EF4"/>
    <w:rsid w:val="00D80E6C"/>
    <w:rsid w:val="00D811C7"/>
    <w:rsid w:val="00D82D57"/>
    <w:rsid w:val="00D83D1D"/>
    <w:rsid w:val="00D849EB"/>
    <w:rsid w:val="00D853F9"/>
    <w:rsid w:val="00D857C5"/>
    <w:rsid w:val="00D85EFB"/>
    <w:rsid w:val="00D8650F"/>
    <w:rsid w:val="00D86B50"/>
    <w:rsid w:val="00D90432"/>
    <w:rsid w:val="00D90E65"/>
    <w:rsid w:val="00D91BE2"/>
    <w:rsid w:val="00D9258D"/>
    <w:rsid w:val="00D92DAA"/>
    <w:rsid w:val="00D92DC4"/>
    <w:rsid w:val="00D93008"/>
    <w:rsid w:val="00D953A2"/>
    <w:rsid w:val="00D973BF"/>
    <w:rsid w:val="00D97422"/>
    <w:rsid w:val="00D9790B"/>
    <w:rsid w:val="00DA1699"/>
    <w:rsid w:val="00DA4089"/>
    <w:rsid w:val="00DA478C"/>
    <w:rsid w:val="00DA4C18"/>
    <w:rsid w:val="00DA5E38"/>
    <w:rsid w:val="00DA6819"/>
    <w:rsid w:val="00DA68CF"/>
    <w:rsid w:val="00DA6BBC"/>
    <w:rsid w:val="00DB11B0"/>
    <w:rsid w:val="00DB2967"/>
    <w:rsid w:val="00DB3C8A"/>
    <w:rsid w:val="00DB6387"/>
    <w:rsid w:val="00DB6B23"/>
    <w:rsid w:val="00DB7C3B"/>
    <w:rsid w:val="00DC37C4"/>
    <w:rsid w:val="00DC418E"/>
    <w:rsid w:val="00DC4A0D"/>
    <w:rsid w:val="00DC515E"/>
    <w:rsid w:val="00DC59F7"/>
    <w:rsid w:val="00DD07D5"/>
    <w:rsid w:val="00DD1013"/>
    <w:rsid w:val="00DD1662"/>
    <w:rsid w:val="00DD20AB"/>
    <w:rsid w:val="00DD4451"/>
    <w:rsid w:val="00DD4917"/>
    <w:rsid w:val="00DD60FD"/>
    <w:rsid w:val="00DD611E"/>
    <w:rsid w:val="00DD6CA0"/>
    <w:rsid w:val="00DD6DD4"/>
    <w:rsid w:val="00DD70EF"/>
    <w:rsid w:val="00DE08AF"/>
    <w:rsid w:val="00DE1980"/>
    <w:rsid w:val="00DE2584"/>
    <w:rsid w:val="00DE2A22"/>
    <w:rsid w:val="00DE4FB3"/>
    <w:rsid w:val="00DE501F"/>
    <w:rsid w:val="00DE5526"/>
    <w:rsid w:val="00DE59A8"/>
    <w:rsid w:val="00DE60BE"/>
    <w:rsid w:val="00DF030F"/>
    <w:rsid w:val="00DF151D"/>
    <w:rsid w:val="00DF3B52"/>
    <w:rsid w:val="00DF4D38"/>
    <w:rsid w:val="00DF4F55"/>
    <w:rsid w:val="00DF66AA"/>
    <w:rsid w:val="00DF6EA9"/>
    <w:rsid w:val="00DF7946"/>
    <w:rsid w:val="00E00376"/>
    <w:rsid w:val="00E007C6"/>
    <w:rsid w:val="00E01081"/>
    <w:rsid w:val="00E015C2"/>
    <w:rsid w:val="00E01C12"/>
    <w:rsid w:val="00E0252A"/>
    <w:rsid w:val="00E026CB"/>
    <w:rsid w:val="00E04293"/>
    <w:rsid w:val="00E04C70"/>
    <w:rsid w:val="00E0504D"/>
    <w:rsid w:val="00E054BD"/>
    <w:rsid w:val="00E05F08"/>
    <w:rsid w:val="00E06804"/>
    <w:rsid w:val="00E130A1"/>
    <w:rsid w:val="00E15466"/>
    <w:rsid w:val="00E15960"/>
    <w:rsid w:val="00E16FD2"/>
    <w:rsid w:val="00E23C3C"/>
    <w:rsid w:val="00E242A6"/>
    <w:rsid w:val="00E242D9"/>
    <w:rsid w:val="00E2649E"/>
    <w:rsid w:val="00E30429"/>
    <w:rsid w:val="00E30BCB"/>
    <w:rsid w:val="00E30FAA"/>
    <w:rsid w:val="00E334AF"/>
    <w:rsid w:val="00E3419C"/>
    <w:rsid w:val="00E372EF"/>
    <w:rsid w:val="00E3753D"/>
    <w:rsid w:val="00E3794A"/>
    <w:rsid w:val="00E41640"/>
    <w:rsid w:val="00E41981"/>
    <w:rsid w:val="00E4226C"/>
    <w:rsid w:val="00E4264C"/>
    <w:rsid w:val="00E4570D"/>
    <w:rsid w:val="00E45D35"/>
    <w:rsid w:val="00E50772"/>
    <w:rsid w:val="00E51735"/>
    <w:rsid w:val="00E52575"/>
    <w:rsid w:val="00E53AA8"/>
    <w:rsid w:val="00E541B5"/>
    <w:rsid w:val="00E54EC9"/>
    <w:rsid w:val="00E57931"/>
    <w:rsid w:val="00E609D5"/>
    <w:rsid w:val="00E6117A"/>
    <w:rsid w:val="00E61539"/>
    <w:rsid w:val="00E61C58"/>
    <w:rsid w:val="00E62876"/>
    <w:rsid w:val="00E6483E"/>
    <w:rsid w:val="00E65650"/>
    <w:rsid w:val="00E65A21"/>
    <w:rsid w:val="00E65E04"/>
    <w:rsid w:val="00E72C61"/>
    <w:rsid w:val="00E741E0"/>
    <w:rsid w:val="00E743EB"/>
    <w:rsid w:val="00E747B5"/>
    <w:rsid w:val="00E74F51"/>
    <w:rsid w:val="00E75D19"/>
    <w:rsid w:val="00E772DB"/>
    <w:rsid w:val="00E818E8"/>
    <w:rsid w:val="00E83476"/>
    <w:rsid w:val="00E850F5"/>
    <w:rsid w:val="00E867B9"/>
    <w:rsid w:val="00E87C38"/>
    <w:rsid w:val="00E90DCE"/>
    <w:rsid w:val="00E92438"/>
    <w:rsid w:val="00E927D4"/>
    <w:rsid w:val="00E9334E"/>
    <w:rsid w:val="00E9366A"/>
    <w:rsid w:val="00E947F9"/>
    <w:rsid w:val="00E95928"/>
    <w:rsid w:val="00E95AE3"/>
    <w:rsid w:val="00E95B8A"/>
    <w:rsid w:val="00E968D0"/>
    <w:rsid w:val="00EA11FA"/>
    <w:rsid w:val="00EA15EB"/>
    <w:rsid w:val="00EA4104"/>
    <w:rsid w:val="00EA4175"/>
    <w:rsid w:val="00EA4EE4"/>
    <w:rsid w:val="00EA5047"/>
    <w:rsid w:val="00EA58E5"/>
    <w:rsid w:val="00EA672B"/>
    <w:rsid w:val="00EA7FFC"/>
    <w:rsid w:val="00EB1973"/>
    <w:rsid w:val="00EB3CD3"/>
    <w:rsid w:val="00EB4718"/>
    <w:rsid w:val="00EB4D60"/>
    <w:rsid w:val="00EB548A"/>
    <w:rsid w:val="00EB75BE"/>
    <w:rsid w:val="00EC225A"/>
    <w:rsid w:val="00EC2F34"/>
    <w:rsid w:val="00EC313E"/>
    <w:rsid w:val="00EC3C6A"/>
    <w:rsid w:val="00EC49F6"/>
    <w:rsid w:val="00EC6650"/>
    <w:rsid w:val="00EC7ECD"/>
    <w:rsid w:val="00EC7F3D"/>
    <w:rsid w:val="00ED07F2"/>
    <w:rsid w:val="00ED0FE9"/>
    <w:rsid w:val="00ED1274"/>
    <w:rsid w:val="00ED2ADB"/>
    <w:rsid w:val="00ED37D6"/>
    <w:rsid w:val="00ED41C5"/>
    <w:rsid w:val="00ED589D"/>
    <w:rsid w:val="00ED5D8D"/>
    <w:rsid w:val="00ED7B6A"/>
    <w:rsid w:val="00EE146A"/>
    <w:rsid w:val="00EE35C8"/>
    <w:rsid w:val="00EE36DC"/>
    <w:rsid w:val="00EE3BD5"/>
    <w:rsid w:val="00EE4D9B"/>
    <w:rsid w:val="00EE5CF1"/>
    <w:rsid w:val="00EE7FE2"/>
    <w:rsid w:val="00EF1136"/>
    <w:rsid w:val="00EF258C"/>
    <w:rsid w:val="00EF382D"/>
    <w:rsid w:val="00EF52CE"/>
    <w:rsid w:val="00EF5882"/>
    <w:rsid w:val="00EF7C35"/>
    <w:rsid w:val="00EF7F85"/>
    <w:rsid w:val="00F0200C"/>
    <w:rsid w:val="00F02313"/>
    <w:rsid w:val="00F026F2"/>
    <w:rsid w:val="00F02967"/>
    <w:rsid w:val="00F02979"/>
    <w:rsid w:val="00F03973"/>
    <w:rsid w:val="00F04D44"/>
    <w:rsid w:val="00F05D5D"/>
    <w:rsid w:val="00F077D1"/>
    <w:rsid w:val="00F10ECD"/>
    <w:rsid w:val="00F1245E"/>
    <w:rsid w:val="00F12EEA"/>
    <w:rsid w:val="00F167D3"/>
    <w:rsid w:val="00F1748A"/>
    <w:rsid w:val="00F204D7"/>
    <w:rsid w:val="00F20AB7"/>
    <w:rsid w:val="00F20ECC"/>
    <w:rsid w:val="00F210EB"/>
    <w:rsid w:val="00F22754"/>
    <w:rsid w:val="00F22A00"/>
    <w:rsid w:val="00F27B72"/>
    <w:rsid w:val="00F27E22"/>
    <w:rsid w:val="00F27EBF"/>
    <w:rsid w:val="00F32D3E"/>
    <w:rsid w:val="00F33268"/>
    <w:rsid w:val="00F339A0"/>
    <w:rsid w:val="00F34430"/>
    <w:rsid w:val="00F34C07"/>
    <w:rsid w:val="00F3503B"/>
    <w:rsid w:val="00F35F79"/>
    <w:rsid w:val="00F37C36"/>
    <w:rsid w:val="00F42C5C"/>
    <w:rsid w:val="00F43E5A"/>
    <w:rsid w:val="00F44433"/>
    <w:rsid w:val="00F45C29"/>
    <w:rsid w:val="00F463B2"/>
    <w:rsid w:val="00F47EDE"/>
    <w:rsid w:val="00F50201"/>
    <w:rsid w:val="00F51178"/>
    <w:rsid w:val="00F523EF"/>
    <w:rsid w:val="00F52AF5"/>
    <w:rsid w:val="00F54BCC"/>
    <w:rsid w:val="00F56102"/>
    <w:rsid w:val="00F56750"/>
    <w:rsid w:val="00F6113E"/>
    <w:rsid w:val="00F653FE"/>
    <w:rsid w:val="00F6643C"/>
    <w:rsid w:val="00F66CB2"/>
    <w:rsid w:val="00F676D0"/>
    <w:rsid w:val="00F6771E"/>
    <w:rsid w:val="00F67BBF"/>
    <w:rsid w:val="00F70ACB"/>
    <w:rsid w:val="00F70C47"/>
    <w:rsid w:val="00F70FC8"/>
    <w:rsid w:val="00F715E8"/>
    <w:rsid w:val="00F716A4"/>
    <w:rsid w:val="00F72B6D"/>
    <w:rsid w:val="00F7331B"/>
    <w:rsid w:val="00F74B86"/>
    <w:rsid w:val="00F7525E"/>
    <w:rsid w:val="00F7749B"/>
    <w:rsid w:val="00F774A7"/>
    <w:rsid w:val="00F77C33"/>
    <w:rsid w:val="00F77F98"/>
    <w:rsid w:val="00F81406"/>
    <w:rsid w:val="00F83503"/>
    <w:rsid w:val="00F84586"/>
    <w:rsid w:val="00F901AB"/>
    <w:rsid w:val="00F91240"/>
    <w:rsid w:val="00F92DDE"/>
    <w:rsid w:val="00F932AE"/>
    <w:rsid w:val="00F9398A"/>
    <w:rsid w:val="00FA0112"/>
    <w:rsid w:val="00FA0E24"/>
    <w:rsid w:val="00FA1543"/>
    <w:rsid w:val="00FA33B1"/>
    <w:rsid w:val="00FA6162"/>
    <w:rsid w:val="00FA659C"/>
    <w:rsid w:val="00FA782A"/>
    <w:rsid w:val="00FB0169"/>
    <w:rsid w:val="00FB03FE"/>
    <w:rsid w:val="00FB0D3C"/>
    <w:rsid w:val="00FB15F3"/>
    <w:rsid w:val="00FB1875"/>
    <w:rsid w:val="00FB19F3"/>
    <w:rsid w:val="00FB35E1"/>
    <w:rsid w:val="00FB538C"/>
    <w:rsid w:val="00FC0DAB"/>
    <w:rsid w:val="00FC1491"/>
    <w:rsid w:val="00FC3DAA"/>
    <w:rsid w:val="00FC5264"/>
    <w:rsid w:val="00FD0382"/>
    <w:rsid w:val="00FD0765"/>
    <w:rsid w:val="00FD0CD5"/>
    <w:rsid w:val="00FD421D"/>
    <w:rsid w:val="00FD471F"/>
    <w:rsid w:val="00FD573E"/>
    <w:rsid w:val="00FD5BCA"/>
    <w:rsid w:val="00FD6C6F"/>
    <w:rsid w:val="00FE06F9"/>
    <w:rsid w:val="00FE0D51"/>
    <w:rsid w:val="00FE1DD8"/>
    <w:rsid w:val="00FE3052"/>
    <w:rsid w:val="00FE4193"/>
    <w:rsid w:val="00FE4256"/>
    <w:rsid w:val="00FE6FD1"/>
    <w:rsid w:val="00FE73F5"/>
    <w:rsid w:val="00FE7481"/>
    <w:rsid w:val="00FF0877"/>
    <w:rsid w:val="00FF226A"/>
    <w:rsid w:val="00FF4185"/>
    <w:rsid w:val="00FF447F"/>
    <w:rsid w:val="00FF51F8"/>
    <w:rsid w:val="00FF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1D8D"/>
    <w:rPr>
      <w:sz w:val="24"/>
      <w:szCs w:val="20"/>
    </w:rPr>
  </w:style>
  <w:style w:type="paragraph" w:styleId="Heading1">
    <w:name w:val="heading 1"/>
    <w:basedOn w:val="Normal"/>
    <w:next w:val="Normal"/>
    <w:link w:val="Heading1Char"/>
    <w:uiPriority w:val="99"/>
    <w:qFormat/>
    <w:rsid w:val="0028273E"/>
    <w:pPr>
      <w:tabs>
        <w:tab w:val="left" w:pos="0"/>
      </w:tabs>
      <w:spacing w:after="240"/>
      <w:ind w:left="720" w:hanging="720"/>
      <w:jc w:val="center"/>
      <w:outlineLvl w:val="0"/>
    </w:pPr>
    <w:rPr>
      <w:rFonts w:asciiTheme="majorBidi" w:hAnsiTheme="majorBidi" w:cstheme="majorBidi"/>
      <w:b/>
      <w:caps/>
      <w:sz w:val="32"/>
      <w:szCs w:val="32"/>
    </w:rPr>
  </w:style>
  <w:style w:type="paragraph" w:styleId="Heading2">
    <w:name w:val="heading 2"/>
    <w:basedOn w:val="Normal"/>
    <w:next w:val="Normal"/>
    <w:link w:val="Heading2Char"/>
    <w:uiPriority w:val="99"/>
    <w:qFormat/>
    <w:rsid w:val="0028273E"/>
    <w:pPr>
      <w:keepNext/>
      <w:tabs>
        <w:tab w:val="left" w:pos="720"/>
      </w:tabs>
      <w:spacing w:after="240"/>
      <w:ind w:left="720" w:hanging="720"/>
      <w:outlineLvl w:val="1"/>
    </w:pPr>
    <w:rPr>
      <w:rFonts w:asciiTheme="majorBidi" w:hAnsiTheme="majorBidi" w:cstheme="majorBidi"/>
      <w:b/>
      <w:sz w:val="28"/>
      <w:szCs w:val="28"/>
    </w:rPr>
  </w:style>
  <w:style w:type="paragraph" w:styleId="Heading3">
    <w:name w:val="heading 3"/>
    <w:basedOn w:val="Heading2"/>
    <w:next w:val="Normal"/>
    <w:link w:val="Heading3Char"/>
    <w:uiPriority w:val="99"/>
    <w:qFormat/>
    <w:rsid w:val="00971D8D"/>
    <w:pPr>
      <w:tabs>
        <w:tab w:val="clear" w:pos="720"/>
        <w:tab w:val="left" w:pos="900"/>
      </w:tabs>
      <w:spacing w:after="0"/>
      <w:ind w:left="907" w:hanging="907"/>
      <w:outlineLvl w:val="2"/>
    </w:pPr>
    <w:rPr>
      <w:i/>
      <w:sz w:val="24"/>
      <w:szCs w:val="24"/>
    </w:rPr>
  </w:style>
  <w:style w:type="paragraph" w:styleId="Heading4">
    <w:name w:val="heading 4"/>
    <w:basedOn w:val="Normal"/>
    <w:next w:val="Normal"/>
    <w:link w:val="Heading4Char"/>
    <w:uiPriority w:val="99"/>
    <w:qFormat/>
    <w:rsid w:val="00971D8D"/>
    <w:pPr>
      <w:keepNext/>
      <w:outlineLvl w:val="3"/>
    </w:pPr>
    <w:rPr>
      <w:rFonts w:asciiTheme="majorBidi" w:hAnsiTheme="majorBidi" w:cstheme="majorBidi"/>
      <w:b/>
      <w:iCs/>
      <w:szCs w:val="24"/>
    </w:rPr>
  </w:style>
  <w:style w:type="paragraph" w:styleId="Heading5">
    <w:name w:val="heading 5"/>
    <w:basedOn w:val="Normal"/>
    <w:next w:val="Normal"/>
    <w:link w:val="Heading5Char"/>
    <w:uiPriority w:val="99"/>
    <w:qFormat/>
    <w:rsid w:val="004B4393"/>
    <w:pPr>
      <w:keepNext/>
      <w:ind w:firstLine="720"/>
      <w:outlineLvl w:val="4"/>
    </w:pPr>
    <w:rPr>
      <w:b/>
      <w:i/>
    </w:rPr>
  </w:style>
  <w:style w:type="paragraph" w:styleId="Heading6">
    <w:name w:val="heading 6"/>
    <w:basedOn w:val="Normal"/>
    <w:next w:val="Normal"/>
    <w:link w:val="Heading6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4B439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73E"/>
    <w:rPr>
      <w:rFonts w:asciiTheme="majorBidi" w:hAnsiTheme="majorBidi" w:cstheme="majorBidi"/>
      <w:b/>
      <w:caps/>
      <w:sz w:val="32"/>
      <w:szCs w:val="32"/>
    </w:rPr>
  </w:style>
  <w:style w:type="character" w:customStyle="1" w:styleId="Heading2Char">
    <w:name w:val="Heading 2 Char"/>
    <w:basedOn w:val="DefaultParagraphFont"/>
    <w:link w:val="Heading2"/>
    <w:uiPriority w:val="99"/>
    <w:locked/>
    <w:rsid w:val="0028273E"/>
    <w:rPr>
      <w:rFonts w:asciiTheme="majorBidi" w:hAnsiTheme="majorBidi" w:cstheme="majorBidi"/>
      <w:b/>
      <w:sz w:val="28"/>
      <w:szCs w:val="28"/>
    </w:rPr>
  </w:style>
  <w:style w:type="character" w:customStyle="1" w:styleId="Heading3Char">
    <w:name w:val="Heading 3 Char"/>
    <w:basedOn w:val="DefaultParagraphFont"/>
    <w:link w:val="Heading3"/>
    <w:uiPriority w:val="99"/>
    <w:locked/>
    <w:rsid w:val="00971D8D"/>
    <w:rPr>
      <w:rFonts w:asciiTheme="majorBidi" w:hAnsiTheme="majorBidi" w:cstheme="majorBidi"/>
      <w:b/>
      <w:i/>
      <w:sz w:val="24"/>
      <w:szCs w:val="24"/>
    </w:rPr>
  </w:style>
  <w:style w:type="character" w:customStyle="1" w:styleId="Heading4Char">
    <w:name w:val="Heading 4 Char"/>
    <w:basedOn w:val="DefaultParagraphFont"/>
    <w:link w:val="Heading4"/>
    <w:uiPriority w:val="99"/>
    <w:locked/>
    <w:rsid w:val="00971D8D"/>
    <w:rPr>
      <w:rFonts w:asciiTheme="majorBidi" w:hAnsiTheme="majorBidi" w:cstheme="majorBidi"/>
      <w:b/>
      <w:iCs/>
      <w:sz w:val="24"/>
      <w:szCs w:val="24"/>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83422"/>
    <w:pPr>
      <w:spacing w:after="240"/>
    </w:pPr>
    <w:rPr>
      <w:rFonts w:asciiTheme="majorBidi" w:hAnsiTheme="majorBidi" w:cstheme="majorBidi"/>
      <w:szCs w:val="24"/>
    </w:rPr>
  </w:style>
  <w:style w:type="character" w:customStyle="1" w:styleId="BodyTextChar">
    <w:name w:val="Body Text Char"/>
    <w:basedOn w:val="DefaultParagraphFont"/>
    <w:link w:val="BodyText"/>
    <w:uiPriority w:val="99"/>
    <w:locked/>
    <w:rsid w:val="00483422"/>
    <w:rPr>
      <w:rFonts w:asciiTheme="majorBidi" w:hAnsiTheme="majorBidi" w:cstheme="majorBidi"/>
      <w:sz w:val="24"/>
      <w:szCs w:val="24"/>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Strong">
    <w:name w:val="Strong"/>
    <w:basedOn w:val="DefaultParagraphFont"/>
    <w:uiPriority w:val="99"/>
    <w:qFormat/>
    <w:rsid w:val="004B4393"/>
    <w:rPr>
      <w:rFonts w:cs="Times New Roman"/>
      <w:b/>
      <w:bCs/>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locked/>
    <w:rsid w:val="005E5897"/>
    <w:rPr>
      <w:rFonts w:ascii="NewBskvll BT" w:hAnsi="NewBskvll BT" w:cs="Times New Roman"/>
      <w:b/>
      <w:bCs/>
      <w:snapToGrid w:val="0"/>
    </w:rPr>
  </w:style>
  <w:style w:type="paragraph" w:styleId="NoSpacing">
    <w:name w:val="No Spacing"/>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locked/>
    <w:rsid w:val="00401EC4"/>
    <w:pPr>
      <w:tabs>
        <w:tab w:val="left" w:pos="1080"/>
        <w:tab w:val="right" w:leader="dot" w:pos="9360"/>
      </w:tabs>
      <w:autoSpaceDE w:val="0"/>
      <w:autoSpaceDN w:val="0"/>
      <w:adjustRightInd w:val="0"/>
      <w:ind w:left="1080" w:right="720" w:hanging="540"/>
    </w:pPr>
    <w:rPr>
      <w:rFonts w:eastAsiaTheme="minorEastAsia" w:cstheme="minorBidi"/>
      <w:noProof/>
      <w:szCs w:val="22"/>
    </w:rPr>
  </w:style>
  <w:style w:type="paragraph" w:styleId="TOC3">
    <w:name w:val="toc 3"/>
    <w:basedOn w:val="Normal"/>
    <w:next w:val="Normal"/>
    <w:autoRedefine/>
    <w:uiPriority w:val="39"/>
    <w:locked/>
    <w:rsid w:val="00401EC4"/>
    <w:pPr>
      <w:tabs>
        <w:tab w:val="left" w:pos="1800"/>
        <w:tab w:val="right" w:leader="dot" w:pos="9360"/>
      </w:tabs>
      <w:autoSpaceDE w:val="0"/>
      <w:autoSpaceDN w:val="0"/>
      <w:adjustRightInd w:val="0"/>
      <w:ind w:left="1800" w:right="720" w:hanging="720"/>
    </w:pPr>
    <w:rPr>
      <w:noProof/>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link w:val="biblioChar"/>
    <w:qFormat/>
    <w:rsid w:val="00971D8D"/>
    <w:pPr>
      <w:numPr>
        <w:numId w:val="19"/>
      </w:numPr>
      <w:spacing w:after="240"/>
    </w:pPr>
    <w:rPr>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FigureTitleContinued">
    <w:name w:val="Figure Title_Continued"/>
    <w:basedOn w:val="Normal"/>
    <w:uiPriority w:val="99"/>
    <w:rsid w:val="00C643D2"/>
    <w:pPr>
      <w:pageBreakBefore/>
      <w:ind w:left="1166" w:hanging="1166"/>
    </w:pPr>
    <w:rPr>
      <w:b/>
      <w:szCs w:val="24"/>
    </w:rPr>
  </w:style>
  <w:style w:type="paragraph" w:customStyle="1" w:styleId="FigureTitle">
    <w:name w:val="Figure Title"/>
    <w:basedOn w:val="Normal"/>
    <w:uiPriority w:val="99"/>
    <w:rsid w:val="00C643D2"/>
    <w:pPr>
      <w:keepNext/>
      <w:keepLines/>
      <w:spacing w:before="240" w:after="240"/>
      <w:ind w:left="1260" w:hanging="1260"/>
    </w:pPr>
    <w:rPr>
      <w:b/>
    </w:rPr>
  </w:style>
  <w:style w:type="paragraph" w:customStyle="1" w:styleId="TableHeaders">
    <w:name w:val="Table Headers"/>
    <w:basedOn w:val="Normal"/>
    <w:uiPriority w:val="99"/>
    <w:rsid w:val="00C643D2"/>
    <w:pPr>
      <w:spacing w:before="40" w:after="40"/>
      <w:jc w:val="center"/>
    </w:pPr>
    <w:rPr>
      <w:b/>
      <w:bCs/>
      <w:sz w:val="22"/>
      <w:szCs w:val="22"/>
    </w:rPr>
  </w:style>
  <w:style w:type="paragraph" w:customStyle="1" w:styleId="exhibitsource">
    <w:name w:val="exhibit source"/>
    <w:basedOn w:val="Normal"/>
    <w:link w:val="exhibitsourceChar"/>
    <w:uiPriority w:val="99"/>
    <w:rsid w:val="00C643D2"/>
    <w:pPr>
      <w:spacing w:after="120"/>
    </w:pPr>
    <w:rPr>
      <w:sz w:val="20"/>
      <w:szCs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9B3714"/>
    <w:pPr>
      <w:spacing w:before="40" w:after="40"/>
    </w:pPr>
    <w:rPr>
      <w:rFonts w:cs="Arial"/>
      <w:sz w:val="22"/>
      <w:szCs w:val="24"/>
    </w:rPr>
  </w:style>
  <w:style w:type="character" w:customStyle="1" w:styleId="biblioChar">
    <w:name w:val="biblio Char"/>
    <w:basedOn w:val="DefaultParagraphFont"/>
    <w:link w:val="biblio"/>
    <w:locked/>
    <w:rsid w:val="00971D8D"/>
    <w:rPr>
      <w:sz w:val="24"/>
      <w:szCs w:val="24"/>
    </w:rPr>
  </w:style>
  <w:style w:type="paragraph" w:customStyle="1" w:styleId="ExhibitTitle">
    <w:name w:val="Exhibit Title"/>
    <w:basedOn w:val="Normal"/>
    <w:link w:val="ExhibitTitleChar"/>
    <w:qFormat/>
    <w:rsid w:val="009B3714"/>
    <w:pPr>
      <w:keepNext/>
      <w:ind w:left="1620" w:hanging="1620"/>
    </w:pPr>
    <w:rPr>
      <w:rFonts w:asciiTheme="majorBidi" w:hAnsiTheme="majorBidi" w:cstheme="majorBidi"/>
      <w:b/>
      <w:iCs/>
      <w:szCs w:val="24"/>
    </w:rPr>
  </w:style>
  <w:style w:type="paragraph" w:styleId="TOC1">
    <w:name w:val="toc 1"/>
    <w:basedOn w:val="Normal"/>
    <w:next w:val="Normal"/>
    <w:autoRedefine/>
    <w:uiPriority w:val="39"/>
    <w:unhideWhenUsed/>
    <w:locked/>
    <w:rsid w:val="00401EC4"/>
    <w:pPr>
      <w:tabs>
        <w:tab w:val="left" w:pos="540"/>
        <w:tab w:val="right" w:leader="dot" w:pos="9360"/>
      </w:tabs>
      <w:ind w:left="540" w:right="720" w:hanging="540"/>
    </w:pPr>
    <w:rPr>
      <w:noProof/>
    </w:rPr>
  </w:style>
  <w:style w:type="paragraph" w:styleId="TableofFigures">
    <w:name w:val="table of figures"/>
    <w:basedOn w:val="Normal"/>
    <w:next w:val="Normal"/>
    <w:uiPriority w:val="99"/>
    <w:unhideWhenUsed/>
    <w:locked/>
    <w:rsid w:val="00401EC4"/>
    <w:pPr>
      <w:tabs>
        <w:tab w:val="left" w:pos="720"/>
        <w:tab w:val="right" w:leader="dot" w:pos="9360"/>
      </w:tabs>
      <w:ind w:left="720" w:right="720" w:hanging="720"/>
    </w:pPr>
    <w:rPr>
      <w:noProof/>
    </w:rPr>
  </w:style>
  <w:style w:type="paragraph" w:customStyle="1" w:styleId="Bullet-numbered">
    <w:name w:val="Bullet-numbered"/>
    <w:basedOn w:val="Normal"/>
    <w:qFormat/>
    <w:rsid w:val="00381E5D"/>
    <w:pPr>
      <w:numPr>
        <w:numId w:val="10"/>
      </w:numPr>
      <w:tabs>
        <w:tab w:val="left" w:pos="1080"/>
      </w:tabs>
      <w:spacing w:after="240"/>
    </w:pPr>
    <w:rPr>
      <w:rFonts w:asciiTheme="majorBidi" w:hAnsiTheme="majorBidi" w:cstheme="majorBidi"/>
      <w:szCs w:val="24"/>
    </w:rPr>
  </w:style>
  <w:style w:type="paragraph" w:customStyle="1" w:styleId="Bullet">
    <w:name w:val="Bullet"/>
    <w:basedOn w:val="Normal"/>
    <w:qFormat/>
    <w:rsid w:val="00483422"/>
    <w:pPr>
      <w:numPr>
        <w:numId w:val="4"/>
      </w:numPr>
      <w:tabs>
        <w:tab w:val="left" w:pos="1080"/>
      </w:tabs>
    </w:pPr>
    <w:rPr>
      <w:rFonts w:asciiTheme="majorBidi" w:hAnsiTheme="majorBidi" w:cstheme="majorBidi"/>
      <w:szCs w:val="24"/>
    </w:rPr>
  </w:style>
  <w:style w:type="paragraph" w:customStyle="1" w:styleId="TOC0">
    <w:name w:val="TOC 0"/>
    <w:basedOn w:val="Normal"/>
    <w:qFormat/>
    <w:rsid w:val="004571DB"/>
    <w:pPr>
      <w:spacing w:line="276" w:lineRule="auto"/>
    </w:pPr>
    <w:rPr>
      <w:rFonts w:asciiTheme="majorBidi" w:hAnsiTheme="majorBidi" w:cstheme="majorBidi"/>
      <w:b/>
      <w:szCs w:val="24"/>
    </w:rPr>
  </w:style>
  <w:style w:type="paragraph" w:customStyle="1" w:styleId="CoverTitle">
    <w:name w:val="Cover Title"/>
    <w:basedOn w:val="Normal"/>
    <w:qFormat/>
    <w:rsid w:val="004571DB"/>
    <w:pPr>
      <w:tabs>
        <w:tab w:val="center" w:pos="4680"/>
      </w:tabs>
      <w:spacing w:line="276" w:lineRule="auto"/>
    </w:pPr>
    <w:rPr>
      <w:rFonts w:asciiTheme="majorBidi" w:hAnsiTheme="majorBidi" w:cstheme="majorBidi"/>
      <w:b/>
      <w:bCs/>
      <w:szCs w:val="24"/>
    </w:rPr>
  </w:style>
  <w:style w:type="paragraph" w:customStyle="1" w:styleId="CoverText">
    <w:name w:val="Cover Text"/>
    <w:basedOn w:val="Normal"/>
    <w:qFormat/>
    <w:rsid w:val="004571DB"/>
  </w:style>
  <w:style w:type="paragraph" w:styleId="Index1">
    <w:name w:val="index 1"/>
    <w:basedOn w:val="Normal"/>
    <w:next w:val="Normal"/>
    <w:autoRedefine/>
    <w:uiPriority w:val="99"/>
    <w:semiHidden/>
    <w:unhideWhenUsed/>
    <w:locked/>
    <w:rsid w:val="00970804"/>
    <w:pPr>
      <w:ind w:left="240" w:hanging="240"/>
    </w:pPr>
  </w:style>
  <w:style w:type="paragraph" w:styleId="BodyText2">
    <w:name w:val="Body Text 2"/>
    <w:basedOn w:val="Normal"/>
    <w:link w:val="BodyText2Char"/>
    <w:unhideWhenUsed/>
    <w:locked/>
    <w:rsid w:val="00F339A0"/>
    <w:pPr>
      <w:spacing w:after="120" w:line="480" w:lineRule="auto"/>
    </w:pPr>
  </w:style>
  <w:style w:type="character" w:customStyle="1" w:styleId="BodyText2Char">
    <w:name w:val="Body Text 2 Char"/>
    <w:basedOn w:val="DefaultParagraphFont"/>
    <w:link w:val="BodyText2"/>
    <w:rsid w:val="00F339A0"/>
    <w:rPr>
      <w:sz w:val="24"/>
      <w:szCs w:val="20"/>
    </w:rPr>
  </w:style>
  <w:style w:type="paragraph" w:customStyle="1" w:styleId="Hdg1Abstr">
    <w:name w:val="Hdg1_Abstr"/>
    <w:basedOn w:val="Heading1"/>
    <w:qFormat/>
    <w:rsid w:val="00F339A0"/>
    <w:pPr>
      <w:jc w:val="left"/>
    </w:pPr>
  </w:style>
  <w:style w:type="paragraph" w:customStyle="1" w:styleId="bullets-blank">
    <w:name w:val="bullets-blank"/>
    <w:basedOn w:val="Bullet-numbered"/>
    <w:rsid w:val="009B3714"/>
    <w:pPr>
      <w:numPr>
        <w:numId w:val="0"/>
      </w:numPr>
      <w:spacing w:after="0"/>
      <w:ind w:left="1080" w:hanging="360"/>
    </w:pPr>
    <w:rPr>
      <w:rFonts w:ascii="Times New Roman" w:hAnsi="Times New Roman" w:cs="Arial"/>
    </w:rPr>
  </w:style>
  <w:style w:type="paragraph" w:customStyle="1" w:styleId="bullets-blanklast">
    <w:name w:val="bullets-blank_last"/>
    <w:basedOn w:val="bullets-blank"/>
    <w:qFormat/>
    <w:rsid w:val="00775B7F"/>
    <w:pPr>
      <w:spacing w:after="240"/>
    </w:pPr>
  </w:style>
  <w:style w:type="character" w:customStyle="1" w:styleId="ExhibitTitleChar">
    <w:name w:val="Exhibit Title Char"/>
    <w:link w:val="ExhibitTitle"/>
    <w:locked/>
    <w:rsid w:val="009B3714"/>
    <w:rPr>
      <w:rFonts w:asciiTheme="majorBidi" w:hAnsiTheme="majorBidi" w:cstheme="majorBidi"/>
      <w:b/>
      <w:iCs/>
      <w:sz w:val="24"/>
      <w:szCs w:val="24"/>
    </w:rPr>
  </w:style>
  <w:style w:type="paragraph" w:customStyle="1" w:styleId="Bulletlast">
    <w:name w:val="Bullet_last"/>
    <w:basedOn w:val="Bullet"/>
    <w:qFormat/>
    <w:rsid w:val="00775B7F"/>
    <w:pPr>
      <w:spacing w:after="240"/>
    </w:pPr>
  </w:style>
  <w:style w:type="paragraph" w:styleId="TOC5">
    <w:name w:val="toc 5"/>
    <w:basedOn w:val="Normal"/>
    <w:next w:val="Normal"/>
    <w:autoRedefine/>
    <w:uiPriority w:val="39"/>
    <w:unhideWhenUsed/>
    <w:locked/>
    <w:rsid w:val="00260411"/>
    <w:pPr>
      <w:spacing w:after="100"/>
      <w:ind w:left="960"/>
    </w:pPr>
  </w:style>
  <w:style w:type="paragraph" w:customStyle="1" w:styleId="BodyText1">
    <w:name w:val="Body Text1"/>
    <w:basedOn w:val="Normal"/>
    <w:rsid w:val="008D5817"/>
    <w:pPr>
      <w:spacing w:after="120" w:line="360" w:lineRule="auto"/>
      <w:ind w:firstLine="720"/>
    </w:pPr>
  </w:style>
  <w:style w:type="paragraph" w:customStyle="1" w:styleId="TableTitle">
    <w:name w:val="Table Title"/>
    <w:basedOn w:val="Normal"/>
    <w:rsid w:val="00AC78C7"/>
    <w:pPr>
      <w:keepNext/>
      <w:keepLines/>
      <w:spacing w:before="320" w:after="120"/>
      <w:ind w:left="1440" w:hanging="1440"/>
    </w:pPr>
    <w:rPr>
      <w:rFonts w:ascii="Verdana" w:eastAsia="MS Mincho" w:hAnsi="Verdana"/>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1D8D"/>
    <w:rPr>
      <w:sz w:val="24"/>
      <w:szCs w:val="20"/>
    </w:rPr>
  </w:style>
  <w:style w:type="paragraph" w:styleId="Heading1">
    <w:name w:val="heading 1"/>
    <w:basedOn w:val="Normal"/>
    <w:next w:val="Normal"/>
    <w:link w:val="Heading1Char"/>
    <w:uiPriority w:val="99"/>
    <w:qFormat/>
    <w:rsid w:val="0028273E"/>
    <w:pPr>
      <w:tabs>
        <w:tab w:val="left" w:pos="0"/>
      </w:tabs>
      <w:spacing w:after="240"/>
      <w:ind w:left="720" w:hanging="720"/>
      <w:jc w:val="center"/>
      <w:outlineLvl w:val="0"/>
    </w:pPr>
    <w:rPr>
      <w:rFonts w:asciiTheme="majorBidi" w:hAnsiTheme="majorBidi" w:cstheme="majorBidi"/>
      <w:b/>
      <w:caps/>
      <w:sz w:val="32"/>
      <w:szCs w:val="32"/>
    </w:rPr>
  </w:style>
  <w:style w:type="paragraph" w:styleId="Heading2">
    <w:name w:val="heading 2"/>
    <w:basedOn w:val="Normal"/>
    <w:next w:val="Normal"/>
    <w:link w:val="Heading2Char"/>
    <w:uiPriority w:val="99"/>
    <w:qFormat/>
    <w:rsid w:val="0028273E"/>
    <w:pPr>
      <w:keepNext/>
      <w:tabs>
        <w:tab w:val="left" w:pos="720"/>
      </w:tabs>
      <w:spacing w:after="240"/>
      <w:ind w:left="720" w:hanging="720"/>
      <w:outlineLvl w:val="1"/>
    </w:pPr>
    <w:rPr>
      <w:rFonts w:asciiTheme="majorBidi" w:hAnsiTheme="majorBidi" w:cstheme="majorBidi"/>
      <w:b/>
      <w:sz w:val="28"/>
      <w:szCs w:val="28"/>
    </w:rPr>
  </w:style>
  <w:style w:type="paragraph" w:styleId="Heading3">
    <w:name w:val="heading 3"/>
    <w:basedOn w:val="Heading2"/>
    <w:next w:val="Normal"/>
    <w:link w:val="Heading3Char"/>
    <w:uiPriority w:val="99"/>
    <w:qFormat/>
    <w:rsid w:val="00971D8D"/>
    <w:pPr>
      <w:tabs>
        <w:tab w:val="clear" w:pos="720"/>
        <w:tab w:val="left" w:pos="900"/>
      </w:tabs>
      <w:spacing w:after="0"/>
      <w:ind w:left="907" w:hanging="907"/>
      <w:outlineLvl w:val="2"/>
    </w:pPr>
    <w:rPr>
      <w:i/>
      <w:sz w:val="24"/>
      <w:szCs w:val="24"/>
    </w:rPr>
  </w:style>
  <w:style w:type="paragraph" w:styleId="Heading4">
    <w:name w:val="heading 4"/>
    <w:basedOn w:val="Normal"/>
    <w:next w:val="Normal"/>
    <w:link w:val="Heading4Char"/>
    <w:uiPriority w:val="99"/>
    <w:qFormat/>
    <w:rsid w:val="00971D8D"/>
    <w:pPr>
      <w:keepNext/>
      <w:outlineLvl w:val="3"/>
    </w:pPr>
    <w:rPr>
      <w:rFonts w:asciiTheme="majorBidi" w:hAnsiTheme="majorBidi" w:cstheme="majorBidi"/>
      <w:b/>
      <w:iCs/>
      <w:szCs w:val="24"/>
    </w:rPr>
  </w:style>
  <w:style w:type="paragraph" w:styleId="Heading5">
    <w:name w:val="heading 5"/>
    <w:basedOn w:val="Normal"/>
    <w:next w:val="Normal"/>
    <w:link w:val="Heading5Char"/>
    <w:uiPriority w:val="99"/>
    <w:qFormat/>
    <w:rsid w:val="004B4393"/>
    <w:pPr>
      <w:keepNext/>
      <w:ind w:firstLine="720"/>
      <w:outlineLvl w:val="4"/>
    </w:pPr>
    <w:rPr>
      <w:b/>
      <w:i/>
    </w:rPr>
  </w:style>
  <w:style w:type="paragraph" w:styleId="Heading6">
    <w:name w:val="heading 6"/>
    <w:basedOn w:val="Normal"/>
    <w:next w:val="Normal"/>
    <w:link w:val="Heading6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uiPriority w:val="99"/>
    <w:qFormat/>
    <w:rsid w:val="004B43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uiPriority w:val="99"/>
    <w:qFormat/>
    <w:rsid w:val="004B439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73E"/>
    <w:rPr>
      <w:rFonts w:asciiTheme="majorBidi" w:hAnsiTheme="majorBidi" w:cstheme="majorBidi"/>
      <w:b/>
      <w:caps/>
      <w:sz w:val="32"/>
      <w:szCs w:val="32"/>
    </w:rPr>
  </w:style>
  <w:style w:type="character" w:customStyle="1" w:styleId="Heading2Char">
    <w:name w:val="Heading 2 Char"/>
    <w:basedOn w:val="DefaultParagraphFont"/>
    <w:link w:val="Heading2"/>
    <w:uiPriority w:val="99"/>
    <w:locked/>
    <w:rsid w:val="0028273E"/>
    <w:rPr>
      <w:rFonts w:asciiTheme="majorBidi" w:hAnsiTheme="majorBidi" w:cstheme="majorBidi"/>
      <w:b/>
      <w:sz w:val="28"/>
      <w:szCs w:val="28"/>
    </w:rPr>
  </w:style>
  <w:style w:type="character" w:customStyle="1" w:styleId="Heading3Char">
    <w:name w:val="Heading 3 Char"/>
    <w:basedOn w:val="DefaultParagraphFont"/>
    <w:link w:val="Heading3"/>
    <w:uiPriority w:val="99"/>
    <w:locked/>
    <w:rsid w:val="00971D8D"/>
    <w:rPr>
      <w:rFonts w:asciiTheme="majorBidi" w:hAnsiTheme="majorBidi" w:cstheme="majorBidi"/>
      <w:b/>
      <w:i/>
      <w:sz w:val="24"/>
      <w:szCs w:val="24"/>
    </w:rPr>
  </w:style>
  <w:style w:type="character" w:customStyle="1" w:styleId="Heading4Char">
    <w:name w:val="Heading 4 Char"/>
    <w:basedOn w:val="DefaultParagraphFont"/>
    <w:link w:val="Heading4"/>
    <w:uiPriority w:val="99"/>
    <w:locked/>
    <w:rsid w:val="00971D8D"/>
    <w:rPr>
      <w:rFonts w:asciiTheme="majorBidi" w:hAnsiTheme="majorBidi" w:cstheme="majorBidi"/>
      <w:b/>
      <w:iCs/>
      <w:sz w:val="24"/>
      <w:szCs w:val="24"/>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83422"/>
    <w:pPr>
      <w:spacing w:after="240"/>
    </w:pPr>
    <w:rPr>
      <w:rFonts w:asciiTheme="majorBidi" w:hAnsiTheme="majorBidi" w:cstheme="majorBidi"/>
      <w:szCs w:val="24"/>
    </w:rPr>
  </w:style>
  <w:style w:type="character" w:customStyle="1" w:styleId="BodyTextChar">
    <w:name w:val="Body Text Char"/>
    <w:basedOn w:val="DefaultParagraphFont"/>
    <w:link w:val="BodyText"/>
    <w:uiPriority w:val="99"/>
    <w:locked/>
    <w:rsid w:val="00483422"/>
    <w:rPr>
      <w:rFonts w:asciiTheme="majorBidi" w:hAnsiTheme="majorBidi" w:cstheme="majorBidi"/>
      <w:sz w:val="24"/>
      <w:szCs w:val="24"/>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Strong">
    <w:name w:val="Strong"/>
    <w:basedOn w:val="DefaultParagraphFont"/>
    <w:uiPriority w:val="99"/>
    <w:qFormat/>
    <w:rsid w:val="004B4393"/>
    <w:rPr>
      <w:rFonts w:cs="Times New Roman"/>
      <w:b/>
      <w:bCs/>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locked/>
    <w:rsid w:val="005E5897"/>
    <w:rPr>
      <w:rFonts w:ascii="NewBskvll BT" w:hAnsi="NewBskvll BT" w:cs="Times New Roman"/>
      <w:b/>
      <w:bCs/>
      <w:snapToGrid w:val="0"/>
    </w:rPr>
  </w:style>
  <w:style w:type="paragraph" w:styleId="NoSpacing">
    <w:name w:val="No Spacing"/>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locked/>
    <w:rsid w:val="00401EC4"/>
    <w:pPr>
      <w:tabs>
        <w:tab w:val="left" w:pos="1080"/>
        <w:tab w:val="right" w:leader="dot" w:pos="9360"/>
      </w:tabs>
      <w:autoSpaceDE w:val="0"/>
      <w:autoSpaceDN w:val="0"/>
      <w:adjustRightInd w:val="0"/>
      <w:ind w:left="1080" w:right="720" w:hanging="540"/>
    </w:pPr>
    <w:rPr>
      <w:rFonts w:eastAsiaTheme="minorEastAsia" w:cstheme="minorBidi"/>
      <w:noProof/>
      <w:szCs w:val="22"/>
    </w:rPr>
  </w:style>
  <w:style w:type="paragraph" w:styleId="TOC3">
    <w:name w:val="toc 3"/>
    <w:basedOn w:val="Normal"/>
    <w:next w:val="Normal"/>
    <w:autoRedefine/>
    <w:uiPriority w:val="39"/>
    <w:locked/>
    <w:rsid w:val="00401EC4"/>
    <w:pPr>
      <w:tabs>
        <w:tab w:val="left" w:pos="1800"/>
        <w:tab w:val="right" w:leader="dot" w:pos="9360"/>
      </w:tabs>
      <w:autoSpaceDE w:val="0"/>
      <w:autoSpaceDN w:val="0"/>
      <w:adjustRightInd w:val="0"/>
      <w:ind w:left="1800" w:right="720" w:hanging="720"/>
    </w:pPr>
    <w:rPr>
      <w:noProof/>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link w:val="biblioChar"/>
    <w:qFormat/>
    <w:rsid w:val="00971D8D"/>
    <w:pPr>
      <w:numPr>
        <w:numId w:val="19"/>
      </w:numPr>
      <w:spacing w:after="240"/>
    </w:pPr>
    <w:rPr>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FigureTitleContinued">
    <w:name w:val="Figure Title_Continued"/>
    <w:basedOn w:val="Normal"/>
    <w:uiPriority w:val="99"/>
    <w:rsid w:val="00C643D2"/>
    <w:pPr>
      <w:pageBreakBefore/>
      <w:ind w:left="1166" w:hanging="1166"/>
    </w:pPr>
    <w:rPr>
      <w:b/>
      <w:szCs w:val="24"/>
    </w:rPr>
  </w:style>
  <w:style w:type="paragraph" w:customStyle="1" w:styleId="FigureTitle">
    <w:name w:val="Figure Title"/>
    <w:basedOn w:val="Normal"/>
    <w:uiPriority w:val="99"/>
    <w:rsid w:val="00C643D2"/>
    <w:pPr>
      <w:keepNext/>
      <w:keepLines/>
      <w:spacing w:before="240" w:after="240"/>
      <w:ind w:left="1260" w:hanging="1260"/>
    </w:pPr>
    <w:rPr>
      <w:b/>
    </w:rPr>
  </w:style>
  <w:style w:type="paragraph" w:customStyle="1" w:styleId="TableHeaders">
    <w:name w:val="Table Headers"/>
    <w:basedOn w:val="Normal"/>
    <w:uiPriority w:val="99"/>
    <w:rsid w:val="00C643D2"/>
    <w:pPr>
      <w:spacing w:before="40" w:after="40"/>
      <w:jc w:val="center"/>
    </w:pPr>
    <w:rPr>
      <w:b/>
      <w:bCs/>
      <w:sz w:val="22"/>
      <w:szCs w:val="22"/>
    </w:rPr>
  </w:style>
  <w:style w:type="paragraph" w:customStyle="1" w:styleId="exhibitsource">
    <w:name w:val="exhibit source"/>
    <w:basedOn w:val="Normal"/>
    <w:link w:val="exhibitsourceChar"/>
    <w:uiPriority w:val="99"/>
    <w:rsid w:val="00C643D2"/>
    <w:pPr>
      <w:spacing w:after="120"/>
    </w:pPr>
    <w:rPr>
      <w:sz w:val="20"/>
      <w:szCs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9B3714"/>
    <w:pPr>
      <w:spacing w:before="40" w:after="40"/>
    </w:pPr>
    <w:rPr>
      <w:rFonts w:cs="Arial"/>
      <w:sz w:val="22"/>
      <w:szCs w:val="24"/>
    </w:rPr>
  </w:style>
  <w:style w:type="character" w:customStyle="1" w:styleId="biblioChar">
    <w:name w:val="biblio Char"/>
    <w:basedOn w:val="DefaultParagraphFont"/>
    <w:link w:val="biblio"/>
    <w:locked/>
    <w:rsid w:val="00971D8D"/>
    <w:rPr>
      <w:sz w:val="24"/>
      <w:szCs w:val="24"/>
    </w:rPr>
  </w:style>
  <w:style w:type="paragraph" w:customStyle="1" w:styleId="ExhibitTitle">
    <w:name w:val="Exhibit Title"/>
    <w:basedOn w:val="Normal"/>
    <w:link w:val="ExhibitTitleChar"/>
    <w:qFormat/>
    <w:rsid w:val="009B3714"/>
    <w:pPr>
      <w:keepNext/>
      <w:ind w:left="1620" w:hanging="1620"/>
    </w:pPr>
    <w:rPr>
      <w:rFonts w:asciiTheme="majorBidi" w:hAnsiTheme="majorBidi" w:cstheme="majorBidi"/>
      <w:b/>
      <w:iCs/>
      <w:szCs w:val="24"/>
    </w:rPr>
  </w:style>
  <w:style w:type="paragraph" w:styleId="TOC1">
    <w:name w:val="toc 1"/>
    <w:basedOn w:val="Normal"/>
    <w:next w:val="Normal"/>
    <w:autoRedefine/>
    <w:uiPriority w:val="39"/>
    <w:unhideWhenUsed/>
    <w:locked/>
    <w:rsid w:val="00401EC4"/>
    <w:pPr>
      <w:tabs>
        <w:tab w:val="left" w:pos="540"/>
        <w:tab w:val="right" w:leader="dot" w:pos="9360"/>
      </w:tabs>
      <w:ind w:left="540" w:right="720" w:hanging="540"/>
    </w:pPr>
    <w:rPr>
      <w:noProof/>
    </w:rPr>
  </w:style>
  <w:style w:type="paragraph" w:styleId="TableofFigures">
    <w:name w:val="table of figures"/>
    <w:basedOn w:val="Normal"/>
    <w:next w:val="Normal"/>
    <w:uiPriority w:val="99"/>
    <w:unhideWhenUsed/>
    <w:locked/>
    <w:rsid w:val="00401EC4"/>
    <w:pPr>
      <w:tabs>
        <w:tab w:val="left" w:pos="720"/>
        <w:tab w:val="right" w:leader="dot" w:pos="9360"/>
      </w:tabs>
      <w:ind w:left="720" w:right="720" w:hanging="720"/>
    </w:pPr>
    <w:rPr>
      <w:noProof/>
    </w:rPr>
  </w:style>
  <w:style w:type="paragraph" w:customStyle="1" w:styleId="Bullet-numbered">
    <w:name w:val="Bullet-numbered"/>
    <w:basedOn w:val="Normal"/>
    <w:qFormat/>
    <w:rsid w:val="00381E5D"/>
    <w:pPr>
      <w:numPr>
        <w:numId w:val="10"/>
      </w:numPr>
      <w:tabs>
        <w:tab w:val="left" w:pos="1080"/>
      </w:tabs>
      <w:spacing w:after="240"/>
    </w:pPr>
    <w:rPr>
      <w:rFonts w:asciiTheme="majorBidi" w:hAnsiTheme="majorBidi" w:cstheme="majorBidi"/>
      <w:szCs w:val="24"/>
    </w:rPr>
  </w:style>
  <w:style w:type="paragraph" w:customStyle="1" w:styleId="Bullet">
    <w:name w:val="Bullet"/>
    <w:basedOn w:val="Normal"/>
    <w:qFormat/>
    <w:rsid w:val="00483422"/>
    <w:pPr>
      <w:numPr>
        <w:numId w:val="4"/>
      </w:numPr>
      <w:tabs>
        <w:tab w:val="left" w:pos="1080"/>
      </w:tabs>
    </w:pPr>
    <w:rPr>
      <w:rFonts w:asciiTheme="majorBidi" w:hAnsiTheme="majorBidi" w:cstheme="majorBidi"/>
      <w:szCs w:val="24"/>
    </w:rPr>
  </w:style>
  <w:style w:type="paragraph" w:customStyle="1" w:styleId="TOC0">
    <w:name w:val="TOC 0"/>
    <w:basedOn w:val="Normal"/>
    <w:qFormat/>
    <w:rsid w:val="004571DB"/>
    <w:pPr>
      <w:spacing w:line="276" w:lineRule="auto"/>
    </w:pPr>
    <w:rPr>
      <w:rFonts w:asciiTheme="majorBidi" w:hAnsiTheme="majorBidi" w:cstheme="majorBidi"/>
      <w:b/>
      <w:szCs w:val="24"/>
    </w:rPr>
  </w:style>
  <w:style w:type="paragraph" w:customStyle="1" w:styleId="CoverTitle">
    <w:name w:val="Cover Title"/>
    <w:basedOn w:val="Normal"/>
    <w:qFormat/>
    <w:rsid w:val="004571DB"/>
    <w:pPr>
      <w:tabs>
        <w:tab w:val="center" w:pos="4680"/>
      </w:tabs>
      <w:spacing w:line="276" w:lineRule="auto"/>
    </w:pPr>
    <w:rPr>
      <w:rFonts w:asciiTheme="majorBidi" w:hAnsiTheme="majorBidi" w:cstheme="majorBidi"/>
      <w:b/>
      <w:bCs/>
      <w:szCs w:val="24"/>
    </w:rPr>
  </w:style>
  <w:style w:type="paragraph" w:customStyle="1" w:styleId="CoverText">
    <w:name w:val="Cover Text"/>
    <w:basedOn w:val="Normal"/>
    <w:qFormat/>
    <w:rsid w:val="004571DB"/>
  </w:style>
  <w:style w:type="paragraph" w:styleId="Index1">
    <w:name w:val="index 1"/>
    <w:basedOn w:val="Normal"/>
    <w:next w:val="Normal"/>
    <w:autoRedefine/>
    <w:uiPriority w:val="99"/>
    <w:semiHidden/>
    <w:unhideWhenUsed/>
    <w:locked/>
    <w:rsid w:val="00970804"/>
    <w:pPr>
      <w:ind w:left="240" w:hanging="240"/>
    </w:pPr>
  </w:style>
  <w:style w:type="paragraph" w:styleId="BodyText2">
    <w:name w:val="Body Text 2"/>
    <w:basedOn w:val="Normal"/>
    <w:link w:val="BodyText2Char"/>
    <w:unhideWhenUsed/>
    <w:locked/>
    <w:rsid w:val="00F339A0"/>
    <w:pPr>
      <w:spacing w:after="120" w:line="480" w:lineRule="auto"/>
    </w:pPr>
  </w:style>
  <w:style w:type="character" w:customStyle="1" w:styleId="BodyText2Char">
    <w:name w:val="Body Text 2 Char"/>
    <w:basedOn w:val="DefaultParagraphFont"/>
    <w:link w:val="BodyText2"/>
    <w:rsid w:val="00F339A0"/>
    <w:rPr>
      <w:sz w:val="24"/>
      <w:szCs w:val="20"/>
    </w:rPr>
  </w:style>
  <w:style w:type="paragraph" w:customStyle="1" w:styleId="Hdg1Abstr">
    <w:name w:val="Hdg1_Abstr"/>
    <w:basedOn w:val="Heading1"/>
    <w:qFormat/>
    <w:rsid w:val="00F339A0"/>
    <w:pPr>
      <w:jc w:val="left"/>
    </w:pPr>
  </w:style>
  <w:style w:type="paragraph" w:customStyle="1" w:styleId="bullets-blank">
    <w:name w:val="bullets-blank"/>
    <w:basedOn w:val="Bullet-numbered"/>
    <w:rsid w:val="009B3714"/>
    <w:pPr>
      <w:numPr>
        <w:numId w:val="0"/>
      </w:numPr>
      <w:spacing w:after="0"/>
      <w:ind w:left="1080" w:hanging="360"/>
    </w:pPr>
    <w:rPr>
      <w:rFonts w:ascii="Times New Roman" w:hAnsi="Times New Roman" w:cs="Arial"/>
    </w:rPr>
  </w:style>
  <w:style w:type="paragraph" w:customStyle="1" w:styleId="bullets-blanklast">
    <w:name w:val="bullets-blank_last"/>
    <w:basedOn w:val="bullets-blank"/>
    <w:qFormat/>
    <w:rsid w:val="00775B7F"/>
    <w:pPr>
      <w:spacing w:after="240"/>
    </w:pPr>
  </w:style>
  <w:style w:type="character" w:customStyle="1" w:styleId="ExhibitTitleChar">
    <w:name w:val="Exhibit Title Char"/>
    <w:link w:val="ExhibitTitle"/>
    <w:locked/>
    <w:rsid w:val="009B3714"/>
    <w:rPr>
      <w:rFonts w:asciiTheme="majorBidi" w:hAnsiTheme="majorBidi" w:cstheme="majorBidi"/>
      <w:b/>
      <w:iCs/>
      <w:sz w:val="24"/>
      <w:szCs w:val="24"/>
    </w:rPr>
  </w:style>
  <w:style w:type="paragraph" w:customStyle="1" w:styleId="Bulletlast">
    <w:name w:val="Bullet_last"/>
    <w:basedOn w:val="Bullet"/>
    <w:qFormat/>
    <w:rsid w:val="00775B7F"/>
    <w:pPr>
      <w:spacing w:after="240"/>
    </w:pPr>
  </w:style>
  <w:style w:type="paragraph" w:styleId="TOC5">
    <w:name w:val="toc 5"/>
    <w:basedOn w:val="Normal"/>
    <w:next w:val="Normal"/>
    <w:autoRedefine/>
    <w:uiPriority w:val="39"/>
    <w:unhideWhenUsed/>
    <w:locked/>
    <w:rsid w:val="00260411"/>
    <w:pPr>
      <w:spacing w:after="100"/>
      <w:ind w:left="960"/>
    </w:pPr>
  </w:style>
  <w:style w:type="paragraph" w:customStyle="1" w:styleId="BodyText1">
    <w:name w:val="Body Text1"/>
    <w:basedOn w:val="Normal"/>
    <w:rsid w:val="008D5817"/>
    <w:pPr>
      <w:spacing w:after="120" w:line="360" w:lineRule="auto"/>
      <w:ind w:firstLine="720"/>
    </w:pPr>
  </w:style>
  <w:style w:type="paragraph" w:customStyle="1" w:styleId="TableTitle">
    <w:name w:val="Table Title"/>
    <w:basedOn w:val="Normal"/>
    <w:rsid w:val="00AC78C7"/>
    <w:pPr>
      <w:keepNext/>
      <w:keepLines/>
      <w:spacing w:before="320" w:after="120"/>
      <w:ind w:left="1440" w:hanging="1440"/>
    </w:pPr>
    <w:rPr>
      <w:rFonts w:ascii="Verdana" w:eastAsia="MS Mincho" w:hAnsi="Verdan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4156">
      <w:bodyDiv w:val="1"/>
      <w:marLeft w:val="0"/>
      <w:marRight w:val="0"/>
      <w:marTop w:val="0"/>
      <w:marBottom w:val="0"/>
      <w:divBdr>
        <w:top w:val="none" w:sz="0" w:space="0" w:color="auto"/>
        <w:left w:val="none" w:sz="0" w:space="0" w:color="auto"/>
        <w:bottom w:val="none" w:sz="0" w:space="0" w:color="auto"/>
        <w:right w:val="none" w:sz="0" w:space="0" w:color="auto"/>
      </w:divBdr>
    </w:div>
    <w:div w:id="208228447">
      <w:marLeft w:val="0"/>
      <w:marRight w:val="0"/>
      <w:marTop w:val="0"/>
      <w:marBottom w:val="0"/>
      <w:divBdr>
        <w:top w:val="none" w:sz="0" w:space="0" w:color="auto"/>
        <w:left w:val="none" w:sz="0" w:space="0" w:color="auto"/>
        <w:bottom w:val="none" w:sz="0" w:space="0" w:color="auto"/>
        <w:right w:val="none" w:sz="0" w:space="0" w:color="auto"/>
      </w:divBdr>
    </w:div>
    <w:div w:id="208228448">
      <w:marLeft w:val="0"/>
      <w:marRight w:val="0"/>
      <w:marTop w:val="0"/>
      <w:marBottom w:val="0"/>
      <w:divBdr>
        <w:top w:val="none" w:sz="0" w:space="0" w:color="auto"/>
        <w:left w:val="none" w:sz="0" w:space="0" w:color="auto"/>
        <w:bottom w:val="none" w:sz="0" w:space="0" w:color="auto"/>
        <w:right w:val="none" w:sz="0" w:space="0" w:color="auto"/>
      </w:divBdr>
    </w:div>
    <w:div w:id="208228449">
      <w:marLeft w:val="0"/>
      <w:marRight w:val="0"/>
      <w:marTop w:val="0"/>
      <w:marBottom w:val="0"/>
      <w:divBdr>
        <w:top w:val="none" w:sz="0" w:space="0" w:color="auto"/>
        <w:left w:val="none" w:sz="0" w:space="0" w:color="auto"/>
        <w:bottom w:val="none" w:sz="0" w:space="0" w:color="auto"/>
        <w:right w:val="none" w:sz="0" w:space="0" w:color="auto"/>
      </w:divBdr>
    </w:div>
    <w:div w:id="208228450">
      <w:marLeft w:val="0"/>
      <w:marRight w:val="0"/>
      <w:marTop w:val="0"/>
      <w:marBottom w:val="0"/>
      <w:divBdr>
        <w:top w:val="none" w:sz="0" w:space="0" w:color="auto"/>
        <w:left w:val="none" w:sz="0" w:space="0" w:color="auto"/>
        <w:bottom w:val="none" w:sz="0" w:space="0" w:color="auto"/>
        <w:right w:val="none" w:sz="0" w:space="0" w:color="auto"/>
      </w:divBdr>
    </w:div>
    <w:div w:id="208228451">
      <w:marLeft w:val="0"/>
      <w:marRight w:val="0"/>
      <w:marTop w:val="0"/>
      <w:marBottom w:val="0"/>
      <w:divBdr>
        <w:top w:val="none" w:sz="0" w:space="0" w:color="auto"/>
        <w:left w:val="none" w:sz="0" w:space="0" w:color="auto"/>
        <w:bottom w:val="none" w:sz="0" w:space="0" w:color="auto"/>
        <w:right w:val="none" w:sz="0" w:space="0" w:color="auto"/>
      </w:divBdr>
    </w:div>
    <w:div w:id="208228452">
      <w:marLeft w:val="0"/>
      <w:marRight w:val="0"/>
      <w:marTop w:val="0"/>
      <w:marBottom w:val="0"/>
      <w:divBdr>
        <w:top w:val="none" w:sz="0" w:space="0" w:color="auto"/>
        <w:left w:val="none" w:sz="0" w:space="0" w:color="auto"/>
        <w:bottom w:val="none" w:sz="0" w:space="0" w:color="auto"/>
        <w:right w:val="none" w:sz="0" w:space="0" w:color="auto"/>
      </w:divBdr>
    </w:div>
    <w:div w:id="208228453">
      <w:marLeft w:val="0"/>
      <w:marRight w:val="0"/>
      <w:marTop w:val="0"/>
      <w:marBottom w:val="0"/>
      <w:divBdr>
        <w:top w:val="none" w:sz="0" w:space="0" w:color="auto"/>
        <w:left w:val="none" w:sz="0" w:space="0" w:color="auto"/>
        <w:bottom w:val="none" w:sz="0" w:space="0" w:color="auto"/>
        <w:right w:val="none" w:sz="0" w:space="0" w:color="auto"/>
      </w:divBdr>
    </w:div>
    <w:div w:id="208228454">
      <w:marLeft w:val="0"/>
      <w:marRight w:val="0"/>
      <w:marTop w:val="0"/>
      <w:marBottom w:val="0"/>
      <w:divBdr>
        <w:top w:val="none" w:sz="0" w:space="0" w:color="auto"/>
        <w:left w:val="none" w:sz="0" w:space="0" w:color="auto"/>
        <w:bottom w:val="none" w:sz="0" w:space="0" w:color="auto"/>
        <w:right w:val="none" w:sz="0" w:space="0" w:color="auto"/>
      </w:divBdr>
    </w:div>
    <w:div w:id="208228455">
      <w:marLeft w:val="0"/>
      <w:marRight w:val="0"/>
      <w:marTop w:val="0"/>
      <w:marBottom w:val="0"/>
      <w:divBdr>
        <w:top w:val="none" w:sz="0" w:space="0" w:color="auto"/>
        <w:left w:val="none" w:sz="0" w:space="0" w:color="auto"/>
        <w:bottom w:val="none" w:sz="0" w:space="0" w:color="auto"/>
        <w:right w:val="none" w:sz="0" w:space="0" w:color="auto"/>
      </w:divBdr>
    </w:div>
    <w:div w:id="208228456">
      <w:marLeft w:val="0"/>
      <w:marRight w:val="0"/>
      <w:marTop w:val="0"/>
      <w:marBottom w:val="0"/>
      <w:divBdr>
        <w:top w:val="none" w:sz="0" w:space="0" w:color="auto"/>
        <w:left w:val="none" w:sz="0" w:space="0" w:color="auto"/>
        <w:bottom w:val="none" w:sz="0" w:space="0" w:color="auto"/>
        <w:right w:val="none" w:sz="0" w:space="0" w:color="auto"/>
      </w:divBdr>
    </w:div>
    <w:div w:id="208228457">
      <w:marLeft w:val="0"/>
      <w:marRight w:val="0"/>
      <w:marTop w:val="0"/>
      <w:marBottom w:val="0"/>
      <w:divBdr>
        <w:top w:val="none" w:sz="0" w:space="0" w:color="auto"/>
        <w:left w:val="none" w:sz="0" w:space="0" w:color="auto"/>
        <w:bottom w:val="none" w:sz="0" w:space="0" w:color="auto"/>
        <w:right w:val="none" w:sz="0" w:space="0" w:color="auto"/>
      </w:divBdr>
    </w:div>
    <w:div w:id="208228458">
      <w:marLeft w:val="0"/>
      <w:marRight w:val="0"/>
      <w:marTop w:val="0"/>
      <w:marBottom w:val="0"/>
      <w:divBdr>
        <w:top w:val="none" w:sz="0" w:space="0" w:color="auto"/>
        <w:left w:val="none" w:sz="0" w:space="0" w:color="auto"/>
        <w:bottom w:val="none" w:sz="0" w:space="0" w:color="auto"/>
        <w:right w:val="none" w:sz="0" w:space="0" w:color="auto"/>
      </w:divBdr>
    </w:div>
    <w:div w:id="208228459">
      <w:marLeft w:val="0"/>
      <w:marRight w:val="0"/>
      <w:marTop w:val="0"/>
      <w:marBottom w:val="0"/>
      <w:divBdr>
        <w:top w:val="none" w:sz="0" w:space="0" w:color="auto"/>
        <w:left w:val="none" w:sz="0" w:space="0" w:color="auto"/>
        <w:bottom w:val="none" w:sz="0" w:space="0" w:color="auto"/>
        <w:right w:val="none" w:sz="0" w:space="0" w:color="auto"/>
      </w:divBdr>
    </w:div>
    <w:div w:id="208228460">
      <w:marLeft w:val="0"/>
      <w:marRight w:val="0"/>
      <w:marTop w:val="0"/>
      <w:marBottom w:val="0"/>
      <w:divBdr>
        <w:top w:val="none" w:sz="0" w:space="0" w:color="auto"/>
        <w:left w:val="none" w:sz="0" w:space="0" w:color="auto"/>
        <w:bottom w:val="none" w:sz="0" w:space="0" w:color="auto"/>
        <w:right w:val="none" w:sz="0" w:space="0" w:color="auto"/>
      </w:divBdr>
    </w:div>
    <w:div w:id="208228461">
      <w:marLeft w:val="0"/>
      <w:marRight w:val="0"/>
      <w:marTop w:val="0"/>
      <w:marBottom w:val="0"/>
      <w:divBdr>
        <w:top w:val="none" w:sz="0" w:space="0" w:color="auto"/>
        <w:left w:val="none" w:sz="0" w:space="0" w:color="auto"/>
        <w:bottom w:val="none" w:sz="0" w:space="0" w:color="auto"/>
        <w:right w:val="none" w:sz="0" w:space="0" w:color="auto"/>
      </w:divBdr>
    </w:div>
    <w:div w:id="208228462">
      <w:marLeft w:val="0"/>
      <w:marRight w:val="0"/>
      <w:marTop w:val="0"/>
      <w:marBottom w:val="0"/>
      <w:divBdr>
        <w:top w:val="none" w:sz="0" w:space="0" w:color="auto"/>
        <w:left w:val="none" w:sz="0" w:space="0" w:color="auto"/>
        <w:bottom w:val="none" w:sz="0" w:space="0" w:color="auto"/>
        <w:right w:val="none" w:sz="0" w:space="0" w:color="auto"/>
      </w:divBdr>
    </w:div>
    <w:div w:id="208228463">
      <w:marLeft w:val="0"/>
      <w:marRight w:val="0"/>
      <w:marTop w:val="0"/>
      <w:marBottom w:val="0"/>
      <w:divBdr>
        <w:top w:val="none" w:sz="0" w:space="0" w:color="auto"/>
        <w:left w:val="none" w:sz="0" w:space="0" w:color="auto"/>
        <w:bottom w:val="none" w:sz="0" w:space="0" w:color="auto"/>
        <w:right w:val="none" w:sz="0" w:space="0" w:color="auto"/>
      </w:divBdr>
    </w:div>
    <w:div w:id="208228464">
      <w:marLeft w:val="0"/>
      <w:marRight w:val="0"/>
      <w:marTop w:val="0"/>
      <w:marBottom w:val="0"/>
      <w:divBdr>
        <w:top w:val="none" w:sz="0" w:space="0" w:color="auto"/>
        <w:left w:val="none" w:sz="0" w:space="0" w:color="auto"/>
        <w:bottom w:val="none" w:sz="0" w:space="0" w:color="auto"/>
        <w:right w:val="none" w:sz="0" w:space="0" w:color="auto"/>
      </w:divBdr>
    </w:div>
    <w:div w:id="208228465">
      <w:marLeft w:val="0"/>
      <w:marRight w:val="0"/>
      <w:marTop w:val="0"/>
      <w:marBottom w:val="0"/>
      <w:divBdr>
        <w:top w:val="none" w:sz="0" w:space="0" w:color="auto"/>
        <w:left w:val="none" w:sz="0" w:space="0" w:color="auto"/>
        <w:bottom w:val="none" w:sz="0" w:space="0" w:color="auto"/>
        <w:right w:val="none" w:sz="0" w:space="0" w:color="auto"/>
      </w:divBdr>
    </w:div>
    <w:div w:id="208228466">
      <w:marLeft w:val="0"/>
      <w:marRight w:val="0"/>
      <w:marTop w:val="0"/>
      <w:marBottom w:val="0"/>
      <w:divBdr>
        <w:top w:val="none" w:sz="0" w:space="0" w:color="auto"/>
        <w:left w:val="none" w:sz="0" w:space="0" w:color="auto"/>
        <w:bottom w:val="none" w:sz="0" w:space="0" w:color="auto"/>
        <w:right w:val="none" w:sz="0" w:space="0" w:color="auto"/>
      </w:divBdr>
    </w:div>
    <w:div w:id="208228467">
      <w:marLeft w:val="0"/>
      <w:marRight w:val="0"/>
      <w:marTop w:val="0"/>
      <w:marBottom w:val="0"/>
      <w:divBdr>
        <w:top w:val="none" w:sz="0" w:space="0" w:color="auto"/>
        <w:left w:val="none" w:sz="0" w:space="0" w:color="auto"/>
        <w:bottom w:val="none" w:sz="0" w:space="0" w:color="auto"/>
        <w:right w:val="none" w:sz="0" w:space="0" w:color="auto"/>
      </w:divBdr>
    </w:div>
    <w:div w:id="208228468">
      <w:marLeft w:val="0"/>
      <w:marRight w:val="0"/>
      <w:marTop w:val="0"/>
      <w:marBottom w:val="0"/>
      <w:divBdr>
        <w:top w:val="none" w:sz="0" w:space="0" w:color="auto"/>
        <w:left w:val="none" w:sz="0" w:space="0" w:color="auto"/>
        <w:bottom w:val="none" w:sz="0" w:space="0" w:color="auto"/>
        <w:right w:val="none" w:sz="0" w:space="0" w:color="auto"/>
      </w:divBdr>
    </w:div>
    <w:div w:id="208228469">
      <w:marLeft w:val="0"/>
      <w:marRight w:val="0"/>
      <w:marTop w:val="0"/>
      <w:marBottom w:val="0"/>
      <w:divBdr>
        <w:top w:val="none" w:sz="0" w:space="0" w:color="auto"/>
        <w:left w:val="none" w:sz="0" w:space="0" w:color="auto"/>
        <w:bottom w:val="none" w:sz="0" w:space="0" w:color="auto"/>
        <w:right w:val="none" w:sz="0" w:space="0" w:color="auto"/>
      </w:divBdr>
    </w:div>
    <w:div w:id="213389350">
      <w:bodyDiv w:val="1"/>
      <w:marLeft w:val="0"/>
      <w:marRight w:val="0"/>
      <w:marTop w:val="0"/>
      <w:marBottom w:val="0"/>
      <w:divBdr>
        <w:top w:val="none" w:sz="0" w:space="0" w:color="auto"/>
        <w:left w:val="none" w:sz="0" w:space="0" w:color="auto"/>
        <w:bottom w:val="none" w:sz="0" w:space="0" w:color="auto"/>
        <w:right w:val="none" w:sz="0" w:space="0" w:color="auto"/>
      </w:divBdr>
    </w:div>
    <w:div w:id="1023901101">
      <w:bodyDiv w:val="1"/>
      <w:marLeft w:val="0"/>
      <w:marRight w:val="0"/>
      <w:marTop w:val="0"/>
      <w:marBottom w:val="0"/>
      <w:divBdr>
        <w:top w:val="none" w:sz="0" w:space="0" w:color="auto"/>
        <w:left w:val="none" w:sz="0" w:space="0" w:color="auto"/>
        <w:bottom w:val="none" w:sz="0" w:space="0" w:color="auto"/>
        <w:right w:val="none" w:sz="0" w:space="0" w:color="auto"/>
      </w:divBdr>
    </w:div>
    <w:div w:id="1440488299">
      <w:bodyDiv w:val="1"/>
      <w:marLeft w:val="0"/>
      <w:marRight w:val="0"/>
      <w:marTop w:val="0"/>
      <w:marBottom w:val="0"/>
      <w:divBdr>
        <w:top w:val="none" w:sz="0" w:space="0" w:color="auto"/>
        <w:left w:val="none" w:sz="0" w:space="0" w:color="auto"/>
        <w:bottom w:val="none" w:sz="0" w:space="0" w:color="auto"/>
        <w:right w:val="none" w:sz="0" w:space="0" w:color="auto"/>
      </w:divBdr>
    </w:div>
    <w:div w:id="1965497285">
      <w:bodyDiv w:val="1"/>
      <w:marLeft w:val="0"/>
      <w:marRight w:val="0"/>
      <w:marTop w:val="0"/>
      <w:marBottom w:val="0"/>
      <w:divBdr>
        <w:top w:val="none" w:sz="0" w:space="0" w:color="auto"/>
        <w:left w:val="none" w:sz="0" w:space="0" w:color="auto"/>
        <w:bottom w:val="none" w:sz="0" w:space="0" w:color="auto"/>
        <w:right w:val="none" w:sz="0" w:space="0" w:color="auto"/>
      </w:divBdr>
      <w:divsChild>
        <w:div w:id="247037533">
          <w:marLeft w:val="0"/>
          <w:marRight w:val="0"/>
          <w:marTop w:val="0"/>
          <w:marBottom w:val="0"/>
          <w:divBdr>
            <w:top w:val="none" w:sz="0" w:space="0" w:color="auto"/>
            <w:left w:val="none" w:sz="0" w:space="0" w:color="auto"/>
            <w:bottom w:val="none" w:sz="0" w:space="0" w:color="auto"/>
            <w:right w:val="none" w:sz="0" w:space="0" w:color="auto"/>
          </w:divBdr>
          <w:divsChild>
            <w:div w:id="1489518070">
              <w:marLeft w:val="0"/>
              <w:marRight w:val="0"/>
              <w:marTop w:val="0"/>
              <w:marBottom w:val="0"/>
              <w:divBdr>
                <w:top w:val="none" w:sz="0" w:space="0" w:color="auto"/>
                <w:left w:val="single" w:sz="6" w:space="0" w:color="E2E2E2"/>
                <w:bottom w:val="none" w:sz="0" w:space="0" w:color="auto"/>
                <w:right w:val="single" w:sz="6" w:space="0" w:color="E2E2E2"/>
              </w:divBdr>
              <w:divsChild>
                <w:div w:id="717511478">
                  <w:marLeft w:val="0"/>
                  <w:marRight w:val="0"/>
                  <w:marTop w:val="0"/>
                  <w:marBottom w:val="0"/>
                  <w:divBdr>
                    <w:top w:val="none" w:sz="0" w:space="0" w:color="auto"/>
                    <w:left w:val="none" w:sz="0" w:space="0" w:color="auto"/>
                    <w:bottom w:val="none" w:sz="0" w:space="0" w:color="auto"/>
                    <w:right w:val="none" w:sz="0" w:space="0" w:color="auto"/>
                  </w:divBdr>
                  <w:divsChild>
                    <w:div w:id="12328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87016">
      <w:bodyDiv w:val="1"/>
      <w:marLeft w:val="0"/>
      <w:marRight w:val="0"/>
      <w:marTop w:val="0"/>
      <w:marBottom w:val="0"/>
      <w:divBdr>
        <w:top w:val="none" w:sz="0" w:space="0" w:color="auto"/>
        <w:left w:val="none" w:sz="0" w:space="0" w:color="auto"/>
        <w:bottom w:val="none" w:sz="0" w:space="0" w:color="auto"/>
        <w:right w:val="none" w:sz="0" w:space="0" w:color="auto"/>
      </w:divBdr>
    </w:div>
    <w:div w:id="20999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mailto:Suzanne.gates@cdc.hhs.gov" TargetMode="External"/><Relationship Id="rId26" Type="http://schemas.openxmlformats.org/officeDocument/2006/relationships/hyperlink" Target="mailto:blevine@rti.org" TargetMode="External"/><Relationship Id="rId3" Type="http://schemas.openxmlformats.org/officeDocument/2006/relationships/styles" Target="styles.xml"/><Relationship Id="rId21" Type="http://schemas.openxmlformats.org/officeDocument/2006/relationships/hyperlink" Target="mailto:jblitstein@rti.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Terrence.otoole@cdc.hhs.gov" TargetMode="External"/><Relationship Id="rId25" Type="http://schemas.openxmlformats.org/officeDocument/2006/relationships/hyperlink" Target="mailto:meggers@rti.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n.jernigan@cdc.hhs.gov" TargetMode="External"/><Relationship Id="rId20" Type="http://schemas.openxmlformats.org/officeDocument/2006/relationships/hyperlink" Target="mailto:kday@cdc.gov"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kcdavis@rti.org"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Von6@cdc.gov" TargetMode="External"/><Relationship Id="rId23" Type="http://schemas.openxmlformats.org/officeDocument/2006/relationships/hyperlink" Target="mailto:ecrankshaw@rti.org"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mailto:RSoler@cdc.gov" TargetMode="External"/><Relationship Id="rId31"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mailto:dcbrown@rti.org" TargetMode="External"/><Relationship Id="rId27" Type="http://schemas.openxmlformats.org/officeDocument/2006/relationships/hyperlink" Target="mailto:dzaccaro@rti.org" TargetMode="Externa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63644-A024-49AB-9DF9-A6F823D8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8512</Words>
  <Characters>51350</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59743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CDC User</dc:creator>
  <cp:lastModifiedBy>CDC User</cp:lastModifiedBy>
  <cp:revision>4</cp:revision>
  <cp:lastPrinted>2013-02-21T19:02:00Z</cp:lastPrinted>
  <dcterms:created xsi:type="dcterms:W3CDTF">2013-05-10T11:11:00Z</dcterms:created>
  <dcterms:modified xsi:type="dcterms:W3CDTF">2013-05-10T17:21:00Z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