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999" w:rsidRDefault="003A7999">
      <w:pPr>
        <w:rPr>
          <w:b/>
          <w:bCs/>
        </w:rPr>
      </w:pPr>
    </w:p>
    <w:p w:rsidR="003A7999" w:rsidRDefault="003A7999">
      <w:pPr>
        <w:rPr>
          <w:b/>
          <w:bCs/>
        </w:rPr>
      </w:pPr>
    </w:p>
    <w:p w:rsidR="003A7999" w:rsidRDefault="003A7999">
      <w:pPr>
        <w:rPr>
          <w:b/>
          <w:bCs/>
        </w:rPr>
      </w:pPr>
    </w:p>
    <w:p w:rsidR="003A7999" w:rsidRDefault="003A7999">
      <w:pPr>
        <w:rPr>
          <w:b/>
          <w:bCs/>
        </w:rPr>
      </w:pPr>
    </w:p>
    <w:p w:rsidR="003A7999" w:rsidRDefault="003A7999">
      <w:pPr>
        <w:rPr>
          <w:b/>
          <w:bCs/>
        </w:rPr>
      </w:pPr>
    </w:p>
    <w:p w:rsidR="003A7999" w:rsidRDefault="003A7999">
      <w:pPr>
        <w:rPr>
          <w:b/>
          <w:bCs/>
        </w:rPr>
      </w:pPr>
    </w:p>
    <w:p w:rsidR="003A7999" w:rsidRDefault="003A7999">
      <w:pPr>
        <w:rPr>
          <w:b/>
          <w:bCs/>
        </w:rPr>
      </w:pPr>
    </w:p>
    <w:p w:rsidR="003A7999" w:rsidRDefault="003A7999">
      <w:pPr>
        <w:rPr>
          <w:b/>
          <w:bCs/>
        </w:rPr>
      </w:pPr>
    </w:p>
    <w:p w:rsidR="003A7999" w:rsidRDefault="00BB680F" w:rsidP="003A7999">
      <w:pPr>
        <w:jc w:val="center"/>
        <w:rPr>
          <w:b/>
          <w:bCs/>
        </w:rPr>
      </w:pPr>
      <w:proofErr w:type="gramStart"/>
      <w:r>
        <w:rPr>
          <w:b/>
          <w:bCs/>
        </w:rPr>
        <w:t>Attachment 10</w:t>
      </w:r>
      <w:r w:rsidR="003A7999">
        <w:rPr>
          <w:b/>
          <w:bCs/>
        </w:rPr>
        <w:t>c.</w:t>
      </w:r>
      <w:proofErr w:type="gramEnd"/>
      <w:r w:rsidR="003A7999">
        <w:rPr>
          <w:b/>
          <w:bCs/>
        </w:rPr>
        <w:t xml:space="preserve"> New York Results Communications</w:t>
      </w:r>
    </w:p>
    <w:p w:rsidR="003A7999" w:rsidRDefault="003A7999" w:rsidP="003A7999">
      <w:pPr>
        <w:jc w:val="center"/>
        <w:rPr>
          <w:b/>
          <w:bCs/>
        </w:rPr>
      </w:pPr>
    </w:p>
    <w:p w:rsidR="003A7999" w:rsidRDefault="003A7999" w:rsidP="003A7999">
      <w:pPr>
        <w:jc w:val="center"/>
        <w:rPr>
          <w:b/>
          <w:bCs/>
        </w:rPr>
      </w:pPr>
    </w:p>
    <w:p w:rsidR="003A7999" w:rsidRDefault="003A7999" w:rsidP="003A7999">
      <w:pPr>
        <w:jc w:val="center"/>
        <w:rPr>
          <w:rFonts w:eastAsia="Times New Roman"/>
          <w:b/>
          <w:kern w:val="32"/>
          <w:szCs w:val="32"/>
          <w:lang w:eastAsia="x-none"/>
        </w:rPr>
      </w:pPr>
      <w:r>
        <w:rPr>
          <w:b/>
          <w:bCs/>
        </w:rPr>
        <w:t xml:space="preserve">NOTE: </w:t>
      </w:r>
      <w:r w:rsidRPr="00E72178">
        <w:rPr>
          <w:rFonts w:asciiTheme="minorHAnsi" w:hAnsiTheme="minorHAnsi" w:cstheme="minorHAnsi"/>
          <w:sz w:val="22"/>
          <w:szCs w:val="22"/>
        </w:rPr>
        <w:t>State programs will work with their respective ethics sub-</w:t>
      </w:r>
      <w:r>
        <w:rPr>
          <w:rFonts w:asciiTheme="minorHAnsi" w:hAnsiTheme="minorHAnsi" w:cstheme="minorHAnsi"/>
        </w:rPr>
        <w:t>committees and ATSDR to improve and revise these letters.  ATSDR and the states</w:t>
      </w:r>
      <w:r w:rsidRPr="00E72178">
        <w:rPr>
          <w:rFonts w:asciiTheme="minorHAnsi" w:hAnsiTheme="minorHAnsi" w:cstheme="minorHAnsi"/>
          <w:sz w:val="22"/>
          <w:szCs w:val="22"/>
        </w:rPr>
        <w:t xml:space="preserve"> will take into consideration current guidelines via subject matter experts on </w:t>
      </w:r>
      <w:r w:rsidRPr="00E72178">
        <w:rPr>
          <w:rStyle w:val="Strong"/>
          <w:rFonts w:asciiTheme="minorHAnsi" w:hAnsiTheme="minorHAnsi" w:cstheme="minorHAnsi"/>
          <w:b w:val="0"/>
          <w:bCs w:val="0"/>
          <w:sz w:val="22"/>
          <w:szCs w:val="22"/>
        </w:rPr>
        <w:t>the communication of results and potential follow-up with biomon</w:t>
      </w:r>
      <w:r>
        <w:rPr>
          <w:rStyle w:val="Strong"/>
          <w:rFonts w:asciiTheme="minorHAnsi" w:hAnsiTheme="minorHAnsi" w:cstheme="minorHAnsi"/>
          <w:b w:val="0"/>
          <w:bCs w:val="0"/>
        </w:rPr>
        <w:t>itoring program respondent</w:t>
      </w:r>
      <w:r w:rsidRPr="00E72178">
        <w:rPr>
          <w:rStyle w:val="Strong"/>
          <w:rFonts w:asciiTheme="minorHAnsi" w:hAnsiTheme="minorHAnsi" w:cstheme="minorHAnsi"/>
          <w:b w:val="0"/>
          <w:bCs w:val="0"/>
          <w:sz w:val="22"/>
          <w:szCs w:val="22"/>
        </w:rPr>
        <w:t>s.</w:t>
      </w:r>
    </w:p>
    <w:p w:rsidR="003A7999" w:rsidRDefault="003A7999">
      <w:pPr>
        <w:rPr>
          <w:rFonts w:eastAsia="Times New Roman"/>
          <w:b/>
          <w:kern w:val="32"/>
          <w:szCs w:val="32"/>
          <w:lang w:eastAsia="x-none"/>
        </w:rPr>
      </w:pPr>
      <w:r>
        <w:rPr>
          <w:b/>
          <w:bCs/>
        </w:rPr>
        <w:br w:type="page"/>
      </w:r>
      <w:bookmarkStart w:id="0" w:name="_GoBack"/>
      <w:bookmarkEnd w:id="0"/>
    </w:p>
    <w:p w:rsidR="007822F7" w:rsidRPr="00084385" w:rsidRDefault="007000DC" w:rsidP="007822F7">
      <w:pPr>
        <w:pStyle w:val="GLTables"/>
        <w:rPr>
          <w:lang w:val="en-US"/>
        </w:rPr>
      </w:pPr>
      <w:proofErr w:type="gramStart"/>
      <w:r>
        <w:rPr>
          <w:b/>
          <w:bCs w:val="0"/>
          <w:lang w:val="en-US"/>
        </w:rPr>
        <w:lastRenderedPageBreak/>
        <w:t>Attachment 10c1.</w:t>
      </w:r>
      <w:proofErr w:type="gramEnd"/>
      <w:r>
        <w:rPr>
          <w:b/>
          <w:bCs w:val="0"/>
          <w:lang w:val="en-US"/>
        </w:rPr>
        <w:t xml:space="preserve"> </w:t>
      </w:r>
      <w:proofErr w:type="gramStart"/>
      <w:r>
        <w:rPr>
          <w:b/>
          <w:bCs w:val="0"/>
          <w:lang w:val="en-US"/>
        </w:rPr>
        <w:t xml:space="preserve">(NY </w:t>
      </w:r>
      <w:r w:rsidR="007822F7" w:rsidRPr="00844974">
        <w:rPr>
          <w:b/>
          <w:bCs w:val="0"/>
        </w:rPr>
        <w:t>Appendix 3</w:t>
      </w:r>
      <w:bookmarkStart w:id="1" w:name="_Toc294702306"/>
      <w:bookmarkStart w:id="2" w:name="_Toc294789033"/>
      <w:bookmarkStart w:id="3" w:name="_Toc294791483"/>
      <w:r w:rsidR="007822F7">
        <w:rPr>
          <w:b/>
          <w:bCs w:val="0"/>
          <w:lang w:val="en-US"/>
        </w:rPr>
        <w:t>8</w:t>
      </w:r>
      <w:r>
        <w:rPr>
          <w:b/>
          <w:bCs w:val="0"/>
          <w:lang w:val="en-US"/>
        </w:rPr>
        <w:t>)</w:t>
      </w:r>
      <w:r w:rsidR="007822F7" w:rsidRPr="00277FF7">
        <w:rPr>
          <w:b/>
        </w:rPr>
        <w:t>.</w:t>
      </w:r>
      <w:proofErr w:type="gramEnd"/>
      <w:r w:rsidR="007822F7" w:rsidRPr="00277FF7">
        <w:t xml:space="preserve">  Sample</w:t>
      </w:r>
      <w:r w:rsidR="007822F7">
        <w:t xml:space="preserve"> letter reporting individual </w:t>
      </w:r>
      <w:r w:rsidR="007822F7">
        <w:rPr>
          <w:lang w:val="en-US"/>
        </w:rPr>
        <w:t>chemical</w:t>
      </w:r>
      <w:r w:rsidR="007822F7" w:rsidRPr="00277FF7">
        <w:t xml:space="preserve"> result</w:t>
      </w:r>
      <w:r w:rsidR="007822F7">
        <w:rPr>
          <w:lang w:val="en-US"/>
        </w:rPr>
        <w:t>s</w:t>
      </w:r>
      <w:r w:rsidR="007822F7" w:rsidRPr="00277FF7">
        <w:t xml:space="preserve"> to a participant</w:t>
      </w:r>
      <w:bookmarkEnd w:id="1"/>
      <w:bookmarkEnd w:id="2"/>
      <w:bookmarkEnd w:id="3"/>
      <w:r w:rsidR="007822F7">
        <w:rPr>
          <w:lang w:val="en-US"/>
        </w:rPr>
        <w:t xml:space="preserve"> (Flesch-Kincaid Reading Level: grade 9.9)</w:t>
      </w:r>
    </w:p>
    <w:p w:rsidR="007822F7" w:rsidRPr="009E108D" w:rsidRDefault="007822F7" w:rsidP="007822F7">
      <w:pPr>
        <w:rPr>
          <w:rFonts w:cs="Calibri"/>
        </w:rPr>
      </w:pPr>
    </w:p>
    <w:p w:rsidR="007822F7" w:rsidRPr="00E177F1" w:rsidRDefault="007822F7" w:rsidP="007822F7">
      <w:pPr>
        <w:tabs>
          <w:tab w:val="left" w:pos="5880"/>
        </w:tabs>
        <w:rPr>
          <w:rFonts w:ascii="Times New Roman" w:eastAsia="Times New Roman" w:hAnsi="Times New Roman"/>
        </w:rPr>
      </w:pPr>
      <w:r>
        <w:rPr>
          <w:noProof/>
        </w:rPr>
        <w:drawing>
          <wp:inline distT="0" distB="0" distL="0" distR="0">
            <wp:extent cx="5943600" cy="838200"/>
            <wp:effectExtent l="0" t="0" r="0" b="0"/>
            <wp:docPr id="1" name="Picture 1" descr="HeaderNoBG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NoBG_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838200"/>
                    </a:xfrm>
                    <a:prstGeom prst="rect">
                      <a:avLst/>
                    </a:prstGeom>
                    <a:noFill/>
                    <a:ln>
                      <a:noFill/>
                    </a:ln>
                  </pic:spPr>
                </pic:pic>
              </a:graphicData>
            </a:graphic>
          </wp:inline>
        </w:drawing>
      </w:r>
    </w:p>
    <w:p w:rsidR="007822F7" w:rsidRDefault="007822F7" w:rsidP="007822F7">
      <w:pPr>
        <w:rPr>
          <w:rFonts w:ascii="Times New Roman" w:eastAsia="Times New Roman" w:hAnsi="Times New Roman"/>
        </w:rPr>
      </w:pPr>
    </w:p>
    <w:p w:rsidR="007822F7" w:rsidRPr="00E177F1" w:rsidRDefault="007822F7" w:rsidP="007822F7">
      <w:pPr>
        <w:rPr>
          <w:rFonts w:ascii="Times New Roman" w:eastAsia="Times New Roman" w:hAnsi="Times New Roman"/>
        </w:rPr>
      </w:pPr>
      <w:r>
        <w:rPr>
          <w:rFonts w:ascii="Times New Roman" w:eastAsia="Times New Roman" w:hAnsi="Times New Roman"/>
        </w:rPr>
        <w:t>[</w:t>
      </w:r>
      <w:r w:rsidRPr="00E177F1">
        <w:rPr>
          <w:rFonts w:ascii="Times New Roman" w:eastAsia="Times New Roman" w:hAnsi="Times New Roman"/>
        </w:rPr>
        <w:t>NAME AND ADDRESS</w:t>
      </w:r>
      <w:r>
        <w:rPr>
          <w:rFonts w:ascii="Times New Roman" w:eastAsia="Times New Roman" w:hAnsi="Times New Roman"/>
        </w:rPr>
        <w:t>]</w:t>
      </w:r>
    </w:p>
    <w:p w:rsidR="007822F7" w:rsidRDefault="007822F7" w:rsidP="007822F7">
      <w:pPr>
        <w:rPr>
          <w:rFonts w:ascii="Times New Roman" w:eastAsia="Times New Roman" w:hAnsi="Times New Roman"/>
        </w:rPr>
      </w:pPr>
    </w:p>
    <w:p w:rsidR="007822F7" w:rsidRDefault="007822F7" w:rsidP="007822F7">
      <w:pPr>
        <w:rPr>
          <w:rFonts w:ascii="Times New Roman" w:eastAsia="Times New Roman" w:hAnsi="Times New Roman"/>
        </w:rPr>
      </w:pPr>
    </w:p>
    <w:p w:rsidR="007822F7" w:rsidRPr="00E177F1" w:rsidRDefault="007822F7" w:rsidP="007822F7">
      <w:pPr>
        <w:rPr>
          <w:rFonts w:ascii="Times New Roman" w:eastAsia="Times New Roman" w:hAnsi="Times New Roman"/>
        </w:rPr>
      </w:pPr>
    </w:p>
    <w:p w:rsidR="007822F7" w:rsidRDefault="007822F7" w:rsidP="007822F7">
      <w:pPr>
        <w:rPr>
          <w:rFonts w:ascii="Times New Roman" w:eastAsia="Times New Roman" w:hAnsi="Times New Roman"/>
        </w:rPr>
      </w:pPr>
      <w:r w:rsidRPr="00E177F1">
        <w:rPr>
          <w:rFonts w:ascii="Times New Roman" w:eastAsia="Times New Roman" w:hAnsi="Times New Roman"/>
        </w:rPr>
        <w:t xml:space="preserve">Dear </w:t>
      </w:r>
      <w:r>
        <w:rPr>
          <w:rFonts w:ascii="Times New Roman" w:eastAsia="Times New Roman" w:hAnsi="Times New Roman"/>
        </w:rPr>
        <w:t>[</w:t>
      </w:r>
      <w:r w:rsidRPr="00E177F1">
        <w:rPr>
          <w:rFonts w:ascii="Times New Roman" w:eastAsia="Times New Roman" w:hAnsi="Times New Roman"/>
        </w:rPr>
        <w:t>NAME</w:t>
      </w:r>
      <w:r>
        <w:rPr>
          <w:rFonts w:ascii="Times New Roman" w:eastAsia="Times New Roman" w:hAnsi="Times New Roman"/>
        </w:rPr>
        <w:t>]</w:t>
      </w:r>
      <w:r w:rsidRPr="00E177F1">
        <w:rPr>
          <w:rFonts w:ascii="Times New Roman" w:eastAsia="Times New Roman" w:hAnsi="Times New Roman"/>
        </w:rPr>
        <w:t>:</w:t>
      </w:r>
    </w:p>
    <w:p w:rsidR="007822F7" w:rsidRDefault="007822F7" w:rsidP="007822F7">
      <w:pPr>
        <w:rPr>
          <w:rFonts w:ascii="Times New Roman" w:eastAsia="Times New Roman" w:hAnsi="Times New Roman"/>
        </w:rPr>
      </w:pPr>
    </w:p>
    <w:p w:rsidR="007822F7" w:rsidRPr="004B3844" w:rsidRDefault="007822F7" w:rsidP="007822F7">
      <w:pPr>
        <w:rPr>
          <w:rFonts w:ascii="Times New Roman" w:eastAsia="Times New Roman" w:hAnsi="Times New Roman"/>
        </w:rPr>
      </w:pPr>
      <w:r>
        <w:rPr>
          <w:rFonts w:ascii="Times New Roman" w:eastAsia="Times New Roman" w:hAnsi="Times New Roman"/>
        </w:rPr>
        <w:t>We</w:t>
      </w:r>
      <w:r w:rsidRPr="004B3844">
        <w:rPr>
          <w:rFonts w:ascii="Times New Roman" w:eastAsia="Times New Roman" w:hAnsi="Times New Roman"/>
        </w:rPr>
        <w:t xml:space="preserve"> would like to thank you for taking part in the Great </w:t>
      </w:r>
      <w:r>
        <w:rPr>
          <w:rFonts w:ascii="Times New Roman" w:eastAsia="Times New Roman" w:hAnsi="Times New Roman"/>
        </w:rPr>
        <w:t>Lakes Biomonitoring Project.  On page 3 y</w:t>
      </w:r>
      <w:r w:rsidRPr="004B3844">
        <w:rPr>
          <w:rFonts w:ascii="Times New Roman" w:eastAsia="Times New Roman" w:hAnsi="Times New Roman"/>
        </w:rPr>
        <w:t>ou will find yo</w:t>
      </w:r>
      <w:r>
        <w:rPr>
          <w:rFonts w:ascii="Times New Roman" w:eastAsia="Times New Roman" w:hAnsi="Times New Roman"/>
        </w:rPr>
        <w:t>ur results for PCBs, pesticides (</w:t>
      </w:r>
      <w:r w:rsidRPr="004B3844">
        <w:rPr>
          <w:rFonts w:ascii="Times New Roman" w:eastAsia="Times New Roman" w:hAnsi="Times New Roman"/>
        </w:rPr>
        <w:t xml:space="preserve">DDT/DDE, hexachlorobenzene (HCB), </w:t>
      </w:r>
      <w:r w:rsidR="00A72CE9">
        <w:rPr>
          <w:rFonts w:ascii="Times New Roman" w:eastAsia="Times New Roman" w:hAnsi="Times New Roman"/>
        </w:rPr>
        <w:t>Mirex</w:t>
      </w:r>
      <w:r>
        <w:rPr>
          <w:rFonts w:ascii="Times New Roman" w:eastAsia="Times New Roman" w:hAnsi="Times New Roman"/>
        </w:rPr>
        <w:t>)</w:t>
      </w:r>
      <w:r w:rsidRPr="004B3844">
        <w:rPr>
          <w:rFonts w:ascii="Times New Roman" w:eastAsia="Times New Roman" w:hAnsi="Times New Roman"/>
        </w:rPr>
        <w:t xml:space="preserve">, </w:t>
      </w:r>
      <w:r>
        <w:rPr>
          <w:rFonts w:ascii="Times New Roman" w:eastAsia="Times New Roman" w:hAnsi="Times New Roman"/>
        </w:rPr>
        <w:t>and two pesticide metabolites (</w:t>
      </w:r>
      <w:r w:rsidRPr="004B3844">
        <w:rPr>
          <w:rFonts w:ascii="Times New Roman" w:eastAsia="Times New Roman" w:hAnsi="Times New Roman"/>
        </w:rPr>
        <w:t>oxychlordane</w:t>
      </w:r>
      <w:r>
        <w:rPr>
          <w:rFonts w:ascii="Times New Roman" w:eastAsia="Times New Roman" w:hAnsi="Times New Roman"/>
        </w:rPr>
        <w:t>, and trans-nonachlor)</w:t>
      </w:r>
      <w:r w:rsidRPr="004B3844">
        <w:rPr>
          <w:rFonts w:ascii="Times New Roman" w:eastAsia="Times New Roman" w:hAnsi="Times New Roman"/>
        </w:rPr>
        <w:t>.</w:t>
      </w:r>
    </w:p>
    <w:p w:rsidR="007822F7" w:rsidRPr="004B3844" w:rsidRDefault="007822F7" w:rsidP="007822F7">
      <w:pPr>
        <w:rPr>
          <w:rFonts w:ascii="Times New Roman" w:eastAsia="Times New Roman" w:hAnsi="Times New Roman"/>
        </w:rPr>
      </w:pPr>
    </w:p>
    <w:p w:rsidR="007822F7" w:rsidRPr="004B3844" w:rsidRDefault="007822F7" w:rsidP="007822F7">
      <w:pPr>
        <w:rPr>
          <w:rFonts w:ascii="Times New Roman" w:eastAsia="Times New Roman" w:hAnsi="Times New Roman"/>
        </w:rPr>
      </w:pPr>
      <w:r w:rsidRPr="004B3844">
        <w:rPr>
          <w:rFonts w:ascii="Times New Roman" w:eastAsia="Times New Roman" w:hAnsi="Times New Roman"/>
        </w:rPr>
        <w:t xml:space="preserve">Most people in the general population have some measurable level of these chemicals in their blood.  </w:t>
      </w:r>
      <w:r>
        <w:rPr>
          <w:rFonts w:ascii="Times New Roman" w:eastAsia="Times New Roman" w:hAnsi="Times New Roman"/>
        </w:rPr>
        <w:t>Also,</w:t>
      </w:r>
      <w:r w:rsidRPr="004B3844">
        <w:rPr>
          <w:rFonts w:ascii="Times New Roman" w:eastAsia="Times New Roman" w:hAnsi="Times New Roman"/>
        </w:rPr>
        <w:t xml:space="preserve"> older people tend to have hi</w:t>
      </w:r>
      <w:r>
        <w:rPr>
          <w:rFonts w:ascii="Times New Roman" w:eastAsia="Times New Roman" w:hAnsi="Times New Roman"/>
        </w:rPr>
        <w:t>gher levels than younger people and</w:t>
      </w:r>
      <w:r w:rsidRPr="004B3844">
        <w:rPr>
          <w:rFonts w:ascii="Times New Roman" w:eastAsia="Times New Roman" w:hAnsi="Times New Roman"/>
        </w:rPr>
        <w:t xml:space="preserve"> men generally have higher levels than women</w:t>
      </w:r>
      <w:r>
        <w:rPr>
          <w:rFonts w:ascii="Times New Roman" w:eastAsia="Times New Roman" w:hAnsi="Times New Roman"/>
        </w:rPr>
        <w:t>.</w:t>
      </w:r>
    </w:p>
    <w:p w:rsidR="007822F7" w:rsidRPr="004B3844" w:rsidRDefault="007822F7" w:rsidP="007822F7">
      <w:pPr>
        <w:rPr>
          <w:rFonts w:ascii="Times New Roman" w:eastAsia="Times New Roman" w:hAnsi="Times New Roman"/>
        </w:rPr>
      </w:pPr>
    </w:p>
    <w:p w:rsidR="007822F7" w:rsidRDefault="007822F7" w:rsidP="007822F7">
      <w:pPr>
        <w:rPr>
          <w:rFonts w:ascii="Times New Roman" w:eastAsia="Times New Roman" w:hAnsi="Times New Roman"/>
        </w:rPr>
      </w:pPr>
      <w:r w:rsidRPr="004B3844">
        <w:rPr>
          <w:rFonts w:ascii="Times New Roman" w:eastAsia="Times New Roman" w:hAnsi="Times New Roman"/>
        </w:rPr>
        <w:t xml:space="preserve">These chemicals </w:t>
      </w:r>
      <w:proofErr w:type="gramStart"/>
      <w:r w:rsidRPr="004B3844">
        <w:rPr>
          <w:rFonts w:ascii="Times New Roman" w:eastAsia="Times New Roman" w:hAnsi="Times New Roman"/>
        </w:rPr>
        <w:t>are no longer produced</w:t>
      </w:r>
      <w:proofErr w:type="gramEnd"/>
      <w:r w:rsidRPr="004B3844">
        <w:rPr>
          <w:rFonts w:ascii="Times New Roman" w:eastAsia="Times New Roman" w:hAnsi="Times New Roman"/>
        </w:rPr>
        <w:t xml:space="preserve"> in the U</w:t>
      </w:r>
      <w:r>
        <w:rPr>
          <w:rFonts w:ascii="Times New Roman" w:eastAsia="Times New Roman" w:hAnsi="Times New Roman"/>
        </w:rPr>
        <w:t>.</w:t>
      </w:r>
      <w:r w:rsidRPr="004B3844">
        <w:rPr>
          <w:rFonts w:ascii="Times New Roman" w:eastAsia="Times New Roman" w:hAnsi="Times New Roman"/>
        </w:rPr>
        <w:t>S</w:t>
      </w:r>
      <w:r>
        <w:rPr>
          <w:rFonts w:ascii="Times New Roman" w:eastAsia="Times New Roman" w:hAnsi="Times New Roman"/>
        </w:rPr>
        <w:t>.</w:t>
      </w:r>
      <w:r w:rsidRPr="004B3844">
        <w:rPr>
          <w:rFonts w:ascii="Times New Roman" w:eastAsia="Times New Roman" w:hAnsi="Times New Roman"/>
        </w:rPr>
        <w:t xml:space="preserve">, but still exist in the food chain due to their persistence in the environment.  To reduce your exposure to these chemicals, follow the </w:t>
      </w:r>
      <w:r>
        <w:rPr>
          <w:rFonts w:ascii="Times New Roman" w:eastAsia="Times New Roman" w:hAnsi="Times New Roman"/>
        </w:rPr>
        <w:t xml:space="preserve">New York State fish advisories available at: </w:t>
      </w:r>
      <w:r w:rsidRPr="001A5441">
        <w:rPr>
          <w:rFonts w:ascii="Times New Roman" w:hAnsi="Times New Roman"/>
          <w:u w:val="single"/>
        </w:rPr>
        <w:t>http://www.health.state.ny.us/environmental/outdoors/fish/fish.htm</w:t>
      </w:r>
      <w:r>
        <w:rPr>
          <w:rFonts w:ascii="Times New Roman" w:eastAsia="Times New Roman" w:hAnsi="Times New Roman"/>
        </w:rPr>
        <w:t>.</w:t>
      </w:r>
    </w:p>
    <w:p w:rsidR="007822F7" w:rsidRPr="004B3844" w:rsidRDefault="007822F7" w:rsidP="007822F7">
      <w:pPr>
        <w:rPr>
          <w:rFonts w:ascii="Times New Roman" w:eastAsia="Times New Roman" w:hAnsi="Times New Roman"/>
        </w:rPr>
      </w:pPr>
    </w:p>
    <w:p w:rsidR="007822F7" w:rsidRPr="004B3844" w:rsidRDefault="007822F7" w:rsidP="007822F7">
      <w:pPr>
        <w:rPr>
          <w:rFonts w:ascii="Times New Roman" w:eastAsia="Times New Roman" w:hAnsi="Times New Roman"/>
        </w:rPr>
      </w:pPr>
      <w:r>
        <w:rPr>
          <w:rFonts w:ascii="Times New Roman" w:eastAsia="Times New Roman" w:hAnsi="Times New Roman"/>
        </w:rPr>
        <w:t xml:space="preserve">Your report includes the range of levels typically found in adults in the U.S.  </w:t>
      </w:r>
      <w:r w:rsidRPr="004B3844">
        <w:rPr>
          <w:rFonts w:ascii="Times New Roman" w:eastAsia="Times New Roman" w:hAnsi="Times New Roman"/>
        </w:rPr>
        <w:t>If you</w:t>
      </w:r>
      <w:r>
        <w:rPr>
          <w:rFonts w:ascii="Times New Roman" w:eastAsia="Times New Roman" w:hAnsi="Times New Roman"/>
        </w:rPr>
        <w:t>r</w:t>
      </w:r>
      <w:r w:rsidRPr="004B3844">
        <w:rPr>
          <w:rFonts w:ascii="Times New Roman" w:eastAsia="Times New Roman" w:hAnsi="Times New Roman"/>
        </w:rPr>
        <w:t xml:space="preserve"> </w:t>
      </w:r>
      <w:r>
        <w:rPr>
          <w:rFonts w:ascii="Times New Roman" w:eastAsia="Times New Roman" w:hAnsi="Times New Roman"/>
        </w:rPr>
        <w:t>levels are higher than the</w:t>
      </w:r>
      <w:r w:rsidRPr="004B3844">
        <w:rPr>
          <w:rFonts w:ascii="Times New Roman" w:eastAsia="Times New Roman" w:hAnsi="Times New Roman"/>
        </w:rPr>
        <w:t xml:space="preserve"> </w:t>
      </w:r>
      <w:r>
        <w:rPr>
          <w:rFonts w:ascii="Times New Roman" w:eastAsia="Times New Roman" w:hAnsi="Times New Roman"/>
        </w:rPr>
        <w:t>reference</w:t>
      </w:r>
      <w:r w:rsidRPr="004B3844">
        <w:rPr>
          <w:rFonts w:ascii="Times New Roman" w:eastAsia="Times New Roman" w:hAnsi="Times New Roman"/>
        </w:rPr>
        <w:t xml:space="preserve"> range, it does </w:t>
      </w:r>
      <w:r w:rsidRPr="00F41478">
        <w:rPr>
          <w:rFonts w:ascii="Times New Roman" w:eastAsia="Times New Roman" w:hAnsi="Times New Roman"/>
          <w:u w:val="single"/>
        </w:rPr>
        <w:t>not</w:t>
      </w:r>
      <w:r>
        <w:rPr>
          <w:rFonts w:ascii="Times New Roman" w:eastAsia="Times New Roman" w:hAnsi="Times New Roman"/>
        </w:rPr>
        <w:t xml:space="preserve"> </w:t>
      </w:r>
      <w:r w:rsidRPr="004B3844">
        <w:rPr>
          <w:rFonts w:ascii="Times New Roman" w:eastAsia="Times New Roman" w:hAnsi="Times New Roman"/>
        </w:rPr>
        <w:t>mean you will develop disease</w:t>
      </w:r>
      <w:r>
        <w:rPr>
          <w:rFonts w:ascii="Times New Roman" w:eastAsia="Times New Roman" w:hAnsi="Times New Roman"/>
        </w:rPr>
        <w:t xml:space="preserve"> nor have any health effects</w:t>
      </w:r>
      <w:r w:rsidRPr="004B3844">
        <w:rPr>
          <w:rFonts w:ascii="Times New Roman" w:eastAsia="Times New Roman" w:hAnsi="Times New Roman"/>
        </w:rPr>
        <w:t>.  Scientists are still learning what the impact of these chemicals is on human health.</w:t>
      </w:r>
    </w:p>
    <w:p w:rsidR="007822F7" w:rsidRPr="004B3844" w:rsidRDefault="007822F7" w:rsidP="007822F7">
      <w:pPr>
        <w:rPr>
          <w:rFonts w:ascii="Times New Roman" w:eastAsia="Times New Roman" w:hAnsi="Times New Roman"/>
        </w:rPr>
      </w:pPr>
    </w:p>
    <w:p w:rsidR="007822F7" w:rsidRDefault="007822F7" w:rsidP="007822F7">
      <w:pPr>
        <w:rPr>
          <w:rFonts w:ascii="Times New Roman" w:eastAsia="Times New Roman" w:hAnsi="Times New Roman"/>
        </w:rPr>
      </w:pPr>
      <w:r w:rsidRPr="004B3844">
        <w:rPr>
          <w:rFonts w:ascii="Times New Roman" w:eastAsia="Times New Roman" w:hAnsi="Times New Roman"/>
        </w:rPr>
        <w:t>All of the results i</w:t>
      </w:r>
      <w:r>
        <w:rPr>
          <w:rFonts w:ascii="Times New Roman" w:eastAsia="Times New Roman" w:hAnsi="Times New Roman"/>
        </w:rPr>
        <w:t xml:space="preserve">n the report are given as </w:t>
      </w:r>
      <w:r w:rsidR="00B80766">
        <w:rPr>
          <w:rFonts w:ascii="Times New Roman" w:eastAsia="Times New Roman" w:hAnsi="Times New Roman"/>
        </w:rPr>
        <w:t>nanogram per gram</w:t>
      </w:r>
      <w:r w:rsidR="0007580B">
        <w:rPr>
          <w:rFonts w:ascii="Times New Roman" w:eastAsia="Times New Roman" w:hAnsi="Times New Roman"/>
        </w:rPr>
        <w:t xml:space="preserve"> of lipid</w:t>
      </w:r>
      <w:r w:rsidR="00B80766">
        <w:rPr>
          <w:rFonts w:ascii="Times New Roman" w:eastAsia="Times New Roman" w:hAnsi="Times New Roman"/>
        </w:rPr>
        <w:t xml:space="preserve"> (ng/g)</w:t>
      </w:r>
      <w:r w:rsidRPr="004B3844">
        <w:rPr>
          <w:rFonts w:ascii="Times New Roman" w:eastAsia="Times New Roman" w:hAnsi="Times New Roman"/>
        </w:rPr>
        <w:t xml:space="preserve">.  To give you an idea of the relative </w:t>
      </w:r>
      <w:r>
        <w:rPr>
          <w:rFonts w:ascii="Times New Roman" w:eastAsia="Times New Roman" w:hAnsi="Times New Roman"/>
        </w:rPr>
        <w:t>size</w:t>
      </w:r>
      <w:r w:rsidRPr="004B3844">
        <w:rPr>
          <w:rFonts w:ascii="Times New Roman" w:eastAsia="Times New Roman" w:hAnsi="Times New Roman"/>
        </w:rPr>
        <w:t xml:space="preserve">, one </w:t>
      </w:r>
      <w:r w:rsidR="00DB56BC">
        <w:rPr>
          <w:rFonts w:ascii="Times New Roman" w:eastAsia="Times New Roman" w:hAnsi="Times New Roman"/>
        </w:rPr>
        <w:t xml:space="preserve">nanogram per gram </w:t>
      </w:r>
      <w:r w:rsidRPr="004B3844">
        <w:rPr>
          <w:rFonts w:ascii="Times New Roman" w:eastAsia="Times New Roman" w:hAnsi="Times New Roman"/>
        </w:rPr>
        <w:t xml:space="preserve">would be </w:t>
      </w:r>
      <w:r>
        <w:rPr>
          <w:rFonts w:ascii="Times New Roman" w:eastAsia="Times New Roman" w:hAnsi="Times New Roman"/>
        </w:rPr>
        <w:t>like</w:t>
      </w:r>
      <w:r w:rsidRPr="004B3844">
        <w:rPr>
          <w:rFonts w:ascii="Times New Roman" w:eastAsia="Times New Roman" w:hAnsi="Times New Roman"/>
        </w:rPr>
        <w:t xml:space="preserve"> 1 inch in 16 miles</w:t>
      </w:r>
      <w:r>
        <w:rPr>
          <w:rFonts w:ascii="Times New Roman" w:eastAsia="Times New Roman" w:hAnsi="Times New Roman"/>
        </w:rPr>
        <w:t xml:space="preserve">, </w:t>
      </w:r>
      <w:r w:rsidRPr="004B3844">
        <w:rPr>
          <w:rFonts w:ascii="Times New Roman" w:eastAsia="Times New Roman" w:hAnsi="Times New Roman"/>
        </w:rPr>
        <w:t xml:space="preserve">1 minute in </w:t>
      </w:r>
      <w:r>
        <w:rPr>
          <w:rFonts w:ascii="Times New Roman" w:eastAsia="Times New Roman" w:hAnsi="Times New Roman"/>
        </w:rPr>
        <w:t>2</w:t>
      </w:r>
      <w:r w:rsidRPr="004B3844">
        <w:rPr>
          <w:rFonts w:ascii="Times New Roman" w:eastAsia="Times New Roman" w:hAnsi="Times New Roman"/>
        </w:rPr>
        <w:t xml:space="preserve"> years</w:t>
      </w:r>
      <w:r>
        <w:rPr>
          <w:rFonts w:ascii="Times New Roman" w:eastAsia="Times New Roman" w:hAnsi="Times New Roman"/>
        </w:rPr>
        <w:t xml:space="preserve">, </w:t>
      </w:r>
      <w:r w:rsidRPr="004B3844">
        <w:rPr>
          <w:rFonts w:ascii="Times New Roman" w:eastAsia="Times New Roman" w:hAnsi="Times New Roman"/>
        </w:rPr>
        <w:t>or 1 cent in $10,000.</w:t>
      </w:r>
    </w:p>
    <w:p w:rsidR="007822F7" w:rsidRPr="004B3844" w:rsidRDefault="007822F7" w:rsidP="007822F7">
      <w:pPr>
        <w:rPr>
          <w:rFonts w:ascii="Times New Roman" w:eastAsia="Times New Roman" w:hAnsi="Times New Roman"/>
        </w:rPr>
      </w:pPr>
    </w:p>
    <w:p w:rsidR="007822F7" w:rsidRPr="004B3844" w:rsidRDefault="007822F7" w:rsidP="007822F7">
      <w:pPr>
        <w:rPr>
          <w:rFonts w:ascii="Times New Roman" w:eastAsia="Times New Roman" w:hAnsi="Times New Roman"/>
        </w:rPr>
      </w:pPr>
      <w:r w:rsidRPr="004B3844">
        <w:rPr>
          <w:rFonts w:ascii="Times New Roman" w:eastAsia="Times New Roman" w:hAnsi="Times New Roman"/>
        </w:rPr>
        <w:t>As you requested, we have also sent a copy of these results to your personal physician.  We will be happy to answer any questions you have about the project, but concerns you may have about these results should be brought to the attention of your physician.</w:t>
      </w:r>
    </w:p>
    <w:p w:rsidR="007822F7" w:rsidRPr="004B3844" w:rsidRDefault="007822F7" w:rsidP="007822F7">
      <w:pPr>
        <w:rPr>
          <w:rFonts w:ascii="Times New Roman" w:eastAsia="Times New Roman" w:hAnsi="Times New Roman"/>
        </w:rPr>
      </w:pPr>
    </w:p>
    <w:p w:rsidR="007822F7" w:rsidRPr="00E177F1" w:rsidRDefault="007822F7" w:rsidP="007822F7">
      <w:pPr>
        <w:rPr>
          <w:rFonts w:ascii="Times New Roman" w:eastAsia="Times New Roman" w:hAnsi="Times New Roman"/>
        </w:rPr>
      </w:pPr>
      <w:r>
        <w:rPr>
          <w:rFonts w:ascii="Times New Roman" w:eastAsia="Times New Roman" w:hAnsi="Times New Roman"/>
        </w:rPr>
        <w:br w:type="page"/>
      </w:r>
      <w:r w:rsidRPr="004B3844">
        <w:rPr>
          <w:rFonts w:ascii="Times New Roman" w:eastAsia="Times New Roman" w:hAnsi="Times New Roman"/>
        </w:rPr>
        <w:lastRenderedPageBreak/>
        <w:t>If you have any questions about the project in general, please contact me at 518-402-7950.</w:t>
      </w:r>
    </w:p>
    <w:p w:rsidR="007822F7" w:rsidRDefault="007822F7" w:rsidP="007822F7">
      <w:pPr>
        <w:rPr>
          <w:rFonts w:ascii="Times New Roman" w:eastAsia="Times New Roman" w:hAnsi="Times New Roman"/>
        </w:rPr>
      </w:pPr>
    </w:p>
    <w:p w:rsidR="007822F7" w:rsidRPr="00E177F1" w:rsidRDefault="007822F7" w:rsidP="007822F7">
      <w:pPr>
        <w:rPr>
          <w:rFonts w:ascii="Times New Roman" w:eastAsia="Times New Roman" w:hAnsi="Times New Roman"/>
        </w:rPr>
      </w:pPr>
      <w:r w:rsidRPr="00E177F1">
        <w:rPr>
          <w:rFonts w:ascii="Times New Roman" w:eastAsia="Times New Roman" w:hAnsi="Times New Roman"/>
        </w:rPr>
        <w:t>Thank you again for your participation.</w:t>
      </w:r>
    </w:p>
    <w:p w:rsidR="007822F7" w:rsidRPr="00E177F1" w:rsidRDefault="007822F7" w:rsidP="007822F7">
      <w:pPr>
        <w:rPr>
          <w:rFonts w:ascii="Times New Roman" w:eastAsia="Times New Roman" w:hAnsi="Times New Roman"/>
        </w:rPr>
      </w:pPr>
    </w:p>
    <w:p w:rsidR="007822F7" w:rsidRPr="00E177F1" w:rsidRDefault="007822F7" w:rsidP="007822F7">
      <w:pPr>
        <w:rPr>
          <w:rFonts w:ascii="Times New Roman" w:eastAsia="Times New Roman" w:hAnsi="Times New Roman"/>
        </w:rPr>
      </w:pPr>
      <w:r w:rsidRPr="00E177F1">
        <w:rPr>
          <w:rFonts w:ascii="Times New Roman" w:eastAsia="Times New Roman" w:hAnsi="Times New Roman"/>
        </w:rPr>
        <w:t>Sincerely,</w:t>
      </w:r>
    </w:p>
    <w:p w:rsidR="007822F7" w:rsidRPr="00E177F1" w:rsidRDefault="007822F7" w:rsidP="007822F7">
      <w:pPr>
        <w:rPr>
          <w:rFonts w:ascii="Times New Roman" w:eastAsia="Times New Roman" w:hAnsi="Times New Roman"/>
        </w:rPr>
      </w:pPr>
    </w:p>
    <w:p w:rsidR="007822F7" w:rsidRPr="00E177F1" w:rsidRDefault="007822F7" w:rsidP="007822F7">
      <w:pPr>
        <w:rPr>
          <w:rFonts w:ascii="Times New Roman" w:eastAsia="Times New Roman" w:hAnsi="Times New Roman"/>
        </w:rPr>
      </w:pPr>
    </w:p>
    <w:p w:rsidR="007822F7" w:rsidRPr="00E177F1" w:rsidRDefault="007822F7" w:rsidP="007822F7">
      <w:pPr>
        <w:rPr>
          <w:rFonts w:ascii="Times New Roman" w:eastAsia="Times New Roman" w:hAnsi="Times New Roman"/>
        </w:rPr>
      </w:pPr>
      <w:r w:rsidRPr="00E177F1">
        <w:rPr>
          <w:rFonts w:ascii="Times New Roman" w:eastAsia="Times New Roman" w:hAnsi="Times New Roman"/>
        </w:rPr>
        <w:t>Syni-An A. Hwang</w:t>
      </w:r>
    </w:p>
    <w:p w:rsidR="007822F7" w:rsidRPr="00E177F1" w:rsidRDefault="007822F7" w:rsidP="007822F7">
      <w:pPr>
        <w:rPr>
          <w:rFonts w:ascii="Times New Roman" w:eastAsia="Times New Roman" w:hAnsi="Times New Roman"/>
        </w:rPr>
      </w:pPr>
      <w:r w:rsidRPr="00E177F1">
        <w:rPr>
          <w:rFonts w:ascii="Times New Roman" w:eastAsia="Times New Roman" w:hAnsi="Times New Roman"/>
        </w:rPr>
        <w:t>Director</w:t>
      </w:r>
    </w:p>
    <w:p w:rsidR="007822F7" w:rsidRPr="00E177F1" w:rsidRDefault="007822F7" w:rsidP="007822F7">
      <w:pPr>
        <w:rPr>
          <w:rFonts w:ascii="Times New Roman" w:eastAsia="Times New Roman" w:hAnsi="Times New Roman"/>
        </w:rPr>
      </w:pPr>
      <w:r w:rsidRPr="00E177F1">
        <w:rPr>
          <w:rFonts w:ascii="Times New Roman" w:eastAsia="Times New Roman" w:hAnsi="Times New Roman"/>
        </w:rPr>
        <w:t>Bureau of Environmental and Occupational Epidemiology</w:t>
      </w:r>
    </w:p>
    <w:p w:rsidR="007822F7" w:rsidRPr="00E177F1" w:rsidRDefault="007822F7" w:rsidP="007822F7">
      <w:pPr>
        <w:rPr>
          <w:rFonts w:ascii="Times New Roman" w:eastAsia="Times New Roman" w:hAnsi="Times New Roman"/>
        </w:rPr>
      </w:pPr>
    </w:p>
    <w:p w:rsidR="007822F7" w:rsidRPr="00E177F1" w:rsidRDefault="007822F7" w:rsidP="007822F7">
      <w:pPr>
        <w:rPr>
          <w:rFonts w:ascii="Times New Roman" w:eastAsia="Times New Roman" w:hAnsi="Times New Roman"/>
        </w:rPr>
      </w:pPr>
    </w:p>
    <w:p w:rsidR="007822F7" w:rsidRPr="00E177F1" w:rsidRDefault="007822F7" w:rsidP="007822F7">
      <w:pPr>
        <w:rPr>
          <w:rFonts w:ascii="Times New Roman" w:eastAsia="Times New Roman" w:hAnsi="Times New Roman"/>
        </w:rPr>
      </w:pPr>
      <w:r w:rsidRPr="00E177F1">
        <w:rPr>
          <w:rFonts w:ascii="Times New Roman" w:eastAsia="Times New Roman" w:hAnsi="Times New Roman"/>
        </w:rPr>
        <w:t>Matthew P. Mauer, D.O., M.P.H.</w:t>
      </w:r>
    </w:p>
    <w:p w:rsidR="007822F7" w:rsidRPr="00E177F1" w:rsidRDefault="007822F7" w:rsidP="007822F7">
      <w:pPr>
        <w:rPr>
          <w:rFonts w:ascii="Times New Roman" w:eastAsia="Times New Roman" w:hAnsi="Times New Roman"/>
        </w:rPr>
      </w:pPr>
      <w:r w:rsidRPr="00E177F1">
        <w:rPr>
          <w:rFonts w:ascii="Times New Roman" w:eastAsia="Times New Roman" w:hAnsi="Times New Roman"/>
        </w:rPr>
        <w:t>Public Health Physician</w:t>
      </w:r>
    </w:p>
    <w:p w:rsidR="007822F7" w:rsidRPr="00E177F1" w:rsidRDefault="007822F7" w:rsidP="007822F7">
      <w:pPr>
        <w:rPr>
          <w:rFonts w:ascii="Times New Roman" w:eastAsia="Times New Roman" w:hAnsi="Times New Roman"/>
        </w:rPr>
      </w:pPr>
      <w:r w:rsidRPr="00E177F1">
        <w:rPr>
          <w:rFonts w:ascii="Times New Roman" w:eastAsia="Times New Roman" w:hAnsi="Times New Roman"/>
        </w:rPr>
        <w:t>Bureau of Occupational Health</w:t>
      </w:r>
    </w:p>
    <w:p w:rsidR="007822F7" w:rsidRPr="00E177F1" w:rsidRDefault="007822F7" w:rsidP="007822F7">
      <w:pPr>
        <w:rPr>
          <w:rFonts w:ascii="Times New Roman" w:eastAsia="Times New Roman" w:hAnsi="Times New Roman"/>
        </w:rPr>
      </w:pPr>
    </w:p>
    <w:p w:rsidR="007822F7" w:rsidRDefault="007822F7" w:rsidP="007822F7"/>
    <w:p w:rsidR="007822F7" w:rsidRPr="00F063A4" w:rsidRDefault="007822F7" w:rsidP="007822F7">
      <w:pPr>
        <w:rPr>
          <w:b/>
        </w:rPr>
      </w:pPr>
      <w:r>
        <w:rPr>
          <w:rFonts w:ascii="Times New Roman" w:eastAsia="Times New Roman" w:hAnsi="Times New Roman"/>
        </w:rPr>
        <w:br w:type="page"/>
      </w:r>
      <w:r w:rsidRPr="00F063A4">
        <w:rPr>
          <w:b/>
        </w:rPr>
        <w:lastRenderedPageBreak/>
        <w:t>Great Lake Biomonitoring Project</w:t>
      </w:r>
    </w:p>
    <w:p w:rsidR="007822F7" w:rsidRPr="00F063A4" w:rsidRDefault="007822F7" w:rsidP="007822F7">
      <w:pPr>
        <w:rPr>
          <w:b/>
        </w:rPr>
      </w:pPr>
      <w:r w:rsidRPr="00F063A4">
        <w:rPr>
          <w:b/>
        </w:rPr>
        <w:t>Laboratory Report</w:t>
      </w:r>
    </w:p>
    <w:p w:rsidR="007822F7" w:rsidRDefault="007822F7" w:rsidP="007822F7"/>
    <w:p w:rsidR="007822F7" w:rsidRDefault="007822F7" w:rsidP="007822F7">
      <w:r>
        <w:t>Collection date:</w:t>
      </w:r>
    </w:p>
    <w:p w:rsidR="007822F7" w:rsidRPr="00F063A4" w:rsidRDefault="007822F7" w:rsidP="007822F7">
      <w:r>
        <w:t>Report date:</w:t>
      </w:r>
    </w:p>
    <w:p w:rsidR="007822F7" w:rsidRPr="00F063A4" w:rsidRDefault="007822F7" w:rsidP="007822F7"/>
    <w:p w:rsidR="007822F7" w:rsidRDefault="007822F7" w:rsidP="007822F7">
      <w:r>
        <w:t>[NAME AND ADDRESS]</w:t>
      </w:r>
    </w:p>
    <w:p w:rsidR="007822F7" w:rsidRDefault="007822F7" w:rsidP="007822F7"/>
    <w:p w:rsidR="007822F7" w:rsidRDefault="007822F7" w:rsidP="007822F7"/>
    <w:p w:rsidR="007822F7" w:rsidRPr="00F063A4" w:rsidRDefault="007822F7" w:rsidP="007822F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1890"/>
        <w:gridCol w:w="3960"/>
      </w:tblGrid>
      <w:tr w:rsidR="007822F7" w:rsidRPr="00F063A4" w:rsidTr="004A788F">
        <w:tc>
          <w:tcPr>
            <w:tcW w:w="3420" w:type="dxa"/>
            <w:shd w:val="clear" w:color="auto" w:fill="auto"/>
            <w:vAlign w:val="bottom"/>
          </w:tcPr>
          <w:p w:rsidR="007822F7" w:rsidRPr="00F063A4" w:rsidRDefault="007822F7" w:rsidP="00186813">
            <w:pPr>
              <w:rPr>
                <w:b/>
              </w:rPr>
            </w:pPr>
            <w:r w:rsidRPr="00F063A4">
              <w:rPr>
                <w:b/>
              </w:rPr>
              <w:t>Chemical or metabolite</w:t>
            </w:r>
          </w:p>
        </w:tc>
        <w:tc>
          <w:tcPr>
            <w:tcW w:w="1890" w:type="dxa"/>
            <w:shd w:val="clear" w:color="auto" w:fill="auto"/>
            <w:vAlign w:val="bottom"/>
          </w:tcPr>
          <w:p w:rsidR="007822F7" w:rsidRPr="00F063A4" w:rsidRDefault="007822F7" w:rsidP="00186813">
            <w:pPr>
              <w:jc w:val="center"/>
              <w:rPr>
                <w:b/>
              </w:rPr>
            </w:pPr>
            <w:r w:rsidRPr="00F063A4">
              <w:rPr>
                <w:b/>
              </w:rPr>
              <w:t>Your result,</w:t>
            </w:r>
          </w:p>
          <w:p w:rsidR="007822F7" w:rsidRPr="00F063A4" w:rsidRDefault="007822F7" w:rsidP="00186813">
            <w:pPr>
              <w:jc w:val="center"/>
              <w:rPr>
                <w:b/>
              </w:rPr>
            </w:pPr>
            <w:r>
              <w:rPr>
                <w:b/>
              </w:rPr>
              <w:t xml:space="preserve">lipid </w:t>
            </w:r>
            <w:r w:rsidRPr="00F063A4">
              <w:rPr>
                <w:b/>
              </w:rPr>
              <w:t>adjusted</w:t>
            </w:r>
          </w:p>
        </w:tc>
        <w:tc>
          <w:tcPr>
            <w:tcW w:w="3960" w:type="dxa"/>
            <w:shd w:val="clear" w:color="auto" w:fill="auto"/>
            <w:vAlign w:val="bottom"/>
          </w:tcPr>
          <w:p w:rsidR="007822F7" w:rsidRPr="00F063A4" w:rsidRDefault="007822F7" w:rsidP="00186813">
            <w:pPr>
              <w:jc w:val="center"/>
              <w:rPr>
                <w:b/>
              </w:rPr>
            </w:pPr>
            <w:r w:rsidRPr="00F063A4">
              <w:rPr>
                <w:b/>
              </w:rPr>
              <w:t xml:space="preserve">Reference </w:t>
            </w:r>
            <w:r w:rsidR="00ED17C0">
              <w:rPr>
                <w:b/>
              </w:rPr>
              <w:t>value</w:t>
            </w:r>
            <w:r w:rsidR="0007580B">
              <w:rPr>
                <w:b/>
              </w:rPr>
              <w:t xml:space="preserve"> (ng/g of lipid)</w:t>
            </w:r>
            <w:r w:rsidR="0034097C">
              <w:rPr>
                <w:b/>
              </w:rPr>
              <w:t>*</w:t>
            </w:r>
            <w:r w:rsidRPr="00F063A4">
              <w:rPr>
                <w:b/>
              </w:rPr>
              <w:t>,</w:t>
            </w:r>
          </w:p>
          <w:p w:rsidR="007822F7" w:rsidRPr="00F063A4" w:rsidRDefault="007822F7" w:rsidP="00186813">
            <w:pPr>
              <w:jc w:val="center"/>
              <w:rPr>
                <w:b/>
              </w:rPr>
            </w:pPr>
            <w:r w:rsidRPr="00F063A4">
              <w:rPr>
                <w:b/>
              </w:rPr>
              <w:t>lipid adjusted</w:t>
            </w:r>
          </w:p>
        </w:tc>
      </w:tr>
      <w:tr w:rsidR="007822F7" w:rsidRPr="00F063A4" w:rsidTr="004A788F">
        <w:trPr>
          <w:trHeight w:val="432"/>
        </w:trPr>
        <w:tc>
          <w:tcPr>
            <w:tcW w:w="3420" w:type="dxa"/>
            <w:shd w:val="clear" w:color="auto" w:fill="auto"/>
            <w:vAlign w:val="center"/>
          </w:tcPr>
          <w:p w:rsidR="007822F7" w:rsidRPr="00F063A4" w:rsidRDefault="007822F7" w:rsidP="00B80766">
            <w:r w:rsidRPr="00F063A4">
              <w:t>total PCBs</w:t>
            </w:r>
          </w:p>
        </w:tc>
        <w:tc>
          <w:tcPr>
            <w:tcW w:w="1890" w:type="dxa"/>
            <w:shd w:val="clear" w:color="auto" w:fill="auto"/>
            <w:vAlign w:val="center"/>
          </w:tcPr>
          <w:p w:rsidR="007822F7" w:rsidRPr="00F063A4" w:rsidRDefault="007822F7" w:rsidP="00186813">
            <w:pPr>
              <w:jc w:val="center"/>
            </w:pPr>
          </w:p>
        </w:tc>
        <w:tc>
          <w:tcPr>
            <w:tcW w:w="3960" w:type="dxa"/>
            <w:shd w:val="clear" w:color="auto" w:fill="auto"/>
            <w:vAlign w:val="center"/>
          </w:tcPr>
          <w:p w:rsidR="007822F7" w:rsidRPr="001070EE" w:rsidRDefault="007D3403" w:rsidP="0007580B">
            <w:pPr>
              <w:jc w:val="center"/>
            </w:pPr>
            <w:r>
              <w:t>TBD</w:t>
            </w:r>
            <w:r w:rsidR="0007580B">
              <w:t xml:space="preserve"> </w:t>
            </w:r>
          </w:p>
        </w:tc>
      </w:tr>
      <w:tr w:rsidR="007822F7" w:rsidRPr="00F063A4" w:rsidTr="004A788F">
        <w:trPr>
          <w:trHeight w:val="432"/>
        </w:trPr>
        <w:tc>
          <w:tcPr>
            <w:tcW w:w="3420" w:type="dxa"/>
            <w:shd w:val="clear" w:color="auto" w:fill="auto"/>
            <w:vAlign w:val="center"/>
          </w:tcPr>
          <w:p w:rsidR="007822F7" w:rsidRPr="00F063A4" w:rsidRDefault="007822F7" w:rsidP="00186813">
            <w:r w:rsidRPr="00F063A4">
              <w:t>DDT</w:t>
            </w:r>
          </w:p>
        </w:tc>
        <w:tc>
          <w:tcPr>
            <w:tcW w:w="1890" w:type="dxa"/>
            <w:shd w:val="clear" w:color="auto" w:fill="auto"/>
            <w:vAlign w:val="center"/>
          </w:tcPr>
          <w:p w:rsidR="007822F7" w:rsidRPr="00F063A4" w:rsidRDefault="007822F7" w:rsidP="00186813">
            <w:pPr>
              <w:jc w:val="center"/>
            </w:pPr>
          </w:p>
        </w:tc>
        <w:tc>
          <w:tcPr>
            <w:tcW w:w="3960" w:type="dxa"/>
            <w:shd w:val="clear" w:color="auto" w:fill="auto"/>
            <w:vAlign w:val="center"/>
          </w:tcPr>
          <w:p w:rsidR="007822F7" w:rsidRPr="001070EE" w:rsidRDefault="00ED17C0" w:rsidP="00186813">
            <w:pPr>
              <w:jc w:val="center"/>
            </w:pPr>
            <w:r>
              <w:t>&lt; LOD</w:t>
            </w:r>
            <w:r w:rsidR="0007580B">
              <w:t xml:space="preserve"> – 20.7</w:t>
            </w:r>
          </w:p>
        </w:tc>
      </w:tr>
      <w:tr w:rsidR="007822F7" w:rsidRPr="00F063A4" w:rsidTr="004A788F">
        <w:trPr>
          <w:trHeight w:val="432"/>
        </w:trPr>
        <w:tc>
          <w:tcPr>
            <w:tcW w:w="3420" w:type="dxa"/>
            <w:shd w:val="clear" w:color="auto" w:fill="auto"/>
            <w:vAlign w:val="center"/>
          </w:tcPr>
          <w:p w:rsidR="007822F7" w:rsidRPr="00F063A4" w:rsidRDefault="007822F7" w:rsidP="00186813">
            <w:r w:rsidRPr="00F063A4">
              <w:t>DDE</w:t>
            </w:r>
          </w:p>
        </w:tc>
        <w:tc>
          <w:tcPr>
            <w:tcW w:w="1890" w:type="dxa"/>
            <w:shd w:val="clear" w:color="auto" w:fill="auto"/>
            <w:vAlign w:val="center"/>
          </w:tcPr>
          <w:p w:rsidR="007822F7" w:rsidRPr="00F063A4" w:rsidRDefault="007822F7" w:rsidP="00186813">
            <w:pPr>
              <w:jc w:val="center"/>
            </w:pPr>
          </w:p>
        </w:tc>
        <w:tc>
          <w:tcPr>
            <w:tcW w:w="3960" w:type="dxa"/>
            <w:shd w:val="clear" w:color="auto" w:fill="auto"/>
            <w:vAlign w:val="center"/>
          </w:tcPr>
          <w:p w:rsidR="007822F7" w:rsidRPr="001070EE" w:rsidRDefault="0007580B" w:rsidP="0007580B">
            <w:pPr>
              <w:jc w:val="center"/>
            </w:pPr>
            <w:r>
              <w:t>233 – 1990</w:t>
            </w:r>
          </w:p>
        </w:tc>
      </w:tr>
      <w:tr w:rsidR="007822F7" w:rsidRPr="00F063A4" w:rsidTr="004A788F">
        <w:trPr>
          <w:trHeight w:val="432"/>
        </w:trPr>
        <w:tc>
          <w:tcPr>
            <w:tcW w:w="3420" w:type="dxa"/>
            <w:shd w:val="clear" w:color="auto" w:fill="auto"/>
            <w:vAlign w:val="center"/>
          </w:tcPr>
          <w:p w:rsidR="007822F7" w:rsidRPr="00F063A4" w:rsidRDefault="007822F7" w:rsidP="00186813">
            <w:r w:rsidRPr="00F063A4">
              <w:t>hexachlorobenzene (HCB)</w:t>
            </w:r>
          </w:p>
        </w:tc>
        <w:tc>
          <w:tcPr>
            <w:tcW w:w="1890" w:type="dxa"/>
            <w:shd w:val="clear" w:color="auto" w:fill="auto"/>
            <w:vAlign w:val="center"/>
          </w:tcPr>
          <w:p w:rsidR="007822F7" w:rsidRPr="00F063A4" w:rsidRDefault="007822F7" w:rsidP="00186813">
            <w:pPr>
              <w:jc w:val="center"/>
            </w:pPr>
          </w:p>
        </w:tc>
        <w:tc>
          <w:tcPr>
            <w:tcW w:w="3960" w:type="dxa"/>
            <w:shd w:val="clear" w:color="auto" w:fill="auto"/>
            <w:vAlign w:val="center"/>
          </w:tcPr>
          <w:p w:rsidR="007822F7" w:rsidRPr="001070EE" w:rsidRDefault="0007580B" w:rsidP="0007580B">
            <w:pPr>
              <w:jc w:val="center"/>
            </w:pPr>
            <w:r>
              <w:t>15.1 – 29.0</w:t>
            </w:r>
          </w:p>
        </w:tc>
      </w:tr>
      <w:tr w:rsidR="007822F7" w:rsidRPr="00F063A4" w:rsidTr="004A788F">
        <w:trPr>
          <w:trHeight w:val="432"/>
        </w:trPr>
        <w:tc>
          <w:tcPr>
            <w:tcW w:w="3420" w:type="dxa"/>
            <w:shd w:val="clear" w:color="auto" w:fill="auto"/>
            <w:vAlign w:val="center"/>
          </w:tcPr>
          <w:p w:rsidR="007822F7" w:rsidRPr="00F063A4" w:rsidRDefault="00F307EF" w:rsidP="00186813">
            <w:r>
              <w:t>Mirex</w:t>
            </w:r>
          </w:p>
        </w:tc>
        <w:tc>
          <w:tcPr>
            <w:tcW w:w="1890" w:type="dxa"/>
            <w:shd w:val="clear" w:color="auto" w:fill="auto"/>
            <w:vAlign w:val="center"/>
          </w:tcPr>
          <w:p w:rsidR="007822F7" w:rsidRPr="00F063A4" w:rsidRDefault="007822F7" w:rsidP="00186813">
            <w:pPr>
              <w:jc w:val="center"/>
            </w:pPr>
          </w:p>
        </w:tc>
        <w:tc>
          <w:tcPr>
            <w:tcW w:w="3960" w:type="dxa"/>
            <w:shd w:val="clear" w:color="auto" w:fill="auto"/>
            <w:vAlign w:val="center"/>
          </w:tcPr>
          <w:p w:rsidR="007822F7" w:rsidRPr="001070EE" w:rsidRDefault="00F307EF" w:rsidP="00186813">
            <w:pPr>
              <w:jc w:val="center"/>
            </w:pPr>
            <w:r>
              <w:t>&lt; LOD</w:t>
            </w:r>
            <w:r w:rsidR="00345F08">
              <w:t xml:space="preserve"> – 15.4</w:t>
            </w:r>
            <w:r w:rsidR="0007580B">
              <w:t xml:space="preserve"> </w:t>
            </w:r>
          </w:p>
        </w:tc>
      </w:tr>
      <w:tr w:rsidR="007822F7" w:rsidRPr="00F063A4" w:rsidTr="004A788F">
        <w:trPr>
          <w:trHeight w:val="432"/>
        </w:trPr>
        <w:tc>
          <w:tcPr>
            <w:tcW w:w="3420" w:type="dxa"/>
            <w:shd w:val="clear" w:color="auto" w:fill="auto"/>
            <w:vAlign w:val="center"/>
          </w:tcPr>
          <w:p w:rsidR="007822F7" w:rsidRPr="00F063A4" w:rsidRDefault="007822F7" w:rsidP="00186813">
            <w:r w:rsidRPr="00F063A4">
              <w:t>oxychlordane</w:t>
            </w:r>
          </w:p>
        </w:tc>
        <w:tc>
          <w:tcPr>
            <w:tcW w:w="1890" w:type="dxa"/>
            <w:shd w:val="clear" w:color="auto" w:fill="auto"/>
            <w:vAlign w:val="center"/>
          </w:tcPr>
          <w:p w:rsidR="007822F7" w:rsidRPr="00F063A4" w:rsidRDefault="007822F7" w:rsidP="00186813">
            <w:pPr>
              <w:jc w:val="center"/>
            </w:pPr>
          </w:p>
        </w:tc>
        <w:tc>
          <w:tcPr>
            <w:tcW w:w="3960" w:type="dxa"/>
            <w:shd w:val="clear" w:color="auto" w:fill="auto"/>
            <w:vAlign w:val="center"/>
          </w:tcPr>
          <w:p w:rsidR="007822F7" w:rsidRPr="001070EE" w:rsidRDefault="0007580B" w:rsidP="00186813">
            <w:pPr>
              <w:jc w:val="center"/>
            </w:pPr>
            <w:r>
              <w:t xml:space="preserve">11.4 – 39.2 </w:t>
            </w:r>
          </w:p>
        </w:tc>
      </w:tr>
      <w:tr w:rsidR="007822F7" w:rsidRPr="00F063A4" w:rsidTr="004A788F">
        <w:trPr>
          <w:trHeight w:val="432"/>
        </w:trPr>
        <w:tc>
          <w:tcPr>
            <w:tcW w:w="3420" w:type="dxa"/>
            <w:shd w:val="clear" w:color="auto" w:fill="auto"/>
            <w:vAlign w:val="center"/>
          </w:tcPr>
          <w:p w:rsidR="007822F7" w:rsidRPr="00F063A4" w:rsidRDefault="007822F7" w:rsidP="00186813">
            <w:r>
              <w:t>trans-nonachlor</w:t>
            </w:r>
          </w:p>
        </w:tc>
        <w:tc>
          <w:tcPr>
            <w:tcW w:w="1890" w:type="dxa"/>
            <w:shd w:val="clear" w:color="auto" w:fill="auto"/>
            <w:vAlign w:val="center"/>
          </w:tcPr>
          <w:p w:rsidR="007822F7" w:rsidRPr="00F063A4" w:rsidRDefault="007822F7" w:rsidP="00186813">
            <w:pPr>
              <w:jc w:val="center"/>
            </w:pPr>
          </w:p>
        </w:tc>
        <w:tc>
          <w:tcPr>
            <w:tcW w:w="3960" w:type="dxa"/>
            <w:shd w:val="clear" w:color="auto" w:fill="auto"/>
            <w:vAlign w:val="center"/>
          </w:tcPr>
          <w:p w:rsidR="007822F7" w:rsidRPr="001070EE" w:rsidRDefault="0007580B" w:rsidP="0007580B">
            <w:pPr>
              <w:jc w:val="center"/>
            </w:pPr>
            <w:r>
              <w:t xml:space="preserve">17.3 – 74.7  </w:t>
            </w:r>
          </w:p>
        </w:tc>
      </w:tr>
    </w:tbl>
    <w:p w:rsidR="007822F7" w:rsidRDefault="007822F7" w:rsidP="007822F7">
      <w:pPr>
        <w:ind w:left="360" w:hanging="360"/>
      </w:pPr>
    </w:p>
    <w:p w:rsidR="00ED17C0" w:rsidRDefault="00ED17C0" w:rsidP="00ED17C0">
      <w:pPr>
        <w:ind w:left="360" w:hanging="360"/>
      </w:pPr>
      <w:r>
        <w:t>* The reference values are found in adults (20 years and older) as reported by the National Health and Nutrition Examination Survey (NHANES) conducted by the Centers for Disease Control and Prevention (values are subject to change per survey data availability).</w:t>
      </w:r>
    </w:p>
    <w:p w:rsidR="007822F7" w:rsidRPr="002418BB" w:rsidRDefault="007822F7" w:rsidP="007822F7">
      <w:r>
        <w:rPr>
          <w:b/>
        </w:rPr>
        <w:t>Lipid adjusted:</w:t>
      </w:r>
      <w:r w:rsidRPr="001A5441">
        <w:t xml:space="preserve"> </w:t>
      </w:r>
      <w:r w:rsidRPr="002418BB">
        <w:t>The level of the chemical reported here takes account of the amount of lipids (fat) in the blood sample.</w:t>
      </w:r>
    </w:p>
    <w:p w:rsidR="007822F7" w:rsidRPr="00F063A4" w:rsidRDefault="007822F7" w:rsidP="007822F7">
      <w:r w:rsidRPr="00F063A4">
        <w:rPr>
          <w:b/>
        </w:rPr>
        <w:t>UTA:</w:t>
      </w:r>
      <w:r w:rsidRPr="00F063A4">
        <w:t xml:space="preserve"> Unable to analyze.  The lab could not test the blood sample because clots formed or there was not enough blood to do the test.</w:t>
      </w:r>
    </w:p>
    <w:p w:rsidR="007822F7" w:rsidRPr="00F063A4" w:rsidRDefault="007822F7" w:rsidP="007822F7">
      <w:r w:rsidRPr="00F063A4">
        <w:rPr>
          <w:b/>
        </w:rPr>
        <w:t>LOD:</w:t>
      </w:r>
      <w:r w:rsidRPr="00F063A4">
        <w:t xml:space="preserve"> Level of detection.  Below LOD means the level was too low to assign a number.</w:t>
      </w:r>
    </w:p>
    <w:p w:rsidR="007822F7" w:rsidRPr="00F063A4" w:rsidRDefault="007822F7" w:rsidP="007822F7"/>
    <w:p w:rsidR="007822F7" w:rsidRPr="00F063A4" w:rsidRDefault="007822F7" w:rsidP="007822F7"/>
    <w:p w:rsidR="007822F7" w:rsidRPr="00F063A4" w:rsidRDefault="007822F7" w:rsidP="007822F7">
      <w:r w:rsidRPr="00F063A4">
        <w:t>If you would like more information about any of these tests please call XXX-XXX-XXXX and ask for ___________________.</w:t>
      </w:r>
    </w:p>
    <w:p w:rsidR="007822F7" w:rsidRDefault="007822F7" w:rsidP="007822F7"/>
    <w:p w:rsidR="007822F7" w:rsidRDefault="007822F7" w:rsidP="007822F7"/>
    <w:p w:rsidR="00626A53" w:rsidRDefault="007822F7">
      <w:r>
        <w:t>Tests</w:t>
      </w:r>
      <w:r w:rsidRPr="00F063A4">
        <w:t xml:space="preserve"> were performed by the Wadsworth Center, New York State Department of Health.</w:t>
      </w:r>
    </w:p>
    <w:p w:rsidR="00626A53" w:rsidRDefault="00626A53">
      <w:r>
        <w:br w:type="page"/>
      </w:r>
    </w:p>
    <w:p w:rsidR="00626A53" w:rsidRPr="00277FF7" w:rsidRDefault="007000DC" w:rsidP="00626A53">
      <w:pPr>
        <w:pStyle w:val="GLTables"/>
      </w:pPr>
      <w:proofErr w:type="gramStart"/>
      <w:r>
        <w:rPr>
          <w:b/>
          <w:lang w:val="en-US"/>
        </w:rPr>
        <w:lastRenderedPageBreak/>
        <w:t>Attachment 10c2.</w:t>
      </w:r>
      <w:proofErr w:type="gramEnd"/>
      <w:r>
        <w:rPr>
          <w:b/>
          <w:lang w:val="en-US"/>
        </w:rPr>
        <w:t xml:space="preserve"> </w:t>
      </w:r>
      <w:proofErr w:type="gramStart"/>
      <w:r>
        <w:rPr>
          <w:b/>
          <w:lang w:val="en-US"/>
        </w:rPr>
        <w:t xml:space="preserve">(NY </w:t>
      </w:r>
      <w:r w:rsidR="00626A53">
        <w:rPr>
          <w:b/>
        </w:rPr>
        <w:t xml:space="preserve">Appendix </w:t>
      </w:r>
      <w:r w:rsidR="00626A53">
        <w:rPr>
          <w:b/>
          <w:lang w:val="en-US"/>
        </w:rPr>
        <w:t>39</w:t>
      </w:r>
      <w:r>
        <w:rPr>
          <w:b/>
          <w:lang w:val="en-US"/>
        </w:rPr>
        <w:t>)</w:t>
      </w:r>
      <w:r w:rsidR="00626A53" w:rsidRPr="00277FF7">
        <w:rPr>
          <w:b/>
        </w:rPr>
        <w:t>.</w:t>
      </w:r>
      <w:proofErr w:type="gramEnd"/>
      <w:r w:rsidR="00626A53" w:rsidRPr="00277FF7">
        <w:t xml:space="preserve">  Sample letter reporting </w:t>
      </w:r>
      <w:r w:rsidR="00626A53">
        <w:t xml:space="preserve">individual </w:t>
      </w:r>
      <w:r w:rsidR="00626A53">
        <w:rPr>
          <w:rFonts w:cs="Calibri"/>
        </w:rPr>
        <w:t xml:space="preserve">metal, cholesterol, and triglyceride </w:t>
      </w:r>
      <w:r w:rsidR="00626A53" w:rsidRPr="00295BA3">
        <w:rPr>
          <w:rFonts w:cs="Calibri"/>
        </w:rPr>
        <w:t>result</w:t>
      </w:r>
      <w:r w:rsidR="00626A53">
        <w:rPr>
          <w:rFonts w:cs="Calibri"/>
        </w:rPr>
        <w:t>s</w:t>
      </w:r>
      <w:r w:rsidR="00626A53" w:rsidRPr="00295BA3">
        <w:rPr>
          <w:rFonts w:cs="Calibri"/>
        </w:rPr>
        <w:t xml:space="preserve"> </w:t>
      </w:r>
      <w:r w:rsidR="00626A53" w:rsidRPr="00277FF7">
        <w:t>to a participant</w:t>
      </w:r>
      <w:r w:rsidR="00626A53" w:rsidRPr="009104C8">
        <w:t xml:space="preserve"> </w:t>
      </w:r>
      <w:r w:rsidR="00626A53">
        <w:rPr>
          <w:lang w:val="en-US"/>
        </w:rPr>
        <w:t>(Flesch-Kincaid Reading Level: grade 9.4)</w:t>
      </w:r>
    </w:p>
    <w:p w:rsidR="00626A53" w:rsidRDefault="00626A53" w:rsidP="00626A53">
      <w:pPr>
        <w:rPr>
          <w:rFonts w:cs="Calibri"/>
        </w:rPr>
      </w:pPr>
    </w:p>
    <w:p w:rsidR="00626A53" w:rsidRDefault="00626A53" w:rsidP="00626A53">
      <w:pPr>
        <w:rPr>
          <w:rFonts w:cs="Calibri"/>
        </w:rPr>
      </w:pPr>
      <w:r>
        <w:rPr>
          <w:noProof/>
        </w:rPr>
        <w:drawing>
          <wp:inline distT="0" distB="0" distL="0" distR="0" wp14:anchorId="49E4256B" wp14:editId="507C628C">
            <wp:extent cx="5943600" cy="838200"/>
            <wp:effectExtent l="0" t="0" r="0" b="0"/>
            <wp:docPr id="2" name="Picture 2" descr="HeaderNoBG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NoBG_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838200"/>
                    </a:xfrm>
                    <a:prstGeom prst="rect">
                      <a:avLst/>
                    </a:prstGeom>
                    <a:noFill/>
                    <a:ln>
                      <a:noFill/>
                    </a:ln>
                  </pic:spPr>
                </pic:pic>
              </a:graphicData>
            </a:graphic>
          </wp:inline>
        </w:drawing>
      </w:r>
    </w:p>
    <w:p w:rsidR="00626A53" w:rsidRDefault="00626A53" w:rsidP="00626A53">
      <w:pPr>
        <w:rPr>
          <w:rFonts w:cs="Calibri"/>
        </w:rPr>
      </w:pPr>
    </w:p>
    <w:p w:rsidR="00626A53" w:rsidRPr="009E108D" w:rsidRDefault="00626A53" w:rsidP="00626A53">
      <w:pPr>
        <w:rPr>
          <w:rFonts w:cs="Calibri"/>
        </w:rPr>
      </w:pPr>
    </w:p>
    <w:p w:rsidR="00626A53" w:rsidRPr="00E177F1" w:rsidRDefault="00626A53" w:rsidP="00626A53">
      <w:pPr>
        <w:rPr>
          <w:rFonts w:ascii="Times New Roman" w:eastAsia="Times New Roman" w:hAnsi="Times New Roman"/>
        </w:rPr>
      </w:pPr>
      <w:r>
        <w:rPr>
          <w:rFonts w:ascii="Times New Roman" w:eastAsia="Times New Roman" w:hAnsi="Times New Roman"/>
        </w:rPr>
        <w:t>[NAME AND ADDRESS]</w:t>
      </w:r>
    </w:p>
    <w:p w:rsidR="00626A53" w:rsidRDefault="00626A53" w:rsidP="00626A53">
      <w:pPr>
        <w:rPr>
          <w:rFonts w:ascii="Times New Roman" w:eastAsia="Times New Roman" w:hAnsi="Times New Roman"/>
        </w:rPr>
      </w:pPr>
    </w:p>
    <w:p w:rsidR="00626A53" w:rsidRDefault="00626A53" w:rsidP="00626A53">
      <w:pPr>
        <w:rPr>
          <w:rFonts w:ascii="Times New Roman" w:eastAsia="Times New Roman" w:hAnsi="Times New Roman"/>
        </w:rPr>
      </w:pPr>
    </w:p>
    <w:p w:rsidR="00626A53" w:rsidRPr="00E177F1" w:rsidRDefault="00626A53" w:rsidP="00626A53">
      <w:pPr>
        <w:rPr>
          <w:rFonts w:ascii="Times New Roman" w:eastAsia="Times New Roman" w:hAnsi="Times New Roman"/>
        </w:rPr>
      </w:pPr>
    </w:p>
    <w:p w:rsidR="00626A53" w:rsidRPr="00E177F1" w:rsidRDefault="00626A53" w:rsidP="00626A53">
      <w:pPr>
        <w:rPr>
          <w:rFonts w:ascii="Times New Roman" w:eastAsia="Times New Roman" w:hAnsi="Times New Roman"/>
        </w:rPr>
      </w:pPr>
      <w:r w:rsidRPr="00E177F1">
        <w:rPr>
          <w:rFonts w:ascii="Times New Roman" w:eastAsia="Times New Roman" w:hAnsi="Times New Roman"/>
        </w:rPr>
        <w:t xml:space="preserve">Dear </w:t>
      </w:r>
      <w:r>
        <w:rPr>
          <w:rFonts w:ascii="Times New Roman" w:eastAsia="Times New Roman" w:hAnsi="Times New Roman"/>
        </w:rPr>
        <w:t>[</w:t>
      </w:r>
      <w:r w:rsidRPr="00E177F1">
        <w:rPr>
          <w:rFonts w:ascii="Times New Roman" w:eastAsia="Times New Roman" w:hAnsi="Times New Roman"/>
        </w:rPr>
        <w:t>NAME</w:t>
      </w:r>
      <w:r>
        <w:rPr>
          <w:rFonts w:ascii="Times New Roman" w:eastAsia="Times New Roman" w:hAnsi="Times New Roman"/>
        </w:rPr>
        <w:t>]</w:t>
      </w:r>
      <w:r w:rsidRPr="00E177F1">
        <w:rPr>
          <w:rFonts w:ascii="Times New Roman" w:eastAsia="Times New Roman" w:hAnsi="Times New Roman"/>
        </w:rPr>
        <w:t>:</w:t>
      </w:r>
    </w:p>
    <w:p w:rsidR="00626A53" w:rsidRDefault="00626A53" w:rsidP="00626A53">
      <w:pPr>
        <w:rPr>
          <w:rFonts w:ascii="Times New Roman" w:eastAsia="Times New Roman" w:hAnsi="Times New Roman"/>
        </w:rPr>
      </w:pPr>
    </w:p>
    <w:p w:rsidR="00626A53" w:rsidRPr="00315D6B" w:rsidRDefault="00626A53" w:rsidP="00626A53">
      <w:pPr>
        <w:rPr>
          <w:rFonts w:ascii="Times New Roman" w:eastAsia="Times New Roman" w:hAnsi="Times New Roman"/>
        </w:rPr>
      </w:pPr>
      <w:r>
        <w:rPr>
          <w:rFonts w:ascii="Times New Roman" w:eastAsia="Times New Roman" w:hAnsi="Times New Roman"/>
        </w:rPr>
        <w:t>We</w:t>
      </w:r>
      <w:r w:rsidRPr="004B3844">
        <w:rPr>
          <w:rFonts w:ascii="Times New Roman" w:eastAsia="Times New Roman" w:hAnsi="Times New Roman"/>
        </w:rPr>
        <w:t xml:space="preserve"> would like to thank you for taking part in the Great </w:t>
      </w:r>
      <w:r>
        <w:rPr>
          <w:rFonts w:ascii="Times New Roman" w:eastAsia="Times New Roman" w:hAnsi="Times New Roman"/>
        </w:rPr>
        <w:t>Lakes Biomonitoring Project.  On page 3 y</w:t>
      </w:r>
      <w:r w:rsidRPr="004B3844">
        <w:rPr>
          <w:rFonts w:ascii="Times New Roman" w:eastAsia="Times New Roman" w:hAnsi="Times New Roman"/>
        </w:rPr>
        <w:t>ou will find yo</w:t>
      </w:r>
      <w:r>
        <w:rPr>
          <w:rFonts w:ascii="Times New Roman" w:eastAsia="Times New Roman" w:hAnsi="Times New Roman"/>
        </w:rPr>
        <w:t xml:space="preserve">ur results for </w:t>
      </w:r>
      <w:r w:rsidRPr="00315D6B">
        <w:rPr>
          <w:rFonts w:ascii="Times New Roman" w:eastAsia="Times New Roman" w:hAnsi="Times New Roman"/>
        </w:rPr>
        <w:t>mercury, lead, cadmium, total cholesterol, and triglycerides.</w:t>
      </w:r>
    </w:p>
    <w:p w:rsidR="00626A53" w:rsidRPr="00315D6B" w:rsidRDefault="00626A53" w:rsidP="00626A53">
      <w:pPr>
        <w:rPr>
          <w:rFonts w:ascii="Times New Roman" w:eastAsia="Times New Roman" w:hAnsi="Times New Roman"/>
        </w:rPr>
      </w:pPr>
    </w:p>
    <w:p w:rsidR="00626A53" w:rsidRDefault="00626A53" w:rsidP="00626A53">
      <w:pPr>
        <w:rPr>
          <w:rFonts w:ascii="Times New Roman" w:eastAsia="Times New Roman" w:hAnsi="Times New Roman"/>
        </w:rPr>
      </w:pPr>
      <w:r>
        <w:rPr>
          <w:rFonts w:ascii="Times New Roman" w:eastAsia="Times New Roman" w:hAnsi="Times New Roman"/>
        </w:rPr>
        <w:t>Lead, mercury and cadmium</w:t>
      </w:r>
      <w:r w:rsidRPr="00315D6B">
        <w:rPr>
          <w:rFonts w:ascii="Times New Roman" w:eastAsia="Times New Roman" w:hAnsi="Times New Roman"/>
        </w:rPr>
        <w:t xml:space="preserve"> levels are reported in micrograms per deciliter</w:t>
      </w:r>
      <w:r>
        <w:rPr>
          <w:rFonts w:ascii="Times New Roman" w:eastAsia="Times New Roman" w:hAnsi="Times New Roman"/>
        </w:rPr>
        <w:t xml:space="preserve"> (mcg/dl</w:t>
      </w:r>
      <w:r w:rsidRPr="00315D6B">
        <w:rPr>
          <w:rFonts w:ascii="Times New Roman" w:eastAsia="Times New Roman" w:hAnsi="Times New Roman"/>
        </w:rPr>
        <w:t>).  To give you an idea of the relative size, one mcg/dl is equivalent one drop of a chemical in six average size swimming pools.</w:t>
      </w:r>
      <w:r>
        <w:rPr>
          <w:rFonts w:ascii="Times New Roman" w:eastAsia="Times New Roman" w:hAnsi="Times New Roman"/>
        </w:rPr>
        <w:t xml:space="preserve">  These metals are found in samples from most adults in the U.S., and levels tend to increase with age.</w:t>
      </w:r>
    </w:p>
    <w:p w:rsidR="00626A53" w:rsidRPr="00315D6B" w:rsidRDefault="00626A53" w:rsidP="00626A53">
      <w:pPr>
        <w:rPr>
          <w:rFonts w:ascii="Times New Roman" w:eastAsia="Times New Roman" w:hAnsi="Times New Roman"/>
        </w:rPr>
      </w:pPr>
    </w:p>
    <w:p w:rsidR="00626A53" w:rsidRPr="00315D6B" w:rsidRDefault="00626A53" w:rsidP="00626A53">
      <w:pPr>
        <w:rPr>
          <w:rFonts w:ascii="Times New Roman" w:eastAsia="Times New Roman" w:hAnsi="Times New Roman"/>
        </w:rPr>
      </w:pPr>
      <w:r w:rsidRPr="00315D6B">
        <w:rPr>
          <w:rFonts w:ascii="Times New Roman" w:eastAsia="Times New Roman" w:hAnsi="Times New Roman"/>
        </w:rPr>
        <w:t xml:space="preserve">We also tested your blood for total cholesterol and triglycerides, which tell us the amount of fat in your blood.  We need to know the amount of fat in your blood </w:t>
      </w:r>
      <w:r>
        <w:rPr>
          <w:rFonts w:ascii="Times New Roman" w:eastAsia="Times New Roman" w:hAnsi="Times New Roman"/>
        </w:rPr>
        <w:t xml:space="preserve">sample </w:t>
      </w:r>
      <w:r w:rsidRPr="00315D6B">
        <w:rPr>
          <w:rFonts w:ascii="Times New Roman" w:eastAsia="Times New Roman" w:hAnsi="Times New Roman"/>
        </w:rPr>
        <w:t xml:space="preserve">because some of the chemicals </w:t>
      </w:r>
      <w:r>
        <w:rPr>
          <w:rFonts w:ascii="Times New Roman" w:eastAsia="Times New Roman" w:hAnsi="Times New Roman"/>
        </w:rPr>
        <w:t>tested for in this project are contained</w:t>
      </w:r>
      <w:r w:rsidRPr="00315D6B">
        <w:rPr>
          <w:rFonts w:ascii="Times New Roman" w:eastAsia="Times New Roman" w:hAnsi="Times New Roman"/>
        </w:rPr>
        <w:t xml:space="preserve"> in body fat.  </w:t>
      </w:r>
      <w:r>
        <w:rPr>
          <w:rFonts w:ascii="Times New Roman" w:eastAsia="Times New Roman" w:hAnsi="Times New Roman"/>
        </w:rPr>
        <w:t xml:space="preserve"> If you discuss your results with your physician, please note that you were not asked to fast before the cholesterol test.</w:t>
      </w:r>
    </w:p>
    <w:p w:rsidR="00626A53" w:rsidRDefault="00626A53" w:rsidP="00626A53">
      <w:pPr>
        <w:rPr>
          <w:rFonts w:ascii="Times New Roman" w:eastAsia="Times New Roman" w:hAnsi="Times New Roman"/>
        </w:rPr>
      </w:pPr>
    </w:p>
    <w:p w:rsidR="00626A53" w:rsidRPr="00640726" w:rsidRDefault="00626A53" w:rsidP="00626A53">
      <w:pPr>
        <w:rPr>
          <w:rFonts w:ascii="Times New Roman" w:eastAsia="Times New Roman" w:hAnsi="Times New Roman"/>
          <w:u w:val="single"/>
        </w:rPr>
      </w:pPr>
      <w:r w:rsidRPr="00640726">
        <w:rPr>
          <w:rFonts w:ascii="Times New Roman" w:eastAsia="Times New Roman" w:hAnsi="Times New Roman"/>
          <w:u w:val="single"/>
        </w:rPr>
        <w:t>Lead</w:t>
      </w:r>
    </w:p>
    <w:p w:rsidR="00626A53" w:rsidRDefault="00626A53" w:rsidP="00626A53">
      <w:pPr>
        <w:rPr>
          <w:rFonts w:ascii="Times New Roman" w:eastAsia="Times New Roman" w:hAnsi="Times New Roman"/>
        </w:rPr>
      </w:pPr>
    </w:p>
    <w:p w:rsidR="00626A53" w:rsidRDefault="00626A53" w:rsidP="00626A53">
      <w:pPr>
        <w:rPr>
          <w:rFonts w:ascii="Times New Roman" w:eastAsia="Times New Roman" w:hAnsi="Times New Roman"/>
        </w:rPr>
      </w:pPr>
      <w:r w:rsidRPr="00315D6B">
        <w:rPr>
          <w:rFonts w:ascii="Times New Roman" w:eastAsia="Times New Roman" w:hAnsi="Times New Roman"/>
        </w:rPr>
        <w:t>A blood lead l</w:t>
      </w:r>
      <w:r>
        <w:rPr>
          <w:rFonts w:ascii="Times New Roman" w:eastAsia="Times New Roman" w:hAnsi="Times New Roman"/>
        </w:rPr>
        <w:t xml:space="preserve">evel </w:t>
      </w:r>
      <w:proofErr w:type="gramStart"/>
      <w:r>
        <w:rPr>
          <w:rFonts w:ascii="Times New Roman" w:eastAsia="Times New Roman" w:hAnsi="Times New Roman"/>
        </w:rPr>
        <w:t>of 10 mcg/dl</w:t>
      </w:r>
      <w:proofErr w:type="gramEnd"/>
      <w:r>
        <w:rPr>
          <w:rFonts w:ascii="Times New Roman" w:eastAsia="Times New Roman" w:hAnsi="Times New Roman"/>
        </w:rPr>
        <w:t xml:space="preserve"> or greater is </w:t>
      </w:r>
      <w:r w:rsidRPr="00315D6B">
        <w:rPr>
          <w:rFonts w:ascii="Times New Roman" w:eastAsia="Times New Roman" w:hAnsi="Times New Roman"/>
        </w:rPr>
        <w:t>consid</w:t>
      </w:r>
      <w:r>
        <w:rPr>
          <w:rFonts w:ascii="Times New Roman" w:eastAsia="Times New Roman" w:hAnsi="Times New Roman"/>
        </w:rPr>
        <w:t xml:space="preserve">ered high and requires follow-up.  </w:t>
      </w:r>
      <w:r w:rsidRPr="00315D6B">
        <w:rPr>
          <w:rFonts w:ascii="Times New Roman" w:eastAsia="Times New Roman" w:hAnsi="Times New Roman"/>
        </w:rPr>
        <w:t xml:space="preserve">If your blood lead level is </w:t>
      </w:r>
      <w:proofErr w:type="gramStart"/>
      <w:r>
        <w:rPr>
          <w:rFonts w:ascii="Times New Roman" w:eastAsia="Times New Roman" w:hAnsi="Times New Roman"/>
        </w:rPr>
        <w:t>above 10 mcg/dl,</w:t>
      </w:r>
      <w:proofErr w:type="gramEnd"/>
      <w:r w:rsidRPr="00315D6B">
        <w:rPr>
          <w:rFonts w:ascii="Times New Roman" w:eastAsia="Times New Roman" w:hAnsi="Times New Roman"/>
        </w:rPr>
        <w:t xml:space="preserve"> you will receive a call from the NYSDOH to help you identify the </w:t>
      </w:r>
      <w:r>
        <w:rPr>
          <w:rFonts w:ascii="Times New Roman" w:eastAsia="Times New Roman" w:hAnsi="Times New Roman"/>
        </w:rPr>
        <w:t xml:space="preserve">possible </w:t>
      </w:r>
      <w:r w:rsidRPr="00315D6B">
        <w:rPr>
          <w:rFonts w:ascii="Times New Roman" w:eastAsia="Times New Roman" w:hAnsi="Times New Roman"/>
        </w:rPr>
        <w:t>source of your exposu</w:t>
      </w:r>
      <w:r>
        <w:rPr>
          <w:rFonts w:ascii="Times New Roman" w:eastAsia="Times New Roman" w:hAnsi="Times New Roman"/>
        </w:rPr>
        <w:t xml:space="preserve">re.  </w:t>
      </w:r>
      <w:r w:rsidRPr="00315D6B">
        <w:rPr>
          <w:rFonts w:ascii="Times New Roman" w:eastAsia="Times New Roman" w:hAnsi="Times New Roman"/>
        </w:rPr>
        <w:t xml:space="preserve">On-going exposure to lead </w:t>
      </w:r>
      <w:r>
        <w:rPr>
          <w:rFonts w:ascii="Times New Roman" w:eastAsia="Times New Roman" w:hAnsi="Times New Roman"/>
        </w:rPr>
        <w:t>may</w:t>
      </w:r>
      <w:r w:rsidRPr="00315D6B">
        <w:rPr>
          <w:rFonts w:ascii="Times New Roman" w:eastAsia="Times New Roman" w:hAnsi="Times New Roman"/>
        </w:rPr>
        <w:t xml:space="preserve"> result i</w:t>
      </w:r>
      <w:r>
        <w:rPr>
          <w:rFonts w:ascii="Times New Roman" w:eastAsia="Times New Roman" w:hAnsi="Times New Roman"/>
        </w:rPr>
        <w:t xml:space="preserve">n build-up in the body, </w:t>
      </w:r>
      <w:r w:rsidRPr="00315D6B">
        <w:rPr>
          <w:rFonts w:ascii="Times New Roman" w:eastAsia="Times New Roman" w:hAnsi="Times New Roman"/>
        </w:rPr>
        <w:t xml:space="preserve">damage to the nervous system, anemia, and other </w:t>
      </w:r>
      <w:r>
        <w:rPr>
          <w:rFonts w:ascii="Times New Roman" w:eastAsia="Times New Roman" w:hAnsi="Times New Roman"/>
        </w:rPr>
        <w:t xml:space="preserve">health problems.  </w:t>
      </w:r>
      <w:r w:rsidRPr="00315D6B">
        <w:rPr>
          <w:rFonts w:ascii="Times New Roman" w:eastAsia="Times New Roman" w:hAnsi="Times New Roman"/>
        </w:rPr>
        <w:t xml:space="preserve"> High blood lead levels could be </w:t>
      </w:r>
      <w:r>
        <w:rPr>
          <w:rFonts w:ascii="Times New Roman" w:eastAsia="Times New Roman" w:hAnsi="Times New Roman"/>
        </w:rPr>
        <w:t>from</w:t>
      </w:r>
      <w:r w:rsidRPr="00315D6B">
        <w:rPr>
          <w:rFonts w:ascii="Times New Roman" w:eastAsia="Times New Roman" w:hAnsi="Times New Roman"/>
        </w:rPr>
        <w:t xml:space="preserve"> exposures on a job, such as removing old lead paint.  Lead exposure may also be </w:t>
      </w:r>
      <w:r>
        <w:rPr>
          <w:rFonts w:ascii="Times New Roman" w:eastAsia="Times New Roman" w:hAnsi="Times New Roman"/>
        </w:rPr>
        <w:t>from</w:t>
      </w:r>
      <w:r w:rsidRPr="00315D6B">
        <w:rPr>
          <w:rFonts w:ascii="Times New Roman" w:eastAsia="Times New Roman" w:hAnsi="Times New Roman"/>
        </w:rPr>
        <w:t xml:space="preserve"> hobbies, such as working with stained glass.</w:t>
      </w:r>
    </w:p>
    <w:p w:rsidR="00626A53" w:rsidRPr="00315D6B" w:rsidRDefault="00626A53" w:rsidP="00626A53">
      <w:pPr>
        <w:ind w:firstLine="720"/>
        <w:rPr>
          <w:rFonts w:ascii="Times New Roman" w:eastAsia="Times New Roman" w:hAnsi="Times New Roman"/>
        </w:rPr>
      </w:pPr>
    </w:p>
    <w:p w:rsidR="00626A53" w:rsidRDefault="00626A53" w:rsidP="00626A53">
      <w:pPr>
        <w:rPr>
          <w:rFonts w:ascii="Times New Roman" w:eastAsia="Times New Roman" w:hAnsi="Times New Roman"/>
          <w:u w:val="single"/>
        </w:rPr>
      </w:pPr>
      <w:r>
        <w:rPr>
          <w:rFonts w:ascii="Times New Roman" w:eastAsia="Times New Roman" w:hAnsi="Times New Roman"/>
          <w:u w:val="single"/>
        </w:rPr>
        <w:t>Mercury</w:t>
      </w:r>
    </w:p>
    <w:p w:rsidR="00626A53" w:rsidRPr="008A21CA" w:rsidRDefault="00626A53" w:rsidP="00626A53">
      <w:pPr>
        <w:rPr>
          <w:rFonts w:ascii="Times New Roman" w:eastAsia="Times New Roman" w:hAnsi="Times New Roman"/>
          <w:u w:val="single"/>
        </w:rPr>
      </w:pPr>
    </w:p>
    <w:p w:rsidR="00626A53" w:rsidRDefault="00626A53" w:rsidP="00626A53">
      <w:pPr>
        <w:rPr>
          <w:rFonts w:ascii="Times New Roman" w:eastAsia="Times New Roman" w:hAnsi="Times New Roman"/>
        </w:rPr>
      </w:pPr>
      <w:r w:rsidRPr="001E698F">
        <w:rPr>
          <w:rFonts w:ascii="Times New Roman" w:eastAsia="Times New Roman" w:hAnsi="Times New Roman"/>
        </w:rPr>
        <w:t xml:space="preserve">We measured mercury in blood and urine to </w:t>
      </w:r>
      <w:r>
        <w:rPr>
          <w:rFonts w:ascii="Times New Roman" w:eastAsia="Times New Roman" w:hAnsi="Times New Roman"/>
        </w:rPr>
        <w:t>look for</w:t>
      </w:r>
      <w:r w:rsidRPr="001E698F">
        <w:rPr>
          <w:rFonts w:ascii="Times New Roman" w:eastAsia="Times New Roman" w:hAnsi="Times New Roman"/>
        </w:rPr>
        <w:t xml:space="preserve"> different types of mercury</w:t>
      </w:r>
      <w:r>
        <w:rPr>
          <w:rFonts w:ascii="Times New Roman" w:eastAsia="Times New Roman" w:hAnsi="Times New Roman"/>
        </w:rPr>
        <w:t xml:space="preserve">. </w:t>
      </w:r>
      <w:r w:rsidRPr="001E698F">
        <w:rPr>
          <w:rFonts w:ascii="Times New Roman" w:eastAsia="Times New Roman" w:hAnsi="Times New Roman"/>
        </w:rPr>
        <w:t xml:space="preserve"> Mercury levels in blood are mainly from </w:t>
      </w:r>
      <w:r>
        <w:rPr>
          <w:rFonts w:ascii="Times New Roman" w:eastAsia="Times New Roman" w:hAnsi="Times New Roman"/>
        </w:rPr>
        <w:t>mercury in</w:t>
      </w:r>
      <w:r w:rsidRPr="001E698F">
        <w:rPr>
          <w:rFonts w:ascii="Times New Roman" w:eastAsia="Times New Roman" w:hAnsi="Times New Roman"/>
        </w:rPr>
        <w:t xml:space="preserve"> fish. </w:t>
      </w:r>
      <w:r>
        <w:rPr>
          <w:rFonts w:ascii="Times New Roman" w:eastAsia="Times New Roman" w:hAnsi="Times New Roman"/>
        </w:rPr>
        <w:t xml:space="preserve"> </w:t>
      </w:r>
      <w:r w:rsidRPr="001E698F">
        <w:rPr>
          <w:rFonts w:ascii="Times New Roman" w:eastAsia="Times New Roman" w:hAnsi="Times New Roman"/>
        </w:rPr>
        <w:t>Higher levels of mercury in fish are found in larger predatory fish such as swordfish, shark, and grouper.  Mercury levels in urine are ma</w:t>
      </w:r>
      <w:r>
        <w:rPr>
          <w:rFonts w:ascii="Times New Roman" w:eastAsia="Times New Roman" w:hAnsi="Times New Roman"/>
        </w:rPr>
        <w:t xml:space="preserve">inly </w:t>
      </w:r>
      <w:r w:rsidRPr="001E698F">
        <w:rPr>
          <w:rFonts w:ascii="Times New Roman" w:eastAsia="Times New Roman" w:hAnsi="Times New Roman"/>
        </w:rPr>
        <w:t>from breathing mercury in air</w:t>
      </w:r>
      <w:r>
        <w:rPr>
          <w:rFonts w:ascii="Times New Roman" w:eastAsia="Times New Roman" w:hAnsi="Times New Roman"/>
        </w:rPr>
        <w:t xml:space="preserve">. </w:t>
      </w:r>
      <w:r w:rsidRPr="001E698F">
        <w:rPr>
          <w:rFonts w:ascii="Times New Roman" w:eastAsia="Times New Roman" w:hAnsi="Times New Roman"/>
        </w:rPr>
        <w:t xml:space="preserve"> </w:t>
      </w:r>
      <w:r>
        <w:rPr>
          <w:rFonts w:ascii="Times New Roman" w:eastAsia="Times New Roman" w:hAnsi="Times New Roman"/>
        </w:rPr>
        <w:t>Higher exposures from air may occur to workers in workplaces such as dental offices or metal smelting plants, or to people in places where liquid mercury has been spilled.</w:t>
      </w:r>
    </w:p>
    <w:p w:rsidR="00626A53" w:rsidRDefault="00626A53" w:rsidP="00626A53">
      <w:pPr>
        <w:rPr>
          <w:rFonts w:ascii="Times New Roman" w:eastAsia="Times New Roman" w:hAnsi="Times New Roman"/>
        </w:rPr>
      </w:pPr>
    </w:p>
    <w:p w:rsidR="00626A53" w:rsidRPr="006E46E4" w:rsidRDefault="00626A53" w:rsidP="00626A53">
      <w:pPr>
        <w:rPr>
          <w:rFonts w:ascii="Times New Roman" w:eastAsia="Times New Roman" w:hAnsi="Times New Roman"/>
        </w:rPr>
      </w:pPr>
      <w:r>
        <w:rPr>
          <w:rFonts w:ascii="Times New Roman" w:eastAsia="Times New Roman" w:hAnsi="Times New Roman"/>
        </w:rPr>
        <w:t>When a laboratory measures m</w:t>
      </w:r>
      <w:r w:rsidRPr="001E698F">
        <w:rPr>
          <w:rFonts w:ascii="Times New Roman" w:eastAsia="Times New Roman" w:hAnsi="Times New Roman"/>
        </w:rPr>
        <w:t>ercury</w:t>
      </w:r>
      <w:r>
        <w:rPr>
          <w:rFonts w:ascii="Times New Roman" w:eastAsia="Times New Roman" w:hAnsi="Times New Roman"/>
        </w:rPr>
        <w:t xml:space="preserve"> levels </w:t>
      </w:r>
      <w:proofErr w:type="gramStart"/>
      <w:r>
        <w:rPr>
          <w:rFonts w:ascii="Times New Roman" w:eastAsia="Times New Roman" w:hAnsi="Times New Roman"/>
        </w:rPr>
        <w:t xml:space="preserve">of </w:t>
      </w:r>
      <w:r w:rsidRPr="001E698F">
        <w:rPr>
          <w:rFonts w:ascii="Times New Roman" w:eastAsia="Times New Roman" w:hAnsi="Times New Roman"/>
        </w:rPr>
        <w:t>0.5 mcg/dl</w:t>
      </w:r>
      <w:proofErr w:type="gramEnd"/>
      <w:r w:rsidRPr="001E698F">
        <w:rPr>
          <w:rFonts w:ascii="Times New Roman" w:eastAsia="Times New Roman" w:hAnsi="Times New Roman"/>
        </w:rPr>
        <w:t xml:space="preserve"> or greater in blood </w:t>
      </w:r>
      <w:r>
        <w:rPr>
          <w:rFonts w:ascii="Times New Roman" w:eastAsia="Times New Roman" w:hAnsi="Times New Roman"/>
        </w:rPr>
        <w:t>or</w:t>
      </w:r>
      <w:r w:rsidRPr="001E698F">
        <w:rPr>
          <w:rFonts w:ascii="Times New Roman" w:eastAsia="Times New Roman" w:hAnsi="Times New Roman"/>
        </w:rPr>
        <w:t xml:space="preserve"> 2.0 mcg/dl or greater in urine</w:t>
      </w:r>
      <w:r>
        <w:rPr>
          <w:rFonts w:ascii="Times New Roman" w:eastAsia="Times New Roman" w:hAnsi="Times New Roman"/>
        </w:rPr>
        <w:t>, these findings</w:t>
      </w:r>
      <w:r w:rsidRPr="001E698F">
        <w:rPr>
          <w:rFonts w:ascii="Times New Roman" w:eastAsia="Times New Roman" w:hAnsi="Times New Roman"/>
        </w:rPr>
        <w:t xml:space="preserve"> </w:t>
      </w:r>
      <w:r>
        <w:rPr>
          <w:rFonts w:ascii="Times New Roman" w:eastAsia="Times New Roman" w:hAnsi="Times New Roman"/>
        </w:rPr>
        <w:t>must be reported t</w:t>
      </w:r>
      <w:r w:rsidRPr="001E698F">
        <w:rPr>
          <w:rFonts w:ascii="Times New Roman" w:eastAsia="Times New Roman" w:hAnsi="Times New Roman"/>
        </w:rPr>
        <w:t>o the NYSDOH Heavy Metals Registry</w:t>
      </w:r>
      <w:r>
        <w:rPr>
          <w:rFonts w:ascii="Times New Roman" w:eastAsia="Times New Roman" w:hAnsi="Times New Roman"/>
        </w:rPr>
        <w:t>.</w:t>
      </w:r>
      <w:r w:rsidRPr="001E698F">
        <w:rPr>
          <w:rFonts w:ascii="Times New Roman" w:eastAsia="Times New Roman" w:hAnsi="Times New Roman"/>
        </w:rPr>
        <w:t xml:space="preserve"> </w:t>
      </w:r>
      <w:r>
        <w:rPr>
          <w:rFonts w:ascii="Times New Roman" w:eastAsia="Times New Roman" w:hAnsi="Times New Roman"/>
        </w:rPr>
        <w:t xml:space="preserve"> </w:t>
      </w:r>
      <w:r w:rsidRPr="001E698F">
        <w:rPr>
          <w:rFonts w:ascii="Times New Roman" w:eastAsia="Times New Roman" w:hAnsi="Times New Roman"/>
        </w:rPr>
        <w:t xml:space="preserve">If your blood mercury level is </w:t>
      </w:r>
      <w:proofErr w:type="gramStart"/>
      <w:r w:rsidRPr="001E698F">
        <w:rPr>
          <w:rFonts w:ascii="Times New Roman" w:eastAsia="Times New Roman" w:hAnsi="Times New Roman"/>
        </w:rPr>
        <w:t>above 2.5 mcg/dl,</w:t>
      </w:r>
      <w:proofErr w:type="gramEnd"/>
      <w:r w:rsidRPr="001E698F">
        <w:rPr>
          <w:rFonts w:ascii="Times New Roman" w:eastAsia="Times New Roman" w:hAnsi="Times New Roman"/>
        </w:rPr>
        <w:t xml:space="preserve"> you will receive a call from the NYSDOH to help you identif</w:t>
      </w:r>
      <w:r>
        <w:rPr>
          <w:rFonts w:ascii="Times New Roman" w:eastAsia="Times New Roman" w:hAnsi="Times New Roman"/>
        </w:rPr>
        <w:t xml:space="preserve">y the possible </w:t>
      </w:r>
      <w:r>
        <w:rPr>
          <w:rFonts w:ascii="Times New Roman" w:eastAsia="Times New Roman" w:hAnsi="Times New Roman"/>
        </w:rPr>
        <w:lastRenderedPageBreak/>
        <w:t xml:space="preserve">source of your exposure.  </w:t>
      </w:r>
      <w:r w:rsidRPr="006E46E4">
        <w:rPr>
          <w:rFonts w:ascii="Times New Roman" w:eastAsia="Times New Roman" w:hAnsi="Times New Roman"/>
        </w:rPr>
        <w:t>Scientists are still learning about how</w:t>
      </w:r>
      <w:r>
        <w:rPr>
          <w:rFonts w:ascii="Times New Roman" w:eastAsia="Times New Roman" w:hAnsi="Times New Roman"/>
        </w:rPr>
        <w:t>, and at what levels,</w:t>
      </w:r>
      <w:r w:rsidRPr="006E46E4">
        <w:rPr>
          <w:rFonts w:ascii="Times New Roman" w:eastAsia="Times New Roman" w:hAnsi="Times New Roman"/>
        </w:rPr>
        <w:t xml:space="preserve"> mercury affect</w:t>
      </w:r>
      <w:r>
        <w:rPr>
          <w:rFonts w:ascii="Times New Roman" w:eastAsia="Times New Roman" w:hAnsi="Times New Roman"/>
        </w:rPr>
        <w:t>s</w:t>
      </w:r>
      <w:r w:rsidRPr="006E46E4">
        <w:rPr>
          <w:rFonts w:ascii="Times New Roman" w:eastAsia="Times New Roman" w:hAnsi="Times New Roman"/>
        </w:rPr>
        <w:t xml:space="preserve"> our health.  We do know that ongoing exposure to mercury at high levels can caus</w:t>
      </w:r>
      <w:r>
        <w:rPr>
          <w:rFonts w:ascii="Times New Roman" w:eastAsia="Times New Roman" w:hAnsi="Times New Roman"/>
        </w:rPr>
        <w:t>e damage to the nervous system.</w:t>
      </w:r>
    </w:p>
    <w:p w:rsidR="00626A53" w:rsidRDefault="00626A53" w:rsidP="00626A53">
      <w:pPr>
        <w:rPr>
          <w:rFonts w:ascii="Times New Roman" w:eastAsia="Times New Roman" w:hAnsi="Times New Roman"/>
          <w:u w:val="single"/>
        </w:rPr>
      </w:pPr>
    </w:p>
    <w:p w:rsidR="00626A53" w:rsidRDefault="00626A53" w:rsidP="00626A53">
      <w:pPr>
        <w:rPr>
          <w:rFonts w:ascii="Times New Roman" w:eastAsia="Times New Roman" w:hAnsi="Times New Roman"/>
          <w:u w:val="single"/>
        </w:rPr>
      </w:pPr>
      <w:r>
        <w:rPr>
          <w:rFonts w:ascii="Times New Roman" w:eastAsia="Times New Roman" w:hAnsi="Times New Roman"/>
          <w:u w:val="single"/>
        </w:rPr>
        <w:t>Cadmium</w:t>
      </w:r>
    </w:p>
    <w:p w:rsidR="00626A53" w:rsidRPr="00BB16A1" w:rsidRDefault="00626A53" w:rsidP="00626A53">
      <w:pPr>
        <w:rPr>
          <w:rFonts w:ascii="Times New Roman" w:eastAsia="Times New Roman" w:hAnsi="Times New Roman"/>
        </w:rPr>
      </w:pPr>
    </w:p>
    <w:p w:rsidR="00626A53" w:rsidRDefault="00626A53" w:rsidP="00626A53">
      <w:pPr>
        <w:rPr>
          <w:rFonts w:ascii="Times New Roman" w:eastAsia="Times New Roman" w:hAnsi="Times New Roman"/>
        </w:rPr>
      </w:pPr>
      <w:r>
        <w:rPr>
          <w:rFonts w:ascii="Times New Roman" w:eastAsia="Times New Roman" w:hAnsi="Times New Roman"/>
        </w:rPr>
        <w:t xml:space="preserve">When a laboratory measures a cadmium level of 1.0 mcg/dl or greater in a blood sample, the findings must be reported to the </w:t>
      </w:r>
      <w:r w:rsidRPr="003616C6">
        <w:rPr>
          <w:rFonts w:ascii="Times New Roman" w:eastAsia="Times New Roman" w:hAnsi="Times New Roman"/>
        </w:rPr>
        <w:t>NY</w:t>
      </w:r>
      <w:r>
        <w:rPr>
          <w:rFonts w:ascii="Times New Roman" w:eastAsia="Times New Roman" w:hAnsi="Times New Roman"/>
        </w:rPr>
        <w:t>SDOH</w:t>
      </w:r>
      <w:r w:rsidRPr="003616C6">
        <w:rPr>
          <w:rFonts w:ascii="Times New Roman" w:eastAsia="Times New Roman" w:hAnsi="Times New Roman"/>
        </w:rPr>
        <w:t xml:space="preserve"> Heavy Metal</w:t>
      </w:r>
      <w:r>
        <w:rPr>
          <w:rFonts w:ascii="Times New Roman" w:eastAsia="Times New Roman" w:hAnsi="Times New Roman"/>
        </w:rPr>
        <w:t>s</w:t>
      </w:r>
      <w:r w:rsidRPr="003616C6">
        <w:rPr>
          <w:rFonts w:ascii="Times New Roman" w:eastAsia="Times New Roman" w:hAnsi="Times New Roman"/>
        </w:rPr>
        <w:t xml:space="preserve"> Registry</w:t>
      </w:r>
      <w:r>
        <w:rPr>
          <w:rFonts w:ascii="Times New Roman" w:eastAsia="Times New Roman" w:hAnsi="Times New Roman"/>
        </w:rPr>
        <w:t>.</w:t>
      </w:r>
      <w:r w:rsidRPr="003616C6">
        <w:rPr>
          <w:rFonts w:ascii="Times New Roman" w:eastAsia="Times New Roman" w:hAnsi="Times New Roman"/>
        </w:rPr>
        <w:t xml:space="preserve"> </w:t>
      </w:r>
      <w:r>
        <w:rPr>
          <w:rFonts w:ascii="Times New Roman" w:eastAsia="Times New Roman" w:hAnsi="Times New Roman"/>
        </w:rPr>
        <w:t xml:space="preserve"> Also at this level, the NYSDOH contacts people to help identify the possible source of exposure.  Higher levels of exp</w:t>
      </w:r>
      <w:r w:rsidRPr="00315D6B">
        <w:rPr>
          <w:rFonts w:ascii="Times New Roman" w:eastAsia="Times New Roman" w:hAnsi="Times New Roman"/>
        </w:rPr>
        <w:t xml:space="preserve">osure </w:t>
      </w:r>
      <w:r>
        <w:rPr>
          <w:rFonts w:ascii="Times New Roman" w:eastAsia="Times New Roman" w:hAnsi="Times New Roman"/>
        </w:rPr>
        <w:t xml:space="preserve">to cadmium occur primarily at workplaces, from metal soldering or welding, or battery manufacturing, for example.  Exposure also </w:t>
      </w:r>
      <w:r w:rsidRPr="00315D6B">
        <w:rPr>
          <w:rFonts w:ascii="Times New Roman" w:eastAsia="Times New Roman" w:hAnsi="Times New Roman"/>
        </w:rPr>
        <w:t>occur</w:t>
      </w:r>
      <w:r>
        <w:rPr>
          <w:rFonts w:ascii="Times New Roman" w:eastAsia="Times New Roman" w:hAnsi="Times New Roman"/>
        </w:rPr>
        <w:t>s</w:t>
      </w:r>
      <w:r w:rsidRPr="00315D6B">
        <w:rPr>
          <w:rFonts w:ascii="Times New Roman" w:eastAsia="Times New Roman" w:hAnsi="Times New Roman"/>
        </w:rPr>
        <w:t xml:space="preserve"> </w:t>
      </w:r>
      <w:r>
        <w:rPr>
          <w:rFonts w:ascii="Times New Roman" w:eastAsia="Times New Roman" w:hAnsi="Times New Roman"/>
        </w:rPr>
        <w:t>from</w:t>
      </w:r>
      <w:r w:rsidRPr="00315D6B">
        <w:rPr>
          <w:rFonts w:ascii="Times New Roman" w:eastAsia="Times New Roman" w:hAnsi="Times New Roman"/>
        </w:rPr>
        <w:t xml:space="preserve"> </w:t>
      </w:r>
      <w:r>
        <w:rPr>
          <w:rFonts w:ascii="Times New Roman" w:eastAsia="Times New Roman" w:hAnsi="Times New Roman"/>
        </w:rPr>
        <w:t>a variety of f</w:t>
      </w:r>
      <w:r w:rsidRPr="00315D6B">
        <w:rPr>
          <w:rFonts w:ascii="Times New Roman" w:eastAsia="Times New Roman" w:hAnsi="Times New Roman"/>
        </w:rPr>
        <w:t>oods</w:t>
      </w:r>
      <w:r>
        <w:rPr>
          <w:rFonts w:ascii="Times New Roman" w:eastAsia="Times New Roman" w:hAnsi="Times New Roman"/>
        </w:rPr>
        <w:t xml:space="preserve"> and from cigarette smoke.  </w:t>
      </w:r>
      <w:r w:rsidRPr="00315D6B">
        <w:rPr>
          <w:rFonts w:ascii="Times New Roman" w:eastAsia="Times New Roman" w:hAnsi="Times New Roman"/>
        </w:rPr>
        <w:t xml:space="preserve">Smokers can have </w:t>
      </w:r>
      <w:r>
        <w:rPr>
          <w:rFonts w:ascii="Times New Roman" w:eastAsia="Times New Roman" w:hAnsi="Times New Roman"/>
        </w:rPr>
        <w:t>twice</w:t>
      </w:r>
      <w:r w:rsidRPr="00315D6B">
        <w:rPr>
          <w:rFonts w:ascii="Times New Roman" w:eastAsia="Times New Roman" w:hAnsi="Times New Roman"/>
        </w:rPr>
        <w:t xml:space="preserve"> the amount of cadmium </w:t>
      </w:r>
      <w:r>
        <w:rPr>
          <w:rFonts w:ascii="Times New Roman" w:eastAsia="Times New Roman" w:hAnsi="Times New Roman"/>
        </w:rPr>
        <w:t>in their bodies as nonsmokers.  Factories that burn fossil fuels like coal or oil, or that b</w:t>
      </w:r>
      <w:r w:rsidRPr="00315D6B">
        <w:rPr>
          <w:rFonts w:ascii="Times New Roman" w:eastAsia="Times New Roman" w:hAnsi="Times New Roman"/>
        </w:rPr>
        <w:t>urn municipal wastes</w:t>
      </w:r>
      <w:r>
        <w:rPr>
          <w:rFonts w:ascii="Times New Roman" w:eastAsia="Times New Roman" w:hAnsi="Times New Roman"/>
        </w:rPr>
        <w:t>, contribute to cadmium exposures from air.</w:t>
      </w:r>
    </w:p>
    <w:p w:rsidR="00626A53" w:rsidRPr="00315D6B" w:rsidRDefault="00626A53" w:rsidP="00626A53">
      <w:pPr>
        <w:rPr>
          <w:rFonts w:ascii="Times New Roman" w:eastAsia="Times New Roman" w:hAnsi="Times New Roman"/>
        </w:rPr>
      </w:pPr>
    </w:p>
    <w:p w:rsidR="00626A53" w:rsidRPr="00315D6B" w:rsidRDefault="00626A53" w:rsidP="00626A53">
      <w:pPr>
        <w:rPr>
          <w:rFonts w:ascii="Times New Roman" w:eastAsia="Times New Roman" w:hAnsi="Times New Roman"/>
        </w:rPr>
      </w:pPr>
      <w:r w:rsidRPr="00315D6B">
        <w:rPr>
          <w:rFonts w:ascii="Times New Roman" w:eastAsia="Times New Roman" w:hAnsi="Times New Roman"/>
        </w:rPr>
        <w:t>As you requested, we have also sent a copy of these results to your personal physician.  We will be happy to answer any questions you have about the project, but concerns you may have about these results should be brought to the attention of your physician.</w:t>
      </w:r>
    </w:p>
    <w:p w:rsidR="00626A53" w:rsidRPr="00315D6B" w:rsidRDefault="00626A53" w:rsidP="00626A53">
      <w:pPr>
        <w:ind w:firstLine="720"/>
        <w:rPr>
          <w:rFonts w:ascii="Times New Roman" w:eastAsia="Times New Roman" w:hAnsi="Times New Roman"/>
        </w:rPr>
      </w:pPr>
    </w:p>
    <w:p w:rsidR="00626A53" w:rsidRPr="00315D6B" w:rsidRDefault="00626A53" w:rsidP="00626A53">
      <w:pPr>
        <w:rPr>
          <w:rFonts w:ascii="Times New Roman" w:eastAsia="Times New Roman" w:hAnsi="Times New Roman"/>
        </w:rPr>
      </w:pPr>
      <w:r w:rsidRPr="00315D6B">
        <w:rPr>
          <w:rFonts w:ascii="Times New Roman" w:eastAsia="Times New Roman" w:hAnsi="Times New Roman"/>
        </w:rPr>
        <w:t>If you have any questions about the project in general, please contact me at 518-402-7950.</w:t>
      </w:r>
    </w:p>
    <w:p w:rsidR="00626A53" w:rsidRPr="00315D6B" w:rsidRDefault="00626A53" w:rsidP="00626A53">
      <w:pPr>
        <w:rPr>
          <w:rFonts w:ascii="Times New Roman" w:eastAsia="Times New Roman" w:hAnsi="Times New Roman"/>
        </w:rPr>
      </w:pPr>
    </w:p>
    <w:p w:rsidR="00626A53" w:rsidRPr="00315D6B" w:rsidRDefault="00626A53" w:rsidP="00626A53">
      <w:pPr>
        <w:rPr>
          <w:rFonts w:ascii="Times New Roman" w:eastAsia="Times New Roman" w:hAnsi="Times New Roman"/>
        </w:rPr>
      </w:pPr>
      <w:r w:rsidRPr="00315D6B">
        <w:rPr>
          <w:rFonts w:ascii="Times New Roman" w:eastAsia="Times New Roman" w:hAnsi="Times New Roman"/>
        </w:rPr>
        <w:t>Thank you again for your participation.</w:t>
      </w:r>
    </w:p>
    <w:p w:rsidR="00626A53" w:rsidRPr="00315D6B" w:rsidRDefault="00626A53" w:rsidP="00626A53">
      <w:pPr>
        <w:rPr>
          <w:rFonts w:ascii="Times New Roman" w:eastAsia="Times New Roman" w:hAnsi="Times New Roman"/>
        </w:rPr>
      </w:pPr>
    </w:p>
    <w:p w:rsidR="00626A53" w:rsidRPr="00315D6B" w:rsidRDefault="00626A53" w:rsidP="00626A53">
      <w:pPr>
        <w:rPr>
          <w:rFonts w:ascii="Times New Roman" w:eastAsia="Times New Roman" w:hAnsi="Times New Roman"/>
        </w:rPr>
      </w:pPr>
      <w:r w:rsidRPr="00315D6B">
        <w:rPr>
          <w:rFonts w:ascii="Times New Roman" w:eastAsia="Times New Roman" w:hAnsi="Times New Roman"/>
        </w:rPr>
        <w:t>Sincerely,</w:t>
      </w:r>
    </w:p>
    <w:p w:rsidR="00626A53" w:rsidRPr="00E177F1" w:rsidRDefault="00626A53" w:rsidP="00626A53">
      <w:pPr>
        <w:rPr>
          <w:rFonts w:ascii="Times New Roman" w:eastAsia="Times New Roman" w:hAnsi="Times New Roman"/>
        </w:rPr>
      </w:pPr>
    </w:p>
    <w:p w:rsidR="00626A53" w:rsidRPr="00E177F1" w:rsidRDefault="00626A53" w:rsidP="00626A53">
      <w:pPr>
        <w:rPr>
          <w:rFonts w:ascii="Times New Roman" w:eastAsia="Times New Roman" w:hAnsi="Times New Roman"/>
        </w:rPr>
      </w:pPr>
    </w:p>
    <w:p w:rsidR="00626A53" w:rsidRPr="00E177F1" w:rsidRDefault="00626A53" w:rsidP="00626A53">
      <w:pPr>
        <w:rPr>
          <w:rFonts w:ascii="Times New Roman" w:eastAsia="Times New Roman" w:hAnsi="Times New Roman"/>
        </w:rPr>
      </w:pPr>
      <w:r w:rsidRPr="00E177F1">
        <w:rPr>
          <w:rFonts w:ascii="Times New Roman" w:eastAsia="Times New Roman" w:hAnsi="Times New Roman"/>
        </w:rPr>
        <w:t>Syni-An A. Hwang</w:t>
      </w:r>
    </w:p>
    <w:p w:rsidR="00626A53" w:rsidRPr="00E177F1" w:rsidRDefault="00626A53" w:rsidP="00626A53">
      <w:pPr>
        <w:rPr>
          <w:rFonts w:ascii="Times New Roman" w:eastAsia="Times New Roman" w:hAnsi="Times New Roman"/>
        </w:rPr>
      </w:pPr>
      <w:r w:rsidRPr="00E177F1">
        <w:rPr>
          <w:rFonts w:ascii="Times New Roman" w:eastAsia="Times New Roman" w:hAnsi="Times New Roman"/>
        </w:rPr>
        <w:t>Director</w:t>
      </w:r>
    </w:p>
    <w:p w:rsidR="00626A53" w:rsidRPr="00E177F1" w:rsidRDefault="00626A53" w:rsidP="00626A53">
      <w:pPr>
        <w:rPr>
          <w:rFonts w:ascii="Times New Roman" w:eastAsia="Times New Roman" w:hAnsi="Times New Roman"/>
        </w:rPr>
      </w:pPr>
      <w:r w:rsidRPr="00E177F1">
        <w:rPr>
          <w:rFonts w:ascii="Times New Roman" w:eastAsia="Times New Roman" w:hAnsi="Times New Roman"/>
        </w:rPr>
        <w:t>Bureau of Environmental and Occupational Epidemiology</w:t>
      </w:r>
    </w:p>
    <w:p w:rsidR="00626A53" w:rsidRPr="00E177F1" w:rsidRDefault="00626A53" w:rsidP="00626A53">
      <w:pPr>
        <w:rPr>
          <w:rFonts w:ascii="Times New Roman" w:eastAsia="Times New Roman" w:hAnsi="Times New Roman"/>
        </w:rPr>
      </w:pPr>
    </w:p>
    <w:p w:rsidR="00626A53" w:rsidRPr="00E177F1" w:rsidRDefault="00626A53" w:rsidP="00626A53">
      <w:pPr>
        <w:rPr>
          <w:rFonts w:ascii="Times New Roman" w:eastAsia="Times New Roman" w:hAnsi="Times New Roman"/>
        </w:rPr>
      </w:pPr>
    </w:p>
    <w:p w:rsidR="00626A53" w:rsidRPr="00E177F1" w:rsidRDefault="00626A53" w:rsidP="00626A53">
      <w:pPr>
        <w:rPr>
          <w:rFonts w:ascii="Times New Roman" w:eastAsia="Times New Roman" w:hAnsi="Times New Roman"/>
        </w:rPr>
      </w:pPr>
      <w:r w:rsidRPr="00E177F1">
        <w:rPr>
          <w:rFonts w:ascii="Times New Roman" w:eastAsia="Times New Roman" w:hAnsi="Times New Roman"/>
        </w:rPr>
        <w:t>Matthew P. Mauer, D.O., M.P.H.</w:t>
      </w:r>
    </w:p>
    <w:p w:rsidR="00626A53" w:rsidRPr="00E177F1" w:rsidRDefault="00626A53" w:rsidP="00626A53">
      <w:pPr>
        <w:rPr>
          <w:rFonts w:ascii="Times New Roman" w:eastAsia="Times New Roman" w:hAnsi="Times New Roman"/>
        </w:rPr>
      </w:pPr>
      <w:r w:rsidRPr="00E177F1">
        <w:rPr>
          <w:rFonts w:ascii="Times New Roman" w:eastAsia="Times New Roman" w:hAnsi="Times New Roman"/>
        </w:rPr>
        <w:t>Public Health Physician</w:t>
      </w:r>
    </w:p>
    <w:p w:rsidR="00626A53" w:rsidRPr="00E177F1" w:rsidRDefault="00626A53" w:rsidP="00626A53">
      <w:pPr>
        <w:rPr>
          <w:rFonts w:ascii="Times New Roman" w:eastAsia="Times New Roman" w:hAnsi="Times New Roman"/>
        </w:rPr>
      </w:pPr>
      <w:r>
        <w:rPr>
          <w:rFonts w:ascii="Times New Roman" w:eastAsia="Times New Roman" w:hAnsi="Times New Roman"/>
        </w:rPr>
        <w:t>Bureau of Occupational Health</w:t>
      </w:r>
    </w:p>
    <w:p w:rsidR="00626A53" w:rsidRPr="00942330" w:rsidRDefault="00626A53" w:rsidP="00626A53">
      <w:pPr>
        <w:rPr>
          <w:b/>
        </w:rPr>
      </w:pPr>
      <w:r>
        <w:br w:type="page"/>
      </w:r>
      <w:r w:rsidRPr="00942330">
        <w:rPr>
          <w:b/>
        </w:rPr>
        <w:lastRenderedPageBreak/>
        <w:t>Great Lake</w:t>
      </w:r>
      <w:r>
        <w:rPr>
          <w:b/>
        </w:rPr>
        <w:t>s</w:t>
      </w:r>
      <w:r w:rsidRPr="00942330">
        <w:rPr>
          <w:b/>
        </w:rPr>
        <w:t xml:space="preserve"> Biomonitoring Project</w:t>
      </w:r>
    </w:p>
    <w:p w:rsidR="00626A53" w:rsidRPr="00942330" w:rsidRDefault="00626A53" w:rsidP="00626A53">
      <w:pPr>
        <w:rPr>
          <w:b/>
        </w:rPr>
      </w:pPr>
      <w:r w:rsidRPr="00942330">
        <w:rPr>
          <w:b/>
        </w:rPr>
        <w:t>Laboratory Report</w:t>
      </w:r>
    </w:p>
    <w:p w:rsidR="00626A53" w:rsidRDefault="00626A53" w:rsidP="00626A53"/>
    <w:p w:rsidR="00626A53" w:rsidRDefault="00626A53" w:rsidP="00626A53">
      <w:r>
        <w:t>Collection date:</w:t>
      </w:r>
    </w:p>
    <w:p w:rsidR="00626A53" w:rsidRPr="00942330" w:rsidRDefault="00626A53" w:rsidP="00626A53">
      <w:r w:rsidRPr="00942330">
        <w:t xml:space="preserve">Report date: </w:t>
      </w:r>
    </w:p>
    <w:p w:rsidR="00626A53" w:rsidRPr="00942330" w:rsidRDefault="00626A53" w:rsidP="00626A53"/>
    <w:p w:rsidR="00626A53" w:rsidRPr="00942330" w:rsidRDefault="00626A53" w:rsidP="00626A53">
      <w:r>
        <w:t>[</w:t>
      </w:r>
      <w:r w:rsidRPr="00942330">
        <w:t>NAME AND ADDRESS</w:t>
      </w:r>
      <w:r>
        <w:t>]</w:t>
      </w:r>
    </w:p>
    <w:p w:rsidR="00626A53" w:rsidRPr="00942330" w:rsidRDefault="00626A53" w:rsidP="00626A53"/>
    <w:p w:rsidR="00626A53" w:rsidRPr="00942330" w:rsidRDefault="00626A53" w:rsidP="00626A53"/>
    <w:p w:rsidR="00626A53" w:rsidRPr="00942330" w:rsidRDefault="00626A53" w:rsidP="00626A53">
      <w:pP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5"/>
        <w:gridCol w:w="2121"/>
        <w:gridCol w:w="2383"/>
      </w:tblGrid>
      <w:tr w:rsidR="00626A53" w:rsidRPr="00942330" w:rsidTr="007631C5">
        <w:tc>
          <w:tcPr>
            <w:tcW w:w="2315" w:type="dxa"/>
            <w:vAlign w:val="bottom"/>
          </w:tcPr>
          <w:p w:rsidR="00626A53" w:rsidRPr="00942330" w:rsidRDefault="00626A53" w:rsidP="007631C5">
            <w:pPr>
              <w:rPr>
                <w:b/>
                <w:bCs/>
              </w:rPr>
            </w:pPr>
            <w:r w:rsidRPr="00942330">
              <w:rPr>
                <w:b/>
                <w:bCs/>
              </w:rPr>
              <w:t>Metal</w:t>
            </w:r>
          </w:p>
        </w:tc>
        <w:tc>
          <w:tcPr>
            <w:tcW w:w="2121" w:type="dxa"/>
            <w:vAlign w:val="bottom"/>
          </w:tcPr>
          <w:p w:rsidR="00626A53" w:rsidRPr="00942330" w:rsidRDefault="00626A53" w:rsidP="007631C5">
            <w:pPr>
              <w:jc w:val="center"/>
              <w:rPr>
                <w:b/>
                <w:bCs/>
              </w:rPr>
            </w:pPr>
            <w:r w:rsidRPr="00942330">
              <w:rPr>
                <w:b/>
                <w:bCs/>
              </w:rPr>
              <w:t>Your results</w:t>
            </w:r>
          </w:p>
        </w:tc>
        <w:tc>
          <w:tcPr>
            <w:tcW w:w="2383" w:type="dxa"/>
            <w:vAlign w:val="bottom"/>
          </w:tcPr>
          <w:p w:rsidR="00626A53" w:rsidRPr="00942330" w:rsidRDefault="00626A53" w:rsidP="007631C5">
            <w:pPr>
              <w:jc w:val="center"/>
              <w:rPr>
                <w:b/>
                <w:bCs/>
              </w:rPr>
            </w:pPr>
            <w:r w:rsidRPr="00942330">
              <w:rPr>
                <w:b/>
                <w:bCs/>
              </w:rPr>
              <w:t>Reference levels*</w:t>
            </w:r>
          </w:p>
        </w:tc>
      </w:tr>
      <w:tr w:rsidR="00626A53" w:rsidRPr="00942330" w:rsidTr="007631C5">
        <w:trPr>
          <w:trHeight w:val="573"/>
        </w:trPr>
        <w:tc>
          <w:tcPr>
            <w:tcW w:w="2315" w:type="dxa"/>
            <w:vAlign w:val="center"/>
          </w:tcPr>
          <w:p w:rsidR="00626A53" w:rsidRPr="00942330" w:rsidRDefault="00626A53" w:rsidP="007631C5">
            <w:r w:rsidRPr="00942330">
              <w:t>Lead, in blood</w:t>
            </w:r>
          </w:p>
        </w:tc>
        <w:tc>
          <w:tcPr>
            <w:tcW w:w="2121" w:type="dxa"/>
            <w:vAlign w:val="center"/>
          </w:tcPr>
          <w:p w:rsidR="00626A53" w:rsidRPr="00942330" w:rsidRDefault="00626A53" w:rsidP="007631C5"/>
        </w:tc>
        <w:tc>
          <w:tcPr>
            <w:tcW w:w="2383" w:type="dxa"/>
            <w:vAlign w:val="center"/>
          </w:tcPr>
          <w:p w:rsidR="00626A53" w:rsidRPr="00942330" w:rsidRDefault="00626A53" w:rsidP="007631C5">
            <w:r>
              <w:t>1.3 – 3.9 µg/</w:t>
            </w:r>
            <w:r w:rsidR="00B67743">
              <w:t>d</w:t>
            </w:r>
            <w:r>
              <w:t>L</w:t>
            </w:r>
          </w:p>
        </w:tc>
      </w:tr>
      <w:tr w:rsidR="00626A53" w:rsidRPr="00942330" w:rsidTr="007631C5">
        <w:trPr>
          <w:trHeight w:val="574"/>
        </w:trPr>
        <w:tc>
          <w:tcPr>
            <w:tcW w:w="2315" w:type="dxa"/>
            <w:vAlign w:val="center"/>
          </w:tcPr>
          <w:p w:rsidR="00626A53" w:rsidRPr="00942330" w:rsidRDefault="00626A53" w:rsidP="007631C5">
            <w:r>
              <w:t xml:space="preserve">Mercury, </w:t>
            </w:r>
            <w:r w:rsidRPr="00942330">
              <w:t>in blood</w:t>
            </w:r>
          </w:p>
        </w:tc>
        <w:tc>
          <w:tcPr>
            <w:tcW w:w="2121" w:type="dxa"/>
            <w:vAlign w:val="center"/>
          </w:tcPr>
          <w:p w:rsidR="00626A53" w:rsidRPr="00942330" w:rsidRDefault="00626A53" w:rsidP="007631C5"/>
        </w:tc>
        <w:tc>
          <w:tcPr>
            <w:tcW w:w="2383" w:type="dxa"/>
            <w:vAlign w:val="center"/>
          </w:tcPr>
          <w:p w:rsidR="00626A53" w:rsidRPr="00942330" w:rsidRDefault="00626A53" w:rsidP="007631C5">
            <w:r>
              <w:t>0.89 – 5.32 µg/L</w:t>
            </w:r>
          </w:p>
        </w:tc>
      </w:tr>
      <w:tr w:rsidR="00626A53" w:rsidRPr="00942330" w:rsidTr="007631C5">
        <w:trPr>
          <w:trHeight w:val="573"/>
        </w:trPr>
        <w:tc>
          <w:tcPr>
            <w:tcW w:w="2315" w:type="dxa"/>
            <w:vAlign w:val="center"/>
          </w:tcPr>
          <w:p w:rsidR="00626A53" w:rsidRPr="00942330" w:rsidRDefault="00626A53" w:rsidP="007631C5">
            <w:r>
              <w:t>Mercury, in urine</w:t>
            </w:r>
          </w:p>
        </w:tc>
        <w:tc>
          <w:tcPr>
            <w:tcW w:w="2121" w:type="dxa"/>
            <w:vAlign w:val="center"/>
          </w:tcPr>
          <w:p w:rsidR="00626A53" w:rsidRPr="00942330" w:rsidRDefault="00626A53" w:rsidP="007631C5"/>
        </w:tc>
        <w:tc>
          <w:tcPr>
            <w:tcW w:w="2383" w:type="dxa"/>
            <w:vAlign w:val="center"/>
          </w:tcPr>
          <w:p w:rsidR="00626A53" w:rsidRPr="00942330" w:rsidRDefault="00626A53" w:rsidP="007631C5">
            <w:r>
              <w:t>0.47 – 2.82 µg/L</w:t>
            </w:r>
          </w:p>
        </w:tc>
      </w:tr>
      <w:tr w:rsidR="00626A53" w:rsidRPr="00942330" w:rsidTr="007631C5">
        <w:trPr>
          <w:trHeight w:val="573"/>
        </w:trPr>
        <w:tc>
          <w:tcPr>
            <w:tcW w:w="2315" w:type="dxa"/>
            <w:vAlign w:val="center"/>
          </w:tcPr>
          <w:p w:rsidR="00626A53" w:rsidRPr="00942330" w:rsidRDefault="00626A53" w:rsidP="007631C5">
            <w:r w:rsidRPr="00942330">
              <w:t>Cadmium, in blood</w:t>
            </w:r>
          </w:p>
        </w:tc>
        <w:tc>
          <w:tcPr>
            <w:tcW w:w="2121" w:type="dxa"/>
            <w:vAlign w:val="center"/>
          </w:tcPr>
          <w:p w:rsidR="00626A53" w:rsidRPr="00942330" w:rsidRDefault="00626A53" w:rsidP="007631C5"/>
        </w:tc>
        <w:tc>
          <w:tcPr>
            <w:tcW w:w="2383" w:type="dxa"/>
            <w:vAlign w:val="center"/>
          </w:tcPr>
          <w:p w:rsidR="00626A53" w:rsidRPr="00942330" w:rsidRDefault="00626A53" w:rsidP="007631C5">
            <w:r>
              <w:t>0.33 – 1.7  µg/L</w:t>
            </w:r>
          </w:p>
        </w:tc>
      </w:tr>
    </w:tbl>
    <w:p w:rsidR="00626A53" w:rsidRPr="00942330" w:rsidRDefault="00626A53" w:rsidP="00626A53">
      <w:pPr>
        <w:ind w:left="360" w:right="720" w:hanging="360"/>
      </w:pPr>
      <w:r w:rsidRPr="00942330">
        <w:rPr>
          <w:b/>
          <w:bCs/>
        </w:rPr>
        <w:t>*</w:t>
      </w:r>
      <w:r>
        <w:rPr>
          <w:b/>
          <w:bCs/>
        </w:rPr>
        <w:tab/>
      </w:r>
      <w:r w:rsidRPr="00942330">
        <w:t xml:space="preserve">The reference </w:t>
      </w:r>
      <w:r>
        <w:t>values are</w:t>
      </w:r>
      <w:r w:rsidRPr="00942330">
        <w:t xml:space="preserve"> found in adults (20 years and older) as reported by the National Health and Nutrition Examination Survey (NHANES) conducted by the Centers for Disease Control and Prevention.</w:t>
      </w:r>
    </w:p>
    <w:p w:rsidR="00626A53" w:rsidRPr="00942330" w:rsidRDefault="00626A53" w:rsidP="00626A53">
      <w:pPr>
        <w:ind w:right="720"/>
        <w:rPr>
          <w:bCs/>
        </w:rPr>
      </w:pPr>
      <w:r w:rsidRPr="00942330">
        <w:rPr>
          <w:b/>
          <w:bCs/>
        </w:rPr>
        <w:t>UTA</w:t>
      </w:r>
      <w:r>
        <w:rPr>
          <w:b/>
          <w:bCs/>
        </w:rPr>
        <w:t>:</w:t>
      </w:r>
      <w:r w:rsidRPr="00942330">
        <w:rPr>
          <w:bCs/>
        </w:rPr>
        <w:t xml:space="preserve"> Unable to analyze.  </w:t>
      </w:r>
      <w:r w:rsidRPr="00942330">
        <w:t>The lab could not test the blood sample because clots formed or there was not enough blood to do the test.</w:t>
      </w:r>
    </w:p>
    <w:p w:rsidR="00626A53" w:rsidRPr="00942330" w:rsidRDefault="00626A53" w:rsidP="00626A53">
      <w:r w:rsidRPr="00942330">
        <w:rPr>
          <w:b/>
        </w:rPr>
        <w:t>LOD</w:t>
      </w:r>
      <w:r>
        <w:rPr>
          <w:b/>
        </w:rPr>
        <w:t>:</w:t>
      </w:r>
      <w:r w:rsidRPr="00942330">
        <w:t xml:space="preserve"> Level of detection (level too low to assign a number)</w:t>
      </w:r>
    </w:p>
    <w:p w:rsidR="00626A53" w:rsidRPr="00942330" w:rsidRDefault="00626A53" w:rsidP="00626A53">
      <w:pPr>
        <w:rPr>
          <w:bCs/>
        </w:rPr>
      </w:pPr>
    </w:p>
    <w:p w:rsidR="00626A53" w:rsidRPr="00942330" w:rsidRDefault="00626A53" w:rsidP="00626A53">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620"/>
        <w:gridCol w:w="1827"/>
        <w:gridCol w:w="1485"/>
      </w:tblGrid>
      <w:tr w:rsidR="00626A53" w:rsidRPr="00942330" w:rsidTr="007631C5">
        <w:trPr>
          <w:trHeight w:val="287"/>
        </w:trPr>
        <w:tc>
          <w:tcPr>
            <w:tcW w:w="2790" w:type="dxa"/>
            <w:vMerge w:val="restart"/>
            <w:vAlign w:val="bottom"/>
          </w:tcPr>
          <w:p w:rsidR="00626A53" w:rsidRPr="00942330" w:rsidRDefault="00626A53" w:rsidP="007631C5">
            <w:pPr>
              <w:rPr>
                <w:b/>
                <w:bCs/>
              </w:rPr>
            </w:pPr>
            <w:r w:rsidRPr="00942330">
              <w:rPr>
                <w:b/>
                <w:bCs/>
              </w:rPr>
              <w:t>Measurement</w:t>
            </w:r>
          </w:p>
        </w:tc>
        <w:tc>
          <w:tcPr>
            <w:tcW w:w="1620" w:type="dxa"/>
            <w:vMerge w:val="restart"/>
            <w:vAlign w:val="bottom"/>
          </w:tcPr>
          <w:p w:rsidR="00626A53" w:rsidRPr="00942330" w:rsidRDefault="00626A53" w:rsidP="007631C5">
            <w:pPr>
              <w:rPr>
                <w:b/>
                <w:bCs/>
              </w:rPr>
            </w:pPr>
            <w:r w:rsidRPr="00942330">
              <w:rPr>
                <w:b/>
                <w:bCs/>
              </w:rPr>
              <w:t>Your results</w:t>
            </w:r>
          </w:p>
        </w:tc>
        <w:tc>
          <w:tcPr>
            <w:tcW w:w="3312" w:type="dxa"/>
            <w:gridSpan w:val="2"/>
            <w:vAlign w:val="bottom"/>
          </w:tcPr>
          <w:p w:rsidR="00626A53" w:rsidRPr="00942330" w:rsidRDefault="00626A53" w:rsidP="007631C5">
            <w:pPr>
              <w:jc w:val="center"/>
              <w:rPr>
                <w:b/>
                <w:bCs/>
              </w:rPr>
            </w:pPr>
            <w:r w:rsidRPr="00942330">
              <w:rPr>
                <w:b/>
                <w:bCs/>
              </w:rPr>
              <w:t>Range*</w:t>
            </w:r>
          </w:p>
        </w:tc>
      </w:tr>
      <w:tr w:rsidR="00626A53" w:rsidRPr="00942330" w:rsidTr="007631C5">
        <w:trPr>
          <w:trHeight w:val="341"/>
        </w:trPr>
        <w:tc>
          <w:tcPr>
            <w:tcW w:w="2790" w:type="dxa"/>
            <w:vMerge/>
            <w:vAlign w:val="bottom"/>
          </w:tcPr>
          <w:p w:rsidR="00626A53" w:rsidRPr="00942330" w:rsidRDefault="00626A53" w:rsidP="007631C5">
            <w:pPr>
              <w:rPr>
                <w:b/>
                <w:bCs/>
              </w:rPr>
            </w:pPr>
          </w:p>
        </w:tc>
        <w:tc>
          <w:tcPr>
            <w:tcW w:w="1620" w:type="dxa"/>
            <w:vMerge/>
            <w:vAlign w:val="bottom"/>
          </w:tcPr>
          <w:p w:rsidR="00626A53" w:rsidRPr="00942330" w:rsidRDefault="00626A53" w:rsidP="007631C5">
            <w:pPr>
              <w:rPr>
                <w:b/>
                <w:bCs/>
              </w:rPr>
            </w:pPr>
          </w:p>
        </w:tc>
        <w:tc>
          <w:tcPr>
            <w:tcW w:w="1827" w:type="dxa"/>
            <w:vAlign w:val="bottom"/>
          </w:tcPr>
          <w:p w:rsidR="00626A53" w:rsidRPr="00942330" w:rsidRDefault="00626A53" w:rsidP="007631C5">
            <w:pPr>
              <w:jc w:val="center"/>
              <w:rPr>
                <w:b/>
                <w:bCs/>
              </w:rPr>
            </w:pPr>
            <w:r w:rsidRPr="00942330">
              <w:rPr>
                <w:b/>
                <w:bCs/>
              </w:rPr>
              <w:t>Borderlin</w:t>
            </w:r>
            <w:r>
              <w:rPr>
                <w:b/>
                <w:bCs/>
              </w:rPr>
              <w:t>e high</w:t>
            </w:r>
          </w:p>
        </w:tc>
        <w:tc>
          <w:tcPr>
            <w:tcW w:w="1485" w:type="dxa"/>
            <w:vAlign w:val="bottom"/>
          </w:tcPr>
          <w:p w:rsidR="00626A53" w:rsidRPr="00942330" w:rsidRDefault="00626A53" w:rsidP="007631C5">
            <w:pPr>
              <w:jc w:val="center"/>
              <w:rPr>
                <w:b/>
                <w:bCs/>
              </w:rPr>
            </w:pPr>
            <w:r w:rsidRPr="00942330">
              <w:rPr>
                <w:b/>
                <w:bCs/>
              </w:rPr>
              <w:t>High</w:t>
            </w:r>
          </w:p>
        </w:tc>
      </w:tr>
      <w:tr w:rsidR="00626A53" w:rsidRPr="00942330" w:rsidTr="007631C5">
        <w:trPr>
          <w:trHeight w:val="574"/>
        </w:trPr>
        <w:tc>
          <w:tcPr>
            <w:tcW w:w="2790" w:type="dxa"/>
            <w:vAlign w:val="center"/>
          </w:tcPr>
          <w:p w:rsidR="00626A53" w:rsidRPr="00942330" w:rsidRDefault="00626A53" w:rsidP="007631C5">
            <w:r w:rsidRPr="00942330">
              <w:t>Cholesterol (non-fasting)</w:t>
            </w:r>
          </w:p>
        </w:tc>
        <w:tc>
          <w:tcPr>
            <w:tcW w:w="1620" w:type="dxa"/>
            <w:vAlign w:val="center"/>
          </w:tcPr>
          <w:p w:rsidR="00626A53" w:rsidRPr="00942330" w:rsidRDefault="00626A53" w:rsidP="007631C5"/>
        </w:tc>
        <w:tc>
          <w:tcPr>
            <w:tcW w:w="1827" w:type="dxa"/>
            <w:vAlign w:val="center"/>
          </w:tcPr>
          <w:p w:rsidR="00626A53" w:rsidRPr="00942330" w:rsidRDefault="00626A53" w:rsidP="007631C5">
            <w:pPr>
              <w:jc w:val="center"/>
            </w:pPr>
            <w:r w:rsidRPr="00942330">
              <w:t>200-239</w:t>
            </w:r>
            <w:r w:rsidR="000D378A">
              <w:t xml:space="preserve"> mg/</w:t>
            </w:r>
            <w:proofErr w:type="spellStart"/>
            <w:r w:rsidR="000D378A">
              <w:t>dL</w:t>
            </w:r>
            <w:proofErr w:type="spellEnd"/>
          </w:p>
        </w:tc>
        <w:tc>
          <w:tcPr>
            <w:tcW w:w="1485" w:type="dxa"/>
            <w:vAlign w:val="center"/>
          </w:tcPr>
          <w:p w:rsidR="00626A53" w:rsidRPr="00942330" w:rsidRDefault="00626A53" w:rsidP="007631C5">
            <w:pPr>
              <w:jc w:val="center"/>
            </w:pPr>
            <w:r w:rsidRPr="00942330">
              <w:t>&gt;240</w:t>
            </w:r>
            <w:r w:rsidR="000D378A">
              <w:t xml:space="preserve"> mg/dl</w:t>
            </w:r>
          </w:p>
        </w:tc>
      </w:tr>
      <w:tr w:rsidR="00626A53" w:rsidRPr="00942330" w:rsidTr="007631C5">
        <w:trPr>
          <w:trHeight w:val="574"/>
        </w:trPr>
        <w:tc>
          <w:tcPr>
            <w:tcW w:w="2790" w:type="dxa"/>
            <w:vAlign w:val="center"/>
          </w:tcPr>
          <w:p w:rsidR="00626A53" w:rsidRPr="00942330" w:rsidRDefault="00626A53" w:rsidP="007631C5">
            <w:r w:rsidRPr="00942330">
              <w:t>Triglycerides</w:t>
            </w:r>
          </w:p>
        </w:tc>
        <w:tc>
          <w:tcPr>
            <w:tcW w:w="1620" w:type="dxa"/>
            <w:vAlign w:val="center"/>
          </w:tcPr>
          <w:p w:rsidR="00626A53" w:rsidRPr="00942330" w:rsidRDefault="00626A53" w:rsidP="007631C5"/>
        </w:tc>
        <w:tc>
          <w:tcPr>
            <w:tcW w:w="1827" w:type="dxa"/>
            <w:vAlign w:val="center"/>
          </w:tcPr>
          <w:p w:rsidR="00626A53" w:rsidRPr="00942330" w:rsidRDefault="00626A53" w:rsidP="007631C5">
            <w:pPr>
              <w:jc w:val="center"/>
            </w:pPr>
            <w:r w:rsidRPr="00942330">
              <w:t>150-199</w:t>
            </w:r>
            <w:r w:rsidR="000D378A">
              <w:t xml:space="preserve"> mg/</w:t>
            </w:r>
            <w:proofErr w:type="spellStart"/>
            <w:r w:rsidR="000D378A">
              <w:t>dL</w:t>
            </w:r>
            <w:proofErr w:type="spellEnd"/>
          </w:p>
        </w:tc>
        <w:tc>
          <w:tcPr>
            <w:tcW w:w="1485" w:type="dxa"/>
            <w:vAlign w:val="center"/>
          </w:tcPr>
          <w:p w:rsidR="00626A53" w:rsidRPr="00942330" w:rsidRDefault="00626A53" w:rsidP="007631C5">
            <w:pPr>
              <w:jc w:val="center"/>
            </w:pPr>
            <w:r w:rsidRPr="00942330">
              <w:t>200-499</w:t>
            </w:r>
            <w:r w:rsidR="000D378A">
              <w:t xml:space="preserve"> mg/</w:t>
            </w:r>
            <w:proofErr w:type="spellStart"/>
            <w:r w:rsidR="000D378A">
              <w:t>dL</w:t>
            </w:r>
            <w:proofErr w:type="spellEnd"/>
          </w:p>
        </w:tc>
      </w:tr>
    </w:tbl>
    <w:p w:rsidR="00626A53" w:rsidRPr="00942330" w:rsidRDefault="00626A53" w:rsidP="00626A53">
      <w:pPr>
        <w:ind w:left="360" w:right="720" w:hanging="360"/>
      </w:pPr>
      <w:r>
        <w:t>*</w:t>
      </w:r>
      <w:r>
        <w:tab/>
        <w:t>The r</w:t>
      </w:r>
      <w:r w:rsidRPr="00942330">
        <w:t>ange of levels in adults from the American Heart Association.</w:t>
      </w:r>
    </w:p>
    <w:p w:rsidR="00626A53" w:rsidRPr="00942330" w:rsidRDefault="00626A53" w:rsidP="00626A53">
      <w:pPr>
        <w:ind w:right="720"/>
      </w:pPr>
      <w:r w:rsidRPr="00942330">
        <w:rPr>
          <w:b/>
        </w:rPr>
        <w:t>UTA:</w:t>
      </w:r>
      <w:r w:rsidRPr="00942330">
        <w:t xml:space="preserve"> Unable to analyze.  The lab could not test the blood sample because clots formed or there was not enough blood to do the test.</w:t>
      </w:r>
    </w:p>
    <w:p w:rsidR="00626A53" w:rsidRPr="00942330" w:rsidRDefault="00626A53" w:rsidP="00626A53">
      <w:pPr>
        <w:ind w:right="720"/>
      </w:pPr>
      <w:r w:rsidRPr="00942330">
        <w:rPr>
          <w:b/>
        </w:rPr>
        <w:t>LOD:</w:t>
      </w:r>
      <w:r w:rsidRPr="00942330">
        <w:t xml:space="preserve"> Level of detection.  Below LOD means the level was too low to assign a number.</w:t>
      </w:r>
    </w:p>
    <w:p w:rsidR="00626A53" w:rsidRPr="00942330" w:rsidRDefault="00626A53" w:rsidP="00626A53"/>
    <w:p w:rsidR="00626A53" w:rsidRPr="00942330" w:rsidRDefault="00626A53" w:rsidP="00626A53">
      <w:r w:rsidRPr="00942330">
        <w:t>If you would like more information about any of these tests please call XXX-XXX-XXXX and ask for ___________________.</w:t>
      </w:r>
    </w:p>
    <w:p w:rsidR="00626A53" w:rsidRDefault="00626A53" w:rsidP="00626A53"/>
    <w:p w:rsidR="00626A53" w:rsidRDefault="00626A53" w:rsidP="00626A53"/>
    <w:p w:rsidR="00626A53" w:rsidRDefault="00626A53" w:rsidP="00626A53">
      <w:r w:rsidRPr="00942330">
        <w:t>Tests performed by the Wadsworth Center, New York State Department of Health.</w:t>
      </w:r>
    </w:p>
    <w:p w:rsidR="006D5B8C" w:rsidRDefault="006D5B8C"/>
    <w:sectPr w:rsidR="006D5B8C" w:rsidSect="00901E9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2F7"/>
    <w:rsid w:val="00024D1B"/>
    <w:rsid w:val="0002690E"/>
    <w:rsid w:val="0007580B"/>
    <w:rsid w:val="000D378A"/>
    <w:rsid w:val="00186813"/>
    <w:rsid w:val="002639C2"/>
    <w:rsid w:val="0034097C"/>
    <w:rsid w:val="00345F08"/>
    <w:rsid w:val="003A7999"/>
    <w:rsid w:val="004A788F"/>
    <w:rsid w:val="00626A53"/>
    <w:rsid w:val="006D5B8C"/>
    <w:rsid w:val="007000DC"/>
    <w:rsid w:val="007822F7"/>
    <w:rsid w:val="007D3403"/>
    <w:rsid w:val="008E748E"/>
    <w:rsid w:val="00901E93"/>
    <w:rsid w:val="00A72CE9"/>
    <w:rsid w:val="00AA53D4"/>
    <w:rsid w:val="00B67743"/>
    <w:rsid w:val="00B80766"/>
    <w:rsid w:val="00BB680F"/>
    <w:rsid w:val="00D31DB6"/>
    <w:rsid w:val="00DB56BC"/>
    <w:rsid w:val="00ED17C0"/>
    <w:rsid w:val="00F30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2F7"/>
    <w:rPr>
      <w:rFonts w:ascii="Calibri" w:eastAsia="Calibri" w:hAnsi="Calibri"/>
      <w:sz w:val="24"/>
      <w:szCs w:val="24"/>
    </w:rPr>
  </w:style>
  <w:style w:type="paragraph" w:styleId="Heading1">
    <w:name w:val="heading 1"/>
    <w:basedOn w:val="Normal"/>
    <w:next w:val="Normal"/>
    <w:link w:val="Heading1Char"/>
    <w:qFormat/>
    <w:rsid w:val="007822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7822F7"/>
    <w:pPr>
      <w:keepLines w:val="0"/>
      <w:spacing w:before="0"/>
    </w:pPr>
    <w:rPr>
      <w:rFonts w:ascii="Calibri" w:eastAsia="Times New Roman" w:hAnsi="Calibri" w:cs="Times New Roman"/>
      <w:b w:val="0"/>
      <w:color w:val="auto"/>
      <w:kern w:val="32"/>
      <w:sz w:val="24"/>
      <w:szCs w:val="32"/>
      <w:lang w:val="x-none" w:eastAsia="x-none"/>
    </w:rPr>
  </w:style>
  <w:style w:type="character" w:customStyle="1" w:styleId="GLTablesChar">
    <w:name w:val="GL Tables Char"/>
    <w:link w:val="GLTables"/>
    <w:rsid w:val="007822F7"/>
    <w:rPr>
      <w:rFonts w:ascii="Calibri" w:hAnsi="Calibri"/>
      <w:bCs/>
      <w:kern w:val="32"/>
      <w:sz w:val="24"/>
      <w:szCs w:val="32"/>
      <w:lang w:val="x-none" w:eastAsia="x-none"/>
    </w:rPr>
  </w:style>
  <w:style w:type="character" w:customStyle="1" w:styleId="Heading1Char">
    <w:name w:val="Heading 1 Char"/>
    <w:basedOn w:val="DefaultParagraphFont"/>
    <w:link w:val="Heading1"/>
    <w:rsid w:val="007822F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822F7"/>
    <w:rPr>
      <w:rFonts w:ascii="Tahoma" w:hAnsi="Tahoma" w:cs="Tahoma"/>
      <w:sz w:val="16"/>
      <w:szCs w:val="16"/>
    </w:rPr>
  </w:style>
  <w:style w:type="character" w:customStyle="1" w:styleId="BalloonTextChar">
    <w:name w:val="Balloon Text Char"/>
    <w:basedOn w:val="DefaultParagraphFont"/>
    <w:link w:val="BalloonText"/>
    <w:rsid w:val="007822F7"/>
    <w:rPr>
      <w:rFonts w:ascii="Tahoma" w:eastAsia="Calibri" w:hAnsi="Tahoma" w:cs="Tahoma"/>
      <w:sz w:val="16"/>
      <w:szCs w:val="16"/>
    </w:rPr>
  </w:style>
  <w:style w:type="character" w:styleId="Strong">
    <w:name w:val="Strong"/>
    <w:basedOn w:val="DefaultParagraphFont"/>
    <w:uiPriority w:val="22"/>
    <w:qFormat/>
    <w:rsid w:val="003A799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2F7"/>
    <w:rPr>
      <w:rFonts w:ascii="Calibri" w:eastAsia="Calibri" w:hAnsi="Calibri"/>
      <w:sz w:val="24"/>
      <w:szCs w:val="24"/>
    </w:rPr>
  </w:style>
  <w:style w:type="paragraph" w:styleId="Heading1">
    <w:name w:val="heading 1"/>
    <w:basedOn w:val="Normal"/>
    <w:next w:val="Normal"/>
    <w:link w:val="Heading1Char"/>
    <w:qFormat/>
    <w:rsid w:val="007822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7822F7"/>
    <w:pPr>
      <w:keepLines w:val="0"/>
      <w:spacing w:before="0"/>
    </w:pPr>
    <w:rPr>
      <w:rFonts w:ascii="Calibri" w:eastAsia="Times New Roman" w:hAnsi="Calibri" w:cs="Times New Roman"/>
      <w:b w:val="0"/>
      <w:color w:val="auto"/>
      <w:kern w:val="32"/>
      <w:sz w:val="24"/>
      <w:szCs w:val="32"/>
      <w:lang w:val="x-none" w:eastAsia="x-none"/>
    </w:rPr>
  </w:style>
  <w:style w:type="character" w:customStyle="1" w:styleId="GLTablesChar">
    <w:name w:val="GL Tables Char"/>
    <w:link w:val="GLTables"/>
    <w:rsid w:val="007822F7"/>
    <w:rPr>
      <w:rFonts w:ascii="Calibri" w:hAnsi="Calibri"/>
      <w:bCs/>
      <w:kern w:val="32"/>
      <w:sz w:val="24"/>
      <w:szCs w:val="32"/>
      <w:lang w:val="x-none" w:eastAsia="x-none"/>
    </w:rPr>
  </w:style>
  <w:style w:type="character" w:customStyle="1" w:styleId="Heading1Char">
    <w:name w:val="Heading 1 Char"/>
    <w:basedOn w:val="DefaultParagraphFont"/>
    <w:link w:val="Heading1"/>
    <w:rsid w:val="007822F7"/>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822F7"/>
    <w:rPr>
      <w:rFonts w:ascii="Tahoma" w:hAnsi="Tahoma" w:cs="Tahoma"/>
      <w:sz w:val="16"/>
      <w:szCs w:val="16"/>
    </w:rPr>
  </w:style>
  <w:style w:type="character" w:customStyle="1" w:styleId="BalloonTextChar">
    <w:name w:val="Balloon Text Char"/>
    <w:basedOn w:val="DefaultParagraphFont"/>
    <w:link w:val="BalloonText"/>
    <w:rsid w:val="007822F7"/>
    <w:rPr>
      <w:rFonts w:ascii="Tahoma" w:eastAsia="Calibri" w:hAnsi="Tahoma" w:cs="Tahoma"/>
      <w:sz w:val="16"/>
      <w:szCs w:val="16"/>
    </w:rPr>
  </w:style>
  <w:style w:type="character" w:styleId="Strong">
    <w:name w:val="Strong"/>
    <w:basedOn w:val="DefaultParagraphFont"/>
    <w:uiPriority w:val="22"/>
    <w:qFormat/>
    <w:rsid w:val="003A7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72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1416</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Irvin-Barnwell, Elizabeth (ATSDR/DHS/HIBR)</dc:creator>
  <cp:keywords/>
  <dc:description/>
  <cp:lastModifiedBy>Davis, Stephanie I. (ATSDR/DHS/HIBR)</cp:lastModifiedBy>
  <cp:revision>3</cp:revision>
  <dcterms:created xsi:type="dcterms:W3CDTF">2012-06-14T23:29:00Z</dcterms:created>
  <dcterms:modified xsi:type="dcterms:W3CDTF">2012-06-14T23:29:00Z</dcterms:modified>
</cp:coreProperties>
</file>